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25.jpeg" ContentType="image/jpeg"/>
  <Override PartName="/word/media/image37.jpeg" ContentType="image/jpeg"/>
  <Override PartName="/word/media/image3.jpeg" ContentType="image/jpeg"/>
  <Override PartName="/word/media/image60.jpeg" ContentType="image/jpeg"/>
  <Override PartName="/word/media/image24.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41.jpeg" ContentType="image/jpeg"/>
  <Override PartName="/word/media/image14.jpeg" ContentType="image/jpeg"/>
  <Override PartName="/word/media/image15.jpeg" ContentType="image/jpeg"/>
  <Override PartName="/word/media/image69.jpeg" ContentType="image/jpeg"/>
  <Override PartName="/word/media/image68.jpeg" ContentType="image/jpeg"/>
  <Override PartName="/word/media/image67.jpeg" ContentType="image/jpeg"/>
  <Override PartName="/word/media/image66.jpeg" ContentType="image/jpeg"/>
  <Override PartName="/word/media/image9.jpeg" ContentType="image/jpeg"/>
  <Override PartName="/word/media/image65.jpeg" ContentType="image/jpeg"/>
  <Override PartName="/word/media/image8.jpeg" ContentType="image/jpeg"/>
  <Override PartName="/word/media/image39.jpeg" ContentType="image/jpeg"/>
  <Override PartName="/word/media/image21.jpeg" ContentType="image/jpeg"/>
  <Override PartName="/word/media/image64.jpeg" ContentType="image/jpeg"/>
  <Override PartName="/word/media/image7.jpeg" ContentType="image/jpeg"/>
  <Override PartName="/word/media/image38.jpeg" ContentType="image/jpeg"/>
  <Override PartName="/word/media/image20.jpeg" ContentType="image/jpeg"/>
  <Override PartName="/word/media/image19.jpeg" ContentType="image/jpeg"/>
  <Override PartName="/word/media/image63.jpeg" ContentType="image/jpeg"/>
  <Override PartName="/word/media/image6.jpeg" ContentType="image/jpeg"/>
  <Override PartName="/word/media/image18.jpeg" ContentType="image/jpeg"/>
  <Override PartName="/word/media/image62.jpeg" ContentType="image/jpeg"/>
  <Override PartName="/word/media/image5.jpeg" ContentType="image/jpeg"/>
  <Override PartName="/word/media/image17.jpeg" ContentType="image/jpeg"/>
  <Override PartName="/word/media/image61.jpeg" ContentType="image/jpeg"/>
  <Override PartName="/word/media/image4.jpeg" ContentType="image/jpeg"/>
  <Override PartName="/word/media/image16.jpeg" ContentType="image/jpeg"/>
  <Override PartName="/word/media/image26.jpeg" ContentType="image/jpeg"/>
  <Override PartName="/word/media/image50.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arial" w:hAnsi="arial"/>
          <w:b/>
          <w:sz w:val="18"/>
          <w:shd w:fill="FFFFFF" w:val="clear"/>
        </w:rPr>
      </w:pPr>
      <w:bookmarkStart w:id="0" w:name="d445034ddef14a.htm"/>
      <w:bookmarkStart w:id="1" w:name="ksd445034ddef14a"/>
      <w:bookmarkEnd w:id="0"/>
      <w:bookmarkEnd w:id="1"/>
      <w:r>
        <w:rPr>
          <w:rFonts w:ascii="arial" w:hAnsi="arial"/>
          <w:b/>
          <w:sz w:val="18"/>
          <w:shd w:fill="FFFFFF" w:val="clear"/>
        </w:rPr>
        <w:t xml:space="preserve">UNITED STATES </w:t>
      </w:r>
    </w:p>
    <w:p>
      <w:pPr>
        <w:pStyle w:val="TextBody"/>
        <w:bidi w:val="0"/>
        <w:spacing w:before="80" w:after="0"/>
        <w:jc w:val="center"/>
        <w:rPr>
          <w:rFonts w:ascii="arial" w:hAnsi="arial"/>
          <w:b/>
          <w:sz w:val="18"/>
          <w:shd w:fill="FFFFFF" w:val="clear"/>
        </w:rPr>
      </w:pPr>
      <w:r>
        <w:rPr>
          <w:rFonts w:ascii="arial" w:hAnsi="arial"/>
          <w:b/>
          <w:sz w:val="18"/>
          <w:shd w:fill="FFFFFF" w:val="clear"/>
        </w:rPr>
        <w:t xml:space="preserve">SECURITIES AND EXCHANGE COMMISSION </w:t>
      </w:r>
    </w:p>
    <w:p>
      <w:pPr>
        <w:pStyle w:val="TextBody"/>
        <w:bidi w:val="0"/>
        <w:spacing w:before="80" w:after="0"/>
        <w:jc w:val="center"/>
        <w:rPr>
          <w:rFonts w:ascii="arial" w:hAnsi="arial"/>
          <w:sz w:val="18"/>
          <w:shd w:fill="FFFFFF" w:val="clear"/>
        </w:rPr>
      </w:pPr>
      <w:r>
        <w:rPr>
          <w:rFonts w:ascii="arial" w:hAnsi="arial"/>
          <w:sz w:val="18"/>
          <w:shd w:fill="FFFFFF" w:val="clear"/>
        </w:rPr>
        <w:t xml:space="preserve">Washington, D.C. 20549 </w:t>
      </w:r>
    </w:p>
    <w:p>
      <w:pPr>
        <w:pStyle w:val="TextBody"/>
        <w:bidi w:val="0"/>
        <w:spacing w:before="160" w:after="0"/>
        <w:jc w:val="center"/>
        <w:rPr>
          <w:rFonts w:ascii="arial" w:hAnsi="arial"/>
          <w:b/>
          <w:sz w:val="30"/>
          <w:shd w:fill="FFFFFF" w:val="clear"/>
        </w:rPr>
      </w:pPr>
      <w:r>
        <w:rPr>
          <w:rFonts w:ascii="arial" w:hAnsi="arial"/>
          <w:b/>
          <w:sz w:val="30"/>
          <w:shd w:fill="FFFFFF" w:val="clear"/>
        </w:rPr>
        <w:t>SCHEDULE 14A</w:t>
      </w:r>
    </w:p>
    <w:p>
      <w:pPr>
        <w:pStyle w:val="TextBody"/>
        <w:bidi w:val="0"/>
        <w:spacing w:before="160" w:after="0"/>
        <w:jc w:val="center"/>
        <w:rPr>
          <w:rFonts w:ascii="arial" w:hAnsi="arial"/>
          <w:b/>
          <w:sz w:val="30"/>
          <w:shd w:fill="FFFFFF" w:val="clear"/>
        </w:rPr>
      </w:pPr>
      <w:r>
        <w:rPr>
          <w:rFonts w:ascii="arial" w:hAnsi="arial"/>
          <w:b/>
          <w:sz w:val="30"/>
          <w:shd w:fill="FFFFFF" w:val="clear"/>
        </w:rPr>
        <w:t xml:space="preserve">INFORMATION </w:t>
      </w:r>
    </w:p>
    <w:p>
      <w:pPr>
        <w:pStyle w:val="TextBody"/>
        <w:bidi w:val="0"/>
        <w:spacing w:before="160" w:after="0"/>
        <w:jc w:val="center"/>
        <w:rPr>
          <w:rFonts w:ascii="arial" w:hAnsi="arial"/>
          <w:b/>
          <w:sz w:val="18"/>
          <w:shd w:fill="FFFFFF" w:val="clear"/>
        </w:rPr>
      </w:pPr>
      <w:r>
        <w:rPr>
          <w:rFonts w:ascii="arial" w:hAnsi="arial"/>
          <w:b/>
          <w:sz w:val="18"/>
          <w:shd w:fill="FFFFFF" w:val="clear"/>
        </w:rPr>
        <w:t xml:space="preserve">Proxy Statement Pursuant to Section 14(a) of the </w:t>
      </w:r>
    </w:p>
    <w:p>
      <w:pPr>
        <w:pStyle w:val="TextBody"/>
        <w:bidi w:val="0"/>
        <w:spacing w:before="0" w:after="0"/>
        <w:jc w:val="center"/>
        <w:rPr>
          <w:rFonts w:ascii="arial" w:hAnsi="arial"/>
          <w:b/>
          <w:sz w:val="18"/>
          <w:shd w:fill="FFFFFF" w:val="clear"/>
        </w:rPr>
      </w:pPr>
      <w:r>
        <w:rPr>
          <w:rFonts w:ascii="arial" w:hAnsi="arial"/>
          <w:b/>
          <w:sz w:val="18"/>
          <w:shd w:fill="FFFFFF" w:val="clear"/>
        </w:rPr>
        <w:t xml:space="preserve">Securities Exchange Act of 1934 </w:t>
      </w:r>
    </w:p>
    <w:p>
      <w:pPr>
        <w:pStyle w:val="TextBody"/>
        <w:bidi w:val="0"/>
        <w:spacing w:before="0" w:after="0"/>
        <w:jc w:val="left"/>
        <w:rPr>
          <w:shd w:fill="FFFFFF" w:val="clear"/>
        </w:rPr>
      </w:pPr>
      <w:r>
        <w:rPr>
          <w:shd w:fill="FFFFFF" w:val="clear"/>
        </w:rPr>
        <w:t> </w:t>
      </w:r>
    </w:p>
    <w:tbl>
      <w:tblPr>
        <w:tblW w:w="7195" w:type="dxa"/>
        <w:jc w:val="left"/>
        <w:tblInd w:w="0" w:type="dxa"/>
        <w:tblLayout w:type="fixed"/>
        <w:tblCellMar>
          <w:top w:w="0" w:type="dxa"/>
          <w:left w:w="0" w:type="dxa"/>
          <w:bottom w:w="0" w:type="dxa"/>
          <w:right w:w="0" w:type="dxa"/>
        </w:tblCellMar>
      </w:tblPr>
      <w:tblGrid>
        <w:gridCol w:w="3215"/>
        <w:gridCol w:w="60"/>
        <w:gridCol w:w="3920"/>
      </w:tblGrid>
      <w:tr>
        <w:trPr/>
        <w:tc>
          <w:tcPr>
            <w:tcW w:w="3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20" w:type="dxa"/>
            <w:tcBorders/>
            <w:vAlign w:val="center"/>
          </w:tcPr>
          <w:p>
            <w:pPr>
              <w:pStyle w:val="TableContents"/>
              <w:bidi w:val="0"/>
              <w:spacing w:before="0" w:after="283"/>
              <w:jc w:val="left"/>
              <w:rPr>
                <w:sz w:val="4"/>
                <w:szCs w:val="4"/>
              </w:rPr>
            </w:pPr>
            <w:r>
              <w:rPr>
                <w:sz w:val="4"/>
                <w:szCs w:val="4"/>
              </w:rPr>
            </w:r>
          </w:p>
        </w:tc>
      </w:tr>
      <w:tr>
        <w:trPr/>
        <w:tc>
          <w:tcPr>
            <w:tcW w:w="3215" w:type="dxa"/>
            <w:tcBorders/>
            <w:vAlign w:val="center"/>
          </w:tcPr>
          <w:p>
            <w:pPr>
              <w:pStyle w:val="TableContents"/>
              <w:bidi w:val="0"/>
              <w:spacing w:before="0" w:after="0"/>
              <w:jc w:val="center"/>
              <w:rPr>
                <w:spacing w:val="0"/>
              </w:rPr>
            </w:pPr>
            <w:r>
              <w:rPr>
                <w:spacing w:val="0"/>
              </w:rPr>
              <w:t>☑</w:t>
            </w:r>
          </w:p>
          <w:p>
            <w:pPr>
              <w:pStyle w:val="TableContents"/>
              <w:bidi w:val="0"/>
              <w:spacing w:before="0" w:after="0"/>
              <w:jc w:val="center"/>
              <w:rPr/>
            </w:pPr>
            <w:r>
              <w:rPr/>
              <w:t> </w:t>
            </w:r>
            <w:r>
              <w:rPr/>
              <w:t>Filed by the registrant     </w:t>
            </w:r>
          </w:p>
        </w:tc>
        <w:tc>
          <w:tcPr>
            <w:tcW w:w="60" w:type="dxa"/>
            <w:tcBorders/>
            <w:vAlign w:val="center"/>
          </w:tcPr>
          <w:p>
            <w:pPr>
              <w:pStyle w:val="TableContents"/>
              <w:bidi w:val="0"/>
              <w:spacing w:before="0" w:after="283"/>
              <w:jc w:val="left"/>
              <w:rPr/>
            </w:pPr>
            <w:r>
              <w:rPr/>
              <w:t> </w:t>
            </w:r>
          </w:p>
        </w:tc>
        <w:tc>
          <w:tcPr>
            <w:tcW w:w="3920" w:type="dxa"/>
            <w:tcBorders/>
            <w:vAlign w:val="center"/>
          </w:tcPr>
          <w:p>
            <w:pPr>
              <w:pStyle w:val="TableContents"/>
              <w:bidi w:val="0"/>
              <w:spacing w:before="0" w:after="0"/>
              <w:jc w:val="left"/>
              <w:rPr>
                <w:spacing w:val="0"/>
              </w:rPr>
            </w:pPr>
            <w:r>
              <w:rPr>
                <w:spacing w:val="0"/>
              </w:rPr>
              <w:t>☐</w:t>
            </w:r>
          </w:p>
          <w:p>
            <w:pPr>
              <w:pStyle w:val="TableContents"/>
              <w:bidi w:val="0"/>
              <w:spacing w:before="0" w:after="0"/>
              <w:jc w:val="left"/>
              <w:rPr/>
            </w:pPr>
            <w:r>
              <w:rPr/>
              <w:t> </w:t>
            </w:r>
            <w:r>
              <w:rPr/>
              <w:t>Filed by a party other than the registrant</w:t>
            </w:r>
          </w:p>
        </w:tc>
      </w:tr>
    </w:tbl>
    <w:p>
      <w:pPr>
        <w:pStyle w:val="TextBody"/>
        <w:bidi w:val="0"/>
        <w:spacing w:before="0" w:after="0"/>
        <w:jc w:val="left"/>
        <w:rPr>
          <w:shd w:fill="FFFFFF" w:val="clear"/>
        </w:rPr>
      </w:pPr>
      <w:r>
        <w:rPr>
          <w:shd w:fill="FFFFFF" w:val="clear"/>
        </w:rPr>
        <w:t> </w:t>
      </w:r>
    </w:p>
    <w:tbl>
      <w:tblPr>
        <w:tblW w:w="2897" w:type="dxa"/>
        <w:jc w:val="left"/>
        <w:tblInd w:w="0" w:type="dxa"/>
        <w:tblLayout w:type="fixed"/>
        <w:tblCellMar>
          <w:top w:w="0" w:type="dxa"/>
          <w:left w:w="0" w:type="dxa"/>
          <w:bottom w:w="0" w:type="dxa"/>
          <w:right w:w="0" w:type="dxa"/>
        </w:tblCellMar>
      </w:tblPr>
      <w:tblGrid>
        <w:gridCol w:w="758"/>
        <w:gridCol w:w="458"/>
        <w:gridCol w:w="458"/>
        <w:gridCol w:w="458"/>
        <w:gridCol w:w="765"/>
      </w:tblGrid>
      <w:tr>
        <w:trPr/>
        <w:tc>
          <w:tcPr>
            <w:tcW w:w="7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r>
      <w:tr>
        <w:trPr/>
        <w:tc>
          <w:tcPr>
            <w:tcW w:w="2897" w:type="dxa"/>
            <w:gridSpan w:val="5"/>
            <w:tcBorders>
              <w:top w:val="single" w:sz="6" w:space="0" w:color="000000"/>
              <w:left w:val="single" w:sz="6" w:space="0" w:color="000000"/>
              <w:bottom w:val="single" w:sz="6" w:space="0" w:color="000000"/>
              <w:right w:val="single" w:sz="6" w:space="0" w:color="000000"/>
            </w:tcBorders>
            <w:shd w:fill="D8E7F6" w:val="clear"/>
            <w:tcMar>
              <w:top w:w="28" w:type="dxa"/>
              <w:left w:w="160"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22"/>
              </w:rPr>
            </w:pPr>
            <w:r>
              <w:rPr>
                <w:rFonts w:ascii="arial" w:hAnsi="arial"/>
                <w:b/>
                <w:sz w:val="22"/>
              </w:rPr>
              <w:t>Check the appropriate box:</w:t>
            </w:r>
          </w:p>
          <w:p>
            <w:pPr>
              <w:pStyle w:val="TableContents"/>
              <w:bidi w:val="0"/>
              <w:spacing w:before="0" w:after="20"/>
              <w:jc w:val="left"/>
              <w:rPr/>
            </w:pPr>
            <w:r>
              <w:rPr/>
              <w:t> </w:t>
            </w:r>
          </w:p>
        </w:tc>
      </w:tr>
    </w:tbl>
    <w:tbl>
      <w:tblPr>
        <w:tblW w:w="9308" w:type="dxa"/>
        <w:jc w:val="left"/>
        <w:tblInd w:w="0" w:type="dxa"/>
        <w:tblLayout w:type="fixed"/>
        <w:tblCellMar>
          <w:top w:w="0" w:type="dxa"/>
          <w:left w:w="0" w:type="dxa"/>
          <w:bottom w:w="0" w:type="dxa"/>
          <w:right w:w="0" w:type="dxa"/>
        </w:tblCellMar>
      </w:tblPr>
      <w:tblGrid>
        <w:gridCol w:w="485"/>
        <w:gridCol w:w="60"/>
        <w:gridCol w:w="2395"/>
        <w:gridCol w:w="2395"/>
        <w:gridCol w:w="3973"/>
      </w:tblGrid>
      <w:tr>
        <w:trPr/>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3973" w:type="dxa"/>
            <w:tcBorders/>
            <w:vAlign w:val="center"/>
          </w:tcPr>
          <w:p>
            <w:pPr>
              <w:pStyle w:val="TableContents"/>
              <w:bidi w:val="0"/>
              <w:spacing w:before="0" w:after="283"/>
              <w:jc w:val="left"/>
              <w:rPr>
                <w:sz w:val="4"/>
                <w:szCs w:val="4"/>
              </w:rPr>
            </w:pPr>
            <w:r>
              <w:rPr>
                <w:sz w:val="4"/>
                <w:szCs w:val="4"/>
              </w:rPr>
            </w:r>
          </w:p>
        </w:tc>
      </w:tr>
      <w:tr>
        <w:trPr/>
        <w:tc>
          <w:tcPr>
            <w:tcW w:w="485" w:type="dxa"/>
            <w:tcBorders>
              <w:left w:val="single" w:sz="6" w:space="0" w:color="000000"/>
            </w:tcBorders>
            <w:tcMar>
              <w:left w:w="160" w:type="dxa"/>
            </w:tcMar>
            <w:vAlign w:val="center"/>
          </w:tcPr>
          <w:p>
            <w:pPr>
              <w:pStyle w:val="TableContents"/>
              <w:bidi w:val="0"/>
              <w:spacing w:before="0" w:after="283"/>
              <w:jc w:val="left"/>
              <w:rPr/>
            </w:pPr>
            <w:r>
              <w:rPr/>
              <w:t> </w:t>
            </w:r>
          </w:p>
        </w:tc>
        <w:tc>
          <w:tcPr>
            <w:tcW w:w="8823" w:type="dxa"/>
            <w:gridSpan w:val="4"/>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485" w:type="dxa"/>
            <w:tcBorders>
              <w:left w:val="single" w:sz="6" w:space="0" w:color="000000"/>
              <w:bottom w:val="single" w:sz="6" w:space="0" w:color="000000"/>
            </w:tcBorders>
            <w:tcMar>
              <w:left w:w="160" w:type="dxa"/>
              <w:bottom w:w="28" w:type="dxa"/>
            </w:tcMar>
            <w:vAlign w:val="center"/>
          </w:tcPr>
          <w:p>
            <w:pPr>
              <w:pStyle w:val="TableContents"/>
              <w:bidi w:val="0"/>
              <w:spacing w:before="0" w:after="20"/>
              <w:jc w:val="center"/>
              <w:rPr/>
            </w:pPr>
            <w:r>
              <w:rPr/>
              <w:t>   </w:t>
            </w:r>
          </w:p>
          <w:p>
            <w:pPr>
              <w:pStyle w:val="TableContents"/>
              <w:bidi w:val="0"/>
              <w:spacing w:before="0" w:after="20"/>
              <w:jc w:val="center"/>
              <w:rPr>
                <w:spacing w:val="0"/>
              </w:rPr>
            </w:pPr>
            <w:r>
              <w:rPr>
                <w:spacing w:val="0"/>
              </w:rPr>
              <w:t>☐</w:t>
            </w:r>
          </w:p>
          <w:p>
            <w:pPr>
              <w:pStyle w:val="TableContents"/>
              <w:bidi w:val="0"/>
              <w:spacing w:before="0" w:after="20"/>
              <w:jc w:val="center"/>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8763" w:type="dxa"/>
            <w:gridSpan w:val="3"/>
            <w:tcBorders>
              <w:bottom w:val="single" w:sz="6" w:space="0" w:color="000000"/>
              <w:right w:val="single" w:sz="6" w:space="0" w:color="000000"/>
            </w:tcBorders>
            <w:tcMar>
              <w:bottom w:w="28" w:type="dxa"/>
              <w:right w:w="28" w:type="dxa"/>
            </w:tcMar>
            <w:vAlign w:val="center"/>
          </w:tcPr>
          <w:p>
            <w:pPr>
              <w:pStyle w:val="TableContents"/>
              <w:bidi w:val="0"/>
              <w:spacing w:before="0" w:after="0"/>
              <w:jc w:val="both"/>
              <w:rPr>
                <w:rFonts w:ascii="ARIAL" w:hAnsi="ARIAL"/>
                <w:sz w:val="19"/>
              </w:rPr>
            </w:pPr>
            <w:r>
              <w:rPr>
                <w:rFonts w:ascii="ARIAL" w:hAnsi="ARIAL"/>
                <w:sz w:val="19"/>
              </w:rPr>
              <w:t>Preliminary Proxy Statement</w:t>
            </w:r>
          </w:p>
          <w:p>
            <w:pPr>
              <w:pStyle w:val="TableContents"/>
              <w:bidi w:val="0"/>
              <w:spacing w:before="0" w:after="20"/>
              <w:jc w:val="left"/>
              <w:rPr/>
            </w:pPr>
            <w:r>
              <w:rPr/>
              <w:t> </w:t>
            </w:r>
          </w:p>
        </w:tc>
      </w:tr>
      <w:tr>
        <w:trPr/>
        <w:tc>
          <w:tcPr>
            <w:tcW w:w="485" w:type="dxa"/>
            <w:tcBorders>
              <w:left w:val="single" w:sz="6" w:space="0" w:color="000000"/>
            </w:tcBorders>
            <w:tcMar>
              <w:left w:w="160" w:type="dxa"/>
            </w:tcMar>
            <w:vAlign w:val="center"/>
          </w:tcPr>
          <w:p>
            <w:pPr>
              <w:pStyle w:val="TableContents"/>
              <w:bidi w:val="0"/>
              <w:spacing w:before="0" w:after="283"/>
              <w:jc w:val="left"/>
              <w:rPr/>
            </w:pPr>
            <w:r>
              <w:rPr/>
              <w:t> </w:t>
            </w:r>
          </w:p>
        </w:tc>
        <w:tc>
          <w:tcPr>
            <w:tcW w:w="8823" w:type="dxa"/>
            <w:gridSpan w:val="4"/>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485" w:type="dxa"/>
            <w:tcBorders>
              <w:left w:val="single" w:sz="6" w:space="0" w:color="000000"/>
              <w:bottom w:val="single" w:sz="6" w:space="0" w:color="000000"/>
            </w:tcBorders>
            <w:tcMar>
              <w:left w:w="160" w:type="dxa"/>
              <w:bottom w:w="28" w:type="dxa"/>
            </w:tcMar>
            <w:vAlign w:val="center"/>
          </w:tcPr>
          <w:p>
            <w:pPr>
              <w:pStyle w:val="TableContents"/>
              <w:bidi w:val="0"/>
              <w:spacing w:before="0" w:after="20"/>
              <w:jc w:val="center"/>
              <w:rPr>
                <w:spacing w:val="0"/>
              </w:rPr>
            </w:pPr>
            <w:r>
              <w:rPr>
                <w:spacing w:val="0"/>
              </w:rPr>
              <w:t>☐</w:t>
            </w:r>
          </w:p>
          <w:p>
            <w:pPr>
              <w:pStyle w:val="TableContents"/>
              <w:bidi w:val="0"/>
              <w:spacing w:before="0" w:after="20"/>
              <w:jc w:val="center"/>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8763" w:type="dxa"/>
            <w:gridSpan w:val="3"/>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rFonts w:ascii="ARIAL" w:hAnsi="ARIAL"/>
                <w:sz w:val="19"/>
              </w:rPr>
            </w:pPr>
            <w:r>
              <w:rPr>
                <w:rFonts w:ascii="ARIAL" w:hAnsi="ARIAL"/>
                <w:sz w:val="19"/>
              </w:rPr>
              <w:t>CONFIDENTIAL, FOR USE OF THE COMMISSION ONLY (AS PERMITTED BY RULE 14A-6(E)(2))</w:t>
            </w:r>
          </w:p>
          <w:p>
            <w:pPr>
              <w:pStyle w:val="TableContents"/>
              <w:bidi w:val="0"/>
              <w:spacing w:before="0" w:after="20"/>
              <w:jc w:val="left"/>
              <w:rPr/>
            </w:pPr>
            <w:r>
              <w:rPr/>
              <w:t> </w:t>
            </w:r>
          </w:p>
        </w:tc>
      </w:tr>
      <w:tr>
        <w:trPr/>
        <w:tc>
          <w:tcPr>
            <w:tcW w:w="485" w:type="dxa"/>
            <w:tcBorders>
              <w:left w:val="single" w:sz="6" w:space="0" w:color="000000"/>
            </w:tcBorders>
            <w:tcMar>
              <w:left w:w="160" w:type="dxa"/>
            </w:tcMar>
            <w:vAlign w:val="center"/>
          </w:tcPr>
          <w:p>
            <w:pPr>
              <w:pStyle w:val="TableContents"/>
              <w:bidi w:val="0"/>
              <w:spacing w:before="0" w:after="283"/>
              <w:jc w:val="left"/>
              <w:rPr/>
            </w:pPr>
            <w:r>
              <w:rPr/>
              <w:t> </w:t>
            </w:r>
          </w:p>
        </w:tc>
        <w:tc>
          <w:tcPr>
            <w:tcW w:w="8823" w:type="dxa"/>
            <w:gridSpan w:val="4"/>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485" w:type="dxa"/>
            <w:tcBorders>
              <w:left w:val="single" w:sz="6" w:space="0" w:color="000000"/>
              <w:bottom w:val="single" w:sz="6" w:space="0" w:color="000000"/>
            </w:tcBorders>
            <w:tcMar>
              <w:left w:w="160" w:type="dxa"/>
              <w:bottom w:w="28" w:type="dxa"/>
            </w:tcMar>
            <w:vAlign w:val="center"/>
          </w:tcPr>
          <w:p>
            <w:pPr>
              <w:pStyle w:val="TableContents"/>
              <w:bidi w:val="0"/>
              <w:spacing w:before="0" w:after="20"/>
              <w:jc w:val="center"/>
              <w:rPr>
                <w:spacing w:val="0"/>
              </w:rPr>
            </w:pPr>
            <w:r>
              <w:rPr>
                <w:spacing w:val="0"/>
              </w:rPr>
              <w:t>☑</w:t>
            </w:r>
          </w:p>
          <w:p>
            <w:pPr>
              <w:pStyle w:val="TableContents"/>
              <w:bidi w:val="0"/>
              <w:spacing w:before="0" w:after="20"/>
              <w:jc w:val="center"/>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8763" w:type="dxa"/>
            <w:gridSpan w:val="3"/>
            <w:tcBorders>
              <w:bottom w:val="single" w:sz="6" w:space="0" w:color="000000"/>
              <w:right w:val="single" w:sz="6" w:space="0" w:color="000000"/>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both"/>
              <w:rPr>
                <w:rFonts w:ascii="ARIAL" w:hAnsi="ARIAL"/>
                <w:sz w:val="19"/>
              </w:rPr>
            </w:pPr>
            <w:r>
              <w:rPr>
                <w:rFonts w:ascii="ARIAL" w:hAnsi="ARIAL"/>
                <w:sz w:val="19"/>
              </w:rPr>
              <w:t>Definitive Proxy Statement</w:t>
            </w:r>
          </w:p>
          <w:p>
            <w:pPr>
              <w:pStyle w:val="TableContents"/>
              <w:bidi w:val="0"/>
              <w:spacing w:before="0" w:after="20"/>
              <w:jc w:val="left"/>
              <w:rPr/>
            </w:pPr>
            <w:r>
              <w:rPr/>
              <w:t> </w:t>
            </w:r>
          </w:p>
        </w:tc>
      </w:tr>
      <w:tr>
        <w:trPr/>
        <w:tc>
          <w:tcPr>
            <w:tcW w:w="485" w:type="dxa"/>
            <w:tcBorders>
              <w:left w:val="single" w:sz="6" w:space="0" w:color="000000"/>
            </w:tcBorders>
            <w:tcMar>
              <w:left w:w="160" w:type="dxa"/>
            </w:tcMar>
            <w:vAlign w:val="center"/>
          </w:tcPr>
          <w:p>
            <w:pPr>
              <w:pStyle w:val="TableContents"/>
              <w:bidi w:val="0"/>
              <w:spacing w:before="0" w:after="283"/>
              <w:jc w:val="left"/>
              <w:rPr/>
            </w:pPr>
            <w:r>
              <w:rPr/>
              <w:t> </w:t>
            </w:r>
          </w:p>
        </w:tc>
        <w:tc>
          <w:tcPr>
            <w:tcW w:w="8823" w:type="dxa"/>
            <w:gridSpan w:val="4"/>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485" w:type="dxa"/>
            <w:tcBorders>
              <w:left w:val="single" w:sz="6" w:space="0" w:color="000000"/>
              <w:bottom w:val="single" w:sz="6" w:space="0" w:color="000000"/>
            </w:tcBorders>
            <w:tcMar>
              <w:left w:w="160" w:type="dxa"/>
              <w:bottom w:w="28" w:type="dxa"/>
            </w:tcMar>
            <w:vAlign w:val="center"/>
          </w:tcPr>
          <w:p>
            <w:pPr>
              <w:pStyle w:val="TableContents"/>
              <w:bidi w:val="0"/>
              <w:spacing w:before="0" w:after="20"/>
              <w:jc w:val="center"/>
              <w:rPr>
                <w:spacing w:val="0"/>
              </w:rPr>
            </w:pPr>
            <w:r>
              <w:rPr>
                <w:spacing w:val="0"/>
              </w:rPr>
              <w:t>☐</w:t>
            </w:r>
          </w:p>
          <w:p>
            <w:pPr>
              <w:pStyle w:val="TableContents"/>
              <w:bidi w:val="0"/>
              <w:spacing w:before="0" w:after="20"/>
              <w:jc w:val="center"/>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8763" w:type="dxa"/>
            <w:gridSpan w:val="3"/>
            <w:tcBorders>
              <w:bottom w:val="single" w:sz="6" w:space="0" w:color="000000"/>
              <w:right w:val="single" w:sz="6" w:space="0" w:color="000000"/>
            </w:tcBorders>
            <w:tcMar>
              <w:bottom w:w="28" w:type="dxa"/>
              <w:right w:w="28" w:type="dxa"/>
            </w:tcMar>
            <w:vAlign w:val="center"/>
          </w:tcPr>
          <w:p>
            <w:pPr>
              <w:pStyle w:val="TableContents"/>
              <w:bidi w:val="0"/>
              <w:spacing w:before="0" w:after="0"/>
              <w:jc w:val="both"/>
              <w:rPr>
                <w:rFonts w:ascii="ARIAL" w:hAnsi="ARIAL"/>
                <w:sz w:val="19"/>
              </w:rPr>
            </w:pPr>
            <w:r>
              <w:rPr>
                <w:rFonts w:ascii="ARIAL" w:hAnsi="ARIAL"/>
                <w:sz w:val="19"/>
              </w:rPr>
              <w:t>Definitive Additional Materials</w:t>
            </w:r>
          </w:p>
          <w:p>
            <w:pPr>
              <w:pStyle w:val="TableContents"/>
              <w:bidi w:val="0"/>
              <w:spacing w:before="0" w:after="20"/>
              <w:jc w:val="left"/>
              <w:rPr/>
            </w:pPr>
            <w:r>
              <w:rPr/>
              <w:t> </w:t>
            </w:r>
          </w:p>
        </w:tc>
      </w:tr>
      <w:tr>
        <w:trPr/>
        <w:tc>
          <w:tcPr>
            <w:tcW w:w="485" w:type="dxa"/>
            <w:tcBorders>
              <w:left w:val="single" w:sz="6" w:space="0" w:color="000000"/>
            </w:tcBorders>
            <w:tcMar>
              <w:left w:w="160" w:type="dxa"/>
            </w:tcMar>
            <w:vAlign w:val="center"/>
          </w:tcPr>
          <w:p>
            <w:pPr>
              <w:pStyle w:val="TableContents"/>
              <w:bidi w:val="0"/>
              <w:spacing w:before="0" w:after="283"/>
              <w:jc w:val="left"/>
              <w:rPr/>
            </w:pPr>
            <w:r>
              <w:rPr/>
              <w:t> </w:t>
            </w:r>
          </w:p>
        </w:tc>
        <w:tc>
          <w:tcPr>
            <w:tcW w:w="8823" w:type="dxa"/>
            <w:gridSpan w:val="4"/>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485" w:type="dxa"/>
            <w:tcBorders>
              <w:left w:val="single" w:sz="6" w:space="0" w:color="000000"/>
              <w:bottom w:val="single" w:sz="6" w:space="0" w:color="000000"/>
            </w:tcBorders>
            <w:tcMar>
              <w:left w:w="160" w:type="dxa"/>
              <w:bottom w:w="28" w:type="dxa"/>
            </w:tcMar>
            <w:vAlign w:val="center"/>
          </w:tcPr>
          <w:p>
            <w:pPr>
              <w:pStyle w:val="TableContents"/>
              <w:bidi w:val="0"/>
              <w:spacing w:before="0" w:after="20"/>
              <w:jc w:val="center"/>
              <w:rPr>
                <w:spacing w:val="0"/>
              </w:rPr>
            </w:pPr>
            <w:r>
              <w:rPr>
                <w:spacing w:val="0"/>
              </w:rPr>
              <w:t>☐</w:t>
            </w:r>
          </w:p>
          <w:p>
            <w:pPr>
              <w:pStyle w:val="TableContents"/>
              <w:bidi w:val="0"/>
              <w:spacing w:before="0" w:after="20"/>
              <w:jc w:val="center"/>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8763" w:type="dxa"/>
            <w:gridSpan w:val="3"/>
            <w:tcBorders>
              <w:bottom w:val="single" w:sz="6" w:space="0" w:color="000000"/>
              <w:right w:val="single" w:sz="6" w:space="0" w:color="000000"/>
            </w:tcBorders>
            <w:tcMar>
              <w:bottom w:w="28" w:type="dxa"/>
              <w:right w:w="28" w:type="dxa"/>
            </w:tcMar>
            <w:vAlign w:val="center"/>
          </w:tcPr>
          <w:p>
            <w:pPr>
              <w:pStyle w:val="TableContents"/>
              <w:bidi w:val="0"/>
              <w:spacing w:before="0" w:after="0"/>
              <w:jc w:val="both"/>
              <w:rPr>
                <w:rFonts w:ascii="ARIAL" w:hAnsi="ARIAL"/>
                <w:sz w:val="19"/>
              </w:rPr>
            </w:pPr>
            <w:r>
              <w:rPr>
                <w:rFonts w:ascii="ARIAL" w:hAnsi="ARIAL"/>
                <w:sz w:val="19"/>
              </w:rPr>
              <w:t>Soliciting Material Pursuant to Section 240.14a-12</w:t>
            </w:r>
          </w:p>
          <w:p>
            <w:pPr>
              <w:pStyle w:val="TableContents"/>
              <w:bidi w:val="0"/>
              <w:spacing w:before="0" w:after="20"/>
              <w:jc w:val="left"/>
              <w:rPr/>
            </w:pPr>
            <w:r>
              <w:rPr/>
              <w:t> </w:t>
            </w:r>
          </w:p>
        </w:tc>
      </w:tr>
    </w:tbl>
    <w:p>
      <w:pPr>
        <w:pStyle w:val="TextBody"/>
        <w:bidi w:val="0"/>
        <w:spacing w:before="240" w:after="0"/>
        <w:jc w:val="center"/>
        <w:rPr>
          <w:rFonts w:ascii="arial" w:hAnsi="arial"/>
          <w:b/>
          <w:color w:val="0063C3"/>
          <w:spacing w:val="0"/>
          <w:sz w:val="48"/>
          <w:shd w:fill="FFFFFF" w:val="clear"/>
        </w:rPr>
      </w:pPr>
      <w:r>
        <w:rPr>
          <w:rFonts w:ascii="arial" w:hAnsi="arial"/>
          <w:b/>
          <w:color w:val="0063C3"/>
          <w:spacing w:val="0"/>
          <w:sz w:val="48"/>
          <w:shd w:fill="FFFFFF" w:val="clear"/>
        </w:rPr>
        <w:t xml:space="preserve">AMGEN INC. </w:t>
      </w:r>
    </w:p>
    <w:p>
      <w:pPr>
        <w:pStyle w:val="TextBody"/>
        <w:bidi w:val="0"/>
        <w:spacing w:before="120" w:after="0"/>
        <w:jc w:val="center"/>
        <w:rPr>
          <w:rFonts w:ascii="arial" w:hAnsi="arial"/>
          <w:i/>
          <w:caps w:val="false"/>
          <w:smallCaps w:val="false"/>
          <w:spacing w:val="0"/>
          <w:sz w:val="22"/>
          <w:shd w:fill="FFFFFF" w:val="clear"/>
        </w:rPr>
      </w:pPr>
      <w:r>
        <w:rPr>
          <w:rFonts w:ascii="arial" w:hAnsi="arial"/>
          <w:i/>
          <w:caps w:val="false"/>
          <w:smallCaps w:val="false"/>
          <w:spacing w:val="0"/>
          <w:sz w:val="22"/>
          <w:shd w:fill="FFFFFF" w:val="clear"/>
        </w:rPr>
        <w:t xml:space="preserve">(Name of Registrant as Specified in Its Charter) </w:t>
      </w:r>
    </w:p>
    <w:p>
      <w:pPr>
        <w:pStyle w:val="TextBody"/>
        <w:bidi w:val="0"/>
        <w:spacing w:before="240" w:after="0"/>
        <w:jc w:val="center"/>
        <w:rPr>
          <w:rFonts w:ascii="arial" w:hAnsi="arial"/>
          <w:i/>
          <w:caps w:val="false"/>
          <w:smallCaps w:val="false"/>
          <w:spacing w:val="0"/>
          <w:sz w:val="22"/>
          <w:shd w:fill="FFFFFF" w:val="clear"/>
        </w:rPr>
      </w:pPr>
      <w:r>
        <w:rPr>
          <w:rFonts w:ascii="arial" w:hAnsi="arial"/>
          <w:i/>
          <w:caps w:val="false"/>
          <w:smallCaps w:val="false"/>
          <w:spacing w:val="0"/>
          <w:sz w:val="22"/>
          <w:shd w:fill="FFFFFF" w:val="clear"/>
        </w:rPr>
        <w:t xml:space="preserve">(Name of Person(s) Filing Proxy Statement, if other than the Registrant) </w:t>
      </w:r>
    </w:p>
    <w:p>
      <w:pPr>
        <w:pStyle w:val="TextBody"/>
        <w:bidi w:val="0"/>
        <w:spacing w:before="0" w:after="0"/>
        <w:jc w:val="left"/>
        <w:rPr>
          <w:shd w:fill="FFFFFF" w:val="clear"/>
        </w:rPr>
      </w:pPr>
      <w:r>
        <w:rPr>
          <w:shd w:fill="FFFFFF" w:val="clear"/>
        </w:rPr>
        <w:t> </w:t>
      </w:r>
    </w:p>
    <w:tbl>
      <w:tblPr>
        <w:tblW w:w="5207" w:type="dxa"/>
        <w:jc w:val="left"/>
        <w:tblInd w:w="0" w:type="dxa"/>
        <w:tblLayout w:type="fixed"/>
        <w:tblCellMar>
          <w:top w:w="0" w:type="dxa"/>
          <w:left w:w="0" w:type="dxa"/>
          <w:bottom w:w="0" w:type="dxa"/>
          <w:right w:w="0" w:type="dxa"/>
        </w:tblCellMar>
      </w:tblPr>
      <w:tblGrid>
        <w:gridCol w:w="1363"/>
        <w:gridCol w:w="823"/>
        <w:gridCol w:w="823"/>
        <w:gridCol w:w="823"/>
        <w:gridCol w:w="1375"/>
      </w:tblGrid>
      <w:tr>
        <w:trPr/>
        <w:tc>
          <w:tcPr>
            <w:tcW w:w="136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r>
      <w:tr>
        <w:trPr/>
        <w:tc>
          <w:tcPr>
            <w:tcW w:w="5207" w:type="dxa"/>
            <w:gridSpan w:val="5"/>
            <w:tcBorders>
              <w:top w:val="single" w:sz="6" w:space="0" w:color="000000"/>
              <w:left w:val="single" w:sz="6" w:space="0" w:color="000000"/>
              <w:right w:val="single" w:sz="6" w:space="0" w:color="000000"/>
            </w:tcBorders>
            <w:shd w:fill="D8E7F6" w:val="clear"/>
            <w:tcMar>
              <w:top w:w="28" w:type="dxa"/>
              <w:left w:w="160" w:type="dxa"/>
              <w:right w:w="4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22"/>
              </w:rPr>
            </w:pPr>
            <w:r>
              <w:rPr>
                <w:rFonts w:ascii="arial" w:hAnsi="arial"/>
                <w:b/>
                <w:sz w:val="22"/>
              </w:rPr>
              <w:t>Payment of filing fee (check the appropriate box):</w:t>
            </w:r>
          </w:p>
          <w:p>
            <w:pPr>
              <w:pStyle w:val="TableContents"/>
              <w:bidi w:val="0"/>
              <w:spacing w:before="0" w:after="20"/>
              <w:jc w:val="left"/>
              <w:rPr/>
            </w:pPr>
            <w:r>
              <w:rPr/>
              <w:t> </w:t>
            </w:r>
          </w:p>
        </w:tc>
      </w:tr>
    </w:tbl>
    <w:tbl>
      <w:tblPr>
        <w:tblW w:w="9864" w:type="dxa"/>
        <w:jc w:val="left"/>
        <w:tblInd w:w="0" w:type="dxa"/>
        <w:tblLayout w:type="fixed"/>
        <w:tblCellMar>
          <w:top w:w="0" w:type="dxa"/>
          <w:left w:w="0" w:type="dxa"/>
          <w:bottom w:w="0" w:type="dxa"/>
          <w:right w:w="0" w:type="dxa"/>
        </w:tblCellMar>
      </w:tblPr>
      <w:tblGrid>
        <w:gridCol w:w="485"/>
        <w:gridCol w:w="60"/>
        <w:gridCol w:w="2546"/>
        <w:gridCol w:w="2546"/>
        <w:gridCol w:w="4227"/>
      </w:tblGrid>
      <w:tr>
        <w:trPr/>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c>
          <w:tcPr>
            <w:tcW w:w="4227" w:type="dxa"/>
            <w:tcBorders/>
            <w:vAlign w:val="center"/>
          </w:tcPr>
          <w:p>
            <w:pPr>
              <w:pStyle w:val="TableContents"/>
              <w:bidi w:val="0"/>
              <w:spacing w:before="0" w:after="283"/>
              <w:jc w:val="left"/>
              <w:rPr>
                <w:sz w:val="4"/>
                <w:szCs w:val="4"/>
              </w:rPr>
            </w:pPr>
            <w:r>
              <w:rPr>
                <w:sz w:val="4"/>
                <w:szCs w:val="4"/>
              </w:rPr>
            </w:r>
          </w:p>
        </w:tc>
      </w:tr>
      <w:tr>
        <w:trPr/>
        <w:tc>
          <w:tcPr>
            <w:tcW w:w="485"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9379"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485" w:type="dxa"/>
            <w:tcBorders>
              <w:left w:val="single" w:sz="6" w:space="0" w:color="000000"/>
              <w:bottom w:val="single" w:sz="6" w:space="0" w:color="000000"/>
            </w:tcBorders>
            <w:tcMar>
              <w:left w:w="160" w:type="dxa"/>
              <w:bottom w:w="28" w:type="dxa"/>
            </w:tcMar>
            <w:vAlign w:val="center"/>
          </w:tcPr>
          <w:p>
            <w:pPr>
              <w:pStyle w:val="TableContents"/>
              <w:bidi w:val="0"/>
              <w:spacing w:before="0" w:after="20"/>
              <w:jc w:val="center"/>
              <w:rPr/>
            </w:pPr>
            <w:r>
              <w:rPr/>
              <w:t>   </w:t>
            </w:r>
          </w:p>
          <w:p>
            <w:pPr>
              <w:pStyle w:val="TableContents"/>
              <w:bidi w:val="0"/>
              <w:spacing w:before="0" w:after="20"/>
              <w:jc w:val="center"/>
              <w:rPr>
                <w:spacing w:val="0"/>
              </w:rPr>
            </w:pPr>
            <w:r>
              <w:rPr>
                <w:spacing w:val="0"/>
              </w:rPr>
              <w:t>☑</w:t>
            </w:r>
          </w:p>
          <w:p>
            <w:pPr>
              <w:pStyle w:val="TableContents"/>
              <w:bidi w:val="0"/>
              <w:spacing w:before="0" w:after="20"/>
              <w:jc w:val="center"/>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9319" w:type="dxa"/>
            <w:gridSpan w:val="3"/>
            <w:tcBorders>
              <w:bottom w:val="single" w:sz="6" w:space="0" w:color="000000"/>
              <w:right w:val="single" w:sz="6" w:space="0" w:color="000000"/>
            </w:tcBorders>
            <w:tcMar>
              <w:bottom w:w="28" w:type="dxa"/>
              <w:right w:w="28" w:type="dxa"/>
            </w:tcMar>
            <w:vAlign w:val="center"/>
          </w:tcPr>
          <w:p>
            <w:pPr>
              <w:pStyle w:val="TableContents"/>
              <w:bidi w:val="0"/>
              <w:spacing w:before="0" w:after="0"/>
              <w:jc w:val="both"/>
              <w:rPr>
                <w:rFonts w:ascii="ARIAL" w:hAnsi="ARIAL"/>
                <w:b/>
                <w:sz w:val="19"/>
              </w:rPr>
            </w:pPr>
            <w:r>
              <w:rPr>
                <w:rFonts w:ascii="ARIAL" w:hAnsi="ARIAL"/>
                <w:b/>
                <w:sz w:val="19"/>
              </w:rPr>
              <w:t>No fee required.</w:t>
            </w:r>
          </w:p>
          <w:p>
            <w:pPr>
              <w:pStyle w:val="TableContents"/>
              <w:bidi w:val="0"/>
              <w:spacing w:before="0" w:after="20"/>
              <w:jc w:val="left"/>
              <w:rPr/>
            </w:pPr>
            <w:r>
              <w:rPr/>
              <w:t> </w:t>
            </w:r>
          </w:p>
        </w:tc>
      </w:tr>
      <w:tr>
        <w:trPr/>
        <w:tc>
          <w:tcPr>
            <w:tcW w:w="485" w:type="dxa"/>
            <w:tcBorders>
              <w:left w:val="single" w:sz="6" w:space="0" w:color="000000"/>
            </w:tcBorders>
            <w:tcMar>
              <w:left w:w="160" w:type="dxa"/>
            </w:tcMar>
            <w:vAlign w:val="center"/>
          </w:tcPr>
          <w:p>
            <w:pPr>
              <w:pStyle w:val="TableContents"/>
              <w:bidi w:val="0"/>
              <w:spacing w:before="0" w:after="283"/>
              <w:jc w:val="left"/>
              <w:rPr/>
            </w:pPr>
            <w:r>
              <w:rPr/>
              <w:t> </w:t>
            </w:r>
          </w:p>
        </w:tc>
        <w:tc>
          <w:tcPr>
            <w:tcW w:w="9379" w:type="dxa"/>
            <w:gridSpan w:val="4"/>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485" w:type="dxa"/>
            <w:tcBorders>
              <w:left w:val="single" w:sz="6" w:space="0" w:color="000000"/>
              <w:bottom w:val="single" w:sz="6" w:space="0" w:color="000000"/>
            </w:tcBorders>
            <w:tcMar>
              <w:left w:w="160" w:type="dxa"/>
              <w:bottom w:w="28" w:type="dxa"/>
            </w:tcMar>
            <w:vAlign w:val="center"/>
          </w:tcPr>
          <w:p>
            <w:pPr>
              <w:pStyle w:val="TableContents"/>
              <w:bidi w:val="0"/>
              <w:spacing w:before="0" w:after="20"/>
              <w:jc w:val="center"/>
              <w:rPr>
                <w:spacing w:val="0"/>
              </w:rPr>
            </w:pPr>
            <w:r>
              <w:rPr>
                <w:spacing w:val="0"/>
              </w:rPr>
              <w:t>☐</w:t>
            </w:r>
          </w:p>
          <w:p>
            <w:pPr>
              <w:pStyle w:val="TableContents"/>
              <w:bidi w:val="0"/>
              <w:spacing w:before="0" w:after="20"/>
              <w:jc w:val="center"/>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9319" w:type="dxa"/>
            <w:gridSpan w:val="3"/>
            <w:tcBorders>
              <w:bottom w:val="single" w:sz="6" w:space="0" w:color="000000"/>
              <w:right w:val="single" w:sz="6" w:space="0" w:color="000000"/>
            </w:tcBorders>
            <w:tcMar>
              <w:bottom w:w="28" w:type="dxa"/>
              <w:right w:w="28" w:type="dxa"/>
            </w:tcMar>
            <w:vAlign w:val="center"/>
          </w:tcPr>
          <w:p>
            <w:pPr>
              <w:pStyle w:val="TableContents"/>
              <w:bidi w:val="0"/>
              <w:spacing w:before="0" w:after="0"/>
              <w:jc w:val="both"/>
              <w:rPr>
                <w:rFonts w:ascii="ARIAL" w:hAnsi="ARIAL"/>
                <w:b/>
                <w:sz w:val="19"/>
              </w:rPr>
            </w:pPr>
            <w:r>
              <w:rPr>
                <w:rFonts w:ascii="ARIAL" w:hAnsi="ARIAL"/>
                <w:b/>
                <w:sz w:val="19"/>
              </w:rPr>
              <w:t>Fee paid previously with preliminary materials.</w:t>
            </w:r>
          </w:p>
          <w:p>
            <w:pPr>
              <w:pStyle w:val="TableContents"/>
              <w:bidi w:val="0"/>
              <w:spacing w:before="0" w:after="20"/>
              <w:jc w:val="left"/>
              <w:rPr/>
            </w:pPr>
            <w:r>
              <w:rPr/>
              <w:t> </w:t>
            </w:r>
          </w:p>
        </w:tc>
      </w:tr>
      <w:tr>
        <w:trPr/>
        <w:tc>
          <w:tcPr>
            <w:tcW w:w="485" w:type="dxa"/>
            <w:tcBorders>
              <w:left w:val="single" w:sz="6" w:space="0" w:color="000000"/>
            </w:tcBorders>
            <w:tcMar>
              <w:left w:w="160" w:type="dxa"/>
            </w:tcMar>
            <w:vAlign w:val="center"/>
          </w:tcPr>
          <w:p>
            <w:pPr>
              <w:pStyle w:val="TableContents"/>
              <w:bidi w:val="0"/>
              <w:spacing w:before="0" w:after="283"/>
              <w:jc w:val="left"/>
              <w:rPr/>
            </w:pPr>
            <w:r>
              <w:rPr/>
              <w:t> </w:t>
            </w:r>
          </w:p>
        </w:tc>
        <w:tc>
          <w:tcPr>
            <w:tcW w:w="9379" w:type="dxa"/>
            <w:gridSpan w:val="4"/>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485" w:type="dxa"/>
            <w:tcBorders>
              <w:left w:val="single" w:sz="6" w:space="0" w:color="000000"/>
              <w:bottom w:val="single" w:sz="6" w:space="0" w:color="000000"/>
            </w:tcBorders>
            <w:tcMar>
              <w:left w:w="160" w:type="dxa"/>
              <w:bottom w:w="28" w:type="dxa"/>
            </w:tcMar>
            <w:vAlign w:val="center"/>
          </w:tcPr>
          <w:p>
            <w:pPr>
              <w:pStyle w:val="TableContents"/>
              <w:bidi w:val="0"/>
              <w:spacing w:before="0" w:after="20"/>
              <w:jc w:val="center"/>
              <w:rPr>
                <w:spacing w:val="0"/>
              </w:rPr>
            </w:pPr>
            <w:r>
              <w:rPr>
                <w:spacing w:val="0"/>
              </w:rPr>
              <w:t>☐</w:t>
            </w:r>
          </w:p>
          <w:p>
            <w:pPr>
              <w:pStyle w:val="TableContents"/>
              <w:bidi w:val="0"/>
              <w:spacing w:before="0" w:after="20"/>
              <w:jc w:val="center"/>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9319" w:type="dxa"/>
            <w:gridSpan w:val="3"/>
            <w:tcBorders>
              <w:bottom w:val="single" w:sz="6" w:space="0" w:color="000000"/>
              <w:right w:val="single" w:sz="6" w:space="0" w:color="000000"/>
            </w:tcBorders>
            <w:tcMar>
              <w:bottom w:w="28" w:type="dxa"/>
              <w:right w:w="28" w:type="dxa"/>
            </w:tcMar>
            <w:vAlign w:val="center"/>
          </w:tcPr>
          <w:p>
            <w:pPr>
              <w:pStyle w:val="TableContents"/>
              <w:bidi w:val="0"/>
              <w:spacing w:before="0" w:after="0"/>
              <w:jc w:val="both"/>
              <w:rPr>
                <w:rFonts w:ascii="ARIAL" w:hAnsi="ARIAL"/>
                <w:b/>
                <w:sz w:val="19"/>
              </w:rPr>
            </w:pPr>
            <w:r>
              <w:rPr>
                <w:rFonts w:ascii="ARIAL" w:hAnsi="ARIAL"/>
                <w:b/>
                <w:sz w:val="19"/>
              </w:rPr>
              <w:t>Fee computed on table in exhibit required by Item 25(b) per Exchange Act Rules 14a-6(i)(1) and 0-11.</w:t>
            </w:r>
          </w:p>
          <w:p>
            <w:pPr>
              <w:pStyle w:val="TableContents"/>
              <w:bidi w:val="0"/>
              <w:spacing w:before="0" w:after="20"/>
              <w:jc w:val="left"/>
              <w:rPr/>
            </w:pPr>
            <w:r>
              <w:rPr/>
              <w:t> </w:t>
            </w:r>
          </w:p>
        </w:tc>
      </w:tr>
    </w:tbl>
    <w:p>
      <w:pPr>
        <w:pStyle w:val="TextBody"/>
        <w:bidi w:val="0"/>
        <w:jc w:val="left"/>
        <w:rPr>
          <w:shd w:fill="FFFFFF" w:val="clear"/>
        </w:rPr>
      </w:pPr>
      <w:r>
        <w:rPr>
          <w:shd w:fill="FFFFFF" w:val="clear"/>
        </w:rPr>
        <w:t> </w:t>
      </w:r>
      <w:r>
        <w:br w:type="page"/>
      </w:r>
    </w:p>
    <w:p>
      <w:pPr>
        <w:pStyle w:val="HorizontalLine"/>
        <w:bidi w:val="0"/>
        <w:jc w:val="left"/>
        <w:rPr/>
      </w:pPr>
      <w:r>
        <w:rPr/>
      </w:r>
    </w:p>
    <w:p>
      <w:pPr>
        <w:pStyle w:val="TextBody"/>
        <w:bidi w:val="0"/>
        <w:spacing w:before="0" w:after="0"/>
        <w:jc w:val="center"/>
        <w:rPr/>
      </w:pPr>
      <w:r>
        <w:rPr/>
        <w:drawing>
          <wp:inline distT="0" distB="0" distL="0" distR="0">
            <wp:extent cx="6896100" cy="9144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96100" cy="9144000"/>
                    </a:xfrm>
                    <a:prstGeom prst="rect">
                      <a:avLst/>
                    </a:prstGeom>
                  </pic:spPr>
                </pic:pic>
              </a:graphicData>
            </a:graphic>
          </wp:inline>
        </w:drawing>
      </w:r>
      <w:r>
        <w:rPr/>
        <w:t xml:space="preserve"> </w:t>
      </w:r>
      <w:r>
        <w:br w:type="page"/>
      </w:r>
    </w:p>
    <w:p>
      <w:pPr>
        <w:pStyle w:val="HorizontalLine"/>
        <w:bidi w:val="0"/>
        <w:jc w:val="left"/>
        <w:rPr/>
      </w:pPr>
      <w:r>
        <w:rPr/>
      </w:r>
    </w:p>
    <w:tbl>
      <w:tblPr>
        <w:tblW w:w="4814" w:type="dxa"/>
        <w:jc w:val="left"/>
        <w:tblInd w:w="0" w:type="dxa"/>
        <w:tblLayout w:type="fixed"/>
        <w:tblCellMar>
          <w:top w:w="0" w:type="dxa"/>
          <w:left w:w="0" w:type="dxa"/>
          <w:bottom w:w="0" w:type="dxa"/>
          <w:right w:w="0" w:type="dxa"/>
        </w:tblCellMar>
      </w:tblPr>
      <w:tblGrid>
        <w:gridCol w:w="1749"/>
        <w:gridCol w:w="60"/>
        <w:gridCol w:w="3005"/>
      </w:tblGrid>
      <w:tr>
        <w:trPr/>
        <w:tc>
          <w:tcPr>
            <w:tcW w:w="1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05" w:type="dxa"/>
            <w:tcBorders/>
            <w:vAlign w:val="center"/>
          </w:tcPr>
          <w:p>
            <w:pPr>
              <w:pStyle w:val="TableContents"/>
              <w:bidi w:val="0"/>
              <w:spacing w:before="0" w:after="283"/>
              <w:jc w:val="left"/>
              <w:rPr>
                <w:sz w:val="4"/>
                <w:szCs w:val="4"/>
              </w:rPr>
            </w:pPr>
            <w:r>
              <w:rPr>
                <w:sz w:val="4"/>
                <w:szCs w:val="4"/>
              </w:rPr>
            </w:r>
          </w:p>
        </w:tc>
      </w:tr>
      <w:tr>
        <w:trPr/>
        <w:tc>
          <w:tcPr>
            <w:tcW w:w="1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0"/>
              <w:jc w:val="left"/>
              <w:rPr>
                <w:rFonts w:ascii="arial" w:hAnsi="arial"/>
                <w:b/>
                <w:sz w:val="12"/>
              </w:rPr>
            </w:pPr>
            <w:r>
              <w:rPr>
                <w:rFonts w:ascii="arial" w:hAnsi="arial"/>
                <w:b/>
                <w:sz w:val="12"/>
              </w:rPr>
              <w:t>Robert A. Bradway</w:t>
            </w:r>
          </w:p>
          <w:p>
            <w:pPr>
              <w:pStyle w:val="TableContents"/>
              <w:bidi w:val="0"/>
              <w:spacing w:before="0" w:after="0"/>
              <w:jc w:val="left"/>
              <w:rPr>
                <w:rFonts w:ascii="arial" w:hAnsi="arial"/>
                <w:sz w:val="12"/>
              </w:rPr>
            </w:pPr>
            <w:r>
              <w:rPr>
                <w:rFonts w:ascii="arial" w:hAnsi="arial"/>
                <w:sz w:val="12"/>
              </w:rPr>
              <w:t>Chairman of the Board,</w:t>
            </w:r>
          </w:p>
          <w:p>
            <w:pPr>
              <w:pStyle w:val="TableContents"/>
              <w:bidi w:val="0"/>
              <w:spacing w:before="0" w:after="20"/>
              <w:jc w:val="left"/>
              <w:rPr>
                <w:rFonts w:ascii="arial" w:hAnsi="arial"/>
                <w:sz w:val="12"/>
              </w:rPr>
            </w:pPr>
            <w:r>
              <w:rPr>
                <w:rFonts w:ascii="arial" w:hAnsi="arial"/>
                <w:sz w:val="12"/>
              </w:rPr>
              <w:t>Chief Executive Officer and President</w:t>
            </w:r>
          </w:p>
        </w:tc>
      </w:tr>
      <w:tr>
        <w:trPr/>
        <w:tc>
          <w:tcPr>
            <w:tcW w:w="1749" w:type="dxa"/>
            <w:tcBorders/>
            <w:vAlign w:val="center"/>
          </w:tcPr>
          <w:p>
            <w:pPr>
              <w:pStyle w:val="TableContents"/>
              <w:bidi w:val="0"/>
              <w:spacing w:before="0" w:after="283"/>
              <w:jc w:val="left"/>
              <w:rPr>
                <w:sz w:val="4"/>
                <w:szCs w:val="4"/>
              </w:rPr>
            </w:pPr>
            <w:r>
              <w:rPr>
                <w:sz w:val="4"/>
                <w:szCs w:val="4"/>
              </w:rPr>
            </w:r>
          </w:p>
        </w:tc>
        <w:tc>
          <w:tcPr>
            <w:tcW w:w="3065" w:type="dxa"/>
            <w:gridSpan w:val="2"/>
            <w:tcBorders/>
            <w:vAlign w:val="center"/>
          </w:tcPr>
          <w:p>
            <w:pPr>
              <w:pStyle w:val="TableContents"/>
              <w:bidi w:val="0"/>
              <w:spacing w:before="0" w:after="283"/>
              <w:jc w:val="left"/>
              <w:rPr>
                <w:sz w:val="4"/>
                <w:szCs w:val="4"/>
              </w:rPr>
            </w:pPr>
            <w:r>
              <w:rPr>
                <w:sz w:val="4"/>
                <w:szCs w:val="4"/>
              </w:rPr>
            </w:r>
          </w:p>
        </w:tc>
      </w:tr>
      <w:tr>
        <w:trPr/>
        <w:tc>
          <w:tcPr>
            <w:tcW w:w="1749" w:type="dxa"/>
            <w:tcBorders/>
            <w:vAlign w:val="center"/>
          </w:tcPr>
          <w:p>
            <w:pPr>
              <w:pStyle w:val="TableContents"/>
              <w:bidi w:val="0"/>
              <w:spacing w:before="0" w:after="0"/>
              <w:jc w:val="left"/>
              <w:rPr/>
            </w:pPr>
            <w:r>
              <w:rPr/>
              <w:drawing>
                <wp:inline distT="0" distB="0" distL="0" distR="0">
                  <wp:extent cx="1062990" cy="27178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62990" cy="27178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0"/>
              <w:jc w:val="left"/>
              <w:rPr>
                <w:rFonts w:ascii="arial" w:hAnsi="arial"/>
                <w:b/>
                <w:sz w:val="12"/>
              </w:rPr>
            </w:pPr>
            <w:r>
              <w:rPr>
                <w:rFonts w:ascii="arial" w:hAnsi="arial"/>
                <w:b/>
                <w:sz w:val="12"/>
              </w:rPr>
              <w:t>Amgen Inc.</w:t>
            </w:r>
          </w:p>
          <w:p>
            <w:pPr>
              <w:pStyle w:val="TableContents"/>
              <w:bidi w:val="0"/>
              <w:spacing w:before="0" w:after="20"/>
              <w:jc w:val="left"/>
              <w:rPr>
                <w:rFonts w:ascii="arial" w:hAnsi="arial"/>
                <w:b/>
                <w:sz w:val="12"/>
              </w:rPr>
            </w:pPr>
            <w:r>
              <w:rPr>
                <w:rFonts w:ascii="arial" w:hAnsi="arial"/>
                <w:b/>
                <w:sz w:val="12"/>
              </w:rPr>
              <w:t>1 Amgen Center Drive Thousand Oaks, CA 91320 USA</w:t>
            </w:r>
          </w:p>
        </w:tc>
      </w:tr>
    </w:tbl>
    <w:p>
      <w:pPr>
        <w:pStyle w:val="TextBody"/>
        <w:bidi w:val="0"/>
        <w:spacing w:before="160" w:after="0"/>
        <w:jc w:val="both"/>
        <w:rPr>
          <w:rFonts w:ascii="arial" w:hAnsi="arial"/>
          <w:sz w:val="18"/>
        </w:rPr>
      </w:pPr>
      <w:r>
        <w:rPr>
          <w:rFonts w:ascii="arial" w:hAnsi="arial"/>
          <w:sz w:val="18"/>
        </w:rPr>
        <w:t xml:space="preserve">April 17, 2024 </w:t>
      </w:r>
    </w:p>
    <w:p>
      <w:pPr>
        <w:pStyle w:val="TextBody"/>
        <w:bidi w:val="0"/>
        <w:spacing w:before="160" w:after="0"/>
        <w:jc w:val="left"/>
        <w:rPr>
          <w:rFonts w:ascii="arial" w:hAnsi="arial"/>
          <w:b/>
          <w:sz w:val="22"/>
        </w:rPr>
      </w:pPr>
      <w:r>
        <w:rPr>
          <w:rFonts w:ascii="arial" w:hAnsi="arial"/>
          <w:b/>
          <w:sz w:val="22"/>
        </w:rPr>
        <w:t xml:space="preserve">Dear Fellow Stockholder: </w:t>
      </w:r>
    </w:p>
    <w:p>
      <w:pPr>
        <w:pStyle w:val="TextBody"/>
        <w:bidi w:val="0"/>
        <w:spacing w:before="160" w:after="0"/>
        <w:jc w:val="both"/>
        <w:rPr>
          <w:rFonts w:ascii="arial" w:hAnsi="arial"/>
          <w:sz w:val="16"/>
        </w:rPr>
      </w:pPr>
      <w:r>
        <w:rPr>
          <w:rFonts w:ascii="arial" w:hAnsi="arial"/>
          <w:sz w:val="16"/>
        </w:rPr>
        <w:t xml:space="preserve">You are invited to attend the 2024 Annual Meeting of Stockholders, or Annual Meeting, of Amgen Inc. to be held on Friday, May 31, 2024, at 11:00 A.M., Pacific Time, via the internet at </w:t>
      </w:r>
      <w:r>
        <w:rPr>
          <w:rFonts w:ascii="arial" w:hAnsi="arial"/>
          <w:i/>
          <w:color w:val="0171B9"/>
          <w:sz w:val="16"/>
        </w:rPr>
        <w:t>www.virtualshareholdermeeting.com/AMGN2024</w:t>
      </w:r>
      <w:r>
        <w:rPr>
          <w:rFonts w:ascii="arial" w:hAnsi="arial"/>
          <w:sz w:val="16"/>
        </w:rPr>
        <w:t xml:space="preserve">. </w:t>
      </w:r>
    </w:p>
    <w:p>
      <w:pPr>
        <w:pStyle w:val="TextBody"/>
        <w:bidi w:val="0"/>
        <w:spacing w:before="160" w:after="0"/>
        <w:jc w:val="both"/>
        <w:rPr>
          <w:rFonts w:ascii="arial" w:hAnsi="arial"/>
          <w:sz w:val="16"/>
        </w:rPr>
      </w:pPr>
      <w:r>
        <w:rPr>
          <w:rFonts w:ascii="arial" w:hAnsi="arial"/>
          <w:b/>
          <w:color w:val="0171B9"/>
          <w:sz w:val="16"/>
        </w:rPr>
        <w:t>Our Mission:</w:t>
      </w:r>
      <w:r>
        <w:rPr>
          <w:rFonts w:ascii="arial" w:hAnsi="arial"/>
          <w:sz w:val="16"/>
        </w:rPr>
        <w:t xml:space="preserve"> For more than 40 years, Amgen’s mission has been </w:t>
      </w:r>
      <w:r>
        <w:rPr>
          <w:rFonts w:ascii="arial" w:hAnsi="arial"/>
          <w:b/>
          <w:color w:val="0171B9"/>
          <w:sz w:val="16"/>
        </w:rPr>
        <w:t xml:space="preserve">to serve patients </w:t>
      </w:r>
      <w:r>
        <w:rPr>
          <w:rFonts w:ascii="arial" w:hAnsi="arial"/>
          <w:sz w:val="16"/>
        </w:rPr>
        <w:t xml:space="preserve">and, in 2023, our medicines reached </w:t>
      </w:r>
      <w:r>
        <w:rPr>
          <w:rFonts w:ascii="arial" w:hAnsi="arial"/>
          <w:b/>
          <w:color w:val="0171B9"/>
          <w:sz w:val="16"/>
        </w:rPr>
        <w:t>more than 11 million patients</w:t>
      </w:r>
      <w:r>
        <w:rPr>
          <w:rFonts w:ascii="arial" w:hAnsi="arial"/>
          <w:sz w:val="16"/>
        </w:rPr>
        <w:t xml:space="preserve"> around the world. We know that a rapidly aging global population means that our medicines – both those available today and those advancing through our pipeline – have the potential to serve many more patients in the future. </w:t>
      </w:r>
    </w:p>
    <w:p>
      <w:pPr>
        <w:pStyle w:val="TextBody"/>
        <w:bidi w:val="0"/>
        <w:spacing w:before="160" w:after="0"/>
        <w:jc w:val="both"/>
        <w:rPr>
          <w:rFonts w:ascii="arial" w:hAnsi="arial"/>
          <w:sz w:val="16"/>
        </w:rPr>
      </w:pPr>
      <w:r>
        <w:rPr>
          <w:rFonts w:ascii="arial" w:hAnsi="arial"/>
          <w:b/>
          <w:color w:val="0171B9"/>
          <w:sz w:val="16"/>
        </w:rPr>
        <w:t>Our Strategy:</w:t>
      </w:r>
      <w:r>
        <w:rPr>
          <w:rFonts w:ascii="arial" w:hAnsi="arial"/>
          <w:sz w:val="16"/>
        </w:rPr>
        <w:t xml:space="preserve"> The core of Amgen’s strategy is innovation. More specifically, we seek to provide first- or-best-in-class medicines that make a significant difference for patients suffering from serious diseases. Some of these innovative medicines are developed internally and some are sourced externally. In 2023, we acquired </w:t>
      </w:r>
      <w:r>
        <w:rPr>
          <w:rFonts w:ascii="arial" w:hAnsi="arial"/>
          <w:b/>
          <w:color w:val="0171B9"/>
          <w:sz w:val="16"/>
        </w:rPr>
        <w:t>Horizon Therapeutics plc</w:t>
      </w:r>
      <w:r>
        <w:rPr>
          <w:rFonts w:ascii="arial" w:hAnsi="arial"/>
          <w:sz w:val="16"/>
        </w:rPr>
        <w:t xml:space="preserve">, a leading provider of innovative medicines to treat rare inflammatory diseases. The medicines we acquired are all very early in their lifecycles and – by leveraging Amgen’s world-class biologics capabilities, decades of experience in inflammation, and extensive global presence – we believe they have significant growth potential. Today, our portfolio spans four therapeutic pillars of growth: </w:t>
      </w:r>
      <w:r>
        <w:rPr>
          <w:rFonts w:ascii="arial" w:hAnsi="arial"/>
          <w:b/>
          <w:color w:val="0171B9"/>
          <w:sz w:val="16"/>
        </w:rPr>
        <w:t>General Medicine</w:t>
      </w:r>
      <w:r>
        <w:rPr>
          <w:rFonts w:ascii="arial" w:hAnsi="arial"/>
          <w:sz w:val="16"/>
        </w:rPr>
        <w:t xml:space="preserve">; </w:t>
      </w:r>
      <w:r>
        <w:rPr>
          <w:rFonts w:ascii="arial" w:hAnsi="arial"/>
          <w:b/>
          <w:color w:val="0171B9"/>
          <w:sz w:val="16"/>
        </w:rPr>
        <w:t>Oncology</w:t>
      </w:r>
      <w:r>
        <w:rPr>
          <w:rFonts w:ascii="arial" w:hAnsi="arial"/>
          <w:sz w:val="16"/>
        </w:rPr>
        <w:t xml:space="preserve">; </w:t>
      </w:r>
      <w:r>
        <w:rPr>
          <w:rFonts w:ascii="arial" w:hAnsi="arial"/>
          <w:b/>
          <w:color w:val="0171B9"/>
          <w:sz w:val="16"/>
        </w:rPr>
        <w:t>Inflammation</w:t>
      </w:r>
      <w:r>
        <w:rPr>
          <w:rFonts w:ascii="arial" w:hAnsi="arial"/>
          <w:sz w:val="16"/>
        </w:rPr>
        <w:t xml:space="preserve">; and, now, </w:t>
      </w:r>
      <w:r>
        <w:rPr>
          <w:rFonts w:ascii="arial" w:hAnsi="arial"/>
          <w:b/>
          <w:color w:val="0171B9"/>
          <w:sz w:val="16"/>
        </w:rPr>
        <w:t>Rare Disease</w:t>
      </w:r>
      <w:r>
        <w:rPr>
          <w:rFonts w:ascii="arial" w:hAnsi="arial"/>
          <w:sz w:val="16"/>
        </w:rPr>
        <w:t xml:space="preserve">. In each pillar, we have numerous well-established products currently on the market, promising new innovative medicines advancing through our pipeline, and biosimilars. In our Oncology pipeline, Amgen was granted </w:t>
      </w:r>
      <w:r>
        <w:rPr>
          <w:rFonts w:ascii="arial" w:hAnsi="arial"/>
          <w:b/>
          <w:color w:val="0171B9"/>
          <w:sz w:val="16"/>
        </w:rPr>
        <w:t>three Breakthrough Therapy Designations</w:t>
      </w:r>
      <w:r>
        <w:rPr>
          <w:rFonts w:ascii="arial" w:hAnsi="arial"/>
          <w:sz w:val="16"/>
        </w:rPr>
        <w:t xml:space="preserve">(1) by the U.S. Food and Drug Administration last year for </w:t>
      </w:r>
      <w:r>
        <w:rPr>
          <w:rFonts w:ascii="arial" w:hAnsi="arial"/>
          <w:b/>
          <w:color w:val="0171B9"/>
          <w:sz w:val="16"/>
        </w:rPr>
        <w:t xml:space="preserve">tarlatamab </w:t>
      </w:r>
      <w:r>
        <w:rPr>
          <w:rFonts w:ascii="arial" w:hAnsi="arial"/>
          <w:sz w:val="16"/>
        </w:rPr>
        <w:t xml:space="preserve">in small cell lung cancer, </w:t>
      </w:r>
      <w:r>
        <w:rPr>
          <w:rFonts w:ascii="arial" w:hAnsi="arial"/>
          <w:b/>
          <w:color w:val="0171B9"/>
          <w:sz w:val="16"/>
        </w:rPr>
        <w:t>BLINCYTO®</w:t>
      </w:r>
      <w:r>
        <w:rPr>
          <w:rFonts w:ascii="arial" w:hAnsi="arial"/>
          <w:sz w:val="16"/>
        </w:rPr>
        <w:t xml:space="preserve"> in acute lymphoblastic leukemia, and </w:t>
      </w:r>
      <w:r>
        <w:rPr>
          <w:rFonts w:ascii="arial" w:hAnsi="arial"/>
          <w:b/>
          <w:color w:val="0171B9"/>
          <w:sz w:val="16"/>
        </w:rPr>
        <w:t>LUMAKRAS®</w:t>
      </w:r>
      <w:r>
        <w:rPr>
          <w:rFonts w:ascii="arial" w:hAnsi="arial"/>
          <w:sz w:val="16"/>
        </w:rPr>
        <w:t xml:space="preserve"> in combination with </w:t>
      </w:r>
      <w:r>
        <w:rPr>
          <w:rFonts w:ascii="arial" w:hAnsi="arial"/>
          <w:b/>
          <w:color w:val="0171B9"/>
          <w:sz w:val="16"/>
        </w:rPr>
        <w:t>Vectibix®</w:t>
      </w:r>
      <w:r>
        <w:rPr>
          <w:rFonts w:ascii="arial" w:hAnsi="arial"/>
          <w:sz w:val="16"/>
        </w:rPr>
        <w:t xml:space="preserve"> in colorectal cancer. In </w:t>
      </w:r>
      <w:r>
        <w:rPr>
          <w:rFonts w:ascii="arial" w:hAnsi="arial"/>
          <w:b/>
          <w:color w:val="0171B9"/>
          <w:sz w:val="16"/>
        </w:rPr>
        <w:t>General Medicine</w:t>
      </w:r>
      <w:r>
        <w:rPr>
          <w:rFonts w:ascii="arial" w:hAnsi="arial"/>
          <w:sz w:val="16"/>
        </w:rPr>
        <w:t>, a number of our medicines delivered record 2023 sales, including our cholesterol treatment</w:t>
      </w:r>
      <w:r>
        <w:rPr>
          <w:rFonts w:ascii="arial" w:hAnsi="arial"/>
          <w:color w:val="0171B9"/>
          <w:sz w:val="16"/>
        </w:rPr>
        <w:t xml:space="preserve"> </w:t>
      </w:r>
      <w:r>
        <w:rPr>
          <w:rFonts w:ascii="arial" w:hAnsi="arial"/>
          <w:b/>
          <w:color w:val="0171B9"/>
          <w:sz w:val="16"/>
        </w:rPr>
        <w:t>Repatha®</w:t>
      </w:r>
      <w:r>
        <w:rPr>
          <w:rFonts w:ascii="arial" w:hAnsi="arial"/>
          <w:sz w:val="16"/>
        </w:rPr>
        <w:t xml:space="preserve"> and our osteoporosis medicines </w:t>
      </w:r>
      <w:r>
        <w:rPr>
          <w:rFonts w:ascii="arial" w:hAnsi="arial"/>
          <w:b/>
          <w:color w:val="0171B9"/>
          <w:sz w:val="16"/>
        </w:rPr>
        <w:t>Prolia®</w:t>
      </w:r>
      <w:r>
        <w:rPr>
          <w:rFonts w:ascii="arial" w:hAnsi="arial"/>
          <w:sz w:val="16"/>
        </w:rPr>
        <w:t xml:space="preserve"> and </w:t>
      </w:r>
      <w:r>
        <w:rPr>
          <w:rFonts w:ascii="arial" w:hAnsi="arial"/>
          <w:b/>
          <w:color w:val="0171B9"/>
          <w:sz w:val="16"/>
        </w:rPr>
        <w:t>EVENITY®</w:t>
      </w:r>
      <w:r>
        <w:rPr>
          <w:rFonts w:ascii="arial" w:hAnsi="arial"/>
          <w:sz w:val="16"/>
        </w:rPr>
        <w:t xml:space="preserve">. In our pipeline for General Medicine, we are rapidly advancing several potentially differentiated treatments for obesity, one of which, </w:t>
      </w:r>
      <w:r>
        <w:rPr>
          <w:rFonts w:ascii="arial" w:hAnsi="arial"/>
          <w:b/>
          <w:color w:val="0171B9"/>
          <w:sz w:val="16"/>
        </w:rPr>
        <w:t>maridebart cafraglutide</w:t>
      </w:r>
      <w:r>
        <w:rPr>
          <w:rFonts w:ascii="arial" w:hAnsi="arial"/>
          <w:sz w:val="16"/>
        </w:rPr>
        <w:t xml:space="preserve">, is currently being studied in a Phase 2 clinical trial. </w:t>
      </w:r>
    </w:p>
    <w:p>
      <w:pPr>
        <w:pStyle w:val="TextBody"/>
        <w:bidi w:val="0"/>
        <w:spacing w:before="160" w:after="0"/>
        <w:jc w:val="both"/>
        <w:rPr>
          <w:rFonts w:ascii="arial" w:hAnsi="arial"/>
          <w:sz w:val="16"/>
        </w:rPr>
      </w:pPr>
      <w:r>
        <w:rPr>
          <w:rFonts w:ascii="arial" w:hAnsi="arial"/>
          <w:b/>
          <w:color w:val="0171B9"/>
          <w:sz w:val="16"/>
        </w:rPr>
        <w:t xml:space="preserve">Our Commitment to Society: </w:t>
      </w:r>
      <w:r>
        <w:rPr>
          <w:rFonts w:ascii="arial" w:hAnsi="arial"/>
          <w:sz w:val="16"/>
        </w:rPr>
        <w:t>Society confronts many challenges and is increasingly looking to companies like Amgen to be part of the solution. Our</w:t>
      </w:r>
      <w:r>
        <w:rPr>
          <w:rFonts w:ascii="arial" w:hAnsi="arial"/>
          <w:color w:val="0171B9"/>
          <w:sz w:val="16"/>
        </w:rPr>
        <w:t xml:space="preserve"> </w:t>
      </w:r>
      <w:r>
        <w:rPr>
          <w:rFonts w:ascii="arial" w:hAnsi="arial"/>
          <w:b/>
          <w:color w:val="0171B9"/>
          <w:sz w:val="16"/>
        </w:rPr>
        <w:t>environmental sustainability goals</w:t>
      </w:r>
      <w:r>
        <w:rPr>
          <w:rFonts w:ascii="arial" w:hAnsi="arial"/>
          <w:sz w:val="16"/>
        </w:rPr>
        <w:t xml:space="preserve">, for example, include achieving carbon neutrality in our operations by 2027, while further reducing our water use by 40% and waste disposed by 75%.(2) Our 2027 Scope 1 and 2 carbon emissions and Scope 3 supplier engagement targets have been approved by the </w:t>
      </w:r>
      <w:r>
        <w:rPr>
          <w:rFonts w:ascii="arial" w:hAnsi="arial"/>
          <w:b/>
          <w:color w:val="0171B9"/>
          <w:sz w:val="16"/>
        </w:rPr>
        <w:t>Science Based Targets initiative (SBTi)</w:t>
      </w:r>
      <w:r>
        <w:rPr>
          <w:rFonts w:ascii="arial" w:hAnsi="arial"/>
          <w:sz w:val="16"/>
        </w:rPr>
        <w:t xml:space="preserve">, a global body enabling businesses to set emissions reductions targets in line with the goals of the Paris Agreement to limit global warming to 1.5°C above pre-industrial levels. Through the </w:t>
      </w:r>
      <w:r>
        <w:rPr>
          <w:rFonts w:ascii="arial" w:hAnsi="arial"/>
          <w:b/>
          <w:color w:val="0171B9"/>
          <w:sz w:val="16"/>
        </w:rPr>
        <w:t>Amgen Safety Net Foundation</w:t>
      </w:r>
      <w:r>
        <w:rPr>
          <w:rFonts w:ascii="arial" w:hAnsi="arial"/>
          <w:sz w:val="16"/>
        </w:rPr>
        <w:t xml:space="preserve"> and our corporate philanthropy, we assist eligible patients around the world to obtain the medicines they need but cannot afford. The science education programs funded by the </w:t>
      </w:r>
      <w:r>
        <w:rPr>
          <w:rFonts w:ascii="arial" w:hAnsi="arial"/>
          <w:b/>
          <w:color w:val="0171B9"/>
          <w:sz w:val="16"/>
        </w:rPr>
        <w:t>Amgen Foundation</w:t>
      </w:r>
      <w:r>
        <w:rPr>
          <w:rFonts w:ascii="arial" w:hAnsi="arial"/>
          <w:sz w:val="16"/>
        </w:rPr>
        <w:t xml:space="preserve"> now reach approximately 25 million students and teachers around the world, helping to inspire the next generation of innovators. Through our</w:t>
      </w:r>
      <w:r>
        <w:rPr>
          <w:rFonts w:ascii="arial" w:hAnsi="arial"/>
          <w:color w:val="0171B9"/>
          <w:sz w:val="16"/>
        </w:rPr>
        <w:t xml:space="preserve"> </w:t>
      </w:r>
      <w:r>
        <w:rPr>
          <w:rFonts w:ascii="arial" w:hAnsi="arial"/>
          <w:b/>
          <w:color w:val="0171B9"/>
          <w:sz w:val="16"/>
        </w:rPr>
        <w:t>Representation in Clinical Research (RISE)</w:t>
      </w:r>
      <w:r>
        <w:rPr>
          <w:rFonts w:ascii="arial" w:hAnsi="arial"/>
          <w:sz w:val="16"/>
        </w:rPr>
        <w:t xml:space="preserve"> program, we seek to improve the representation of racial and ethnic minority populations in our clinical trial research to help us develop medicines that are studied in participants who better reflect the populations impacted by certain disease or conditions. </w:t>
      </w:r>
    </w:p>
    <w:p>
      <w:pPr>
        <w:pStyle w:val="TextBody"/>
        <w:bidi w:val="0"/>
        <w:spacing w:before="160" w:after="0"/>
        <w:jc w:val="both"/>
        <w:rPr>
          <w:rFonts w:ascii="arial" w:hAnsi="arial"/>
          <w:sz w:val="16"/>
        </w:rPr>
      </w:pPr>
      <w:r>
        <w:rPr>
          <w:rFonts w:ascii="arial" w:hAnsi="arial"/>
          <w:b/>
          <w:color w:val="0171B9"/>
          <w:sz w:val="16"/>
        </w:rPr>
        <w:t xml:space="preserve">Stockholder Engagement: </w:t>
      </w:r>
      <w:r>
        <w:rPr>
          <w:rFonts w:ascii="arial" w:hAnsi="arial"/>
          <w:sz w:val="16"/>
        </w:rPr>
        <w:t xml:space="preserve">We continue to be guided by the perspectives of our stockholders as expressed through their engagement with us throughout the year and at our Annual Meeting. Consistent with prior years’ practices, since our 2023 annual meeting of stockholders, we have engaged in governance-focused outreach activities and discussions with stockholders comprising approximately 51% of our outstanding shares. In 2023, stockholder engagement included discussions related to biodiversity, gender and racial pay equity, human rights, and tax transparency. Feedback received during the course of these activities is shared with our Board and informs its decisions. We plan to continue this valuable dialogue with our investors in the coming year. </w:t>
      </w:r>
    </w:p>
    <w:p>
      <w:pPr>
        <w:pStyle w:val="TextBody"/>
        <w:bidi w:val="0"/>
        <w:spacing w:before="160" w:after="0"/>
        <w:jc w:val="both"/>
        <w:rPr>
          <w:rFonts w:ascii="arial" w:hAnsi="arial"/>
          <w:sz w:val="16"/>
        </w:rPr>
      </w:pPr>
      <w:r>
        <w:rPr>
          <w:rFonts w:ascii="arial" w:hAnsi="arial"/>
          <w:sz w:val="16"/>
        </w:rPr>
        <w:t xml:space="preserve">I look forward to sharing more about our Company at our Annual Meeting. In addition to the business to be transacted and described in the accompanying Notice of Annual Meeting of Stockholders, I will discuss recent developments during the past year, the substantial progress we made on our strategic priorities in 2023, and respond to comments and questions. </w:t>
      </w:r>
    </w:p>
    <w:p>
      <w:pPr>
        <w:pStyle w:val="TextBody"/>
        <w:bidi w:val="0"/>
        <w:spacing w:before="160" w:after="0"/>
        <w:jc w:val="both"/>
        <w:rPr>
          <w:rFonts w:ascii="arial" w:hAnsi="arial"/>
          <w:sz w:val="16"/>
        </w:rPr>
      </w:pPr>
      <w:r>
        <w:rPr>
          <w:rFonts w:ascii="arial" w:hAnsi="arial"/>
          <w:sz w:val="16"/>
        </w:rPr>
        <w:t xml:space="preserve">On behalf of our Board, I thank you for your participation and investment in Amgen. We look forward to the Annual Meeting on May 31. As a final note, and also on behalf of our Board, I would like to thank Drs. Ronald D. Sugar and R. Sanders Williams, who will retire from our Board and are not standing for re-election at the Annual Meeting, for their years of wise counsel and guidance to Amgen. </w:t>
      </w:r>
    </w:p>
    <w:p>
      <w:pPr>
        <w:pStyle w:val="TextBody"/>
        <w:bidi w:val="0"/>
        <w:spacing w:before="160" w:after="0"/>
        <w:jc w:val="both"/>
        <w:rPr>
          <w:rFonts w:ascii="arial" w:hAnsi="arial"/>
          <w:sz w:val="18"/>
        </w:rPr>
      </w:pPr>
      <w:r>
        <w:rPr>
          <w:rFonts w:ascii="arial" w:hAnsi="arial"/>
          <w:sz w:val="18"/>
        </w:rPr>
        <w:t xml:space="preserve">Sincerely, </w:t>
      </w:r>
    </w:p>
    <w:p>
      <w:pPr>
        <w:pStyle w:val="TextBody"/>
        <w:bidi w:val="0"/>
        <w:spacing w:before="0" w:after="0"/>
        <w:jc w:val="left"/>
        <w:rPr/>
      </w:pPr>
      <w:r>
        <w:rPr/>
        <w:t> </w:t>
      </w:r>
    </w:p>
    <w:p>
      <w:pPr>
        <w:pStyle w:val="TextBody"/>
        <w:bidi w:val="0"/>
        <w:spacing w:before="0" w:after="0"/>
        <w:jc w:val="left"/>
        <w:rPr/>
      </w:pPr>
      <w:r>
        <w:rPr/>
        <w:drawing>
          <wp:inline distT="0" distB="0" distL="0" distR="0">
            <wp:extent cx="2286000" cy="3333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286000" cy="333375"/>
                    </a:xfrm>
                    <a:prstGeom prst="rect">
                      <a:avLst/>
                    </a:prstGeom>
                  </pic:spPr>
                </pic:pic>
              </a:graphicData>
            </a:graphic>
          </wp:inline>
        </w:drawing>
      </w:r>
      <w:r>
        <w:rPr/>
        <w:t xml:space="preserve"> </w:t>
      </w:r>
    </w:p>
    <w:p>
      <w:pPr>
        <w:pStyle w:val="TextBody"/>
        <w:bidi w:val="0"/>
        <w:spacing w:before="0" w:after="0"/>
        <w:jc w:val="left"/>
        <w:rPr>
          <w:rFonts w:ascii="arial" w:hAnsi="arial"/>
          <w:b/>
          <w:sz w:val="19"/>
        </w:rPr>
      </w:pPr>
      <w:r>
        <w:rPr>
          <w:rFonts w:ascii="arial" w:hAnsi="arial"/>
          <w:b/>
          <w:sz w:val="19"/>
        </w:rPr>
        <w:t xml:space="preserve">Robert A. Bradway </w:t>
      </w:r>
    </w:p>
    <w:p>
      <w:pPr>
        <w:pStyle w:val="TextBody"/>
        <w:bidi w:val="0"/>
        <w:spacing w:before="0" w:after="0"/>
        <w:jc w:val="left"/>
        <w:rPr>
          <w:rFonts w:ascii="arial" w:hAnsi="arial"/>
          <w:i/>
          <w:sz w:val="19"/>
        </w:rPr>
      </w:pPr>
      <w:r>
        <w:rPr>
          <w:rFonts w:ascii="arial" w:hAnsi="arial"/>
          <w:i/>
          <w:sz w:val="19"/>
        </w:rPr>
        <w:t xml:space="preserve">Chairman of the Board, </w:t>
      </w:r>
    </w:p>
    <w:p>
      <w:pPr>
        <w:pStyle w:val="TextBody"/>
        <w:bidi w:val="0"/>
        <w:spacing w:before="0" w:after="0"/>
        <w:jc w:val="left"/>
        <w:rPr>
          <w:rFonts w:ascii="arial" w:hAnsi="arial"/>
          <w:i/>
          <w:sz w:val="19"/>
        </w:rPr>
      </w:pPr>
      <w:r>
        <w:rPr>
          <w:rFonts w:ascii="arial" w:hAnsi="arial"/>
          <w:i/>
          <w:sz w:val="19"/>
        </w:rPr>
        <w:t xml:space="preserve">Chief Executive Officer and President </w:t>
      </w:r>
    </w:p>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(1) </w:t>
            </w:r>
          </w:p>
        </w:tc>
        <w:tc>
          <w:tcPr>
            <w:tcW w:w="9919" w:type="dxa"/>
            <w:tcBorders/>
            <w:vAlign w:val="center"/>
          </w:tcPr>
          <w:p>
            <w:pPr>
              <w:pStyle w:val="TableContents"/>
              <w:bidi w:val="0"/>
              <w:spacing w:before="0" w:after="0"/>
              <w:jc w:val="both"/>
              <w:rPr>
                <w:rFonts w:ascii="arial" w:hAnsi="arial"/>
                <w:sz w:val="16"/>
              </w:rPr>
            </w:pPr>
            <w:r>
              <w:rPr>
                <w:rFonts w:ascii="arial" w:hAnsi="arial"/>
                <w:sz w:val="16"/>
              </w:rPr>
              <w:t xml:space="preserve">Breakthrough Therapy Designation is a process designed to expedite the development and review of drugs that are intended to treat a serious condition and preliminary clinical evidence indicates that the drug may demonstrate substantial improvement over available therapy on a clinically significant endpoint. </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pPr>
            <w:r>
              <w:rPr/>
              <w:t>(2) </w:t>
            </w:r>
          </w:p>
        </w:tc>
        <w:tc>
          <w:tcPr>
            <w:tcW w:w="9910" w:type="dxa"/>
            <w:tcBorders/>
            <w:vAlign w:val="center"/>
          </w:tcPr>
          <w:p>
            <w:pPr>
              <w:pStyle w:val="TableContents"/>
              <w:bidi w:val="0"/>
              <w:spacing w:before="0" w:after="0"/>
              <w:jc w:val="both"/>
              <w:rPr>
                <w:rFonts w:ascii="arial" w:hAnsi="arial"/>
                <w:sz w:val="16"/>
              </w:rPr>
            </w:pPr>
            <w:r>
              <w:rPr>
                <w:rFonts w:ascii="arial" w:hAnsi="arial"/>
                <w:sz w:val="16"/>
              </w:rPr>
              <w:t xml:space="preserve">Carbon neutrality goal refers to Scope 1 and 2 emissions. Reductions take into account only verified reduction projections, and do not take into account changes associated with the contraction or expansion of the Company and are measured against a 2019 baseline. </w:t>
            </w:r>
          </w:p>
        </w:tc>
      </w:tr>
    </w:tbl>
    <w:p>
      <w:pPr>
        <w:pStyle w:val="HorizontalLine"/>
        <w:bidi w:val="0"/>
        <w:jc w:val="left"/>
        <w:rPr/>
      </w:pPr>
      <w:r>
        <w:br w:type="page"/>
      </w:r>
      <w:r>
        <w:rPr/>
      </w:r>
    </w:p>
    <w:tbl>
      <w:tblPr>
        <w:tblW w:w="3080" w:type="dxa"/>
        <w:jc w:val="left"/>
        <w:tblInd w:w="0" w:type="dxa"/>
        <w:tblLayout w:type="fixed"/>
        <w:tblCellMar>
          <w:top w:w="0" w:type="dxa"/>
          <w:left w:w="0" w:type="dxa"/>
          <w:bottom w:w="0" w:type="dxa"/>
          <w:right w:w="0" w:type="dxa"/>
        </w:tblCellMar>
      </w:tblPr>
      <w:tblGrid>
        <w:gridCol w:w="3080"/>
      </w:tblGrid>
      <w:tr>
        <w:trPr/>
        <w:tc>
          <w:tcPr>
            <w:tcW w:w="3080" w:type="dxa"/>
            <w:tcBorders/>
            <w:vAlign w:val="center"/>
          </w:tcPr>
          <w:p>
            <w:pPr>
              <w:pStyle w:val="TableContents"/>
              <w:bidi w:val="0"/>
              <w:spacing w:before="0" w:after="283"/>
              <w:jc w:val="left"/>
              <w:rPr>
                <w:sz w:val="4"/>
                <w:szCs w:val="4"/>
              </w:rPr>
            </w:pPr>
            <w:r>
              <w:rPr>
                <w:sz w:val="4"/>
                <w:szCs w:val="4"/>
              </w:rPr>
            </w:r>
          </w:p>
        </w:tc>
      </w:tr>
      <w:tr>
        <w:trPr/>
        <w:tc>
          <w:tcPr>
            <w:tcW w:w="3080" w:type="dxa"/>
            <w:tcBorders/>
            <w:vAlign w:val="center"/>
          </w:tcPr>
          <w:p>
            <w:pPr>
              <w:pStyle w:val="TableContents"/>
              <w:bidi w:val="0"/>
              <w:spacing w:before="0" w:after="0"/>
              <w:jc w:val="left"/>
              <w:rPr>
                <w:rFonts w:ascii="arial" w:hAnsi="arial"/>
                <w:b/>
                <w:sz w:val="16"/>
              </w:rPr>
            </w:pPr>
            <w:r>
              <w:rPr>
                <w:rFonts w:ascii="arial" w:hAnsi="arial"/>
                <w:b/>
                <w:sz w:val="16"/>
              </w:rPr>
              <w:t>Amgen Inc.</w:t>
            </w:r>
          </w:p>
          <w:p>
            <w:pPr>
              <w:pStyle w:val="TableContents"/>
              <w:bidi w:val="0"/>
              <w:spacing w:before="0" w:after="0"/>
              <w:jc w:val="left"/>
              <w:rPr>
                <w:rFonts w:ascii="arial" w:hAnsi="arial"/>
                <w:b/>
                <w:sz w:val="16"/>
              </w:rPr>
            </w:pPr>
            <w:r>
              <w:rPr>
                <w:rFonts w:ascii="arial" w:hAnsi="arial"/>
                <w:b/>
                <w:sz w:val="16"/>
              </w:rPr>
              <w:t>One Amgen Center Drive</w:t>
            </w:r>
          </w:p>
          <w:p>
            <w:pPr>
              <w:pStyle w:val="TableContents"/>
              <w:bidi w:val="0"/>
              <w:spacing w:before="0" w:after="20"/>
              <w:jc w:val="left"/>
              <w:rPr>
                <w:rFonts w:ascii="arial" w:hAnsi="arial"/>
                <w:b/>
                <w:sz w:val="16"/>
              </w:rPr>
            </w:pPr>
            <w:r>
              <w:rPr>
                <w:rFonts w:ascii="arial" w:hAnsi="arial"/>
                <w:b/>
                <w:sz w:val="16"/>
              </w:rPr>
              <w:t>Thousand Oaks, California 91320-1799</w:t>
            </w:r>
          </w:p>
        </w:tc>
      </w:tr>
    </w:tbl>
    <w:p>
      <w:pPr>
        <w:pStyle w:val="TextBody"/>
        <w:bidi w:val="0"/>
        <w:spacing w:before="240" w:after="0"/>
        <w:jc w:val="left"/>
        <w:rPr>
          <w:rFonts w:ascii="arial" w:hAnsi="arial"/>
          <w:b/>
          <w:color w:val="0171B9"/>
          <w:sz w:val="44"/>
        </w:rPr>
      </w:pPr>
      <w:r>
        <w:rPr>
          <w:rFonts w:ascii="arial" w:hAnsi="arial"/>
          <w:b/>
          <w:color w:val="0171B9"/>
          <w:sz w:val="44"/>
        </w:rPr>
        <w:t xml:space="preserve">Notice of Annual Meeting of Stockholders </w:t>
      </w:r>
    </w:p>
    <w:p>
      <w:pPr>
        <w:pStyle w:val="TextBody"/>
        <w:bidi w:val="0"/>
        <w:spacing w:before="240" w:after="0"/>
        <w:jc w:val="left"/>
        <w:rPr>
          <w:rFonts w:ascii="arial" w:hAnsi="arial"/>
          <w:b/>
          <w:color w:val="0171B9"/>
          <w:sz w:val="28"/>
        </w:rPr>
      </w:pPr>
      <w:r>
        <w:rPr>
          <w:rFonts w:ascii="arial" w:hAnsi="arial"/>
          <w:b/>
          <w:color w:val="0171B9"/>
          <w:sz w:val="28"/>
        </w:rPr>
        <w:t xml:space="preserve">To be Held on May 31, 2024 </w:t>
      </w:r>
    </w:p>
    <w:p>
      <w:pPr>
        <w:pStyle w:val="TextBody"/>
        <w:pBdr>
          <w:bottom w:val="single" w:sz="2" w:space="1" w:color="666666"/>
        </w:pBdr>
        <w:bidi w:val="0"/>
        <w:spacing w:lineRule="atLeast" w:line="142" w:before="0" w:after="40"/>
        <w:jc w:val="left"/>
        <w:rPr/>
      </w:pPr>
      <w:r>
        <w:rPr/>
        <w:t> </w:t>
      </w:r>
    </w:p>
    <w:p>
      <w:pPr>
        <w:pStyle w:val="TextBody"/>
        <w:bidi w:val="0"/>
        <w:spacing w:before="120" w:after="0"/>
        <w:jc w:val="left"/>
        <w:rPr>
          <w:rFonts w:ascii="arial" w:hAnsi="arial"/>
          <w:b/>
          <w:sz w:val="24"/>
        </w:rPr>
      </w:pPr>
      <w:r>
        <w:rPr>
          <w:rFonts w:ascii="arial" w:hAnsi="arial"/>
          <w:b/>
          <w:sz w:val="24"/>
        </w:rPr>
        <w:t xml:space="preserve">To the Stockholders of Amgen Inc.: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66"/>
        <w:gridCol w:w="60"/>
        <w:gridCol w:w="2533"/>
        <w:gridCol w:w="2533"/>
        <w:gridCol w:w="3513"/>
      </w:tblGrid>
      <w:tr>
        <w:trPr/>
        <w:tc>
          <w:tcPr>
            <w:tcW w:w="15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sz w:val="4"/>
                <w:szCs w:val="4"/>
              </w:rPr>
            </w:pPr>
            <w:r>
              <w:rPr>
                <w:sz w:val="4"/>
                <w:szCs w:val="4"/>
              </w:rPr>
            </w:r>
          </w:p>
        </w:tc>
        <w:tc>
          <w:tcPr>
            <w:tcW w:w="3513" w:type="dxa"/>
            <w:tcBorders/>
            <w:vAlign w:val="center"/>
          </w:tcPr>
          <w:p>
            <w:pPr>
              <w:pStyle w:val="TableContents"/>
              <w:bidi w:val="0"/>
              <w:spacing w:before="0" w:after="283"/>
              <w:jc w:val="left"/>
              <w:rPr>
                <w:sz w:val="4"/>
                <w:szCs w:val="4"/>
              </w:rPr>
            </w:pPr>
            <w:r>
              <w:rPr>
                <w:sz w:val="4"/>
                <w:szCs w:val="4"/>
              </w:rPr>
            </w:r>
          </w:p>
        </w:tc>
      </w:tr>
      <w:tr>
        <w:trPr/>
        <w:tc>
          <w:tcPr>
            <w:tcW w:w="1566" w:type="dxa"/>
            <w:tcBorders/>
            <w:vAlign w:val="center"/>
          </w:tcPr>
          <w:p>
            <w:pPr>
              <w:pStyle w:val="TableContents"/>
              <w:bidi w:val="0"/>
              <w:spacing w:before="0" w:after="283"/>
              <w:jc w:val="left"/>
              <w:rPr>
                <w:b/>
                <w:color w:val="0171B9"/>
              </w:rPr>
            </w:pPr>
            <w:r>
              <w:rPr>
                <w:b/>
                <w:color w:val="0171B9"/>
              </w:rPr>
              <w:t>Date and Time:</w:t>
            </w:r>
          </w:p>
        </w:tc>
        <w:tc>
          <w:tcPr>
            <w:tcW w:w="60" w:type="dxa"/>
            <w:tcBorders/>
            <w:vAlign w:val="center"/>
          </w:tcPr>
          <w:p>
            <w:pPr>
              <w:pStyle w:val="TableContents"/>
              <w:bidi w:val="0"/>
              <w:spacing w:before="0" w:after="283"/>
              <w:jc w:val="left"/>
              <w:rPr/>
            </w:pPr>
            <w:r>
              <w:rPr/>
              <w:t> </w:t>
            </w:r>
          </w:p>
        </w:tc>
        <w:tc>
          <w:tcPr>
            <w:tcW w:w="8579" w:type="dxa"/>
            <w:gridSpan w:val="3"/>
            <w:tcBorders/>
            <w:vAlign w:val="center"/>
          </w:tcPr>
          <w:p>
            <w:pPr>
              <w:pStyle w:val="TableContents"/>
              <w:bidi w:val="0"/>
              <w:spacing w:before="0" w:after="0"/>
              <w:jc w:val="both"/>
              <w:rPr>
                <w:rFonts w:ascii="arial" w:hAnsi="arial"/>
                <w:sz w:val="16"/>
              </w:rPr>
            </w:pPr>
            <w:r>
              <w:rPr>
                <w:rFonts w:ascii="arial" w:hAnsi="arial"/>
                <w:sz w:val="16"/>
              </w:rPr>
              <w:t>Friday, May 31, 2024, at 11:00 A.M., Pacific Time</w:t>
            </w:r>
          </w:p>
        </w:tc>
      </w:tr>
      <w:tr>
        <w:trPr/>
        <w:tc>
          <w:tcPr>
            <w:tcW w:w="1566" w:type="dxa"/>
            <w:tcBorders/>
            <w:vAlign w:val="center"/>
          </w:tcPr>
          <w:p>
            <w:pPr>
              <w:pStyle w:val="TableContents"/>
              <w:bidi w:val="0"/>
              <w:spacing w:before="0" w:after="283"/>
              <w:jc w:val="left"/>
              <w:rPr>
                <w:sz w:val="4"/>
                <w:szCs w:val="4"/>
              </w:rPr>
            </w:pPr>
            <w:r>
              <w:rPr>
                <w:sz w:val="4"/>
                <w:szCs w:val="4"/>
              </w:rPr>
            </w:r>
          </w:p>
        </w:tc>
        <w:tc>
          <w:tcPr>
            <w:tcW w:w="8639" w:type="dxa"/>
            <w:gridSpan w:val="4"/>
            <w:tcBorders/>
            <w:vAlign w:val="center"/>
          </w:tcPr>
          <w:p>
            <w:pPr>
              <w:pStyle w:val="TableContents"/>
              <w:bidi w:val="0"/>
              <w:spacing w:before="0" w:after="283"/>
              <w:jc w:val="left"/>
              <w:rPr>
                <w:sz w:val="4"/>
                <w:szCs w:val="4"/>
              </w:rPr>
            </w:pPr>
            <w:r>
              <w:rPr>
                <w:sz w:val="4"/>
                <w:szCs w:val="4"/>
              </w:rPr>
            </w:r>
          </w:p>
        </w:tc>
      </w:tr>
      <w:tr>
        <w:trPr/>
        <w:tc>
          <w:tcPr>
            <w:tcW w:w="1566" w:type="dxa"/>
            <w:tcBorders/>
            <w:vAlign w:val="center"/>
          </w:tcPr>
          <w:p>
            <w:pPr>
              <w:pStyle w:val="TableContents"/>
              <w:bidi w:val="0"/>
              <w:spacing w:before="0" w:after="283"/>
              <w:jc w:val="left"/>
              <w:rPr>
                <w:b/>
                <w:color w:val="0171B9"/>
              </w:rPr>
            </w:pPr>
            <w:r>
              <w:rPr>
                <w:b/>
                <w:color w:val="0171B9"/>
              </w:rPr>
              <w:t>Location:</w:t>
            </w:r>
          </w:p>
        </w:tc>
        <w:tc>
          <w:tcPr>
            <w:tcW w:w="60" w:type="dxa"/>
            <w:tcBorders/>
            <w:vAlign w:val="center"/>
          </w:tcPr>
          <w:p>
            <w:pPr>
              <w:pStyle w:val="TableContents"/>
              <w:bidi w:val="0"/>
              <w:spacing w:before="0" w:after="283"/>
              <w:jc w:val="left"/>
              <w:rPr/>
            </w:pPr>
            <w:r>
              <w:rPr/>
              <w:t> </w:t>
            </w:r>
          </w:p>
        </w:tc>
        <w:tc>
          <w:tcPr>
            <w:tcW w:w="8579" w:type="dxa"/>
            <w:gridSpan w:val="3"/>
            <w:tcBorders/>
            <w:vAlign w:val="center"/>
          </w:tcPr>
          <w:p>
            <w:pPr>
              <w:pStyle w:val="TableContents"/>
              <w:bidi w:val="0"/>
              <w:spacing w:before="0" w:after="0"/>
              <w:jc w:val="both"/>
              <w:rPr>
                <w:rFonts w:ascii="arial" w:hAnsi="arial"/>
                <w:sz w:val="16"/>
              </w:rPr>
            </w:pPr>
            <w:r>
              <w:rPr>
                <w:rFonts w:ascii="arial" w:hAnsi="arial"/>
                <w:sz w:val="16"/>
              </w:rPr>
              <w:t xml:space="preserve">Our 2024 Annual Meeting of Stockholders, or Annual Meeting, will be held solely by remote communication via the internet at </w:t>
            </w:r>
            <w:r>
              <w:rPr>
                <w:rFonts w:ascii="arial" w:hAnsi="arial"/>
                <w:i/>
                <w:color w:val="0171B9"/>
                <w:sz w:val="16"/>
              </w:rPr>
              <w:t>www.virtualshareholdermeeting.com/AMGN2024</w:t>
            </w:r>
            <w:r>
              <w:rPr>
                <w:rFonts w:ascii="arial" w:hAnsi="arial"/>
                <w:sz w:val="16"/>
              </w:rPr>
              <w:t>. Although the meeting will not be held in person, stockholders will, to the extent possible, be afforded the same rights and opportunities to participate at the virtual meeting similarly to how they would participate at an in-person meeting.</w:t>
            </w:r>
          </w:p>
          <w:p>
            <w:pPr>
              <w:pStyle w:val="TableContents"/>
              <w:bidi w:val="0"/>
              <w:spacing w:before="0" w:after="0"/>
              <w:jc w:val="left"/>
              <w:rPr/>
            </w:pPr>
            <w:r>
              <w:rPr/>
              <w:t> </w:t>
            </w:r>
          </w:p>
          <w:p>
            <w:pPr>
              <w:pStyle w:val="TableContents"/>
              <w:bidi w:val="0"/>
              <w:spacing w:before="0" w:after="20"/>
              <w:jc w:val="both"/>
              <w:rPr>
                <w:rFonts w:ascii="arial" w:hAnsi="arial"/>
                <w:sz w:val="16"/>
              </w:rPr>
            </w:pPr>
            <w:r>
              <w:rPr>
                <w:rFonts w:ascii="arial" w:hAnsi="arial"/>
                <w:sz w:val="16"/>
              </w:rPr>
              <w:t xml:space="preserve">Stockholders or their proxyholders may participate and vote at our Annual Meeting via the internet at </w:t>
            </w:r>
            <w:r>
              <w:rPr>
                <w:rFonts w:ascii="arial" w:hAnsi="arial"/>
                <w:i/>
                <w:color w:val="0171B9"/>
                <w:sz w:val="16"/>
              </w:rPr>
              <w:t>www.virtualshareholdermeeting.com/AMGN2024</w:t>
            </w:r>
            <w:r>
              <w:rPr>
                <w:rFonts w:ascii="arial" w:hAnsi="arial"/>
                <w:sz w:val="16"/>
              </w:rPr>
              <w:t xml:space="preserve"> and using your control number.</w:t>
            </w:r>
          </w:p>
        </w:tc>
      </w:tr>
      <w:tr>
        <w:trPr/>
        <w:tc>
          <w:tcPr>
            <w:tcW w:w="1566" w:type="dxa"/>
            <w:tcBorders/>
            <w:vAlign w:val="center"/>
          </w:tcPr>
          <w:p>
            <w:pPr>
              <w:pStyle w:val="TableContents"/>
              <w:bidi w:val="0"/>
              <w:spacing w:before="0" w:after="283"/>
              <w:jc w:val="left"/>
              <w:rPr>
                <w:sz w:val="4"/>
                <w:szCs w:val="4"/>
              </w:rPr>
            </w:pPr>
            <w:r>
              <w:rPr>
                <w:sz w:val="4"/>
                <w:szCs w:val="4"/>
              </w:rPr>
            </w:r>
          </w:p>
        </w:tc>
        <w:tc>
          <w:tcPr>
            <w:tcW w:w="8639" w:type="dxa"/>
            <w:gridSpan w:val="4"/>
            <w:tcBorders/>
            <w:vAlign w:val="center"/>
          </w:tcPr>
          <w:p>
            <w:pPr>
              <w:pStyle w:val="TableContents"/>
              <w:bidi w:val="0"/>
              <w:spacing w:before="0" w:after="283"/>
              <w:jc w:val="left"/>
              <w:rPr>
                <w:sz w:val="4"/>
                <w:szCs w:val="4"/>
              </w:rPr>
            </w:pPr>
            <w:r>
              <w:rPr>
                <w:sz w:val="4"/>
                <w:szCs w:val="4"/>
              </w:rPr>
            </w:r>
          </w:p>
        </w:tc>
      </w:tr>
      <w:tr>
        <w:trPr/>
        <w:tc>
          <w:tcPr>
            <w:tcW w:w="1566" w:type="dxa"/>
            <w:tcBorders/>
            <w:vAlign w:val="center"/>
          </w:tcPr>
          <w:p>
            <w:pPr>
              <w:pStyle w:val="TableContents"/>
              <w:bidi w:val="0"/>
              <w:spacing w:before="0" w:after="283"/>
              <w:jc w:val="left"/>
              <w:rPr>
                <w:b/>
                <w:color w:val="0171B9"/>
              </w:rPr>
            </w:pPr>
            <w:r>
              <w:rPr>
                <w:b/>
                <w:color w:val="0171B9"/>
              </w:rPr>
              <w:t>Record Date:</w:t>
            </w:r>
          </w:p>
        </w:tc>
        <w:tc>
          <w:tcPr>
            <w:tcW w:w="60" w:type="dxa"/>
            <w:tcBorders/>
            <w:vAlign w:val="center"/>
          </w:tcPr>
          <w:p>
            <w:pPr>
              <w:pStyle w:val="TableContents"/>
              <w:bidi w:val="0"/>
              <w:spacing w:before="0" w:after="283"/>
              <w:jc w:val="left"/>
              <w:rPr/>
            </w:pPr>
            <w:r>
              <w:rPr/>
              <w:t> </w:t>
            </w:r>
          </w:p>
        </w:tc>
        <w:tc>
          <w:tcPr>
            <w:tcW w:w="8579" w:type="dxa"/>
            <w:gridSpan w:val="3"/>
            <w:tcBorders/>
            <w:vAlign w:val="center"/>
          </w:tcPr>
          <w:p>
            <w:pPr>
              <w:pStyle w:val="TableContents"/>
              <w:bidi w:val="0"/>
              <w:spacing w:before="0" w:after="0"/>
              <w:jc w:val="both"/>
              <w:rPr>
                <w:rFonts w:ascii="arial" w:hAnsi="arial"/>
                <w:sz w:val="16"/>
              </w:rPr>
            </w:pPr>
            <w:r>
              <w:rPr>
                <w:rFonts w:ascii="arial" w:hAnsi="arial"/>
                <w:sz w:val="16"/>
              </w:rPr>
              <w:t>April 1, 2024. Amgen stockholders of record at the close of business on the record date are entitled to receive notice of, and vote at, the Annual Meeting and any continuation, postponement, or adjournment thereof.</w:t>
            </w:r>
          </w:p>
        </w:tc>
      </w:tr>
      <w:tr>
        <w:trPr/>
        <w:tc>
          <w:tcPr>
            <w:tcW w:w="1566" w:type="dxa"/>
            <w:tcBorders/>
            <w:vAlign w:val="center"/>
          </w:tcPr>
          <w:p>
            <w:pPr>
              <w:pStyle w:val="TableContents"/>
              <w:bidi w:val="0"/>
              <w:spacing w:before="0" w:after="283"/>
              <w:jc w:val="left"/>
              <w:rPr>
                <w:sz w:val="4"/>
                <w:szCs w:val="4"/>
              </w:rPr>
            </w:pPr>
            <w:r>
              <w:rPr>
                <w:sz w:val="4"/>
                <w:szCs w:val="4"/>
              </w:rPr>
            </w:r>
          </w:p>
        </w:tc>
        <w:tc>
          <w:tcPr>
            <w:tcW w:w="8639" w:type="dxa"/>
            <w:gridSpan w:val="4"/>
            <w:tcBorders/>
            <w:vAlign w:val="center"/>
          </w:tcPr>
          <w:p>
            <w:pPr>
              <w:pStyle w:val="TableContents"/>
              <w:bidi w:val="0"/>
              <w:spacing w:before="0" w:after="283"/>
              <w:jc w:val="left"/>
              <w:rPr>
                <w:sz w:val="4"/>
                <w:szCs w:val="4"/>
              </w:rPr>
            </w:pPr>
            <w:r>
              <w:rPr>
                <w:sz w:val="4"/>
                <w:szCs w:val="4"/>
              </w:rPr>
            </w:r>
          </w:p>
        </w:tc>
      </w:tr>
      <w:tr>
        <w:trPr/>
        <w:tc>
          <w:tcPr>
            <w:tcW w:w="1566" w:type="dxa"/>
            <w:tcBorders/>
            <w:vAlign w:val="center"/>
          </w:tcPr>
          <w:p>
            <w:pPr>
              <w:pStyle w:val="TableContents"/>
              <w:bidi w:val="0"/>
              <w:spacing w:before="0" w:after="283"/>
              <w:jc w:val="left"/>
              <w:rPr>
                <w:b/>
                <w:color w:val="0171B9"/>
              </w:rPr>
            </w:pPr>
            <w:r>
              <w:rPr>
                <w:b/>
                <w:color w:val="0171B9"/>
              </w:rPr>
              <w:t>Mail Date:</w:t>
            </w:r>
          </w:p>
        </w:tc>
        <w:tc>
          <w:tcPr>
            <w:tcW w:w="60" w:type="dxa"/>
            <w:tcBorders/>
            <w:vAlign w:val="center"/>
          </w:tcPr>
          <w:p>
            <w:pPr>
              <w:pStyle w:val="TableContents"/>
              <w:bidi w:val="0"/>
              <w:spacing w:before="0" w:after="283"/>
              <w:jc w:val="left"/>
              <w:rPr/>
            </w:pPr>
            <w:r>
              <w:rPr/>
              <w:t> </w:t>
            </w:r>
          </w:p>
        </w:tc>
        <w:tc>
          <w:tcPr>
            <w:tcW w:w="8579" w:type="dxa"/>
            <w:gridSpan w:val="3"/>
            <w:tcBorders/>
            <w:vAlign w:val="center"/>
          </w:tcPr>
          <w:p>
            <w:pPr>
              <w:pStyle w:val="TableContents"/>
              <w:bidi w:val="0"/>
              <w:spacing w:before="0" w:after="0"/>
              <w:jc w:val="both"/>
              <w:rPr>
                <w:rFonts w:ascii="arial" w:hAnsi="arial"/>
                <w:sz w:val="16"/>
              </w:rPr>
            </w:pPr>
            <w:r>
              <w:rPr>
                <w:rFonts w:ascii="arial" w:hAnsi="arial"/>
                <w:sz w:val="16"/>
              </w:rPr>
              <w:t>We intend to mail the Notice Regarding the Availability of Proxy Materials, or Notice, or the proxy statement and proxy card, as applicable, on or about April 17, 2024, to our stockholders of record on the record date.</w:t>
            </w:r>
          </w:p>
        </w:tc>
      </w:tr>
    </w:tbl>
    <w:tbl>
      <w:tblPr>
        <w:tblW w:w="10205" w:type="dxa"/>
        <w:jc w:val="left"/>
        <w:tblInd w:w="0" w:type="dxa"/>
        <w:tblLayout w:type="fixed"/>
        <w:tblCellMar>
          <w:top w:w="0" w:type="dxa"/>
          <w:left w:w="0" w:type="dxa"/>
          <w:bottom w:w="0" w:type="dxa"/>
          <w:right w:w="0" w:type="dxa"/>
        </w:tblCellMar>
      </w:tblPr>
      <w:tblGrid>
        <w:gridCol w:w="38"/>
        <w:gridCol w:w="60"/>
        <w:gridCol w:w="156"/>
        <w:gridCol w:w="60"/>
        <w:gridCol w:w="9891"/>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91"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b/>
                <w:color w:val="0171B9"/>
              </w:rPr>
            </w:pPr>
            <w:r>
              <w:rPr>
                <w:b/>
                <w:color w:val="0171B9"/>
              </w:rPr>
              <w:t>Items of Business:</w:t>
            </w:r>
          </w:p>
        </w:tc>
      </w:tr>
      <w:tr>
        <w:trPr/>
        <w:tc>
          <w:tcPr>
            <w:tcW w:w="38" w:type="dxa"/>
            <w:tcBorders/>
            <w:vAlign w:val="center"/>
          </w:tcPr>
          <w:p>
            <w:pPr>
              <w:pStyle w:val="TableContents"/>
              <w:bidi w:val="0"/>
              <w:spacing w:before="0" w:after="283"/>
              <w:jc w:val="left"/>
              <w:rPr>
                <w:sz w:val="4"/>
                <w:szCs w:val="4"/>
              </w:rPr>
            </w:pPr>
            <w:r>
              <w:rPr>
                <w:sz w:val="4"/>
                <w:szCs w:val="4"/>
              </w:rPr>
            </w:r>
          </w:p>
        </w:tc>
        <w:tc>
          <w:tcPr>
            <w:tcW w:w="216" w:type="dxa"/>
            <w:gridSpan w:val="2"/>
            <w:tcBorders/>
            <w:vAlign w:val="center"/>
          </w:tcPr>
          <w:p>
            <w:pPr>
              <w:pStyle w:val="TableContents"/>
              <w:bidi w:val="0"/>
              <w:spacing w:before="0" w:after="283"/>
              <w:jc w:val="left"/>
              <w:rPr>
                <w:sz w:val="4"/>
                <w:szCs w:val="4"/>
              </w:rPr>
            </w:pPr>
            <w:r>
              <w:rPr>
                <w:sz w:val="4"/>
                <w:szCs w:val="4"/>
              </w:rPr>
            </w:r>
          </w:p>
        </w:tc>
        <w:tc>
          <w:tcPr>
            <w:tcW w:w="9951" w:type="dxa"/>
            <w:gridSpan w:val="2"/>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b/>
                <w:color w:val="0171B9"/>
              </w:rPr>
            </w:pPr>
            <w:r>
              <w:rPr>
                <w:b/>
                <w:color w:val="0171B9"/>
              </w:rPr>
              <w:t>1.</w:t>
            </w:r>
          </w:p>
        </w:tc>
        <w:tc>
          <w:tcPr>
            <w:tcW w:w="60" w:type="dxa"/>
            <w:tcBorders/>
            <w:vAlign w:val="center"/>
          </w:tcPr>
          <w:p>
            <w:pPr>
              <w:pStyle w:val="TableContents"/>
              <w:bidi w:val="0"/>
              <w:spacing w:before="0" w:after="283"/>
              <w:jc w:val="left"/>
              <w:rPr/>
            </w:pPr>
            <w:r>
              <w:rPr/>
              <w:t> </w:t>
            </w:r>
          </w:p>
        </w:tc>
        <w:tc>
          <w:tcPr>
            <w:tcW w:w="9891" w:type="dxa"/>
            <w:tcBorders/>
            <w:vAlign w:val="center"/>
          </w:tcPr>
          <w:p>
            <w:pPr>
              <w:pStyle w:val="TableContents"/>
              <w:bidi w:val="0"/>
              <w:spacing w:before="0" w:after="0"/>
              <w:jc w:val="both"/>
              <w:rPr>
                <w:rFonts w:ascii="arial" w:hAnsi="arial"/>
                <w:sz w:val="16"/>
              </w:rPr>
            </w:pPr>
            <w:r>
              <w:rPr>
                <w:rFonts w:ascii="arial" w:hAnsi="arial"/>
                <w:sz w:val="16"/>
              </w:rPr>
              <w:t>To elect 12 directors to the Board of Directors of Amgen for a term of office expiring at the 2025 annual meeting of stockholders. The nominees for election to the Board of Directors are Dr. Wanda M. Austin, Mr. Robert A. Bradway, Dr. Michael V. Drake, Dr. Brian J. Druker, Mr. Robert A. Eckert, Mr. Greg C. Garland, Mr. Charles M. Holley, Jr., Dr. S. Omar Ishrak, Dr. Tyler Jacks, Dr. Mary E. Klotman, Ms. Ellen J. Kullman, and Ms. Amy E. Miles;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216" w:type="dxa"/>
            <w:gridSpan w:val="2"/>
            <w:tcBorders/>
            <w:vAlign w:val="center"/>
          </w:tcPr>
          <w:p>
            <w:pPr>
              <w:pStyle w:val="TableContents"/>
              <w:bidi w:val="0"/>
              <w:spacing w:before="0" w:after="283"/>
              <w:jc w:val="left"/>
              <w:rPr>
                <w:sz w:val="4"/>
                <w:szCs w:val="4"/>
              </w:rPr>
            </w:pPr>
            <w:r>
              <w:rPr>
                <w:sz w:val="4"/>
                <w:szCs w:val="4"/>
              </w:rPr>
            </w:r>
          </w:p>
        </w:tc>
        <w:tc>
          <w:tcPr>
            <w:tcW w:w="9951" w:type="dxa"/>
            <w:gridSpan w:val="2"/>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b/>
                <w:color w:val="0171B9"/>
              </w:rPr>
            </w:pPr>
            <w:r>
              <w:rPr>
                <w:b/>
                <w:color w:val="0171B9"/>
              </w:rPr>
              <w:t>2.</w:t>
            </w:r>
          </w:p>
        </w:tc>
        <w:tc>
          <w:tcPr>
            <w:tcW w:w="60" w:type="dxa"/>
            <w:tcBorders/>
            <w:vAlign w:val="center"/>
          </w:tcPr>
          <w:p>
            <w:pPr>
              <w:pStyle w:val="TableContents"/>
              <w:bidi w:val="0"/>
              <w:spacing w:before="0" w:after="283"/>
              <w:jc w:val="left"/>
              <w:rPr/>
            </w:pPr>
            <w:r>
              <w:rPr/>
              <w:t> </w:t>
            </w:r>
          </w:p>
        </w:tc>
        <w:tc>
          <w:tcPr>
            <w:tcW w:w="9891" w:type="dxa"/>
            <w:tcBorders/>
            <w:vAlign w:val="center"/>
          </w:tcPr>
          <w:p>
            <w:pPr>
              <w:pStyle w:val="TableContents"/>
              <w:bidi w:val="0"/>
              <w:spacing w:before="0" w:after="0"/>
              <w:jc w:val="both"/>
              <w:rPr>
                <w:rFonts w:ascii="arial" w:hAnsi="arial"/>
                <w:sz w:val="16"/>
              </w:rPr>
            </w:pPr>
            <w:r>
              <w:rPr>
                <w:rFonts w:ascii="arial" w:hAnsi="arial"/>
                <w:sz w:val="16"/>
              </w:rPr>
              <w:t>To hold an advisory vote to approve our executive compensation;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216" w:type="dxa"/>
            <w:gridSpan w:val="2"/>
            <w:tcBorders/>
            <w:vAlign w:val="center"/>
          </w:tcPr>
          <w:p>
            <w:pPr>
              <w:pStyle w:val="TableContents"/>
              <w:bidi w:val="0"/>
              <w:spacing w:before="0" w:after="283"/>
              <w:jc w:val="left"/>
              <w:rPr>
                <w:sz w:val="4"/>
                <w:szCs w:val="4"/>
              </w:rPr>
            </w:pPr>
            <w:r>
              <w:rPr>
                <w:sz w:val="4"/>
                <w:szCs w:val="4"/>
              </w:rPr>
            </w:r>
          </w:p>
        </w:tc>
        <w:tc>
          <w:tcPr>
            <w:tcW w:w="9951" w:type="dxa"/>
            <w:gridSpan w:val="2"/>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b/>
                <w:color w:val="0171B9"/>
              </w:rPr>
            </w:pPr>
            <w:r>
              <w:rPr>
                <w:b/>
                <w:color w:val="0171B9"/>
              </w:rPr>
              <w:t>3.</w:t>
            </w:r>
          </w:p>
        </w:tc>
        <w:tc>
          <w:tcPr>
            <w:tcW w:w="60" w:type="dxa"/>
            <w:tcBorders/>
            <w:vAlign w:val="center"/>
          </w:tcPr>
          <w:p>
            <w:pPr>
              <w:pStyle w:val="TableContents"/>
              <w:bidi w:val="0"/>
              <w:spacing w:before="0" w:after="283"/>
              <w:jc w:val="left"/>
              <w:rPr/>
            </w:pPr>
            <w:r>
              <w:rPr/>
              <w:t> </w:t>
            </w:r>
          </w:p>
        </w:tc>
        <w:tc>
          <w:tcPr>
            <w:tcW w:w="9891" w:type="dxa"/>
            <w:tcBorders/>
            <w:vAlign w:val="center"/>
          </w:tcPr>
          <w:p>
            <w:pPr>
              <w:pStyle w:val="TableContents"/>
              <w:bidi w:val="0"/>
              <w:spacing w:before="0" w:after="0"/>
              <w:jc w:val="both"/>
              <w:rPr>
                <w:rFonts w:ascii="arial" w:hAnsi="arial"/>
                <w:sz w:val="16"/>
              </w:rPr>
            </w:pPr>
            <w:r>
              <w:rPr>
                <w:rFonts w:ascii="arial" w:hAnsi="arial"/>
                <w:sz w:val="16"/>
              </w:rPr>
              <w:t>To approve our proposed Amgen Inc. Second Amended and Restated 2009 Equity Incentive Plan, which amends our existing Amended and Restated 2009 Equity Incentive Plan to, in part, increase the authorized number of shares issuable under the plan by 31,297,000 shares;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216" w:type="dxa"/>
            <w:gridSpan w:val="2"/>
            <w:tcBorders/>
            <w:vAlign w:val="center"/>
          </w:tcPr>
          <w:p>
            <w:pPr>
              <w:pStyle w:val="TableContents"/>
              <w:bidi w:val="0"/>
              <w:spacing w:before="0" w:after="283"/>
              <w:jc w:val="left"/>
              <w:rPr>
                <w:sz w:val="4"/>
                <w:szCs w:val="4"/>
              </w:rPr>
            </w:pPr>
            <w:r>
              <w:rPr>
                <w:sz w:val="4"/>
                <w:szCs w:val="4"/>
              </w:rPr>
            </w:r>
          </w:p>
        </w:tc>
        <w:tc>
          <w:tcPr>
            <w:tcW w:w="9951" w:type="dxa"/>
            <w:gridSpan w:val="2"/>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b/>
                <w:color w:val="0171B9"/>
              </w:rPr>
            </w:pPr>
            <w:r>
              <w:rPr>
                <w:b/>
                <w:color w:val="0171B9"/>
              </w:rPr>
              <w:t>4.</w:t>
            </w:r>
          </w:p>
        </w:tc>
        <w:tc>
          <w:tcPr>
            <w:tcW w:w="60" w:type="dxa"/>
            <w:tcBorders/>
            <w:vAlign w:val="center"/>
          </w:tcPr>
          <w:p>
            <w:pPr>
              <w:pStyle w:val="TableContents"/>
              <w:bidi w:val="0"/>
              <w:spacing w:before="0" w:after="283"/>
              <w:jc w:val="left"/>
              <w:rPr/>
            </w:pPr>
            <w:r>
              <w:rPr/>
              <w:t> </w:t>
            </w:r>
          </w:p>
        </w:tc>
        <w:tc>
          <w:tcPr>
            <w:tcW w:w="9891" w:type="dxa"/>
            <w:tcBorders/>
            <w:vAlign w:val="center"/>
          </w:tcPr>
          <w:p>
            <w:pPr>
              <w:pStyle w:val="TableContents"/>
              <w:bidi w:val="0"/>
              <w:spacing w:before="0" w:after="0"/>
              <w:jc w:val="both"/>
              <w:rPr>
                <w:rFonts w:ascii="arial" w:hAnsi="arial"/>
                <w:sz w:val="16"/>
              </w:rPr>
            </w:pPr>
            <w:r>
              <w:rPr>
                <w:rFonts w:ascii="arial" w:hAnsi="arial"/>
                <w:sz w:val="16"/>
              </w:rPr>
              <w:t>To ratify the selection of Ernst &amp; Young LLP as our independent registered public accountants for the fiscal year ending December 31, 2024;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216" w:type="dxa"/>
            <w:gridSpan w:val="2"/>
            <w:tcBorders/>
            <w:vAlign w:val="center"/>
          </w:tcPr>
          <w:p>
            <w:pPr>
              <w:pStyle w:val="TableContents"/>
              <w:bidi w:val="0"/>
              <w:spacing w:before="0" w:after="283"/>
              <w:jc w:val="left"/>
              <w:rPr>
                <w:sz w:val="4"/>
                <w:szCs w:val="4"/>
              </w:rPr>
            </w:pPr>
            <w:r>
              <w:rPr>
                <w:sz w:val="4"/>
                <w:szCs w:val="4"/>
              </w:rPr>
            </w:r>
          </w:p>
        </w:tc>
        <w:tc>
          <w:tcPr>
            <w:tcW w:w="9951" w:type="dxa"/>
            <w:gridSpan w:val="2"/>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b/>
                <w:color w:val="0171B9"/>
              </w:rPr>
            </w:pPr>
            <w:r>
              <w:rPr>
                <w:b/>
                <w:color w:val="0171B9"/>
              </w:rPr>
              <w:t>5.</w:t>
            </w:r>
          </w:p>
        </w:tc>
        <w:tc>
          <w:tcPr>
            <w:tcW w:w="60" w:type="dxa"/>
            <w:tcBorders/>
            <w:vAlign w:val="center"/>
          </w:tcPr>
          <w:p>
            <w:pPr>
              <w:pStyle w:val="TableContents"/>
              <w:bidi w:val="0"/>
              <w:spacing w:before="0" w:after="283"/>
              <w:jc w:val="left"/>
              <w:rPr/>
            </w:pPr>
            <w:r>
              <w:rPr/>
              <w:t> </w:t>
            </w:r>
          </w:p>
        </w:tc>
        <w:tc>
          <w:tcPr>
            <w:tcW w:w="9891" w:type="dxa"/>
            <w:tcBorders/>
            <w:vAlign w:val="center"/>
          </w:tcPr>
          <w:p>
            <w:pPr>
              <w:pStyle w:val="TableContents"/>
              <w:bidi w:val="0"/>
              <w:spacing w:before="0" w:after="0"/>
              <w:jc w:val="both"/>
              <w:rPr>
                <w:rFonts w:ascii="arial" w:hAnsi="arial"/>
                <w:sz w:val="16"/>
              </w:rPr>
            </w:pPr>
            <w:r>
              <w:rPr>
                <w:rFonts w:ascii="arial" w:hAnsi="arial"/>
                <w:sz w:val="16"/>
              </w:rPr>
              <w:t>To transact such other business as may properly come before the Annual Meeting or any continuation, postponement, or adjournment thereof.</w:t>
            </w:r>
          </w:p>
        </w:tc>
      </w:tr>
      <w:tr>
        <w:trPr/>
        <w:tc>
          <w:tcPr>
            <w:tcW w:w="10205" w:type="dxa"/>
            <w:gridSpan w:val="5"/>
            <w:tcBorders/>
            <w:vAlign w:val="center"/>
          </w:tcPr>
          <w:p>
            <w:pPr>
              <w:pStyle w:val="TableContents"/>
              <w:bidi w:val="0"/>
              <w:spacing w:before="0" w:after="0"/>
              <w:jc w:val="left"/>
              <w:rPr/>
            </w:pPr>
            <w:r>
              <w:rPr/>
              <w:t> </w:t>
            </w:r>
          </w:p>
          <w:p>
            <w:pPr>
              <w:pStyle w:val="TableContents"/>
              <w:bidi w:val="0"/>
              <w:spacing w:before="0" w:after="20"/>
              <w:jc w:val="both"/>
              <w:rPr>
                <w:rFonts w:ascii="arial" w:hAnsi="arial"/>
                <w:sz w:val="16"/>
              </w:rPr>
            </w:pPr>
            <w:r>
              <w:rPr>
                <w:rFonts w:ascii="arial" w:hAnsi="arial"/>
                <w:b/>
                <w:color w:val="0171B9"/>
                <w:sz w:val="16"/>
              </w:rPr>
              <w:t>Attendance:</w:t>
            </w:r>
            <w:r>
              <w:rPr>
                <w:rFonts w:ascii="arial" w:hAnsi="arial"/>
                <w:sz w:val="16"/>
              </w:rPr>
              <w:t xml:space="preserve"> The live audio webcast of the Annual Meeting will begin promptly at 11:00 A.M., Pacific Time. To participate in the virtual meeting, you will need the control number included on your Notice, proxy card, or voting instruction form. We encourage you to access the meeting prior to the start time. Please read “Information Concerning Voting and Solicitation—Attendance at the Annual Meeting” in the accompanying proxy statement.</w:t>
            </w:r>
          </w:p>
        </w:tc>
      </w:tr>
    </w:tbl>
    <w:p>
      <w:pPr>
        <w:pStyle w:val="TextBody"/>
        <w:bidi w:val="0"/>
        <w:spacing w:before="120" w:after="0"/>
        <w:jc w:val="both"/>
        <w:rPr>
          <w:rFonts w:ascii="arial" w:hAnsi="arial"/>
          <w:sz w:val="16"/>
        </w:rPr>
      </w:pPr>
      <w:r>
        <w:rPr>
          <w:rFonts w:ascii="arial" w:hAnsi="arial"/>
          <w:b/>
          <w:color w:val="0171B9"/>
          <w:sz w:val="16"/>
        </w:rPr>
        <w:t>Voting:</w:t>
      </w:r>
      <w:r>
        <w:rPr>
          <w:rFonts w:ascii="arial" w:hAnsi="arial"/>
          <w:sz w:val="16"/>
        </w:rPr>
        <w:t xml:space="preserve"> </w:t>
      </w:r>
      <w:r>
        <w:rPr>
          <w:rFonts w:ascii="arial" w:hAnsi="arial"/>
          <w:b/>
          <w:sz w:val="16"/>
          <w:u w:val="single"/>
        </w:rPr>
        <w:t>Your vote is important, regardless of the number of shares that you own</w:t>
      </w:r>
      <w:r>
        <w:rPr>
          <w:rFonts w:ascii="arial" w:hAnsi="arial"/>
          <w:sz w:val="16"/>
        </w:rPr>
        <w:t xml:space="preserve">. Whether or not you plan to attend the Annual Meeting, it is important that your shares be represented and voted. Please read the Notice and proxy statement with care and follow the voting instructions to ensure that your shares are represented. By submitting your proxy promptly, you will save the Company the expense of further proxy solicitation. We encourage you to submit your proxy as soon as possible by internet, by telephone, or by signing, dating, and returning all proxy cards or instruction forms provided to you. </w:t>
      </w:r>
    </w:p>
    <w:p>
      <w:pPr>
        <w:pStyle w:val="TextBody"/>
        <w:bidi w:val="0"/>
        <w:spacing w:before="240" w:after="0"/>
        <w:jc w:val="left"/>
        <w:rPr>
          <w:rFonts w:ascii="arial" w:hAnsi="arial"/>
          <w:sz w:val="16"/>
        </w:rPr>
      </w:pPr>
      <w:r>
        <w:rPr>
          <w:rFonts w:ascii="arial" w:hAnsi="arial"/>
          <w:sz w:val="16"/>
        </w:rPr>
        <w:t xml:space="preserve">By Order of the Board of Directors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both"/>
        <w:rPr/>
      </w:pPr>
      <w:r>
        <w:rPr/>
        <w:drawing>
          <wp:inline distT="0" distB="0" distL="0" distR="0">
            <wp:extent cx="149225" cy="6921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9225" cy="69215"/>
                    </a:xfrm>
                    <a:prstGeom prst="rect">
                      <a:avLst/>
                    </a:prstGeom>
                  </pic:spPr>
                </pic:pic>
              </a:graphicData>
            </a:graphic>
          </wp:inline>
        </w:drawing>
      </w:r>
      <w:r>
        <w:rPr/>
        <w:t xml:space="preserve"> </w:t>
      </w:r>
    </w:p>
    <w:p>
      <w:pPr>
        <w:pStyle w:val="TextBody"/>
        <w:bidi w:val="0"/>
        <w:spacing w:before="120" w:after="0"/>
        <w:jc w:val="left"/>
        <w:rPr>
          <w:rFonts w:ascii="arial" w:hAnsi="arial"/>
          <w:b/>
          <w:sz w:val="16"/>
        </w:rPr>
      </w:pPr>
      <w:r>
        <w:rPr>
          <w:rFonts w:ascii="arial" w:hAnsi="arial"/>
          <w:b/>
          <w:sz w:val="16"/>
        </w:rPr>
        <w:t xml:space="preserve">Jonathan P. Graham </w:t>
      </w:r>
    </w:p>
    <w:p>
      <w:pPr>
        <w:pStyle w:val="TextBody"/>
        <w:bidi w:val="0"/>
        <w:spacing w:before="0" w:after="0"/>
        <w:jc w:val="left"/>
        <w:rPr>
          <w:rFonts w:ascii="arial" w:hAnsi="arial"/>
          <w:i/>
          <w:sz w:val="16"/>
        </w:rPr>
      </w:pPr>
      <w:r>
        <w:rPr>
          <w:rFonts w:ascii="arial" w:hAnsi="arial"/>
          <w:i/>
          <w:sz w:val="16"/>
        </w:rPr>
        <w:t xml:space="preserve">Secretary </w:t>
      </w:r>
    </w:p>
    <w:p>
      <w:pPr>
        <w:pStyle w:val="TextBody"/>
        <w:bidi w:val="0"/>
        <w:spacing w:before="240" w:after="0"/>
        <w:jc w:val="both"/>
        <w:rPr>
          <w:rFonts w:ascii="arial" w:hAnsi="arial"/>
          <w:sz w:val="16"/>
        </w:rPr>
      </w:pPr>
      <w:r>
        <w:rPr>
          <w:rFonts w:ascii="arial" w:hAnsi="arial"/>
          <w:sz w:val="16"/>
        </w:rPr>
        <w:t xml:space="preserve">Thousand Oaks, California </w:t>
      </w:r>
    </w:p>
    <w:p>
      <w:pPr>
        <w:pStyle w:val="TextBody"/>
        <w:bidi w:val="0"/>
        <w:spacing w:before="0" w:after="0"/>
        <w:jc w:val="both"/>
        <w:rPr>
          <w:rFonts w:ascii="arial" w:hAnsi="arial"/>
          <w:sz w:val="16"/>
        </w:rPr>
      </w:pPr>
      <w:r>
        <w:rPr>
          <w:rFonts w:ascii="arial" w:hAnsi="arial"/>
          <w:sz w:val="16"/>
        </w:rPr>
        <w:t xml:space="preserve">April 17, 2024 </w:t>
      </w:r>
      <w:r>
        <w:br w:type="page"/>
      </w:r>
    </w:p>
    <w:p>
      <w:pPr>
        <w:pStyle w:val="HorizontalLine"/>
        <w:bidi w:val="0"/>
        <w:jc w:val="left"/>
        <w:rPr/>
      </w:pPr>
      <w:r>
        <w:rPr/>
      </w:r>
    </w:p>
    <w:tbl>
      <w:tblPr>
        <w:tblW w:w="252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204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204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Table of Contents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171B9"/>
          <w:sz w:val="44"/>
        </w:rPr>
      </w:pPr>
      <w:bookmarkStart w:id="2" w:name="toc"/>
      <w:bookmarkEnd w:id="2"/>
      <w:r>
        <w:rPr>
          <w:rFonts w:ascii="arial" w:hAnsi="arial"/>
          <w:b/>
          <w:color w:val="0171B9"/>
          <w:sz w:val="44"/>
        </w:rPr>
        <w:t xml:space="preserve">Table of Contents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29">
                <wp:simplePos x="0" y="0"/>
                <wp:positionH relativeFrom="column">
                  <wp:align>left</wp:align>
                </wp:positionH>
                <wp:positionV relativeFrom="line">
                  <wp:posOffset>635</wp:posOffset>
                </wp:positionV>
                <wp:extent cx="3110230" cy="9972040"/>
                <wp:effectExtent l="0" t="0" r="0" b="0"/>
                <wp:wrapSquare wrapText="right"/>
                <wp:docPr id="5" name="Frame1"/>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9690"/>
                              <w:gridCol w:w="120"/>
                              <w:gridCol w:w="60"/>
                              <w:gridCol w:w="260"/>
                              <w:gridCol w:w="75"/>
                            </w:tblGrid>
                            <w:tr>
                              <w:trPr/>
                              <w:tc>
                                <w:tcPr>
                                  <w:tcW w:w="9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bottom w:val="single" w:sz="6" w:space="0" w:color="000000"/>
                                  </w:tcBorders>
                                  <w:tcMar>
                                    <w:bottom w:w="28" w:type="dxa"/>
                                  </w:tcMar>
                                  <w:vAlign w:val="center"/>
                                </w:tcPr>
                                <w:p>
                                  <w:pPr>
                                    <w:pStyle w:val="TableContents"/>
                                    <w:bidi w:val="0"/>
                                    <w:spacing w:before="0" w:after="283"/>
                                    <w:jc w:val="left"/>
                                    <w:rPr/>
                                  </w:pPr>
                                  <w:hyperlink w:anchor="toc445034_1">
                                    <w:r>
                                      <w:rPr>
                                        <w:rStyle w:val="InternetLink"/>
                                        <w:b/>
                                        <w:color w:val="0171B9"/>
                                      </w:rPr>
                                      <w:t>Proxy Statement Summary</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28" w:type="dxa"/>
                                  </w:tcMar>
                                  <w:vAlign w:val="center"/>
                                </w:tcPr>
                                <w:p>
                                  <w:pPr>
                                    <w:pStyle w:val="TableContents"/>
                                    <w:bidi w:val="0"/>
                                    <w:spacing w:before="0" w:after="283"/>
                                    <w:jc w:val="right"/>
                                    <w:rPr>
                                      <w:b/>
                                    </w:rPr>
                                  </w:pPr>
                                  <w:r>
                                    <w:rPr>
                                      <w:b/>
                                    </w:rPr>
                                    <w:t>1</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bottom w:val="single" w:sz="6" w:space="0" w:color="000000"/>
                                  </w:tcBorders>
                                  <w:tcMar>
                                    <w:bottom w:w="28" w:type="dxa"/>
                                  </w:tcMar>
                                  <w:vAlign w:val="center"/>
                                </w:tcPr>
                                <w:p>
                                  <w:pPr>
                                    <w:pStyle w:val="TableContents"/>
                                    <w:bidi w:val="0"/>
                                    <w:spacing w:before="0" w:after="283"/>
                                    <w:jc w:val="left"/>
                                    <w:rPr/>
                                  </w:pPr>
                                  <w:hyperlink w:anchor="toc445034_2">
                                    <w:r>
                                      <w:rPr>
                                        <w:rStyle w:val="InternetLink"/>
                                        <w:b/>
                                        <w:color w:val="0171B9"/>
                                      </w:rPr>
                                      <w:t>Item 1—Election of Directors</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28" w:type="dxa"/>
                                  </w:tcMar>
                                  <w:vAlign w:val="center"/>
                                </w:tcPr>
                                <w:p>
                                  <w:pPr>
                                    <w:pStyle w:val="TableContents"/>
                                    <w:bidi w:val="0"/>
                                    <w:spacing w:before="0" w:after="283"/>
                                    <w:jc w:val="right"/>
                                    <w:rPr>
                                      <w:b/>
                                    </w:rPr>
                                  </w:pPr>
                                  <w:r>
                                    <w:rPr>
                                      <w:b/>
                                    </w:rPr>
                                    <w:t>8</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bottom w:val="single" w:sz="6" w:space="0" w:color="000000"/>
                                  </w:tcBorders>
                                  <w:tcMar>
                                    <w:bottom w:w="28" w:type="dxa"/>
                                  </w:tcMar>
                                  <w:vAlign w:val="center"/>
                                </w:tcPr>
                                <w:p>
                                  <w:pPr>
                                    <w:pStyle w:val="TableContents"/>
                                    <w:bidi w:val="0"/>
                                    <w:spacing w:before="0" w:after="283"/>
                                    <w:jc w:val="left"/>
                                    <w:rPr/>
                                  </w:pPr>
                                  <w:hyperlink w:anchor="toc445034_3">
                                    <w:r>
                                      <w:rPr>
                                        <w:rStyle w:val="InternetLink"/>
                                        <w:b/>
                                        <w:color w:val="0171B9"/>
                                      </w:rPr>
                                      <w:t>Corporate Governance</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28" w:type="dxa"/>
                                  </w:tcMar>
                                  <w:vAlign w:val="center"/>
                                </w:tcPr>
                                <w:p>
                                  <w:pPr>
                                    <w:pStyle w:val="TableContents"/>
                                    <w:bidi w:val="0"/>
                                    <w:spacing w:before="0" w:after="283"/>
                                    <w:jc w:val="right"/>
                                    <w:rPr>
                                      <w:b/>
                                    </w:rPr>
                                  </w:pPr>
                                  <w:r>
                                    <w:rPr>
                                      <w:b/>
                                    </w:rPr>
                                    <w:t>21</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445034_4">
                                    <w:r>
                                      <w:rPr>
                                        <w:rStyle w:val="InternetLink"/>
                                        <w:rFonts w:ascii="arial" w:hAnsi="arial"/>
                                        <w:sz w:val="18"/>
                                      </w:rPr>
                                      <w:t>Board of Directors Corporate Governance Highlights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445034_5">
                                    <w:r>
                                      <w:rPr>
                                        <w:rStyle w:val="InternetLink"/>
                                        <w:rFonts w:ascii="arial" w:hAnsi="arial"/>
                                        <w:sz w:val="18"/>
                                      </w:rPr>
                                      <w:t>Board Leadership Structure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445034_6">
                                    <w:r>
                                      <w:rPr>
                                        <w:rStyle w:val="InternetLink"/>
                                        <w:rFonts w:ascii="arial" w:hAnsi="arial"/>
                                        <w:sz w:val="18"/>
                                      </w:rPr>
                                      <w:t>The Board’s Role in Risk Oversight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445034_7">
                                    <w:r>
                                      <w:rPr>
                                        <w:rStyle w:val="InternetLink"/>
                                        <w:rFonts w:ascii="arial" w:hAnsi="arial"/>
                                        <w:sz w:val="18"/>
                                      </w:rPr>
                                      <w:t>Codes of Business Conduct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445034_8">
                                    <w:r>
                                      <w:rPr>
                                        <w:rStyle w:val="InternetLink"/>
                                        <w:rFonts w:ascii="arial" w:hAnsi="arial"/>
                                        <w:sz w:val="18"/>
                                      </w:rPr>
                                      <w:t>Board Meetings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445034_9">
                                    <w:r>
                                      <w:rPr>
                                        <w:rStyle w:val="InternetLink"/>
                                        <w:rFonts w:ascii="arial" w:hAnsi="arial"/>
                                        <w:sz w:val="18"/>
                                      </w:rPr>
                                      <w:t>Communication with the Board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445034_10">
                                    <w:r>
                                      <w:rPr>
                                        <w:rStyle w:val="InternetLink"/>
                                        <w:rFonts w:ascii="arial" w:hAnsi="arial"/>
                                        <w:sz w:val="18"/>
                                      </w:rPr>
                                      <w:t>Board Committees and Charters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445034_11">
                                    <w:r>
                                      <w:rPr>
                                        <w:rStyle w:val="InternetLink"/>
                                        <w:rFonts w:ascii="arial" w:hAnsi="arial"/>
                                        <w:sz w:val="18"/>
                                      </w:rPr>
                                      <w:t>Governance and Nominating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445034_12">
                                    <w:r>
                                      <w:rPr>
                                        <w:rStyle w:val="InternetLink"/>
                                        <w:rFonts w:ascii="arial" w:hAnsi="arial"/>
                                        <w:sz w:val="18"/>
                                      </w:rPr>
                                      <w:t>Summary of Director Nominee Core Experiences and Skills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445034_13">
                                    <w:r>
                                      <w:rPr>
                                        <w:rStyle w:val="InternetLink"/>
                                        <w:rFonts w:ascii="arial" w:hAnsi="arial"/>
                                        <w:sz w:val="18"/>
                                      </w:rPr>
                                      <w:t>Process for Selecting Directors, Director Qualifications, and Board Diversity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445034_14">
                                    <w:r>
                                      <w:rPr>
                                        <w:rStyle w:val="InternetLink"/>
                                        <w:rFonts w:ascii="arial" w:hAnsi="arial"/>
                                        <w:sz w:val="18"/>
                                      </w:rPr>
                                      <w:t>Regular Board and Committee Evaluations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445034_15">
                                    <w:r>
                                      <w:rPr>
                                        <w:rStyle w:val="InternetLink"/>
                                        <w:rFonts w:ascii="arial" w:hAnsi="arial"/>
                                        <w:sz w:val="18"/>
                                      </w:rPr>
                                      <w:t>Director Independence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445034_16">
                                    <w:r>
                                      <w:rPr>
                                        <w:rStyle w:val="InternetLink"/>
                                        <w:rFonts w:ascii="arial" w:hAnsi="arial"/>
                                        <w:sz w:val="18"/>
                                      </w:rPr>
                                      <w:t>Governance Committee Processes and Procedures for Considering and Determining Director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445034_17">
                                    <w:r>
                                      <w:rPr>
                                        <w:rStyle w:val="InternetLink"/>
                                        <w:rFonts w:ascii="arial" w:hAnsi="arial"/>
                                        <w:sz w:val="18"/>
                                      </w:rPr>
                                      <w:t>Audit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445034_18">
                                    <w:r>
                                      <w:rPr>
                                        <w:rStyle w:val="InternetLink"/>
                                        <w:rFonts w:ascii="arial" w:hAnsi="arial"/>
                                        <w:sz w:val="18"/>
                                      </w:rPr>
                                      <w:t>Corporate Responsibility and Compliance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445034_19">
                                    <w:r>
                                      <w:rPr>
                                        <w:rStyle w:val="InternetLink"/>
                                        <w:rFonts w:ascii="arial" w:hAnsi="arial"/>
                                        <w:sz w:val="18"/>
                                      </w:rPr>
                                      <w:t>About Our Compliance Program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445034_20">
                                    <w:r>
                                      <w:rPr>
                                        <w:rStyle w:val="InternetLink"/>
                                        <w:rFonts w:ascii="arial" w:hAnsi="arial"/>
                                        <w:sz w:val="18"/>
                                      </w:rPr>
                                      <w:t>Our Approach to Environmental Sustainability, Social Responsibility, and Human Capital Management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445034_21">
                                    <w:r>
                                      <w:rPr>
                                        <w:rStyle w:val="InternetLink"/>
                                        <w:rFonts w:ascii="arial" w:hAnsi="arial"/>
                                        <w:sz w:val="18"/>
                                      </w:rPr>
                                      <w:t>Compensation and Management Development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445034_22">
                                    <w:r>
                                      <w:rPr>
                                        <w:rStyle w:val="InternetLink"/>
                                        <w:rFonts w:ascii="arial" w:hAnsi="arial"/>
                                        <w:sz w:val="18"/>
                                      </w:rPr>
                                      <w:t>Compensation Committee Processes and Procedures for Considering and Determining Executive Compensation in 2023</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445034_23">
                                    <w:r>
                                      <w:rPr>
                                        <w:rStyle w:val="InternetLink"/>
                                        <w:rFonts w:ascii="arial" w:hAnsi="arial"/>
                                        <w:sz w:val="18"/>
                                      </w:rPr>
                                      <w:t>Compensation Risk Management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445034_24">
                                    <w:r>
                                      <w:rPr>
                                        <w:rStyle w:val="InternetLink"/>
                                        <w:rFonts w:ascii="arial" w:hAnsi="arial"/>
                                        <w:sz w:val="18"/>
                                      </w:rPr>
                                      <w:t>Prohibition on Hedging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445034_25">
                                    <w:r>
                                      <w:rPr>
                                        <w:rStyle w:val="InternetLink"/>
                                        <w:rFonts w:ascii="arial" w:hAnsi="arial"/>
                                        <w:sz w:val="18"/>
                                      </w:rPr>
                                      <w:t>Pay Ratio</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445034_26">
                                    <w:r>
                                      <w:rPr>
                                        <w:rStyle w:val="InternetLink"/>
                                        <w:rFonts w:ascii="arial" w:hAnsi="arial"/>
                                        <w:sz w:val="18"/>
                                      </w:rPr>
                                      <w:t>Compensation Committee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bottom w:val="single" w:sz="6" w:space="0" w:color="000000"/>
                                  </w:tcBorders>
                                  <w:tcMar>
                                    <w:bottom w:w="28" w:type="dxa"/>
                                  </w:tcMar>
                                  <w:vAlign w:val="center"/>
                                </w:tcPr>
                                <w:p>
                                  <w:pPr>
                                    <w:pStyle w:val="TableContents"/>
                                    <w:bidi w:val="0"/>
                                    <w:spacing w:before="0" w:after="283"/>
                                    <w:jc w:val="left"/>
                                    <w:rPr/>
                                  </w:pPr>
                                  <w:hyperlink w:anchor="toc445034_27">
                                    <w:r>
                                      <w:rPr>
                                        <w:rStyle w:val="InternetLink"/>
                                        <w:b/>
                                        <w:color w:val="0171B9"/>
                                      </w:rPr>
                                      <w:t>Item 2—Advisory Vote to Approve Our Executive Compensation</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28" w:type="dxa"/>
                                  </w:tcMar>
                                  <w:vAlign w:val="center"/>
                                </w:tcPr>
                                <w:p>
                                  <w:pPr>
                                    <w:pStyle w:val="TableContents"/>
                                    <w:bidi w:val="0"/>
                                    <w:spacing w:before="0" w:after="283"/>
                                    <w:jc w:val="right"/>
                                    <w:rPr>
                                      <w:b/>
                                    </w:rPr>
                                  </w:pPr>
                                  <w:r>
                                    <w:rPr>
                                      <w:b/>
                                    </w:rPr>
                                    <w:t>47</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bottom w:val="single" w:sz="6" w:space="0" w:color="000000"/>
                                  </w:tcBorders>
                                  <w:tcMar>
                                    <w:bottom w:w="60" w:type="dxa"/>
                                  </w:tcMar>
                                  <w:vAlign w:val="center"/>
                                </w:tcPr>
                                <w:p>
                                  <w:pPr>
                                    <w:pStyle w:val="TableContents"/>
                                    <w:bidi w:val="0"/>
                                    <w:spacing w:before="0" w:after="283"/>
                                    <w:jc w:val="left"/>
                                    <w:rPr/>
                                  </w:pPr>
                                  <w:hyperlink w:anchor="toc445034_28">
                                    <w:r>
                                      <w:rPr>
                                        <w:rStyle w:val="InternetLink"/>
                                        <w:b/>
                                        <w:color w:val="0171B9"/>
                                      </w:rPr>
                                      <w:t>Compensation Discussion and Analysis</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60" w:type="dxa"/>
                                  </w:tcMar>
                                  <w:vAlign w:val="center"/>
                                </w:tcPr>
                                <w:p>
                                  <w:pPr>
                                    <w:pStyle w:val="TableContents"/>
                                    <w:bidi w:val="0"/>
                                    <w:spacing w:before="0" w:after="283"/>
                                    <w:jc w:val="left"/>
                                    <w:rPr/>
                                  </w:pPr>
                                  <w:r>
                                    <w:rPr/>
                                    <w:t> </w:t>
                                  </w:r>
                                </w:p>
                              </w:tc>
                              <w:tc>
                                <w:tcPr>
                                  <w:tcW w:w="260" w:type="dxa"/>
                                  <w:tcBorders>
                                    <w:bottom w:val="single" w:sz="6" w:space="0" w:color="000000"/>
                                  </w:tcBorders>
                                  <w:tcMar>
                                    <w:bottom w:w="60" w:type="dxa"/>
                                  </w:tcMar>
                                  <w:vAlign w:val="center"/>
                                </w:tcPr>
                                <w:p>
                                  <w:pPr>
                                    <w:pStyle w:val="TableContents"/>
                                    <w:bidi w:val="0"/>
                                    <w:spacing w:before="0" w:after="283"/>
                                    <w:jc w:val="right"/>
                                    <w:rPr>
                                      <w:b/>
                                    </w:rPr>
                                  </w:pPr>
                                  <w:r>
                                    <w:rPr>
                                      <w:b/>
                                    </w:rPr>
                                    <w:t>48</w:t>
                                  </w:r>
                                </w:p>
                              </w:tc>
                              <w:tc>
                                <w:tcPr>
                                  <w:tcW w:w="75" w:type="dxa"/>
                                  <w:tcBorders>
                                    <w:bottom w:val="single" w:sz="6" w:space="0" w:color="000000"/>
                                  </w:tcBorders>
                                  <w:tcMar>
                                    <w:bottom w:w="60" w:type="dxa"/>
                                  </w:tcMar>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445034_29">
                                    <w:r>
                                      <w:rPr>
                                        <w:rStyle w:val="InternetLink"/>
                                        <w:rFonts w:ascii="arial" w:hAnsi="arial"/>
                                        <w:sz w:val="18"/>
                                      </w:rPr>
                                      <w:t>Our Named Executive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445034_30">
                                    <w:r>
                                      <w:rPr>
                                        <w:rStyle w:val="InternetLink"/>
                                        <w:rFonts w:ascii="arial" w:hAnsi="arial"/>
                                        <w:sz w:val="18"/>
                                      </w:rPr>
                                      <w:t>Our Strategy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445034_31">
                                    <w:r>
                                      <w:rPr>
                                        <w:rStyle w:val="InternetLink"/>
                                        <w:rFonts w:ascii="arial" w:hAnsi="arial"/>
                                        <w:sz w:val="18"/>
                                      </w:rPr>
                                      <w:t>Our Approach to Environmental Sustainability, Social Responsibility, and Corporate Governance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52</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9690"/>
                        <w:gridCol w:w="120"/>
                        <w:gridCol w:w="60"/>
                        <w:gridCol w:w="260"/>
                        <w:gridCol w:w="75"/>
                      </w:tblGrid>
                      <w:tr>
                        <w:trPr/>
                        <w:tc>
                          <w:tcPr>
                            <w:tcW w:w="9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bottom w:val="single" w:sz="6" w:space="0" w:color="000000"/>
                            </w:tcBorders>
                            <w:tcMar>
                              <w:bottom w:w="28" w:type="dxa"/>
                            </w:tcMar>
                            <w:vAlign w:val="center"/>
                          </w:tcPr>
                          <w:p>
                            <w:pPr>
                              <w:pStyle w:val="TableContents"/>
                              <w:bidi w:val="0"/>
                              <w:spacing w:before="0" w:after="283"/>
                              <w:jc w:val="left"/>
                              <w:rPr/>
                            </w:pPr>
                            <w:hyperlink w:anchor="toc445034_1">
                              <w:r>
                                <w:rPr>
                                  <w:rStyle w:val="InternetLink"/>
                                  <w:b/>
                                  <w:color w:val="0171B9"/>
                                </w:rPr>
                                <w:t>Proxy Statement Summary</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28" w:type="dxa"/>
                            </w:tcMar>
                            <w:vAlign w:val="center"/>
                          </w:tcPr>
                          <w:p>
                            <w:pPr>
                              <w:pStyle w:val="TableContents"/>
                              <w:bidi w:val="0"/>
                              <w:spacing w:before="0" w:after="283"/>
                              <w:jc w:val="right"/>
                              <w:rPr>
                                <w:b/>
                              </w:rPr>
                            </w:pPr>
                            <w:r>
                              <w:rPr>
                                <w:b/>
                              </w:rPr>
                              <w:t>1</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bottom w:val="single" w:sz="6" w:space="0" w:color="000000"/>
                            </w:tcBorders>
                            <w:tcMar>
                              <w:bottom w:w="28" w:type="dxa"/>
                            </w:tcMar>
                            <w:vAlign w:val="center"/>
                          </w:tcPr>
                          <w:p>
                            <w:pPr>
                              <w:pStyle w:val="TableContents"/>
                              <w:bidi w:val="0"/>
                              <w:spacing w:before="0" w:after="283"/>
                              <w:jc w:val="left"/>
                              <w:rPr/>
                            </w:pPr>
                            <w:hyperlink w:anchor="toc445034_2">
                              <w:r>
                                <w:rPr>
                                  <w:rStyle w:val="InternetLink"/>
                                  <w:b/>
                                  <w:color w:val="0171B9"/>
                                </w:rPr>
                                <w:t>Item 1—Election of Directors</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28" w:type="dxa"/>
                            </w:tcMar>
                            <w:vAlign w:val="center"/>
                          </w:tcPr>
                          <w:p>
                            <w:pPr>
                              <w:pStyle w:val="TableContents"/>
                              <w:bidi w:val="0"/>
                              <w:spacing w:before="0" w:after="283"/>
                              <w:jc w:val="right"/>
                              <w:rPr>
                                <w:b/>
                              </w:rPr>
                            </w:pPr>
                            <w:r>
                              <w:rPr>
                                <w:b/>
                              </w:rPr>
                              <w:t>8</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bottom w:val="single" w:sz="6" w:space="0" w:color="000000"/>
                            </w:tcBorders>
                            <w:tcMar>
                              <w:bottom w:w="28" w:type="dxa"/>
                            </w:tcMar>
                            <w:vAlign w:val="center"/>
                          </w:tcPr>
                          <w:p>
                            <w:pPr>
                              <w:pStyle w:val="TableContents"/>
                              <w:bidi w:val="0"/>
                              <w:spacing w:before="0" w:after="283"/>
                              <w:jc w:val="left"/>
                              <w:rPr/>
                            </w:pPr>
                            <w:hyperlink w:anchor="toc445034_3">
                              <w:r>
                                <w:rPr>
                                  <w:rStyle w:val="InternetLink"/>
                                  <w:b/>
                                  <w:color w:val="0171B9"/>
                                </w:rPr>
                                <w:t>Corporate Governance</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28" w:type="dxa"/>
                            </w:tcMar>
                            <w:vAlign w:val="center"/>
                          </w:tcPr>
                          <w:p>
                            <w:pPr>
                              <w:pStyle w:val="TableContents"/>
                              <w:bidi w:val="0"/>
                              <w:spacing w:before="0" w:after="283"/>
                              <w:jc w:val="right"/>
                              <w:rPr>
                                <w:b/>
                              </w:rPr>
                            </w:pPr>
                            <w:r>
                              <w:rPr>
                                <w:b/>
                              </w:rPr>
                              <w:t>21</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445034_4">
                              <w:r>
                                <w:rPr>
                                  <w:rStyle w:val="InternetLink"/>
                                  <w:rFonts w:ascii="arial" w:hAnsi="arial"/>
                                  <w:sz w:val="18"/>
                                </w:rPr>
                                <w:t>Board of Directors Corporate Governance Highlights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445034_5">
                              <w:r>
                                <w:rPr>
                                  <w:rStyle w:val="InternetLink"/>
                                  <w:rFonts w:ascii="arial" w:hAnsi="arial"/>
                                  <w:sz w:val="18"/>
                                </w:rPr>
                                <w:t>Board Leadership Structure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445034_6">
                              <w:r>
                                <w:rPr>
                                  <w:rStyle w:val="InternetLink"/>
                                  <w:rFonts w:ascii="arial" w:hAnsi="arial"/>
                                  <w:sz w:val="18"/>
                                </w:rPr>
                                <w:t>The Board’s Role in Risk Oversight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445034_7">
                              <w:r>
                                <w:rPr>
                                  <w:rStyle w:val="InternetLink"/>
                                  <w:rFonts w:ascii="arial" w:hAnsi="arial"/>
                                  <w:sz w:val="18"/>
                                </w:rPr>
                                <w:t>Codes of Business Conduct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445034_8">
                              <w:r>
                                <w:rPr>
                                  <w:rStyle w:val="InternetLink"/>
                                  <w:rFonts w:ascii="arial" w:hAnsi="arial"/>
                                  <w:sz w:val="18"/>
                                </w:rPr>
                                <w:t>Board Meetings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445034_9">
                              <w:r>
                                <w:rPr>
                                  <w:rStyle w:val="InternetLink"/>
                                  <w:rFonts w:ascii="arial" w:hAnsi="arial"/>
                                  <w:sz w:val="18"/>
                                </w:rPr>
                                <w:t>Communication with the Board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445034_10">
                              <w:r>
                                <w:rPr>
                                  <w:rStyle w:val="InternetLink"/>
                                  <w:rFonts w:ascii="arial" w:hAnsi="arial"/>
                                  <w:sz w:val="18"/>
                                </w:rPr>
                                <w:t>Board Committees and Charters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445034_11">
                              <w:r>
                                <w:rPr>
                                  <w:rStyle w:val="InternetLink"/>
                                  <w:rFonts w:ascii="arial" w:hAnsi="arial"/>
                                  <w:sz w:val="18"/>
                                </w:rPr>
                                <w:t>Governance and Nominating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445034_12">
                              <w:r>
                                <w:rPr>
                                  <w:rStyle w:val="InternetLink"/>
                                  <w:rFonts w:ascii="arial" w:hAnsi="arial"/>
                                  <w:sz w:val="18"/>
                                </w:rPr>
                                <w:t>Summary of Director Nominee Core Experiences and Skills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445034_13">
                              <w:r>
                                <w:rPr>
                                  <w:rStyle w:val="InternetLink"/>
                                  <w:rFonts w:ascii="arial" w:hAnsi="arial"/>
                                  <w:sz w:val="18"/>
                                </w:rPr>
                                <w:t>Process for Selecting Directors, Director Qualifications, and Board Diversity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445034_14">
                              <w:r>
                                <w:rPr>
                                  <w:rStyle w:val="InternetLink"/>
                                  <w:rFonts w:ascii="arial" w:hAnsi="arial"/>
                                  <w:sz w:val="18"/>
                                </w:rPr>
                                <w:t>Regular Board and Committee Evaluations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445034_15">
                              <w:r>
                                <w:rPr>
                                  <w:rStyle w:val="InternetLink"/>
                                  <w:rFonts w:ascii="arial" w:hAnsi="arial"/>
                                  <w:sz w:val="18"/>
                                </w:rPr>
                                <w:t>Director Independence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445034_16">
                              <w:r>
                                <w:rPr>
                                  <w:rStyle w:val="InternetLink"/>
                                  <w:rFonts w:ascii="arial" w:hAnsi="arial"/>
                                  <w:sz w:val="18"/>
                                </w:rPr>
                                <w:t>Governance Committee Processes and Procedures for Considering and Determining Director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445034_17">
                              <w:r>
                                <w:rPr>
                                  <w:rStyle w:val="InternetLink"/>
                                  <w:rFonts w:ascii="arial" w:hAnsi="arial"/>
                                  <w:sz w:val="18"/>
                                </w:rPr>
                                <w:t>Audit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445034_18">
                              <w:r>
                                <w:rPr>
                                  <w:rStyle w:val="InternetLink"/>
                                  <w:rFonts w:ascii="arial" w:hAnsi="arial"/>
                                  <w:sz w:val="18"/>
                                </w:rPr>
                                <w:t>Corporate Responsibility and Compliance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445034_19">
                              <w:r>
                                <w:rPr>
                                  <w:rStyle w:val="InternetLink"/>
                                  <w:rFonts w:ascii="arial" w:hAnsi="arial"/>
                                  <w:sz w:val="18"/>
                                </w:rPr>
                                <w:t>About Our Compliance Program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445034_20">
                              <w:r>
                                <w:rPr>
                                  <w:rStyle w:val="InternetLink"/>
                                  <w:rFonts w:ascii="arial" w:hAnsi="arial"/>
                                  <w:sz w:val="18"/>
                                </w:rPr>
                                <w:t>Our Approach to Environmental Sustainability, Social Responsibility, and Human Capital Management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445034_21">
                              <w:r>
                                <w:rPr>
                                  <w:rStyle w:val="InternetLink"/>
                                  <w:rFonts w:ascii="arial" w:hAnsi="arial"/>
                                  <w:sz w:val="18"/>
                                </w:rPr>
                                <w:t>Compensation and Management Development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445034_22">
                              <w:r>
                                <w:rPr>
                                  <w:rStyle w:val="InternetLink"/>
                                  <w:rFonts w:ascii="arial" w:hAnsi="arial"/>
                                  <w:sz w:val="18"/>
                                </w:rPr>
                                <w:t>Compensation Committee Processes and Procedures for Considering and Determining Executive Compensation in 2023</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445034_23">
                              <w:r>
                                <w:rPr>
                                  <w:rStyle w:val="InternetLink"/>
                                  <w:rFonts w:ascii="arial" w:hAnsi="arial"/>
                                  <w:sz w:val="18"/>
                                </w:rPr>
                                <w:t>Compensation Risk Management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445034_24">
                              <w:r>
                                <w:rPr>
                                  <w:rStyle w:val="InternetLink"/>
                                  <w:rFonts w:ascii="arial" w:hAnsi="arial"/>
                                  <w:sz w:val="18"/>
                                </w:rPr>
                                <w:t>Prohibition on Hedging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445034_25">
                              <w:r>
                                <w:rPr>
                                  <w:rStyle w:val="InternetLink"/>
                                  <w:rFonts w:ascii="arial" w:hAnsi="arial"/>
                                  <w:sz w:val="18"/>
                                </w:rPr>
                                <w:t>Pay Ratio</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445034_26">
                              <w:r>
                                <w:rPr>
                                  <w:rStyle w:val="InternetLink"/>
                                  <w:rFonts w:ascii="arial" w:hAnsi="arial"/>
                                  <w:sz w:val="18"/>
                                </w:rPr>
                                <w:t>Compensation Committee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bottom w:val="single" w:sz="6" w:space="0" w:color="000000"/>
                            </w:tcBorders>
                            <w:tcMar>
                              <w:bottom w:w="28" w:type="dxa"/>
                            </w:tcMar>
                            <w:vAlign w:val="center"/>
                          </w:tcPr>
                          <w:p>
                            <w:pPr>
                              <w:pStyle w:val="TableContents"/>
                              <w:bidi w:val="0"/>
                              <w:spacing w:before="0" w:after="283"/>
                              <w:jc w:val="left"/>
                              <w:rPr/>
                            </w:pPr>
                            <w:hyperlink w:anchor="toc445034_27">
                              <w:r>
                                <w:rPr>
                                  <w:rStyle w:val="InternetLink"/>
                                  <w:b/>
                                  <w:color w:val="0171B9"/>
                                </w:rPr>
                                <w:t>Item 2—Advisory Vote to Approve Our Executive Compensation</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28" w:type="dxa"/>
                            </w:tcMar>
                            <w:vAlign w:val="center"/>
                          </w:tcPr>
                          <w:p>
                            <w:pPr>
                              <w:pStyle w:val="TableContents"/>
                              <w:bidi w:val="0"/>
                              <w:spacing w:before="0" w:after="283"/>
                              <w:jc w:val="right"/>
                              <w:rPr>
                                <w:b/>
                              </w:rPr>
                            </w:pPr>
                            <w:r>
                              <w:rPr>
                                <w:b/>
                              </w:rPr>
                              <w:t>47</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bottom w:val="single" w:sz="6" w:space="0" w:color="000000"/>
                            </w:tcBorders>
                            <w:tcMar>
                              <w:bottom w:w="60" w:type="dxa"/>
                            </w:tcMar>
                            <w:vAlign w:val="center"/>
                          </w:tcPr>
                          <w:p>
                            <w:pPr>
                              <w:pStyle w:val="TableContents"/>
                              <w:bidi w:val="0"/>
                              <w:spacing w:before="0" w:after="283"/>
                              <w:jc w:val="left"/>
                              <w:rPr/>
                            </w:pPr>
                            <w:hyperlink w:anchor="toc445034_28">
                              <w:r>
                                <w:rPr>
                                  <w:rStyle w:val="InternetLink"/>
                                  <w:b/>
                                  <w:color w:val="0171B9"/>
                                </w:rPr>
                                <w:t>Compensation Discussion and Analysis</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60" w:type="dxa"/>
                            </w:tcMar>
                            <w:vAlign w:val="center"/>
                          </w:tcPr>
                          <w:p>
                            <w:pPr>
                              <w:pStyle w:val="TableContents"/>
                              <w:bidi w:val="0"/>
                              <w:spacing w:before="0" w:after="283"/>
                              <w:jc w:val="left"/>
                              <w:rPr/>
                            </w:pPr>
                            <w:r>
                              <w:rPr/>
                              <w:t> </w:t>
                            </w:r>
                          </w:p>
                        </w:tc>
                        <w:tc>
                          <w:tcPr>
                            <w:tcW w:w="260" w:type="dxa"/>
                            <w:tcBorders>
                              <w:bottom w:val="single" w:sz="6" w:space="0" w:color="000000"/>
                            </w:tcBorders>
                            <w:tcMar>
                              <w:bottom w:w="60" w:type="dxa"/>
                            </w:tcMar>
                            <w:vAlign w:val="center"/>
                          </w:tcPr>
                          <w:p>
                            <w:pPr>
                              <w:pStyle w:val="TableContents"/>
                              <w:bidi w:val="0"/>
                              <w:spacing w:before="0" w:after="283"/>
                              <w:jc w:val="right"/>
                              <w:rPr>
                                <w:b/>
                              </w:rPr>
                            </w:pPr>
                            <w:r>
                              <w:rPr>
                                <w:b/>
                              </w:rPr>
                              <w:t>48</w:t>
                            </w:r>
                          </w:p>
                        </w:tc>
                        <w:tc>
                          <w:tcPr>
                            <w:tcW w:w="75" w:type="dxa"/>
                            <w:tcBorders>
                              <w:bottom w:val="single" w:sz="6" w:space="0" w:color="000000"/>
                            </w:tcBorders>
                            <w:tcMar>
                              <w:bottom w:w="60" w:type="dxa"/>
                            </w:tcMar>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445034_29">
                              <w:r>
                                <w:rPr>
                                  <w:rStyle w:val="InternetLink"/>
                                  <w:rFonts w:ascii="arial" w:hAnsi="arial"/>
                                  <w:sz w:val="18"/>
                                </w:rPr>
                                <w:t>Our Named Executive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445034_30">
                              <w:r>
                                <w:rPr>
                                  <w:rStyle w:val="InternetLink"/>
                                  <w:rFonts w:ascii="arial" w:hAnsi="arial"/>
                                  <w:sz w:val="18"/>
                                </w:rPr>
                                <w:t>Our Strategy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oc445034_31">
                              <w:r>
                                <w:rPr>
                                  <w:rStyle w:val="InternetLink"/>
                                  <w:rFonts w:ascii="arial" w:hAnsi="arial"/>
                                  <w:sz w:val="18"/>
                                </w:rPr>
                                <w:t>Our Approach to Environmental Sustainability, Social Responsibility, and Corporate Governance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52</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47">
                <wp:simplePos x="0" y="0"/>
                <wp:positionH relativeFrom="column">
                  <wp:align>left</wp:align>
                </wp:positionH>
                <wp:positionV relativeFrom="line">
                  <wp:posOffset>635</wp:posOffset>
                </wp:positionV>
                <wp:extent cx="3175000" cy="9972040"/>
                <wp:effectExtent l="0" t="0" r="0" b="0"/>
                <wp:wrapSquare wrapText="right"/>
                <wp:docPr id="6"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9556"/>
                              <w:gridCol w:w="120"/>
                              <w:gridCol w:w="60"/>
                              <w:gridCol w:w="393"/>
                              <w:gridCol w:w="76"/>
                            </w:tblGrid>
                            <w:tr>
                              <w:trPr/>
                              <w:tc>
                                <w:tcPr>
                                  <w:tcW w:w="95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vAlign w:val="center"/>
                                </w:tcPr>
                                <w:p>
                                  <w:pPr>
                                    <w:pStyle w:val="TableContents"/>
                                    <w:bidi w:val="0"/>
                                    <w:spacing w:before="0" w:after="0"/>
                                    <w:jc w:val="left"/>
                                    <w:rPr/>
                                  </w:pPr>
                                  <w:hyperlink w:anchor="toc445034_32">
                                    <w:r>
                                      <w:rPr>
                                        <w:rStyle w:val="InternetLink"/>
                                        <w:rFonts w:ascii="arial" w:hAnsi="arial"/>
                                        <w:sz w:val="18"/>
                                      </w:rPr>
                                      <w:t>Our Compensation Best Practices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right"/>
                                    <w:rPr/>
                                  </w:pPr>
                                  <w:r>
                                    <w:rPr/>
                                    <w:t>53</w:t>
                                  </w:r>
                                </w:p>
                              </w:tc>
                              <w:tc>
                                <w:tcPr>
                                  <w:tcW w:w="76" w:type="dxa"/>
                                  <w:tcBorders/>
                                  <w:vAlign w:val="center"/>
                                </w:tcPr>
                                <w:p>
                                  <w:pPr>
                                    <w:pStyle w:val="TableContents"/>
                                    <w:bidi w:val="0"/>
                                    <w:spacing w:before="0" w:after="283"/>
                                    <w:jc w:val="left"/>
                                    <w:rPr/>
                                  </w:pPr>
                                  <w:r>
                                    <w:rPr/>
                                    <w:t> </w:t>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vAlign w:val="center"/>
                                </w:tcPr>
                                <w:p>
                                  <w:pPr>
                                    <w:pStyle w:val="TableContents"/>
                                    <w:bidi w:val="0"/>
                                    <w:spacing w:before="0" w:after="0"/>
                                    <w:jc w:val="left"/>
                                    <w:rPr/>
                                  </w:pPr>
                                  <w:hyperlink w:anchor="toc445034_33">
                                    <w:r>
                                      <w:rPr>
                                        <w:rStyle w:val="InternetLink"/>
                                        <w:rFonts w:ascii="arial" w:hAnsi="arial"/>
                                        <w:sz w:val="18"/>
                                      </w:rPr>
                                      <w:t>Aligning Pay With Performance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right"/>
                                    <w:rPr/>
                                  </w:pPr>
                                  <w:r>
                                    <w:rPr/>
                                    <w:t>54</w:t>
                                  </w:r>
                                </w:p>
                              </w:tc>
                              <w:tc>
                                <w:tcPr>
                                  <w:tcW w:w="76" w:type="dxa"/>
                                  <w:tcBorders/>
                                  <w:vAlign w:val="center"/>
                                </w:tcPr>
                                <w:p>
                                  <w:pPr>
                                    <w:pStyle w:val="TableContents"/>
                                    <w:bidi w:val="0"/>
                                    <w:spacing w:before="0" w:after="283"/>
                                    <w:jc w:val="left"/>
                                    <w:rPr/>
                                  </w:pPr>
                                  <w:r>
                                    <w:rPr/>
                                    <w:t> </w:t>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vAlign w:val="center"/>
                                </w:tcPr>
                                <w:p>
                                  <w:pPr>
                                    <w:pStyle w:val="TableContents"/>
                                    <w:bidi w:val="0"/>
                                    <w:spacing w:before="0" w:after="0"/>
                                    <w:jc w:val="left"/>
                                    <w:rPr/>
                                  </w:pPr>
                                  <w:hyperlink w:anchor="toc445034_34">
                                    <w:r>
                                      <w:rPr>
                                        <w:rStyle w:val="InternetLink"/>
                                        <w:rFonts w:ascii="arial" w:hAnsi="arial"/>
                                        <w:sz w:val="18"/>
                                      </w:rPr>
                                      <w:t>Implementation of Our Strategic Priorities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right"/>
                                    <w:rPr/>
                                  </w:pPr>
                                  <w:r>
                                    <w:rPr/>
                                    <w:t>54</w:t>
                                  </w:r>
                                </w:p>
                              </w:tc>
                              <w:tc>
                                <w:tcPr>
                                  <w:tcW w:w="76" w:type="dxa"/>
                                  <w:tcBorders/>
                                  <w:vAlign w:val="center"/>
                                </w:tcPr>
                                <w:p>
                                  <w:pPr>
                                    <w:pStyle w:val="TableContents"/>
                                    <w:bidi w:val="0"/>
                                    <w:spacing w:before="0" w:after="283"/>
                                    <w:jc w:val="left"/>
                                    <w:rPr/>
                                  </w:pPr>
                                  <w:r>
                                    <w:rPr/>
                                    <w:t> </w:t>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vAlign w:val="center"/>
                                </w:tcPr>
                                <w:p>
                                  <w:pPr>
                                    <w:pStyle w:val="TableContents"/>
                                    <w:bidi w:val="0"/>
                                    <w:spacing w:before="0" w:after="0"/>
                                    <w:jc w:val="left"/>
                                    <w:rPr/>
                                  </w:pPr>
                                  <w:hyperlink w:anchor="toc445034_35">
                                    <w:r>
                                      <w:rPr>
                                        <w:rStyle w:val="InternetLink"/>
                                        <w:rFonts w:ascii="arial" w:hAnsi="arial"/>
                                        <w:sz w:val="18"/>
                                      </w:rPr>
                                      <w:t>Long-Term Incentive Equity Award Design in 2023</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right"/>
                                    <w:rPr/>
                                  </w:pPr>
                                  <w:r>
                                    <w:rPr/>
                                    <w:t>60</w:t>
                                  </w:r>
                                </w:p>
                              </w:tc>
                              <w:tc>
                                <w:tcPr>
                                  <w:tcW w:w="76" w:type="dxa"/>
                                  <w:tcBorders/>
                                  <w:vAlign w:val="center"/>
                                </w:tcPr>
                                <w:p>
                                  <w:pPr>
                                    <w:pStyle w:val="TableContents"/>
                                    <w:bidi w:val="0"/>
                                    <w:spacing w:before="0" w:after="283"/>
                                    <w:jc w:val="left"/>
                                    <w:rPr/>
                                  </w:pPr>
                                  <w:r>
                                    <w:rPr/>
                                    <w:t> </w:t>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vAlign w:val="center"/>
                                </w:tcPr>
                                <w:p>
                                  <w:pPr>
                                    <w:pStyle w:val="TableContents"/>
                                    <w:bidi w:val="0"/>
                                    <w:spacing w:before="0" w:after="0"/>
                                    <w:jc w:val="left"/>
                                    <w:rPr/>
                                  </w:pPr>
                                  <w:hyperlink w:anchor="toc445034_36">
                                    <w:r>
                                      <w:rPr>
                                        <w:rStyle w:val="InternetLink"/>
                                        <w:rFonts w:ascii="arial" w:hAnsi="arial"/>
                                        <w:sz w:val="18"/>
                                      </w:rPr>
                                      <w:t>Positive 2023 Say on Pay Vote Outcome and Responses to 2023 Stockholder Input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right"/>
                                    <w:rPr/>
                                  </w:pPr>
                                  <w:r>
                                    <w:rPr/>
                                    <w:t>60</w:t>
                                  </w:r>
                                </w:p>
                              </w:tc>
                              <w:tc>
                                <w:tcPr>
                                  <w:tcW w:w="76" w:type="dxa"/>
                                  <w:tcBorders/>
                                  <w:vAlign w:val="center"/>
                                </w:tcPr>
                                <w:p>
                                  <w:pPr>
                                    <w:pStyle w:val="TableContents"/>
                                    <w:bidi w:val="0"/>
                                    <w:spacing w:before="0" w:after="283"/>
                                    <w:jc w:val="left"/>
                                    <w:rPr/>
                                  </w:pPr>
                                  <w:r>
                                    <w:rPr/>
                                    <w:t> </w:t>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vAlign w:val="center"/>
                                </w:tcPr>
                                <w:p>
                                  <w:pPr>
                                    <w:pStyle w:val="TableContents"/>
                                    <w:bidi w:val="0"/>
                                    <w:spacing w:before="0" w:after="0"/>
                                    <w:jc w:val="left"/>
                                    <w:rPr/>
                                  </w:pPr>
                                  <w:hyperlink w:anchor="toc445034_37">
                                    <w:r>
                                      <w:rPr>
                                        <w:rStyle w:val="InternetLink"/>
                                        <w:rFonts w:ascii="arial" w:hAnsi="arial"/>
                                        <w:sz w:val="18"/>
                                      </w:rPr>
                                      <w:t>Our 2023 Compensation Program Highlights and Objectives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right"/>
                                    <w:rPr/>
                                  </w:pPr>
                                  <w:r>
                                    <w:rPr/>
                                    <w:t>62</w:t>
                                  </w:r>
                                </w:p>
                              </w:tc>
                              <w:tc>
                                <w:tcPr>
                                  <w:tcW w:w="76" w:type="dxa"/>
                                  <w:tcBorders/>
                                  <w:vAlign w:val="center"/>
                                </w:tcPr>
                                <w:p>
                                  <w:pPr>
                                    <w:pStyle w:val="TableContents"/>
                                    <w:bidi w:val="0"/>
                                    <w:spacing w:before="0" w:after="283"/>
                                    <w:jc w:val="left"/>
                                    <w:rPr/>
                                  </w:pPr>
                                  <w:r>
                                    <w:rPr/>
                                    <w:t> </w:t>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vAlign w:val="center"/>
                                </w:tcPr>
                                <w:p>
                                  <w:pPr>
                                    <w:pStyle w:val="TableContents"/>
                                    <w:bidi w:val="0"/>
                                    <w:spacing w:before="0" w:after="0"/>
                                    <w:jc w:val="left"/>
                                    <w:rPr/>
                                  </w:pPr>
                                  <w:hyperlink w:anchor="toc445034_38">
                                    <w:r>
                                      <w:rPr>
                                        <w:rStyle w:val="InternetLink"/>
                                        <w:rFonts w:ascii="arial" w:hAnsi="arial"/>
                                        <w:sz w:val="18"/>
                                      </w:rPr>
                                      <w:t>How Compensation Decisions Are Made For Our Named Executive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right"/>
                                    <w:rPr/>
                                  </w:pPr>
                                  <w:r>
                                    <w:rPr/>
                                    <w:t>63</w:t>
                                  </w:r>
                                </w:p>
                              </w:tc>
                              <w:tc>
                                <w:tcPr>
                                  <w:tcW w:w="76" w:type="dxa"/>
                                  <w:tcBorders/>
                                  <w:vAlign w:val="center"/>
                                </w:tcPr>
                                <w:p>
                                  <w:pPr>
                                    <w:pStyle w:val="TableContents"/>
                                    <w:bidi w:val="0"/>
                                    <w:spacing w:before="0" w:after="283"/>
                                    <w:jc w:val="left"/>
                                    <w:rPr/>
                                  </w:pPr>
                                  <w:r>
                                    <w:rPr/>
                                    <w:t> </w:t>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vAlign w:val="center"/>
                                </w:tcPr>
                                <w:p>
                                  <w:pPr>
                                    <w:pStyle w:val="TableContents"/>
                                    <w:bidi w:val="0"/>
                                    <w:spacing w:before="0" w:after="0"/>
                                    <w:jc w:val="left"/>
                                    <w:rPr/>
                                  </w:pPr>
                                  <w:hyperlink w:anchor="toc445034_39">
                                    <w:r>
                                      <w:rPr>
                                        <w:rStyle w:val="InternetLink"/>
                                        <w:rFonts w:ascii="arial" w:hAnsi="arial"/>
                                        <w:sz w:val="18"/>
                                      </w:rPr>
                                      <w:t>Elements of Compensation and Specific Compensation Decisions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right"/>
                                    <w:rPr/>
                                  </w:pPr>
                                  <w:r>
                                    <w:rPr/>
                                    <w:t>66</w:t>
                                  </w:r>
                                </w:p>
                              </w:tc>
                              <w:tc>
                                <w:tcPr>
                                  <w:tcW w:w="76" w:type="dxa"/>
                                  <w:tcBorders/>
                                  <w:vAlign w:val="center"/>
                                </w:tcPr>
                                <w:p>
                                  <w:pPr>
                                    <w:pStyle w:val="TableContents"/>
                                    <w:bidi w:val="0"/>
                                    <w:spacing w:before="0" w:after="283"/>
                                    <w:jc w:val="left"/>
                                    <w:rPr/>
                                  </w:pPr>
                                  <w:r>
                                    <w:rPr/>
                                    <w:t> </w:t>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vAlign w:val="center"/>
                                </w:tcPr>
                                <w:p>
                                  <w:pPr>
                                    <w:pStyle w:val="TableContents"/>
                                    <w:bidi w:val="0"/>
                                    <w:spacing w:before="0" w:after="0"/>
                                    <w:jc w:val="left"/>
                                    <w:rPr/>
                                  </w:pPr>
                                  <w:hyperlink w:anchor="toc445034_40">
                                    <w:r>
                                      <w:rPr>
                                        <w:rStyle w:val="InternetLink"/>
                                        <w:rFonts w:ascii="arial" w:hAnsi="arial"/>
                                        <w:sz w:val="18"/>
                                      </w:rPr>
                                      <w:t>Compensation Policies and Practices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right"/>
                                    <w:rPr/>
                                  </w:pPr>
                                  <w:r>
                                    <w:rPr/>
                                    <w:t>77</w:t>
                                  </w:r>
                                </w:p>
                              </w:tc>
                              <w:tc>
                                <w:tcPr>
                                  <w:tcW w:w="76" w:type="dxa"/>
                                  <w:tcBorders/>
                                  <w:vAlign w:val="center"/>
                                </w:tcPr>
                                <w:p>
                                  <w:pPr>
                                    <w:pStyle w:val="TableContents"/>
                                    <w:bidi w:val="0"/>
                                    <w:spacing w:before="0" w:after="283"/>
                                    <w:jc w:val="left"/>
                                    <w:rPr/>
                                  </w:pPr>
                                  <w:r>
                                    <w:rPr/>
                                    <w:t> </w:t>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vAlign w:val="center"/>
                                </w:tcPr>
                                <w:p>
                                  <w:pPr>
                                    <w:pStyle w:val="TableContents"/>
                                    <w:bidi w:val="0"/>
                                    <w:spacing w:before="0" w:after="0"/>
                                    <w:jc w:val="left"/>
                                    <w:rPr/>
                                  </w:pPr>
                                  <w:hyperlink w:anchor="toc445034_41">
                                    <w:r>
                                      <w:rPr>
                                        <w:rStyle w:val="InternetLink"/>
                                        <w:rFonts w:ascii="arial" w:hAnsi="arial"/>
                                        <w:sz w:val="18"/>
                                      </w:rPr>
                                      <w:t>Non-Direct Compensation and Payouts in Certain Circumstances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right"/>
                                    <w:rPr/>
                                  </w:pPr>
                                  <w:r>
                                    <w:rPr/>
                                    <w:t>80</w:t>
                                  </w:r>
                                </w:p>
                              </w:tc>
                              <w:tc>
                                <w:tcPr>
                                  <w:tcW w:w="76" w:type="dxa"/>
                                  <w:tcBorders/>
                                  <w:vAlign w:val="center"/>
                                </w:tcPr>
                                <w:p>
                                  <w:pPr>
                                    <w:pStyle w:val="TableContents"/>
                                    <w:bidi w:val="0"/>
                                    <w:spacing w:before="0" w:after="283"/>
                                    <w:jc w:val="left"/>
                                    <w:rPr/>
                                  </w:pPr>
                                  <w:r>
                                    <w:rPr/>
                                    <w:t> </w:t>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vAlign w:val="center"/>
                                </w:tcPr>
                                <w:p>
                                  <w:pPr>
                                    <w:pStyle w:val="TableContents"/>
                                    <w:bidi w:val="0"/>
                                    <w:spacing w:before="0" w:after="0"/>
                                    <w:jc w:val="left"/>
                                    <w:rPr/>
                                  </w:pPr>
                                  <w:hyperlink w:anchor="toc445034_42">
                                    <w:r>
                                      <w:rPr>
                                        <w:rStyle w:val="InternetLink"/>
                                        <w:rFonts w:ascii="arial" w:hAnsi="arial"/>
                                        <w:sz w:val="18"/>
                                      </w:rPr>
                                      <w:t>Accounting Standards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right"/>
                                    <w:rPr/>
                                  </w:pPr>
                                  <w:r>
                                    <w:rPr/>
                                    <w:t>82</w:t>
                                  </w:r>
                                </w:p>
                              </w:tc>
                              <w:tc>
                                <w:tcPr>
                                  <w:tcW w:w="76" w:type="dxa"/>
                                  <w:tcBorders/>
                                  <w:vAlign w:val="center"/>
                                </w:tcPr>
                                <w:p>
                                  <w:pPr>
                                    <w:pStyle w:val="TableContents"/>
                                    <w:bidi w:val="0"/>
                                    <w:spacing w:before="0" w:after="283"/>
                                    <w:jc w:val="left"/>
                                    <w:rPr/>
                                  </w:pPr>
                                  <w:r>
                                    <w:rPr/>
                                    <w:t> </w:t>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bottom w:val="single" w:sz="6" w:space="0" w:color="000000"/>
                                  </w:tcBorders>
                                  <w:tcMar>
                                    <w:bottom w:w="28" w:type="dxa"/>
                                  </w:tcMar>
                                  <w:vAlign w:val="center"/>
                                </w:tcPr>
                                <w:p>
                                  <w:pPr>
                                    <w:pStyle w:val="TableContents"/>
                                    <w:bidi w:val="0"/>
                                    <w:spacing w:before="0" w:after="283"/>
                                    <w:jc w:val="left"/>
                                    <w:rPr/>
                                  </w:pPr>
                                  <w:hyperlink w:anchor="toc445034_43">
                                    <w:r>
                                      <w:rPr>
                                        <w:rStyle w:val="InternetLink"/>
                                        <w:b/>
                                        <w:color w:val="0171B9"/>
                                      </w:rPr>
                                      <w:t>Executive Compensation Tables</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93" w:type="dxa"/>
                                  <w:tcBorders>
                                    <w:bottom w:val="single" w:sz="6" w:space="0" w:color="000000"/>
                                  </w:tcBorders>
                                  <w:tcMar>
                                    <w:bottom w:w="28" w:type="dxa"/>
                                  </w:tcMar>
                                  <w:vAlign w:val="center"/>
                                </w:tcPr>
                                <w:p>
                                  <w:pPr>
                                    <w:pStyle w:val="TableContents"/>
                                    <w:bidi w:val="0"/>
                                    <w:spacing w:before="0" w:after="283"/>
                                    <w:jc w:val="right"/>
                                    <w:rPr>
                                      <w:b/>
                                    </w:rPr>
                                  </w:pPr>
                                  <w:r>
                                    <w:rPr>
                                      <w:b/>
                                    </w:rPr>
                                    <w:t>83</w:t>
                                  </w:r>
                                </w:p>
                              </w:tc>
                              <w:tc>
                                <w:tcPr>
                                  <w:tcW w:w="7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bottom w:val="single" w:sz="6" w:space="0" w:color="000000"/>
                                  </w:tcBorders>
                                  <w:tcMar>
                                    <w:bottom w:w="28" w:type="dxa"/>
                                  </w:tcMar>
                                  <w:vAlign w:val="center"/>
                                </w:tcPr>
                                <w:p>
                                  <w:pPr>
                                    <w:pStyle w:val="TableContents"/>
                                    <w:bidi w:val="0"/>
                                    <w:spacing w:before="0" w:after="283"/>
                                    <w:jc w:val="left"/>
                                    <w:rPr/>
                                  </w:pPr>
                                  <w:hyperlink w:anchor="toc445034_44">
                                    <w:r>
                                      <w:rPr>
                                        <w:rStyle w:val="InternetLink"/>
                                        <w:b/>
                                        <w:color w:val="0171B9"/>
                                      </w:rPr>
                                      <w:t>Pay Versus Performance</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93" w:type="dxa"/>
                                  <w:tcBorders>
                                    <w:bottom w:val="single" w:sz="6" w:space="0" w:color="000000"/>
                                  </w:tcBorders>
                                  <w:tcMar>
                                    <w:bottom w:w="28" w:type="dxa"/>
                                  </w:tcMar>
                                  <w:vAlign w:val="center"/>
                                </w:tcPr>
                                <w:p>
                                  <w:pPr>
                                    <w:pStyle w:val="TableContents"/>
                                    <w:bidi w:val="0"/>
                                    <w:spacing w:before="0" w:after="283"/>
                                    <w:jc w:val="right"/>
                                    <w:rPr>
                                      <w:b/>
                                    </w:rPr>
                                  </w:pPr>
                                  <w:r>
                                    <w:rPr>
                                      <w:b/>
                                    </w:rPr>
                                    <w:t>100</w:t>
                                  </w:r>
                                </w:p>
                              </w:tc>
                              <w:tc>
                                <w:tcPr>
                                  <w:tcW w:w="7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bottom w:val="single" w:sz="6" w:space="0" w:color="000000"/>
                                  </w:tcBorders>
                                  <w:tcMar>
                                    <w:bottom w:w="28" w:type="dxa"/>
                                  </w:tcMar>
                                  <w:vAlign w:val="center"/>
                                </w:tcPr>
                                <w:p>
                                  <w:pPr>
                                    <w:pStyle w:val="TableContents"/>
                                    <w:bidi w:val="0"/>
                                    <w:spacing w:before="0" w:after="283"/>
                                    <w:jc w:val="left"/>
                                    <w:rPr/>
                                  </w:pPr>
                                  <w:hyperlink w:anchor="toc445034_45">
                                    <w:r>
                                      <w:rPr>
                                        <w:rStyle w:val="InternetLink"/>
                                        <w:b/>
                                        <w:color w:val="0171B9"/>
                                      </w:rPr>
                                      <w:t>Director Compensation</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93" w:type="dxa"/>
                                  <w:tcBorders>
                                    <w:bottom w:val="single" w:sz="6" w:space="0" w:color="000000"/>
                                  </w:tcBorders>
                                  <w:tcMar>
                                    <w:bottom w:w="28" w:type="dxa"/>
                                  </w:tcMar>
                                  <w:vAlign w:val="center"/>
                                </w:tcPr>
                                <w:p>
                                  <w:pPr>
                                    <w:pStyle w:val="TableContents"/>
                                    <w:bidi w:val="0"/>
                                    <w:spacing w:before="0" w:after="283"/>
                                    <w:jc w:val="right"/>
                                    <w:rPr>
                                      <w:b/>
                                    </w:rPr>
                                  </w:pPr>
                                  <w:r>
                                    <w:rPr>
                                      <w:b/>
                                    </w:rPr>
                                    <w:t>103</w:t>
                                  </w:r>
                                </w:p>
                              </w:tc>
                              <w:tc>
                                <w:tcPr>
                                  <w:tcW w:w="7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bottom w:val="single" w:sz="6" w:space="0" w:color="000000"/>
                                  </w:tcBorders>
                                  <w:tcMar>
                                    <w:bottom w:w="28" w:type="dxa"/>
                                  </w:tcMar>
                                  <w:vAlign w:val="center"/>
                                </w:tcPr>
                                <w:p>
                                  <w:pPr>
                                    <w:pStyle w:val="TableContents"/>
                                    <w:bidi w:val="0"/>
                                    <w:spacing w:before="0" w:after="283"/>
                                    <w:jc w:val="left"/>
                                    <w:rPr/>
                                  </w:pPr>
                                  <w:hyperlink w:anchor="toc445034_46">
                                    <w:r>
                                      <w:rPr>
                                        <w:rStyle w:val="InternetLink"/>
                                        <w:b/>
                                        <w:color w:val="0171B9"/>
                                      </w:rPr>
                                      <w:t>Item 3—Approval of Amgen Inc. Second Amended and Restated 2009 Equity Incentive Plan</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93" w:type="dxa"/>
                                  <w:tcBorders>
                                    <w:bottom w:val="single" w:sz="6" w:space="0" w:color="000000"/>
                                  </w:tcBorders>
                                  <w:tcMar>
                                    <w:bottom w:w="28" w:type="dxa"/>
                                  </w:tcMar>
                                  <w:vAlign w:val="center"/>
                                </w:tcPr>
                                <w:p>
                                  <w:pPr>
                                    <w:pStyle w:val="TableContents"/>
                                    <w:bidi w:val="0"/>
                                    <w:spacing w:before="0" w:after="283"/>
                                    <w:jc w:val="right"/>
                                    <w:rPr>
                                      <w:b/>
                                    </w:rPr>
                                  </w:pPr>
                                  <w:r>
                                    <w:rPr>
                                      <w:b/>
                                    </w:rPr>
                                    <w:t>108</w:t>
                                  </w:r>
                                </w:p>
                              </w:tc>
                              <w:tc>
                                <w:tcPr>
                                  <w:tcW w:w="7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bottom w:val="single" w:sz="6" w:space="0" w:color="000000"/>
                                  </w:tcBorders>
                                  <w:tcMar>
                                    <w:bottom w:w="28" w:type="dxa"/>
                                  </w:tcMar>
                                  <w:vAlign w:val="center"/>
                                </w:tcPr>
                                <w:p>
                                  <w:pPr>
                                    <w:pStyle w:val="TableContents"/>
                                    <w:bidi w:val="0"/>
                                    <w:spacing w:before="0" w:after="283"/>
                                    <w:jc w:val="left"/>
                                    <w:rPr/>
                                  </w:pPr>
                                  <w:hyperlink w:anchor="toc445034_47">
                                    <w:r>
                                      <w:rPr>
                                        <w:rStyle w:val="InternetLink"/>
                                        <w:b/>
                                        <w:color w:val="0171B9"/>
                                      </w:rPr>
                                      <w:t>Security Ownership of Directors and Executive Officers</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93" w:type="dxa"/>
                                  <w:tcBorders>
                                    <w:bottom w:val="single" w:sz="6" w:space="0" w:color="000000"/>
                                  </w:tcBorders>
                                  <w:tcMar>
                                    <w:bottom w:w="28" w:type="dxa"/>
                                  </w:tcMar>
                                  <w:vAlign w:val="center"/>
                                </w:tcPr>
                                <w:p>
                                  <w:pPr>
                                    <w:pStyle w:val="TableContents"/>
                                    <w:bidi w:val="0"/>
                                    <w:spacing w:before="0" w:after="283"/>
                                    <w:jc w:val="right"/>
                                    <w:rPr>
                                      <w:b/>
                                    </w:rPr>
                                  </w:pPr>
                                  <w:r>
                                    <w:rPr>
                                      <w:b/>
                                    </w:rPr>
                                    <w:t>118</w:t>
                                  </w:r>
                                </w:p>
                              </w:tc>
                              <w:tc>
                                <w:tcPr>
                                  <w:tcW w:w="7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bottom w:val="single" w:sz="6" w:space="0" w:color="000000"/>
                                  </w:tcBorders>
                                  <w:tcMar>
                                    <w:bottom w:w="28" w:type="dxa"/>
                                  </w:tcMar>
                                  <w:vAlign w:val="center"/>
                                </w:tcPr>
                                <w:p>
                                  <w:pPr>
                                    <w:pStyle w:val="TableContents"/>
                                    <w:bidi w:val="0"/>
                                    <w:spacing w:before="0" w:after="283"/>
                                    <w:jc w:val="left"/>
                                    <w:rPr/>
                                  </w:pPr>
                                  <w:hyperlink w:anchor="toc445034_48">
                                    <w:r>
                                      <w:rPr>
                                        <w:rStyle w:val="InternetLink"/>
                                        <w:b/>
                                        <w:color w:val="0171B9"/>
                                      </w:rPr>
                                      <w:t>Security Ownership of Certain Beneficial Owners</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93" w:type="dxa"/>
                                  <w:tcBorders>
                                    <w:bottom w:val="single" w:sz="6" w:space="0" w:color="000000"/>
                                  </w:tcBorders>
                                  <w:tcMar>
                                    <w:bottom w:w="28" w:type="dxa"/>
                                  </w:tcMar>
                                  <w:vAlign w:val="center"/>
                                </w:tcPr>
                                <w:p>
                                  <w:pPr>
                                    <w:pStyle w:val="TableContents"/>
                                    <w:bidi w:val="0"/>
                                    <w:spacing w:before="0" w:after="283"/>
                                    <w:jc w:val="right"/>
                                    <w:rPr>
                                      <w:b/>
                                    </w:rPr>
                                  </w:pPr>
                                  <w:r>
                                    <w:rPr>
                                      <w:b/>
                                    </w:rPr>
                                    <w:t>120</w:t>
                                  </w:r>
                                </w:p>
                              </w:tc>
                              <w:tc>
                                <w:tcPr>
                                  <w:tcW w:w="7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bottom w:val="single" w:sz="6" w:space="0" w:color="000000"/>
                                  </w:tcBorders>
                                  <w:tcMar>
                                    <w:bottom w:w="28" w:type="dxa"/>
                                  </w:tcMar>
                                  <w:vAlign w:val="center"/>
                                </w:tcPr>
                                <w:p>
                                  <w:pPr>
                                    <w:pStyle w:val="TableContents"/>
                                    <w:bidi w:val="0"/>
                                    <w:spacing w:before="0" w:after="283"/>
                                    <w:jc w:val="left"/>
                                    <w:rPr/>
                                  </w:pPr>
                                  <w:hyperlink w:anchor="toc445034_49">
                                    <w:r>
                                      <w:rPr>
                                        <w:rStyle w:val="InternetLink"/>
                                        <w:b/>
                                        <w:color w:val="0171B9"/>
                                      </w:rPr>
                                      <w:t>Securities Authorized for Issuance Under Existing Equity Compensation Plans</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93" w:type="dxa"/>
                                  <w:tcBorders>
                                    <w:bottom w:val="single" w:sz="6" w:space="0" w:color="000000"/>
                                  </w:tcBorders>
                                  <w:tcMar>
                                    <w:bottom w:w="28" w:type="dxa"/>
                                  </w:tcMar>
                                  <w:vAlign w:val="center"/>
                                </w:tcPr>
                                <w:p>
                                  <w:pPr>
                                    <w:pStyle w:val="TableContents"/>
                                    <w:bidi w:val="0"/>
                                    <w:spacing w:before="0" w:after="283"/>
                                    <w:jc w:val="right"/>
                                    <w:rPr>
                                      <w:b/>
                                    </w:rPr>
                                  </w:pPr>
                                  <w:r>
                                    <w:rPr>
                                      <w:b/>
                                    </w:rPr>
                                    <w:t>121</w:t>
                                  </w:r>
                                </w:p>
                              </w:tc>
                              <w:tc>
                                <w:tcPr>
                                  <w:tcW w:w="7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bottom w:val="single" w:sz="6" w:space="0" w:color="000000"/>
                                  </w:tcBorders>
                                  <w:tcMar>
                                    <w:bottom w:w="28" w:type="dxa"/>
                                  </w:tcMar>
                                  <w:vAlign w:val="center"/>
                                </w:tcPr>
                                <w:p>
                                  <w:pPr>
                                    <w:pStyle w:val="TableContents"/>
                                    <w:bidi w:val="0"/>
                                    <w:spacing w:before="0" w:after="283"/>
                                    <w:jc w:val="left"/>
                                    <w:rPr/>
                                  </w:pPr>
                                  <w:hyperlink w:anchor="toc445034_50">
                                    <w:r>
                                      <w:rPr>
                                        <w:rStyle w:val="InternetLink"/>
                                        <w:b/>
                                        <w:color w:val="0171B9"/>
                                      </w:rPr>
                                      <w:t>Item 4—Ratification of Selection of Independent Registered Public Accountants</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93" w:type="dxa"/>
                                  <w:tcBorders>
                                    <w:bottom w:val="single" w:sz="6" w:space="0" w:color="000000"/>
                                  </w:tcBorders>
                                  <w:tcMar>
                                    <w:bottom w:w="28" w:type="dxa"/>
                                  </w:tcMar>
                                  <w:vAlign w:val="center"/>
                                </w:tcPr>
                                <w:p>
                                  <w:pPr>
                                    <w:pStyle w:val="TableContents"/>
                                    <w:bidi w:val="0"/>
                                    <w:spacing w:before="0" w:after="283"/>
                                    <w:jc w:val="right"/>
                                    <w:rPr>
                                      <w:b/>
                                    </w:rPr>
                                  </w:pPr>
                                  <w:r>
                                    <w:rPr>
                                      <w:b/>
                                    </w:rPr>
                                    <w:t>123</w:t>
                                  </w:r>
                                </w:p>
                              </w:tc>
                              <w:tc>
                                <w:tcPr>
                                  <w:tcW w:w="7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bottom w:val="single" w:sz="6" w:space="0" w:color="000000"/>
                                  </w:tcBorders>
                                  <w:tcMar>
                                    <w:bottom w:w="28" w:type="dxa"/>
                                  </w:tcMar>
                                  <w:vAlign w:val="center"/>
                                </w:tcPr>
                                <w:p>
                                  <w:pPr>
                                    <w:pStyle w:val="TableContents"/>
                                    <w:bidi w:val="0"/>
                                    <w:spacing w:before="0" w:after="283"/>
                                    <w:jc w:val="left"/>
                                    <w:rPr/>
                                  </w:pPr>
                                  <w:hyperlink w:anchor="toc445034_51">
                                    <w:r>
                                      <w:rPr>
                                        <w:rStyle w:val="InternetLink"/>
                                        <w:b/>
                                        <w:color w:val="0171B9"/>
                                      </w:rPr>
                                      <w:t>Audit Matters</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93" w:type="dxa"/>
                                  <w:tcBorders>
                                    <w:bottom w:val="single" w:sz="6" w:space="0" w:color="000000"/>
                                  </w:tcBorders>
                                  <w:tcMar>
                                    <w:bottom w:w="28" w:type="dxa"/>
                                  </w:tcMar>
                                  <w:vAlign w:val="center"/>
                                </w:tcPr>
                                <w:p>
                                  <w:pPr>
                                    <w:pStyle w:val="TableContents"/>
                                    <w:bidi w:val="0"/>
                                    <w:spacing w:before="0" w:after="283"/>
                                    <w:jc w:val="right"/>
                                    <w:rPr>
                                      <w:b/>
                                    </w:rPr>
                                  </w:pPr>
                                  <w:r>
                                    <w:rPr>
                                      <w:b/>
                                    </w:rPr>
                                    <w:t>124</w:t>
                                  </w:r>
                                </w:p>
                              </w:tc>
                              <w:tc>
                                <w:tcPr>
                                  <w:tcW w:w="7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bottom w:val="single" w:sz="6" w:space="0" w:color="000000"/>
                                  </w:tcBorders>
                                  <w:tcMar>
                                    <w:bottom w:w="28" w:type="dxa"/>
                                  </w:tcMar>
                                  <w:vAlign w:val="center"/>
                                </w:tcPr>
                                <w:p>
                                  <w:pPr>
                                    <w:pStyle w:val="TableContents"/>
                                    <w:bidi w:val="0"/>
                                    <w:spacing w:before="0" w:after="283"/>
                                    <w:jc w:val="left"/>
                                    <w:rPr/>
                                  </w:pPr>
                                  <w:hyperlink w:anchor="toc445034_52">
                                    <w:r>
                                      <w:rPr>
                                        <w:rStyle w:val="InternetLink"/>
                                        <w:b/>
                                        <w:color w:val="0171B9"/>
                                      </w:rPr>
                                      <w:t>Annual Report on Form 10-K</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93" w:type="dxa"/>
                                  <w:tcBorders>
                                    <w:bottom w:val="single" w:sz="6" w:space="0" w:color="000000"/>
                                  </w:tcBorders>
                                  <w:tcMar>
                                    <w:bottom w:w="28" w:type="dxa"/>
                                  </w:tcMar>
                                  <w:vAlign w:val="center"/>
                                </w:tcPr>
                                <w:p>
                                  <w:pPr>
                                    <w:pStyle w:val="TableContents"/>
                                    <w:bidi w:val="0"/>
                                    <w:spacing w:before="0" w:after="283"/>
                                    <w:jc w:val="right"/>
                                    <w:rPr>
                                      <w:b/>
                                    </w:rPr>
                                  </w:pPr>
                                  <w:r>
                                    <w:rPr>
                                      <w:b/>
                                    </w:rPr>
                                    <w:t>125</w:t>
                                  </w:r>
                                </w:p>
                              </w:tc>
                              <w:tc>
                                <w:tcPr>
                                  <w:tcW w:w="7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bottom w:val="single" w:sz="6" w:space="0" w:color="000000"/>
                                  </w:tcBorders>
                                  <w:tcMar>
                                    <w:bottom w:w="28" w:type="dxa"/>
                                  </w:tcMar>
                                  <w:vAlign w:val="center"/>
                                </w:tcPr>
                                <w:p>
                                  <w:pPr>
                                    <w:pStyle w:val="TableContents"/>
                                    <w:bidi w:val="0"/>
                                    <w:spacing w:before="0" w:after="283"/>
                                    <w:jc w:val="left"/>
                                    <w:rPr/>
                                  </w:pPr>
                                  <w:hyperlink w:anchor="toc445034_53">
                                    <w:r>
                                      <w:rPr>
                                        <w:rStyle w:val="InternetLink"/>
                                        <w:b/>
                                        <w:color w:val="0171B9"/>
                                      </w:rPr>
                                      <w:t>Certain Relationships and Related Transactions</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93" w:type="dxa"/>
                                  <w:tcBorders>
                                    <w:bottom w:val="single" w:sz="6" w:space="0" w:color="000000"/>
                                  </w:tcBorders>
                                  <w:tcMar>
                                    <w:bottom w:w="28" w:type="dxa"/>
                                  </w:tcMar>
                                  <w:vAlign w:val="center"/>
                                </w:tcPr>
                                <w:p>
                                  <w:pPr>
                                    <w:pStyle w:val="TableContents"/>
                                    <w:bidi w:val="0"/>
                                    <w:spacing w:before="0" w:after="283"/>
                                    <w:jc w:val="right"/>
                                    <w:rPr>
                                      <w:b/>
                                    </w:rPr>
                                  </w:pPr>
                                  <w:r>
                                    <w:rPr>
                                      <w:b/>
                                    </w:rPr>
                                    <w:t>126</w:t>
                                  </w:r>
                                </w:p>
                              </w:tc>
                              <w:tc>
                                <w:tcPr>
                                  <w:tcW w:w="7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bottom w:val="single" w:sz="6" w:space="0" w:color="000000"/>
                                  </w:tcBorders>
                                  <w:tcMar>
                                    <w:bottom w:w="28" w:type="dxa"/>
                                  </w:tcMar>
                                  <w:vAlign w:val="center"/>
                                </w:tcPr>
                                <w:p>
                                  <w:pPr>
                                    <w:pStyle w:val="TableContents"/>
                                    <w:bidi w:val="0"/>
                                    <w:spacing w:before="0" w:after="283"/>
                                    <w:jc w:val="left"/>
                                    <w:rPr/>
                                  </w:pPr>
                                  <w:hyperlink w:anchor="toc445034_57">
                                    <w:r>
                                      <w:rPr>
                                        <w:rStyle w:val="InternetLink"/>
                                        <w:b/>
                                        <w:color w:val="0171B9"/>
                                      </w:rPr>
                                      <w:t>Information Concerning Voting and Solicitation</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93" w:type="dxa"/>
                                  <w:tcBorders>
                                    <w:bottom w:val="single" w:sz="6" w:space="0" w:color="000000"/>
                                  </w:tcBorders>
                                  <w:tcMar>
                                    <w:bottom w:w="28" w:type="dxa"/>
                                  </w:tcMar>
                                  <w:vAlign w:val="center"/>
                                </w:tcPr>
                                <w:p>
                                  <w:pPr>
                                    <w:pStyle w:val="TableContents"/>
                                    <w:bidi w:val="0"/>
                                    <w:spacing w:before="0" w:after="283"/>
                                    <w:jc w:val="right"/>
                                    <w:rPr>
                                      <w:b/>
                                    </w:rPr>
                                  </w:pPr>
                                  <w:r>
                                    <w:rPr>
                                      <w:b/>
                                    </w:rPr>
                                    <w:t>128</w:t>
                                  </w:r>
                                </w:p>
                              </w:tc>
                              <w:tc>
                                <w:tcPr>
                                  <w:tcW w:w="7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bottom w:val="single" w:sz="6" w:space="0" w:color="000000"/>
                                  </w:tcBorders>
                                  <w:tcMar>
                                    <w:bottom w:w="28" w:type="dxa"/>
                                  </w:tcMar>
                                  <w:vAlign w:val="center"/>
                                </w:tcPr>
                                <w:p>
                                  <w:pPr>
                                    <w:pStyle w:val="TableContents"/>
                                    <w:bidi w:val="0"/>
                                    <w:spacing w:before="0" w:after="283"/>
                                    <w:jc w:val="left"/>
                                    <w:rPr/>
                                  </w:pPr>
                                  <w:hyperlink w:anchor="toc445034_58">
                                    <w:r>
                                      <w:rPr>
                                        <w:rStyle w:val="InternetLink"/>
                                        <w:b/>
                                        <w:color w:val="0171B9"/>
                                      </w:rPr>
                                      <w:t>Other Matters</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93" w:type="dxa"/>
                                  <w:tcBorders>
                                    <w:bottom w:val="single" w:sz="6" w:space="0" w:color="000000"/>
                                  </w:tcBorders>
                                  <w:tcMar>
                                    <w:bottom w:w="28" w:type="dxa"/>
                                  </w:tcMar>
                                  <w:vAlign w:val="center"/>
                                </w:tcPr>
                                <w:p>
                                  <w:pPr>
                                    <w:pStyle w:val="TableContents"/>
                                    <w:bidi w:val="0"/>
                                    <w:spacing w:before="0" w:after="283"/>
                                    <w:jc w:val="right"/>
                                    <w:rPr>
                                      <w:b/>
                                    </w:rPr>
                                  </w:pPr>
                                  <w:r>
                                    <w:rPr>
                                      <w:b/>
                                    </w:rPr>
                                    <w:t>133</w:t>
                                  </w:r>
                                </w:p>
                              </w:tc>
                              <w:tc>
                                <w:tcPr>
                                  <w:tcW w:w="7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bottom w:val="single" w:sz="6" w:space="0" w:color="000000"/>
                                  </w:tcBorders>
                                  <w:tcMar>
                                    <w:bottom w:w="28" w:type="dxa"/>
                                  </w:tcMar>
                                  <w:vAlign w:val="center"/>
                                </w:tcPr>
                                <w:p>
                                  <w:pPr>
                                    <w:pStyle w:val="TableContents"/>
                                    <w:bidi w:val="0"/>
                                    <w:spacing w:before="0" w:after="283"/>
                                    <w:jc w:val="left"/>
                                    <w:rPr/>
                                  </w:pPr>
                                  <w:hyperlink w:anchor="toc445034_59">
                                    <w:r>
                                      <w:rPr>
                                        <w:rStyle w:val="InternetLink"/>
                                        <w:b/>
                                        <w:color w:val="0171B9"/>
                                      </w:rPr>
                                      <w:t>Appendix A: Amgen Inc. Board of Directors Guidelines for Director Qualifications and Evaluations</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93" w:type="dxa"/>
                                  <w:tcBorders>
                                    <w:bottom w:val="single" w:sz="6" w:space="0" w:color="000000"/>
                                  </w:tcBorders>
                                  <w:tcMar>
                                    <w:bottom w:w="28" w:type="dxa"/>
                                  </w:tcMar>
                                  <w:vAlign w:val="center"/>
                                </w:tcPr>
                                <w:p>
                                  <w:pPr>
                                    <w:pStyle w:val="TableContents"/>
                                    <w:bidi w:val="0"/>
                                    <w:spacing w:before="0" w:after="283"/>
                                    <w:jc w:val="right"/>
                                    <w:rPr>
                                      <w:b/>
                                    </w:rPr>
                                  </w:pPr>
                                  <w:r>
                                    <w:rPr>
                                      <w:b/>
                                    </w:rPr>
                                    <w:t>A-1</w:t>
                                  </w:r>
                                </w:p>
                              </w:tc>
                              <w:tc>
                                <w:tcPr>
                                  <w:tcW w:w="7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bottom w:val="single" w:sz="6" w:space="0" w:color="000000"/>
                                  </w:tcBorders>
                                  <w:tcMar>
                                    <w:bottom w:w="28" w:type="dxa"/>
                                  </w:tcMar>
                                  <w:vAlign w:val="center"/>
                                </w:tcPr>
                                <w:p>
                                  <w:pPr>
                                    <w:pStyle w:val="TableContents"/>
                                    <w:bidi w:val="0"/>
                                    <w:spacing w:before="0" w:after="283"/>
                                    <w:jc w:val="left"/>
                                    <w:rPr/>
                                  </w:pPr>
                                  <w:hyperlink w:anchor="toc445034_60">
                                    <w:r>
                                      <w:rPr>
                                        <w:rStyle w:val="InternetLink"/>
                                        <w:b/>
                                        <w:color w:val="0171B9"/>
                                      </w:rPr>
                                      <w:t>Appendix B: Reconciliations of GAAP to Non-GAAP Measures</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93" w:type="dxa"/>
                                  <w:tcBorders>
                                    <w:bottom w:val="single" w:sz="6" w:space="0" w:color="000000"/>
                                  </w:tcBorders>
                                  <w:tcMar>
                                    <w:bottom w:w="28" w:type="dxa"/>
                                  </w:tcMar>
                                  <w:vAlign w:val="center"/>
                                </w:tcPr>
                                <w:p>
                                  <w:pPr>
                                    <w:pStyle w:val="TableContents"/>
                                    <w:bidi w:val="0"/>
                                    <w:spacing w:before="0" w:after="283"/>
                                    <w:jc w:val="right"/>
                                    <w:rPr>
                                      <w:b/>
                                    </w:rPr>
                                  </w:pPr>
                                  <w:r>
                                    <w:rPr>
                                      <w:b/>
                                    </w:rPr>
                                    <w:t>B-1</w:t>
                                  </w:r>
                                </w:p>
                              </w:tc>
                              <w:tc>
                                <w:tcPr>
                                  <w:tcW w:w="7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bottom w:val="single" w:sz="6" w:space="0" w:color="000000"/>
                                  </w:tcBorders>
                                  <w:tcMar>
                                    <w:bottom w:w="28" w:type="dxa"/>
                                  </w:tcMar>
                                  <w:vAlign w:val="center"/>
                                </w:tcPr>
                                <w:p>
                                  <w:pPr>
                                    <w:pStyle w:val="TableContents"/>
                                    <w:bidi w:val="0"/>
                                    <w:spacing w:before="0" w:after="283"/>
                                    <w:jc w:val="left"/>
                                    <w:rPr/>
                                  </w:pPr>
                                  <w:hyperlink w:anchor="toc445034_61a">
                                    <w:r>
                                      <w:rPr>
                                        <w:rStyle w:val="InternetLink"/>
                                        <w:b/>
                                        <w:color w:val="0171B9"/>
                                      </w:rPr>
                                      <w:t>Appendix C: Amgen Inc. Second Amended and Restated 2009 Equity Incentive Plan</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93" w:type="dxa"/>
                                  <w:tcBorders>
                                    <w:bottom w:val="single" w:sz="6" w:space="0" w:color="000000"/>
                                  </w:tcBorders>
                                  <w:tcMar>
                                    <w:bottom w:w="28" w:type="dxa"/>
                                  </w:tcMar>
                                  <w:vAlign w:val="center"/>
                                </w:tcPr>
                                <w:p>
                                  <w:pPr>
                                    <w:pStyle w:val="TableContents"/>
                                    <w:bidi w:val="0"/>
                                    <w:spacing w:before="0" w:after="283"/>
                                    <w:jc w:val="right"/>
                                    <w:rPr>
                                      <w:b/>
                                    </w:rPr>
                                  </w:pPr>
                                  <w:r>
                                    <w:rPr>
                                      <w:b/>
                                    </w:rPr>
                                    <w:t>C-1</w:t>
                                  </w:r>
                                </w:p>
                              </w:tc>
                              <w:tc>
                                <w:tcPr>
                                  <w:tcW w:w="76" w:type="dxa"/>
                                  <w:tcBorders>
                                    <w:bottom w:val="sing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9556"/>
                        <w:gridCol w:w="120"/>
                        <w:gridCol w:w="60"/>
                        <w:gridCol w:w="393"/>
                        <w:gridCol w:w="76"/>
                      </w:tblGrid>
                      <w:tr>
                        <w:trPr/>
                        <w:tc>
                          <w:tcPr>
                            <w:tcW w:w="95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vAlign w:val="center"/>
                          </w:tcPr>
                          <w:p>
                            <w:pPr>
                              <w:pStyle w:val="TableContents"/>
                              <w:bidi w:val="0"/>
                              <w:spacing w:before="0" w:after="0"/>
                              <w:jc w:val="left"/>
                              <w:rPr/>
                            </w:pPr>
                            <w:hyperlink w:anchor="toc445034_32">
                              <w:r>
                                <w:rPr>
                                  <w:rStyle w:val="InternetLink"/>
                                  <w:rFonts w:ascii="arial" w:hAnsi="arial"/>
                                  <w:sz w:val="18"/>
                                </w:rPr>
                                <w:t>Our Compensation Best Practices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right"/>
                              <w:rPr/>
                            </w:pPr>
                            <w:r>
                              <w:rPr/>
                              <w:t>53</w:t>
                            </w:r>
                          </w:p>
                        </w:tc>
                        <w:tc>
                          <w:tcPr>
                            <w:tcW w:w="76" w:type="dxa"/>
                            <w:tcBorders/>
                            <w:vAlign w:val="center"/>
                          </w:tcPr>
                          <w:p>
                            <w:pPr>
                              <w:pStyle w:val="TableContents"/>
                              <w:bidi w:val="0"/>
                              <w:spacing w:before="0" w:after="283"/>
                              <w:jc w:val="left"/>
                              <w:rPr/>
                            </w:pPr>
                            <w:r>
                              <w:rPr/>
                              <w:t> </w:t>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vAlign w:val="center"/>
                          </w:tcPr>
                          <w:p>
                            <w:pPr>
                              <w:pStyle w:val="TableContents"/>
                              <w:bidi w:val="0"/>
                              <w:spacing w:before="0" w:after="0"/>
                              <w:jc w:val="left"/>
                              <w:rPr/>
                            </w:pPr>
                            <w:hyperlink w:anchor="toc445034_33">
                              <w:r>
                                <w:rPr>
                                  <w:rStyle w:val="InternetLink"/>
                                  <w:rFonts w:ascii="arial" w:hAnsi="arial"/>
                                  <w:sz w:val="18"/>
                                </w:rPr>
                                <w:t>Aligning Pay With Performance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right"/>
                              <w:rPr/>
                            </w:pPr>
                            <w:r>
                              <w:rPr/>
                              <w:t>54</w:t>
                            </w:r>
                          </w:p>
                        </w:tc>
                        <w:tc>
                          <w:tcPr>
                            <w:tcW w:w="76" w:type="dxa"/>
                            <w:tcBorders/>
                            <w:vAlign w:val="center"/>
                          </w:tcPr>
                          <w:p>
                            <w:pPr>
                              <w:pStyle w:val="TableContents"/>
                              <w:bidi w:val="0"/>
                              <w:spacing w:before="0" w:after="283"/>
                              <w:jc w:val="left"/>
                              <w:rPr/>
                            </w:pPr>
                            <w:r>
                              <w:rPr/>
                              <w:t> </w:t>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vAlign w:val="center"/>
                          </w:tcPr>
                          <w:p>
                            <w:pPr>
                              <w:pStyle w:val="TableContents"/>
                              <w:bidi w:val="0"/>
                              <w:spacing w:before="0" w:after="0"/>
                              <w:jc w:val="left"/>
                              <w:rPr/>
                            </w:pPr>
                            <w:hyperlink w:anchor="toc445034_34">
                              <w:r>
                                <w:rPr>
                                  <w:rStyle w:val="InternetLink"/>
                                  <w:rFonts w:ascii="arial" w:hAnsi="arial"/>
                                  <w:sz w:val="18"/>
                                </w:rPr>
                                <w:t>Implementation of Our Strategic Priorities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right"/>
                              <w:rPr/>
                            </w:pPr>
                            <w:r>
                              <w:rPr/>
                              <w:t>54</w:t>
                            </w:r>
                          </w:p>
                        </w:tc>
                        <w:tc>
                          <w:tcPr>
                            <w:tcW w:w="76" w:type="dxa"/>
                            <w:tcBorders/>
                            <w:vAlign w:val="center"/>
                          </w:tcPr>
                          <w:p>
                            <w:pPr>
                              <w:pStyle w:val="TableContents"/>
                              <w:bidi w:val="0"/>
                              <w:spacing w:before="0" w:after="283"/>
                              <w:jc w:val="left"/>
                              <w:rPr/>
                            </w:pPr>
                            <w:r>
                              <w:rPr/>
                              <w:t> </w:t>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vAlign w:val="center"/>
                          </w:tcPr>
                          <w:p>
                            <w:pPr>
                              <w:pStyle w:val="TableContents"/>
                              <w:bidi w:val="0"/>
                              <w:spacing w:before="0" w:after="0"/>
                              <w:jc w:val="left"/>
                              <w:rPr/>
                            </w:pPr>
                            <w:hyperlink w:anchor="toc445034_35">
                              <w:r>
                                <w:rPr>
                                  <w:rStyle w:val="InternetLink"/>
                                  <w:rFonts w:ascii="arial" w:hAnsi="arial"/>
                                  <w:sz w:val="18"/>
                                </w:rPr>
                                <w:t>Long-Term Incentive Equity Award Design in 2023</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right"/>
                              <w:rPr/>
                            </w:pPr>
                            <w:r>
                              <w:rPr/>
                              <w:t>60</w:t>
                            </w:r>
                          </w:p>
                        </w:tc>
                        <w:tc>
                          <w:tcPr>
                            <w:tcW w:w="76" w:type="dxa"/>
                            <w:tcBorders/>
                            <w:vAlign w:val="center"/>
                          </w:tcPr>
                          <w:p>
                            <w:pPr>
                              <w:pStyle w:val="TableContents"/>
                              <w:bidi w:val="0"/>
                              <w:spacing w:before="0" w:after="283"/>
                              <w:jc w:val="left"/>
                              <w:rPr/>
                            </w:pPr>
                            <w:r>
                              <w:rPr/>
                              <w:t> </w:t>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vAlign w:val="center"/>
                          </w:tcPr>
                          <w:p>
                            <w:pPr>
                              <w:pStyle w:val="TableContents"/>
                              <w:bidi w:val="0"/>
                              <w:spacing w:before="0" w:after="0"/>
                              <w:jc w:val="left"/>
                              <w:rPr/>
                            </w:pPr>
                            <w:hyperlink w:anchor="toc445034_36">
                              <w:r>
                                <w:rPr>
                                  <w:rStyle w:val="InternetLink"/>
                                  <w:rFonts w:ascii="arial" w:hAnsi="arial"/>
                                  <w:sz w:val="18"/>
                                </w:rPr>
                                <w:t>Positive 2023 Say on Pay Vote Outcome and Responses to 2023 Stockholder Input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right"/>
                              <w:rPr/>
                            </w:pPr>
                            <w:r>
                              <w:rPr/>
                              <w:t>60</w:t>
                            </w:r>
                          </w:p>
                        </w:tc>
                        <w:tc>
                          <w:tcPr>
                            <w:tcW w:w="76" w:type="dxa"/>
                            <w:tcBorders/>
                            <w:vAlign w:val="center"/>
                          </w:tcPr>
                          <w:p>
                            <w:pPr>
                              <w:pStyle w:val="TableContents"/>
                              <w:bidi w:val="0"/>
                              <w:spacing w:before="0" w:after="283"/>
                              <w:jc w:val="left"/>
                              <w:rPr/>
                            </w:pPr>
                            <w:r>
                              <w:rPr/>
                              <w:t> </w:t>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vAlign w:val="center"/>
                          </w:tcPr>
                          <w:p>
                            <w:pPr>
                              <w:pStyle w:val="TableContents"/>
                              <w:bidi w:val="0"/>
                              <w:spacing w:before="0" w:after="0"/>
                              <w:jc w:val="left"/>
                              <w:rPr/>
                            </w:pPr>
                            <w:hyperlink w:anchor="toc445034_37">
                              <w:r>
                                <w:rPr>
                                  <w:rStyle w:val="InternetLink"/>
                                  <w:rFonts w:ascii="arial" w:hAnsi="arial"/>
                                  <w:sz w:val="18"/>
                                </w:rPr>
                                <w:t>Our 2023 Compensation Program Highlights and Objectives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right"/>
                              <w:rPr/>
                            </w:pPr>
                            <w:r>
                              <w:rPr/>
                              <w:t>62</w:t>
                            </w:r>
                          </w:p>
                        </w:tc>
                        <w:tc>
                          <w:tcPr>
                            <w:tcW w:w="76" w:type="dxa"/>
                            <w:tcBorders/>
                            <w:vAlign w:val="center"/>
                          </w:tcPr>
                          <w:p>
                            <w:pPr>
                              <w:pStyle w:val="TableContents"/>
                              <w:bidi w:val="0"/>
                              <w:spacing w:before="0" w:after="283"/>
                              <w:jc w:val="left"/>
                              <w:rPr/>
                            </w:pPr>
                            <w:r>
                              <w:rPr/>
                              <w:t> </w:t>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vAlign w:val="center"/>
                          </w:tcPr>
                          <w:p>
                            <w:pPr>
                              <w:pStyle w:val="TableContents"/>
                              <w:bidi w:val="0"/>
                              <w:spacing w:before="0" w:after="0"/>
                              <w:jc w:val="left"/>
                              <w:rPr/>
                            </w:pPr>
                            <w:hyperlink w:anchor="toc445034_38">
                              <w:r>
                                <w:rPr>
                                  <w:rStyle w:val="InternetLink"/>
                                  <w:rFonts w:ascii="arial" w:hAnsi="arial"/>
                                  <w:sz w:val="18"/>
                                </w:rPr>
                                <w:t>How Compensation Decisions Are Made For Our Named Executive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right"/>
                              <w:rPr/>
                            </w:pPr>
                            <w:r>
                              <w:rPr/>
                              <w:t>63</w:t>
                            </w:r>
                          </w:p>
                        </w:tc>
                        <w:tc>
                          <w:tcPr>
                            <w:tcW w:w="76" w:type="dxa"/>
                            <w:tcBorders/>
                            <w:vAlign w:val="center"/>
                          </w:tcPr>
                          <w:p>
                            <w:pPr>
                              <w:pStyle w:val="TableContents"/>
                              <w:bidi w:val="0"/>
                              <w:spacing w:before="0" w:after="283"/>
                              <w:jc w:val="left"/>
                              <w:rPr/>
                            </w:pPr>
                            <w:r>
                              <w:rPr/>
                              <w:t> </w:t>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vAlign w:val="center"/>
                          </w:tcPr>
                          <w:p>
                            <w:pPr>
                              <w:pStyle w:val="TableContents"/>
                              <w:bidi w:val="0"/>
                              <w:spacing w:before="0" w:after="0"/>
                              <w:jc w:val="left"/>
                              <w:rPr/>
                            </w:pPr>
                            <w:hyperlink w:anchor="toc445034_39">
                              <w:r>
                                <w:rPr>
                                  <w:rStyle w:val="InternetLink"/>
                                  <w:rFonts w:ascii="arial" w:hAnsi="arial"/>
                                  <w:sz w:val="18"/>
                                </w:rPr>
                                <w:t>Elements of Compensation and Specific Compensation Decisions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right"/>
                              <w:rPr/>
                            </w:pPr>
                            <w:r>
                              <w:rPr/>
                              <w:t>66</w:t>
                            </w:r>
                          </w:p>
                        </w:tc>
                        <w:tc>
                          <w:tcPr>
                            <w:tcW w:w="76" w:type="dxa"/>
                            <w:tcBorders/>
                            <w:vAlign w:val="center"/>
                          </w:tcPr>
                          <w:p>
                            <w:pPr>
                              <w:pStyle w:val="TableContents"/>
                              <w:bidi w:val="0"/>
                              <w:spacing w:before="0" w:after="283"/>
                              <w:jc w:val="left"/>
                              <w:rPr/>
                            </w:pPr>
                            <w:r>
                              <w:rPr/>
                              <w:t> </w:t>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vAlign w:val="center"/>
                          </w:tcPr>
                          <w:p>
                            <w:pPr>
                              <w:pStyle w:val="TableContents"/>
                              <w:bidi w:val="0"/>
                              <w:spacing w:before="0" w:after="0"/>
                              <w:jc w:val="left"/>
                              <w:rPr/>
                            </w:pPr>
                            <w:hyperlink w:anchor="toc445034_40">
                              <w:r>
                                <w:rPr>
                                  <w:rStyle w:val="InternetLink"/>
                                  <w:rFonts w:ascii="arial" w:hAnsi="arial"/>
                                  <w:sz w:val="18"/>
                                </w:rPr>
                                <w:t>Compensation Policies and Practices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right"/>
                              <w:rPr/>
                            </w:pPr>
                            <w:r>
                              <w:rPr/>
                              <w:t>77</w:t>
                            </w:r>
                          </w:p>
                        </w:tc>
                        <w:tc>
                          <w:tcPr>
                            <w:tcW w:w="76" w:type="dxa"/>
                            <w:tcBorders/>
                            <w:vAlign w:val="center"/>
                          </w:tcPr>
                          <w:p>
                            <w:pPr>
                              <w:pStyle w:val="TableContents"/>
                              <w:bidi w:val="0"/>
                              <w:spacing w:before="0" w:after="283"/>
                              <w:jc w:val="left"/>
                              <w:rPr/>
                            </w:pPr>
                            <w:r>
                              <w:rPr/>
                              <w:t> </w:t>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vAlign w:val="center"/>
                          </w:tcPr>
                          <w:p>
                            <w:pPr>
                              <w:pStyle w:val="TableContents"/>
                              <w:bidi w:val="0"/>
                              <w:spacing w:before="0" w:after="0"/>
                              <w:jc w:val="left"/>
                              <w:rPr/>
                            </w:pPr>
                            <w:hyperlink w:anchor="toc445034_41">
                              <w:r>
                                <w:rPr>
                                  <w:rStyle w:val="InternetLink"/>
                                  <w:rFonts w:ascii="arial" w:hAnsi="arial"/>
                                  <w:sz w:val="18"/>
                                </w:rPr>
                                <w:t>Non-Direct Compensation and Payouts in Certain Circumstances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right"/>
                              <w:rPr/>
                            </w:pPr>
                            <w:r>
                              <w:rPr/>
                              <w:t>80</w:t>
                            </w:r>
                          </w:p>
                        </w:tc>
                        <w:tc>
                          <w:tcPr>
                            <w:tcW w:w="76" w:type="dxa"/>
                            <w:tcBorders/>
                            <w:vAlign w:val="center"/>
                          </w:tcPr>
                          <w:p>
                            <w:pPr>
                              <w:pStyle w:val="TableContents"/>
                              <w:bidi w:val="0"/>
                              <w:spacing w:before="0" w:after="283"/>
                              <w:jc w:val="left"/>
                              <w:rPr/>
                            </w:pPr>
                            <w:r>
                              <w:rPr/>
                              <w:t> </w:t>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vAlign w:val="center"/>
                          </w:tcPr>
                          <w:p>
                            <w:pPr>
                              <w:pStyle w:val="TableContents"/>
                              <w:bidi w:val="0"/>
                              <w:spacing w:before="0" w:after="0"/>
                              <w:jc w:val="left"/>
                              <w:rPr/>
                            </w:pPr>
                            <w:hyperlink w:anchor="toc445034_42">
                              <w:r>
                                <w:rPr>
                                  <w:rStyle w:val="InternetLink"/>
                                  <w:rFonts w:ascii="arial" w:hAnsi="arial"/>
                                  <w:sz w:val="18"/>
                                </w:rPr>
                                <w:t>Accounting Standards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right"/>
                              <w:rPr/>
                            </w:pPr>
                            <w:r>
                              <w:rPr/>
                              <w:t>82</w:t>
                            </w:r>
                          </w:p>
                        </w:tc>
                        <w:tc>
                          <w:tcPr>
                            <w:tcW w:w="76" w:type="dxa"/>
                            <w:tcBorders/>
                            <w:vAlign w:val="center"/>
                          </w:tcPr>
                          <w:p>
                            <w:pPr>
                              <w:pStyle w:val="TableContents"/>
                              <w:bidi w:val="0"/>
                              <w:spacing w:before="0" w:after="283"/>
                              <w:jc w:val="left"/>
                              <w:rPr/>
                            </w:pPr>
                            <w:r>
                              <w:rPr/>
                              <w:t> </w:t>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bottom w:val="single" w:sz="6" w:space="0" w:color="000000"/>
                            </w:tcBorders>
                            <w:tcMar>
                              <w:bottom w:w="28" w:type="dxa"/>
                            </w:tcMar>
                            <w:vAlign w:val="center"/>
                          </w:tcPr>
                          <w:p>
                            <w:pPr>
                              <w:pStyle w:val="TableContents"/>
                              <w:bidi w:val="0"/>
                              <w:spacing w:before="0" w:after="283"/>
                              <w:jc w:val="left"/>
                              <w:rPr/>
                            </w:pPr>
                            <w:hyperlink w:anchor="toc445034_43">
                              <w:r>
                                <w:rPr>
                                  <w:rStyle w:val="InternetLink"/>
                                  <w:b/>
                                  <w:color w:val="0171B9"/>
                                </w:rPr>
                                <w:t>Executive Compensation Tables</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93" w:type="dxa"/>
                            <w:tcBorders>
                              <w:bottom w:val="single" w:sz="6" w:space="0" w:color="000000"/>
                            </w:tcBorders>
                            <w:tcMar>
                              <w:bottom w:w="28" w:type="dxa"/>
                            </w:tcMar>
                            <w:vAlign w:val="center"/>
                          </w:tcPr>
                          <w:p>
                            <w:pPr>
                              <w:pStyle w:val="TableContents"/>
                              <w:bidi w:val="0"/>
                              <w:spacing w:before="0" w:after="283"/>
                              <w:jc w:val="right"/>
                              <w:rPr>
                                <w:b/>
                              </w:rPr>
                            </w:pPr>
                            <w:r>
                              <w:rPr>
                                <w:b/>
                              </w:rPr>
                              <w:t>83</w:t>
                            </w:r>
                          </w:p>
                        </w:tc>
                        <w:tc>
                          <w:tcPr>
                            <w:tcW w:w="7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bottom w:val="single" w:sz="6" w:space="0" w:color="000000"/>
                            </w:tcBorders>
                            <w:tcMar>
                              <w:bottom w:w="28" w:type="dxa"/>
                            </w:tcMar>
                            <w:vAlign w:val="center"/>
                          </w:tcPr>
                          <w:p>
                            <w:pPr>
                              <w:pStyle w:val="TableContents"/>
                              <w:bidi w:val="0"/>
                              <w:spacing w:before="0" w:after="283"/>
                              <w:jc w:val="left"/>
                              <w:rPr/>
                            </w:pPr>
                            <w:hyperlink w:anchor="toc445034_44">
                              <w:r>
                                <w:rPr>
                                  <w:rStyle w:val="InternetLink"/>
                                  <w:b/>
                                  <w:color w:val="0171B9"/>
                                </w:rPr>
                                <w:t>Pay Versus Performance</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93" w:type="dxa"/>
                            <w:tcBorders>
                              <w:bottom w:val="single" w:sz="6" w:space="0" w:color="000000"/>
                            </w:tcBorders>
                            <w:tcMar>
                              <w:bottom w:w="28" w:type="dxa"/>
                            </w:tcMar>
                            <w:vAlign w:val="center"/>
                          </w:tcPr>
                          <w:p>
                            <w:pPr>
                              <w:pStyle w:val="TableContents"/>
                              <w:bidi w:val="0"/>
                              <w:spacing w:before="0" w:after="283"/>
                              <w:jc w:val="right"/>
                              <w:rPr>
                                <w:b/>
                              </w:rPr>
                            </w:pPr>
                            <w:r>
                              <w:rPr>
                                <w:b/>
                              </w:rPr>
                              <w:t>100</w:t>
                            </w:r>
                          </w:p>
                        </w:tc>
                        <w:tc>
                          <w:tcPr>
                            <w:tcW w:w="7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bottom w:val="single" w:sz="6" w:space="0" w:color="000000"/>
                            </w:tcBorders>
                            <w:tcMar>
                              <w:bottom w:w="28" w:type="dxa"/>
                            </w:tcMar>
                            <w:vAlign w:val="center"/>
                          </w:tcPr>
                          <w:p>
                            <w:pPr>
                              <w:pStyle w:val="TableContents"/>
                              <w:bidi w:val="0"/>
                              <w:spacing w:before="0" w:after="283"/>
                              <w:jc w:val="left"/>
                              <w:rPr/>
                            </w:pPr>
                            <w:hyperlink w:anchor="toc445034_45">
                              <w:r>
                                <w:rPr>
                                  <w:rStyle w:val="InternetLink"/>
                                  <w:b/>
                                  <w:color w:val="0171B9"/>
                                </w:rPr>
                                <w:t>Director Compensation</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93" w:type="dxa"/>
                            <w:tcBorders>
                              <w:bottom w:val="single" w:sz="6" w:space="0" w:color="000000"/>
                            </w:tcBorders>
                            <w:tcMar>
                              <w:bottom w:w="28" w:type="dxa"/>
                            </w:tcMar>
                            <w:vAlign w:val="center"/>
                          </w:tcPr>
                          <w:p>
                            <w:pPr>
                              <w:pStyle w:val="TableContents"/>
                              <w:bidi w:val="0"/>
                              <w:spacing w:before="0" w:after="283"/>
                              <w:jc w:val="right"/>
                              <w:rPr>
                                <w:b/>
                              </w:rPr>
                            </w:pPr>
                            <w:r>
                              <w:rPr>
                                <w:b/>
                              </w:rPr>
                              <w:t>103</w:t>
                            </w:r>
                          </w:p>
                        </w:tc>
                        <w:tc>
                          <w:tcPr>
                            <w:tcW w:w="7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bottom w:val="single" w:sz="6" w:space="0" w:color="000000"/>
                            </w:tcBorders>
                            <w:tcMar>
                              <w:bottom w:w="28" w:type="dxa"/>
                            </w:tcMar>
                            <w:vAlign w:val="center"/>
                          </w:tcPr>
                          <w:p>
                            <w:pPr>
                              <w:pStyle w:val="TableContents"/>
                              <w:bidi w:val="0"/>
                              <w:spacing w:before="0" w:after="283"/>
                              <w:jc w:val="left"/>
                              <w:rPr/>
                            </w:pPr>
                            <w:hyperlink w:anchor="toc445034_46">
                              <w:r>
                                <w:rPr>
                                  <w:rStyle w:val="InternetLink"/>
                                  <w:b/>
                                  <w:color w:val="0171B9"/>
                                </w:rPr>
                                <w:t>Item 3—Approval of Amgen Inc. Second Amended and Restated 2009 Equity Incentive Plan</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93" w:type="dxa"/>
                            <w:tcBorders>
                              <w:bottom w:val="single" w:sz="6" w:space="0" w:color="000000"/>
                            </w:tcBorders>
                            <w:tcMar>
                              <w:bottom w:w="28" w:type="dxa"/>
                            </w:tcMar>
                            <w:vAlign w:val="center"/>
                          </w:tcPr>
                          <w:p>
                            <w:pPr>
                              <w:pStyle w:val="TableContents"/>
                              <w:bidi w:val="0"/>
                              <w:spacing w:before="0" w:after="283"/>
                              <w:jc w:val="right"/>
                              <w:rPr>
                                <w:b/>
                              </w:rPr>
                            </w:pPr>
                            <w:r>
                              <w:rPr>
                                <w:b/>
                              </w:rPr>
                              <w:t>108</w:t>
                            </w:r>
                          </w:p>
                        </w:tc>
                        <w:tc>
                          <w:tcPr>
                            <w:tcW w:w="7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bottom w:val="single" w:sz="6" w:space="0" w:color="000000"/>
                            </w:tcBorders>
                            <w:tcMar>
                              <w:bottom w:w="28" w:type="dxa"/>
                            </w:tcMar>
                            <w:vAlign w:val="center"/>
                          </w:tcPr>
                          <w:p>
                            <w:pPr>
                              <w:pStyle w:val="TableContents"/>
                              <w:bidi w:val="0"/>
                              <w:spacing w:before="0" w:after="283"/>
                              <w:jc w:val="left"/>
                              <w:rPr/>
                            </w:pPr>
                            <w:hyperlink w:anchor="toc445034_47">
                              <w:r>
                                <w:rPr>
                                  <w:rStyle w:val="InternetLink"/>
                                  <w:b/>
                                  <w:color w:val="0171B9"/>
                                </w:rPr>
                                <w:t>Security Ownership of Directors and Executive Officers</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93" w:type="dxa"/>
                            <w:tcBorders>
                              <w:bottom w:val="single" w:sz="6" w:space="0" w:color="000000"/>
                            </w:tcBorders>
                            <w:tcMar>
                              <w:bottom w:w="28" w:type="dxa"/>
                            </w:tcMar>
                            <w:vAlign w:val="center"/>
                          </w:tcPr>
                          <w:p>
                            <w:pPr>
                              <w:pStyle w:val="TableContents"/>
                              <w:bidi w:val="0"/>
                              <w:spacing w:before="0" w:after="283"/>
                              <w:jc w:val="right"/>
                              <w:rPr>
                                <w:b/>
                              </w:rPr>
                            </w:pPr>
                            <w:r>
                              <w:rPr>
                                <w:b/>
                              </w:rPr>
                              <w:t>118</w:t>
                            </w:r>
                          </w:p>
                        </w:tc>
                        <w:tc>
                          <w:tcPr>
                            <w:tcW w:w="7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bottom w:val="single" w:sz="6" w:space="0" w:color="000000"/>
                            </w:tcBorders>
                            <w:tcMar>
                              <w:bottom w:w="28" w:type="dxa"/>
                            </w:tcMar>
                            <w:vAlign w:val="center"/>
                          </w:tcPr>
                          <w:p>
                            <w:pPr>
                              <w:pStyle w:val="TableContents"/>
                              <w:bidi w:val="0"/>
                              <w:spacing w:before="0" w:after="283"/>
                              <w:jc w:val="left"/>
                              <w:rPr/>
                            </w:pPr>
                            <w:hyperlink w:anchor="toc445034_48">
                              <w:r>
                                <w:rPr>
                                  <w:rStyle w:val="InternetLink"/>
                                  <w:b/>
                                  <w:color w:val="0171B9"/>
                                </w:rPr>
                                <w:t>Security Ownership of Certain Beneficial Owners</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93" w:type="dxa"/>
                            <w:tcBorders>
                              <w:bottom w:val="single" w:sz="6" w:space="0" w:color="000000"/>
                            </w:tcBorders>
                            <w:tcMar>
                              <w:bottom w:w="28" w:type="dxa"/>
                            </w:tcMar>
                            <w:vAlign w:val="center"/>
                          </w:tcPr>
                          <w:p>
                            <w:pPr>
                              <w:pStyle w:val="TableContents"/>
                              <w:bidi w:val="0"/>
                              <w:spacing w:before="0" w:after="283"/>
                              <w:jc w:val="right"/>
                              <w:rPr>
                                <w:b/>
                              </w:rPr>
                            </w:pPr>
                            <w:r>
                              <w:rPr>
                                <w:b/>
                              </w:rPr>
                              <w:t>120</w:t>
                            </w:r>
                          </w:p>
                        </w:tc>
                        <w:tc>
                          <w:tcPr>
                            <w:tcW w:w="7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bottom w:val="single" w:sz="6" w:space="0" w:color="000000"/>
                            </w:tcBorders>
                            <w:tcMar>
                              <w:bottom w:w="28" w:type="dxa"/>
                            </w:tcMar>
                            <w:vAlign w:val="center"/>
                          </w:tcPr>
                          <w:p>
                            <w:pPr>
                              <w:pStyle w:val="TableContents"/>
                              <w:bidi w:val="0"/>
                              <w:spacing w:before="0" w:after="283"/>
                              <w:jc w:val="left"/>
                              <w:rPr/>
                            </w:pPr>
                            <w:hyperlink w:anchor="toc445034_49">
                              <w:r>
                                <w:rPr>
                                  <w:rStyle w:val="InternetLink"/>
                                  <w:b/>
                                  <w:color w:val="0171B9"/>
                                </w:rPr>
                                <w:t>Securities Authorized for Issuance Under Existing Equity Compensation Plans</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93" w:type="dxa"/>
                            <w:tcBorders>
                              <w:bottom w:val="single" w:sz="6" w:space="0" w:color="000000"/>
                            </w:tcBorders>
                            <w:tcMar>
                              <w:bottom w:w="28" w:type="dxa"/>
                            </w:tcMar>
                            <w:vAlign w:val="center"/>
                          </w:tcPr>
                          <w:p>
                            <w:pPr>
                              <w:pStyle w:val="TableContents"/>
                              <w:bidi w:val="0"/>
                              <w:spacing w:before="0" w:after="283"/>
                              <w:jc w:val="right"/>
                              <w:rPr>
                                <w:b/>
                              </w:rPr>
                            </w:pPr>
                            <w:r>
                              <w:rPr>
                                <w:b/>
                              </w:rPr>
                              <w:t>121</w:t>
                            </w:r>
                          </w:p>
                        </w:tc>
                        <w:tc>
                          <w:tcPr>
                            <w:tcW w:w="7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bottom w:val="single" w:sz="6" w:space="0" w:color="000000"/>
                            </w:tcBorders>
                            <w:tcMar>
                              <w:bottom w:w="28" w:type="dxa"/>
                            </w:tcMar>
                            <w:vAlign w:val="center"/>
                          </w:tcPr>
                          <w:p>
                            <w:pPr>
                              <w:pStyle w:val="TableContents"/>
                              <w:bidi w:val="0"/>
                              <w:spacing w:before="0" w:after="283"/>
                              <w:jc w:val="left"/>
                              <w:rPr/>
                            </w:pPr>
                            <w:hyperlink w:anchor="toc445034_50">
                              <w:r>
                                <w:rPr>
                                  <w:rStyle w:val="InternetLink"/>
                                  <w:b/>
                                  <w:color w:val="0171B9"/>
                                </w:rPr>
                                <w:t>Item 4—Ratification of Selection of Independent Registered Public Accountants</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93" w:type="dxa"/>
                            <w:tcBorders>
                              <w:bottom w:val="single" w:sz="6" w:space="0" w:color="000000"/>
                            </w:tcBorders>
                            <w:tcMar>
                              <w:bottom w:w="28" w:type="dxa"/>
                            </w:tcMar>
                            <w:vAlign w:val="center"/>
                          </w:tcPr>
                          <w:p>
                            <w:pPr>
                              <w:pStyle w:val="TableContents"/>
                              <w:bidi w:val="0"/>
                              <w:spacing w:before="0" w:after="283"/>
                              <w:jc w:val="right"/>
                              <w:rPr>
                                <w:b/>
                              </w:rPr>
                            </w:pPr>
                            <w:r>
                              <w:rPr>
                                <w:b/>
                              </w:rPr>
                              <w:t>123</w:t>
                            </w:r>
                          </w:p>
                        </w:tc>
                        <w:tc>
                          <w:tcPr>
                            <w:tcW w:w="7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bottom w:val="single" w:sz="6" w:space="0" w:color="000000"/>
                            </w:tcBorders>
                            <w:tcMar>
                              <w:bottom w:w="28" w:type="dxa"/>
                            </w:tcMar>
                            <w:vAlign w:val="center"/>
                          </w:tcPr>
                          <w:p>
                            <w:pPr>
                              <w:pStyle w:val="TableContents"/>
                              <w:bidi w:val="0"/>
                              <w:spacing w:before="0" w:after="283"/>
                              <w:jc w:val="left"/>
                              <w:rPr/>
                            </w:pPr>
                            <w:hyperlink w:anchor="toc445034_51">
                              <w:r>
                                <w:rPr>
                                  <w:rStyle w:val="InternetLink"/>
                                  <w:b/>
                                  <w:color w:val="0171B9"/>
                                </w:rPr>
                                <w:t>Audit Matters</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93" w:type="dxa"/>
                            <w:tcBorders>
                              <w:bottom w:val="single" w:sz="6" w:space="0" w:color="000000"/>
                            </w:tcBorders>
                            <w:tcMar>
                              <w:bottom w:w="28" w:type="dxa"/>
                            </w:tcMar>
                            <w:vAlign w:val="center"/>
                          </w:tcPr>
                          <w:p>
                            <w:pPr>
                              <w:pStyle w:val="TableContents"/>
                              <w:bidi w:val="0"/>
                              <w:spacing w:before="0" w:after="283"/>
                              <w:jc w:val="right"/>
                              <w:rPr>
                                <w:b/>
                              </w:rPr>
                            </w:pPr>
                            <w:r>
                              <w:rPr>
                                <w:b/>
                              </w:rPr>
                              <w:t>124</w:t>
                            </w:r>
                          </w:p>
                        </w:tc>
                        <w:tc>
                          <w:tcPr>
                            <w:tcW w:w="7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bottom w:val="single" w:sz="6" w:space="0" w:color="000000"/>
                            </w:tcBorders>
                            <w:tcMar>
                              <w:bottom w:w="28" w:type="dxa"/>
                            </w:tcMar>
                            <w:vAlign w:val="center"/>
                          </w:tcPr>
                          <w:p>
                            <w:pPr>
                              <w:pStyle w:val="TableContents"/>
                              <w:bidi w:val="0"/>
                              <w:spacing w:before="0" w:after="283"/>
                              <w:jc w:val="left"/>
                              <w:rPr/>
                            </w:pPr>
                            <w:hyperlink w:anchor="toc445034_52">
                              <w:r>
                                <w:rPr>
                                  <w:rStyle w:val="InternetLink"/>
                                  <w:b/>
                                  <w:color w:val="0171B9"/>
                                </w:rPr>
                                <w:t>Annual Report on Form 10-K</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93" w:type="dxa"/>
                            <w:tcBorders>
                              <w:bottom w:val="single" w:sz="6" w:space="0" w:color="000000"/>
                            </w:tcBorders>
                            <w:tcMar>
                              <w:bottom w:w="28" w:type="dxa"/>
                            </w:tcMar>
                            <w:vAlign w:val="center"/>
                          </w:tcPr>
                          <w:p>
                            <w:pPr>
                              <w:pStyle w:val="TableContents"/>
                              <w:bidi w:val="0"/>
                              <w:spacing w:before="0" w:after="283"/>
                              <w:jc w:val="right"/>
                              <w:rPr>
                                <w:b/>
                              </w:rPr>
                            </w:pPr>
                            <w:r>
                              <w:rPr>
                                <w:b/>
                              </w:rPr>
                              <w:t>125</w:t>
                            </w:r>
                          </w:p>
                        </w:tc>
                        <w:tc>
                          <w:tcPr>
                            <w:tcW w:w="7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bottom w:val="single" w:sz="6" w:space="0" w:color="000000"/>
                            </w:tcBorders>
                            <w:tcMar>
                              <w:bottom w:w="28" w:type="dxa"/>
                            </w:tcMar>
                            <w:vAlign w:val="center"/>
                          </w:tcPr>
                          <w:p>
                            <w:pPr>
                              <w:pStyle w:val="TableContents"/>
                              <w:bidi w:val="0"/>
                              <w:spacing w:before="0" w:after="283"/>
                              <w:jc w:val="left"/>
                              <w:rPr/>
                            </w:pPr>
                            <w:hyperlink w:anchor="toc445034_53">
                              <w:r>
                                <w:rPr>
                                  <w:rStyle w:val="InternetLink"/>
                                  <w:b/>
                                  <w:color w:val="0171B9"/>
                                </w:rPr>
                                <w:t>Certain Relationships and Related Transactions</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93" w:type="dxa"/>
                            <w:tcBorders>
                              <w:bottom w:val="single" w:sz="6" w:space="0" w:color="000000"/>
                            </w:tcBorders>
                            <w:tcMar>
                              <w:bottom w:w="28" w:type="dxa"/>
                            </w:tcMar>
                            <w:vAlign w:val="center"/>
                          </w:tcPr>
                          <w:p>
                            <w:pPr>
                              <w:pStyle w:val="TableContents"/>
                              <w:bidi w:val="0"/>
                              <w:spacing w:before="0" w:after="283"/>
                              <w:jc w:val="right"/>
                              <w:rPr>
                                <w:b/>
                              </w:rPr>
                            </w:pPr>
                            <w:r>
                              <w:rPr>
                                <w:b/>
                              </w:rPr>
                              <w:t>126</w:t>
                            </w:r>
                          </w:p>
                        </w:tc>
                        <w:tc>
                          <w:tcPr>
                            <w:tcW w:w="7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bottom w:val="single" w:sz="6" w:space="0" w:color="000000"/>
                            </w:tcBorders>
                            <w:tcMar>
                              <w:bottom w:w="28" w:type="dxa"/>
                            </w:tcMar>
                            <w:vAlign w:val="center"/>
                          </w:tcPr>
                          <w:p>
                            <w:pPr>
                              <w:pStyle w:val="TableContents"/>
                              <w:bidi w:val="0"/>
                              <w:spacing w:before="0" w:after="283"/>
                              <w:jc w:val="left"/>
                              <w:rPr/>
                            </w:pPr>
                            <w:hyperlink w:anchor="toc445034_57">
                              <w:r>
                                <w:rPr>
                                  <w:rStyle w:val="InternetLink"/>
                                  <w:b/>
                                  <w:color w:val="0171B9"/>
                                </w:rPr>
                                <w:t>Information Concerning Voting and Solicitation</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93" w:type="dxa"/>
                            <w:tcBorders>
                              <w:bottom w:val="single" w:sz="6" w:space="0" w:color="000000"/>
                            </w:tcBorders>
                            <w:tcMar>
                              <w:bottom w:w="28" w:type="dxa"/>
                            </w:tcMar>
                            <w:vAlign w:val="center"/>
                          </w:tcPr>
                          <w:p>
                            <w:pPr>
                              <w:pStyle w:val="TableContents"/>
                              <w:bidi w:val="0"/>
                              <w:spacing w:before="0" w:after="283"/>
                              <w:jc w:val="right"/>
                              <w:rPr>
                                <w:b/>
                              </w:rPr>
                            </w:pPr>
                            <w:r>
                              <w:rPr>
                                <w:b/>
                              </w:rPr>
                              <w:t>128</w:t>
                            </w:r>
                          </w:p>
                        </w:tc>
                        <w:tc>
                          <w:tcPr>
                            <w:tcW w:w="7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bottom w:val="single" w:sz="6" w:space="0" w:color="000000"/>
                            </w:tcBorders>
                            <w:tcMar>
                              <w:bottom w:w="28" w:type="dxa"/>
                            </w:tcMar>
                            <w:vAlign w:val="center"/>
                          </w:tcPr>
                          <w:p>
                            <w:pPr>
                              <w:pStyle w:val="TableContents"/>
                              <w:bidi w:val="0"/>
                              <w:spacing w:before="0" w:after="283"/>
                              <w:jc w:val="left"/>
                              <w:rPr/>
                            </w:pPr>
                            <w:hyperlink w:anchor="toc445034_58">
                              <w:r>
                                <w:rPr>
                                  <w:rStyle w:val="InternetLink"/>
                                  <w:b/>
                                  <w:color w:val="0171B9"/>
                                </w:rPr>
                                <w:t>Other Matters</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93" w:type="dxa"/>
                            <w:tcBorders>
                              <w:bottom w:val="single" w:sz="6" w:space="0" w:color="000000"/>
                            </w:tcBorders>
                            <w:tcMar>
                              <w:bottom w:w="28" w:type="dxa"/>
                            </w:tcMar>
                            <w:vAlign w:val="center"/>
                          </w:tcPr>
                          <w:p>
                            <w:pPr>
                              <w:pStyle w:val="TableContents"/>
                              <w:bidi w:val="0"/>
                              <w:spacing w:before="0" w:after="283"/>
                              <w:jc w:val="right"/>
                              <w:rPr>
                                <w:b/>
                              </w:rPr>
                            </w:pPr>
                            <w:r>
                              <w:rPr>
                                <w:b/>
                              </w:rPr>
                              <w:t>133</w:t>
                            </w:r>
                          </w:p>
                        </w:tc>
                        <w:tc>
                          <w:tcPr>
                            <w:tcW w:w="7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bottom w:val="single" w:sz="6" w:space="0" w:color="000000"/>
                            </w:tcBorders>
                            <w:tcMar>
                              <w:bottom w:w="28" w:type="dxa"/>
                            </w:tcMar>
                            <w:vAlign w:val="center"/>
                          </w:tcPr>
                          <w:p>
                            <w:pPr>
                              <w:pStyle w:val="TableContents"/>
                              <w:bidi w:val="0"/>
                              <w:spacing w:before="0" w:after="283"/>
                              <w:jc w:val="left"/>
                              <w:rPr/>
                            </w:pPr>
                            <w:hyperlink w:anchor="toc445034_59">
                              <w:r>
                                <w:rPr>
                                  <w:rStyle w:val="InternetLink"/>
                                  <w:b/>
                                  <w:color w:val="0171B9"/>
                                </w:rPr>
                                <w:t>Appendix A: Amgen Inc. Board of Directors Guidelines for Director Qualifications and Evaluations</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93" w:type="dxa"/>
                            <w:tcBorders>
                              <w:bottom w:val="single" w:sz="6" w:space="0" w:color="000000"/>
                            </w:tcBorders>
                            <w:tcMar>
                              <w:bottom w:w="28" w:type="dxa"/>
                            </w:tcMar>
                            <w:vAlign w:val="center"/>
                          </w:tcPr>
                          <w:p>
                            <w:pPr>
                              <w:pStyle w:val="TableContents"/>
                              <w:bidi w:val="0"/>
                              <w:spacing w:before="0" w:after="283"/>
                              <w:jc w:val="right"/>
                              <w:rPr>
                                <w:b/>
                              </w:rPr>
                            </w:pPr>
                            <w:r>
                              <w:rPr>
                                <w:b/>
                              </w:rPr>
                              <w:t>A-1</w:t>
                            </w:r>
                          </w:p>
                        </w:tc>
                        <w:tc>
                          <w:tcPr>
                            <w:tcW w:w="7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bottom w:val="single" w:sz="6" w:space="0" w:color="000000"/>
                            </w:tcBorders>
                            <w:tcMar>
                              <w:bottom w:w="28" w:type="dxa"/>
                            </w:tcMar>
                            <w:vAlign w:val="center"/>
                          </w:tcPr>
                          <w:p>
                            <w:pPr>
                              <w:pStyle w:val="TableContents"/>
                              <w:bidi w:val="0"/>
                              <w:spacing w:before="0" w:after="283"/>
                              <w:jc w:val="left"/>
                              <w:rPr/>
                            </w:pPr>
                            <w:hyperlink w:anchor="toc445034_60">
                              <w:r>
                                <w:rPr>
                                  <w:rStyle w:val="InternetLink"/>
                                  <w:b/>
                                  <w:color w:val="0171B9"/>
                                </w:rPr>
                                <w:t>Appendix B: Reconciliations of GAAP to Non-GAAP Measures</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93" w:type="dxa"/>
                            <w:tcBorders>
                              <w:bottom w:val="single" w:sz="6" w:space="0" w:color="000000"/>
                            </w:tcBorders>
                            <w:tcMar>
                              <w:bottom w:w="28" w:type="dxa"/>
                            </w:tcMar>
                            <w:vAlign w:val="center"/>
                          </w:tcPr>
                          <w:p>
                            <w:pPr>
                              <w:pStyle w:val="TableContents"/>
                              <w:bidi w:val="0"/>
                              <w:spacing w:before="0" w:after="283"/>
                              <w:jc w:val="right"/>
                              <w:rPr>
                                <w:b/>
                              </w:rPr>
                            </w:pPr>
                            <w:r>
                              <w:rPr>
                                <w:b/>
                              </w:rPr>
                              <w:t>B-1</w:t>
                            </w:r>
                          </w:p>
                        </w:tc>
                        <w:tc>
                          <w:tcPr>
                            <w:tcW w:w="7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9556" w:type="dxa"/>
                            <w:tcBorders/>
                            <w:vAlign w:val="center"/>
                          </w:tcPr>
                          <w:p>
                            <w:pPr>
                              <w:pStyle w:val="TableContents"/>
                              <w:bidi w:val="0"/>
                              <w:spacing w:before="0" w:after="283"/>
                              <w:jc w:val="left"/>
                              <w:rPr>
                                <w:sz w:val="4"/>
                                <w:szCs w:val="4"/>
                              </w:rPr>
                            </w:pPr>
                            <w:r>
                              <w:rPr>
                                <w:sz w:val="4"/>
                                <w:szCs w:val="4"/>
                              </w:rPr>
                            </w:r>
                          </w:p>
                        </w:tc>
                        <w:tc>
                          <w:tcPr>
                            <w:tcW w:w="649" w:type="dxa"/>
                            <w:gridSpan w:val="4"/>
                            <w:tcBorders/>
                            <w:vAlign w:val="center"/>
                          </w:tcPr>
                          <w:p>
                            <w:pPr>
                              <w:pStyle w:val="TableContents"/>
                              <w:bidi w:val="0"/>
                              <w:spacing w:before="0" w:after="283"/>
                              <w:jc w:val="left"/>
                              <w:rPr>
                                <w:sz w:val="4"/>
                                <w:szCs w:val="4"/>
                              </w:rPr>
                            </w:pPr>
                            <w:r>
                              <w:rPr>
                                <w:sz w:val="4"/>
                                <w:szCs w:val="4"/>
                              </w:rPr>
                            </w:r>
                          </w:p>
                        </w:tc>
                      </w:tr>
                      <w:tr>
                        <w:trPr/>
                        <w:tc>
                          <w:tcPr>
                            <w:tcW w:w="9556" w:type="dxa"/>
                            <w:tcBorders>
                              <w:bottom w:val="single" w:sz="6" w:space="0" w:color="000000"/>
                            </w:tcBorders>
                            <w:tcMar>
                              <w:bottom w:w="28" w:type="dxa"/>
                            </w:tcMar>
                            <w:vAlign w:val="center"/>
                          </w:tcPr>
                          <w:p>
                            <w:pPr>
                              <w:pStyle w:val="TableContents"/>
                              <w:bidi w:val="0"/>
                              <w:spacing w:before="0" w:after="283"/>
                              <w:jc w:val="left"/>
                              <w:rPr/>
                            </w:pPr>
                            <w:hyperlink w:anchor="toc445034_61a">
                              <w:r>
                                <w:rPr>
                                  <w:rStyle w:val="InternetLink"/>
                                  <w:b/>
                                  <w:color w:val="0171B9"/>
                                </w:rPr>
                                <w:t>Appendix C: Amgen Inc. Second Amended and Restated 2009 Equity Incentive Plan</w:t>
                              </w:r>
                            </w:hyperlink>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93" w:type="dxa"/>
                            <w:tcBorders>
                              <w:bottom w:val="single" w:sz="6" w:space="0" w:color="000000"/>
                            </w:tcBorders>
                            <w:tcMar>
                              <w:bottom w:w="28" w:type="dxa"/>
                            </w:tcMar>
                            <w:vAlign w:val="center"/>
                          </w:tcPr>
                          <w:p>
                            <w:pPr>
                              <w:pStyle w:val="TableContents"/>
                              <w:bidi w:val="0"/>
                              <w:spacing w:before="0" w:after="283"/>
                              <w:jc w:val="right"/>
                              <w:rPr>
                                <w:b/>
                              </w:rPr>
                            </w:pPr>
                            <w:r>
                              <w:rPr>
                                <w:b/>
                              </w:rPr>
                              <w:t>C-1</w:t>
                            </w:r>
                          </w:p>
                        </w:tc>
                        <w:tc>
                          <w:tcPr>
                            <w:tcW w:w="76" w:type="dxa"/>
                            <w:tcBorders>
                              <w:bottom w:val="sing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xml:space="preserve"> </w:t>
      </w:r>
      <w:r>
        <w:br w:type="page"/>
      </w:r>
    </w:p>
    <w:p>
      <w:pPr>
        <w:pStyle w:val="HorizontalLine"/>
        <w:bidi w:val="0"/>
        <w:jc w:val="left"/>
        <w:rPr/>
      </w:pPr>
      <w:r>
        <w:rPr/>
      </w:r>
    </w:p>
    <w:tbl>
      <w:tblPr>
        <w:tblW w:w="354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306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6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306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Proxy Statement Summary</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171B9"/>
          <w:sz w:val="44"/>
        </w:rPr>
      </w:pPr>
      <w:bookmarkStart w:id="3" w:name="toc445034_1"/>
      <w:bookmarkEnd w:id="3"/>
      <w:r>
        <w:rPr>
          <w:rFonts w:ascii="arial" w:hAnsi="arial"/>
          <w:b/>
          <w:color w:val="0171B9"/>
          <w:sz w:val="44"/>
        </w:rPr>
        <w:t xml:space="preserve">Proxy Statement Summary </w:t>
      </w:r>
    </w:p>
    <w:p>
      <w:pPr>
        <w:pStyle w:val="TextBody"/>
        <w:bidi w:val="0"/>
        <w:spacing w:before="200" w:after="0"/>
        <w:jc w:val="both"/>
        <w:rPr>
          <w:rFonts w:ascii="arial" w:hAnsi="arial"/>
          <w:sz w:val="18"/>
        </w:rPr>
      </w:pPr>
      <w:r>
        <w:rPr>
          <w:rFonts w:ascii="arial" w:hAnsi="arial"/>
          <w:sz w:val="18"/>
        </w:rPr>
        <w:t xml:space="preserve">This summary contains highlights about our Company and the upcoming 2024 Annual Meeting of Stockholders, or Annual Meeting. This summary does not contain all of the information that you should consider in advance of the meeting and we encourage you to read the entire proxy statement before voting. </w:t>
      </w:r>
    </w:p>
    <w:p>
      <w:pPr>
        <w:pStyle w:val="TextBody"/>
        <w:bidi w:val="0"/>
        <w:spacing w:before="360" w:after="0"/>
        <w:jc w:val="left"/>
        <w:rPr>
          <w:rFonts w:ascii="arial" w:hAnsi="arial"/>
          <w:b/>
          <w:color w:val="0171B9"/>
          <w:sz w:val="28"/>
        </w:rPr>
      </w:pPr>
      <w:r>
        <w:rPr>
          <w:rFonts w:ascii="arial" w:hAnsi="arial"/>
          <w:b/>
          <w:color w:val="0171B9"/>
          <w:sz w:val="28"/>
        </w:rPr>
        <w:t xml:space="preserve">2024 Annual Meeting of Stockholders </w:t>
      </w:r>
    </w:p>
    <w:p>
      <w:pPr>
        <w:pStyle w:val="TextBody"/>
        <w:pBdr>
          <w:bottom w:val="single" w:sz="2" w:space="1" w:color="666666"/>
        </w:pBdr>
        <w:bidi w:val="0"/>
        <w:spacing w:lineRule="atLeast" w:line="142" w:before="0" w:after="4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77"/>
        <w:gridCol w:w="120"/>
        <w:gridCol w:w="8808"/>
      </w:tblGrid>
      <w:tr>
        <w:trPr/>
        <w:tc>
          <w:tcPr>
            <w:tcW w:w="1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08" w:type="dxa"/>
            <w:tcBorders/>
            <w:vAlign w:val="center"/>
          </w:tcPr>
          <w:p>
            <w:pPr>
              <w:pStyle w:val="TableContents"/>
              <w:bidi w:val="0"/>
              <w:spacing w:before="0" w:after="283"/>
              <w:jc w:val="left"/>
              <w:rPr>
                <w:sz w:val="4"/>
                <w:szCs w:val="4"/>
              </w:rPr>
            </w:pPr>
            <w:r>
              <w:rPr>
                <w:sz w:val="4"/>
                <w:szCs w:val="4"/>
              </w:rPr>
            </w:r>
          </w:p>
        </w:tc>
      </w:tr>
      <w:tr>
        <w:trPr/>
        <w:tc>
          <w:tcPr>
            <w:tcW w:w="1277" w:type="dxa"/>
            <w:tcBorders/>
            <w:vAlign w:val="center"/>
          </w:tcPr>
          <w:p>
            <w:pPr>
              <w:pStyle w:val="TableContents"/>
              <w:bidi w:val="0"/>
              <w:spacing w:before="0" w:after="283"/>
              <w:jc w:val="left"/>
              <w:rPr>
                <w:sz w:val="4"/>
                <w:szCs w:val="4"/>
              </w:rPr>
            </w:pPr>
            <w:r>
              <w:rPr>
                <w:sz w:val="4"/>
                <w:szCs w:val="4"/>
              </w:rPr>
            </w:r>
          </w:p>
        </w:tc>
        <w:tc>
          <w:tcPr>
            <w:tcW w:w="8928" w:type="dxa"/>
            <w:gridSpan w:val="2"/>
            <w:tcBorders/>
            <w:vAlign w:val="center"/>
          </w:tcPr>
          <w:p>
            <w:pPr>
              <w:pStyle w:val="TableContents"/>
              <w:bidi w:val="0"/>
              <w:spacing w:before="0" w:after="283"/>
              <w:jc w:val="left"/>
              <w:rPr>
                <w:sz w:val="4"/>
                <w:szCs w:val="4"/>
              </w:rPr>
            </w:pPr>
            <w:r>
              <w:rPr>
                <w:sz w:val="4"/>
                <w:szCs w:val="4"/>
              </w:rPr>
            </w:r>
          </w:p>
        </w:tc>
      </w:tr>
      <w:tr>
        <w:trPr/>
        <w:tc>
          <w:tcPr>
            <w:tcW w:w="1277" w:type="dxa"/>
            <w:tcBorders/>
            <w:vAlign w:val="center"/>
          </w:tcPr>
          <w:p>
            <w:pPr>
              <w:pStyle w:val="TableContents"/>
              <w:bidi w:val="0"/>
              <w:spacing w:before="0" w:after="0"/>
              <w:jc w:val="both"/>
              <w:rPr>
                <w:rFonts w:ascii="arial" w:hAnsi="arial"/>
                <w:b/>
                <w:sz w:val="18"/>
              </w:rPr>
            </w:pPr>
            <w:r>
              <w:rPr>
                <w:rFonts w:ascii="arial" w:hAnsi="arial"/>
                <w:b/>
                <w:sz w:val="18"/>
              </w:rPr>
              <w:t>Date and Time:</w:t>
            </w:r>
          </w:p>
        </w:tc>
        <w:tc>
          <w:tcPr>
            <w:tcW w:w="120" w:type="dxa"/>
            <w:tcBorders/>
            <w:vAlign w:val="center"/>
          </w:tcPr>
          <w:p>
            <w:pPr>
              <w:pStyle w:val="TableContents"/>
              <w:bidi w:val="0"/>
              <w:spacing w:before="0" w:after="283"/>
              <w:jc w:val="left"/>
              <w:rPr/>
            </w:pPr>
            <w:r>
              <w:rPr/>
              <w:t>  </w:t>
            </w:r>
          </w:p>
        </w:tc>
        <w:tc>
          <w:tcPr>
            <w:tcW w:w="8808" w:type="dxa"/>
            <w:tcBorders/>
            <w:vAlign w:val="center"/>
          </w:tcPr>
          <w:p>
            <w:pPr>
              <w:pStyle w:val="TableContents"/>
              <w:bidi w:val="0"/>
              <w:spacing w:before="0" w:after="0"/>
              <w:jc w:val="both"/>
              <w:rPr>
                <w:rFonts w:ascii="arial" w:hAnsi="arial"/>
                <w:sz w:val="18"/>
              </w:rPr>
            </w:pPr>
            <w:r>
              <w:rPr>
                <w:rFonts w:ascii="arial" w:hAnsi="arial"/>
                <w:sz w:val="18"/>
              </w:rPr>
              <w:t>Friday, May 31, 2024, at 11:00 A.M., Pacific Time</w:t>
            </w:r>
          </w:p>
        </w:tc>
      </w:tr>
      <w:tr>
        <w:trPr/>
        <w:tc>
          <w:tcPr>
            <w:tcW w:w="1277" w:type="dxa"/>
            <w:tcBorders/>
            <w:vAlign w:val="center"/>
          </w:tcPr>
          <w:p>
            <w:pPr>
              <w:pStyle w:val="TableContents"/>
              <w:bidi w:val="0"/>
              <w:spacing w:before="0" w:after="283"/>
              <w:jc w:val="left"/>
              <w:rPr>
                <w:sz w:val="4"/>
                <w:szCs w:val="4"/>
              </w:rPr>
            </w:pPr>
            <w:r>
              <w:rPr>
                <w:sz w:val="4"/>
                <w:szCs w:val="4"/>
              </w:rPr>
            </w:r>
          </w:p>
        </w:tc>
        <w:tc>
          <w:tcPr>
            <w:tcW w:w="8928" w:type="dxa"/>
            <w:gridSpan w:val="2"/>
            <w:tcBorders/>
            <w:vAlign w:val="center"/>
          </w:tcPr>
          <w:p>
            <w:pPr>
              <w:pStyle w:val="TableContents"/>
              <w:bidi w:val="0"/>
              <w:spacing w:before="0" w:after="283"/>
              <w:jc w:val="left"/>
              <w:rPr>
                <w:sz w:val="4"/>
                <w:szCs w:val="4"/>
              </w:rPr>
            </w:pPr>
            <w:r>
              <w:rPr>
                <w:sz w:val="4"/>
                <w:szCs w:val="4"/>
              </w:rPr>
            </w:r>
          </w:p>
        </w:tc>
      </w:tr>
      <w:tr>
        <w:trPr/>
        <w:tc>
          <w:tcPr>
            <w:tcW w:w="1277" w:type="dxa"/>
            <w:tcBorders/>
            <w:vAlign w:val="center"/>
          </w:tcPr>
          <w:p>
            <w:pPr>
              <w:pStyle w:val="TableContents"/>
              <w:bidi w:val="0"/>
              <w:spacing w:before="0" w:after="0"/>
              <w:jc w:val="both"/>
              <w:rPr>
                <w:rFonts w:ascii="arial" w:hAnsi="arial"/>
                <w:b/>
                <w:sz w:val="18"/>
              </w:rPr>
            </w:pPr>
            <w:r>
              <w:rPr>
                <w:rFonts w:ascii="arial" w:hAnsi="arial"/>
                <w:b/>
                <w:sz w:val="18"/>
              </w:rPr>
              <w:t>Location:</w:t>
            </w:r>
          </w:p>
        </w:tc>
        <w:tc>
          <w:tcPr>
            <w:tcW w:w="120" w:type="dxa"/>
            <w:tcBorders/>
            <w:vAlign w:val="center"/>
          </w:tcPr>
          <w:p>
            <w:pPr>
              <w:pStyle w:val="TableContents"/>
              <w:bidi w:val="0"/>
              <w:spacing w:before="0" w:after="283"/>
              <w:jc w:val="left"/>
              <w:rPr/>
            </w:pPr>
            <w:r>
              <w:rPr/>
              <w:t>  </w:t>
            </w:r>
          </w:p>
        </w:tc>
        <w:tc>
          <w:tcPr>
            <w:tcW w:w="8808" w:type="dxa"/>
            <w:tcBorders/>
            <w:vAlign w:val="center"/>
          </w:tcPr>
          <w:p>
            <w:pPr>
              <w:pStyle w:val="TableContents"/>
              <w:bidi w:val="0"/>
              <w:spacing w:before="0" w:after="0"/>
              <w:jc w:val="both"/>
              <w:rPr>
                <w:rFonts w:ascii="arial" w:hAnsi="arial"/>
                <w:sz w:val="18"/>
              </w:rPr>
            </w:pPr>
            <w:r>
              <w:rPr>
                <w:rFonts w:ascii="arial" w:hAnsi="arial"/>
                <w:sz w:val="18"/>
              </w:rPr>
              <w:t xml:space="preserve">Our 2024 Annual Meeting of Stockholders will be held solely by remote communication via the internet at </w:t>
            </w:r>
            <w:r>
              <w:rPr>
                <w:rFonts w:ascii="arial" w:hAnsi="arial"/>
                <w:i/>
                <w:color w:val="0171B9"/>
                <w:sz w:val="18"/>
              </w:rPr>
              <w:t>www.virtualshareholdermeeting.com/AMGN2024</w:t>
            </w:r>
            <w:r>
              <w:rPr>
                <w:rFonts w:ascii="arial" w:hAnsi="arial"/>
                <w:sz w:val="18"/>
              </w:rPr>
              <w:t>. Although the meeting will not be held in person, stockholders will, to the extent possible, be afforded the same rights and opportunities to participate at the virtual meeting similarly to how they would participate at an in-person meeting.</w:t>
            </w:r>
          </w:p>
          <w:p>
            <w:pPr>
              <w:pStyle w:val="TableContents"/>
              <w:bidi w:val="0"/>
              <w:spacing w:before="0" w:after="0"/>
              <w:jc w:val="left"/>
              <w:rPr/>
            </w:pPr>
            <w:r>
              <w:rPr/>
              <w:t> </w:t>
            </w:r>
          </w:p>
          <w:p>
            <w:pPr>
              <w:pStyle w:val="TableContents"/>
              <w:bidi w:val="0"/>
              <w:spacing w:before="0" w:after="20"/>
              <w:jc w:val="both"/>
              <w:rPr>
                <w:rFonts w:ascii="arial" w:hAnsi="arial"/>
                <w:sz w:val="18"/>
              </w:rPr>
            </w:pPr>
            <w:r>
              <w:rPr>
                <w:rFonts w:ascii="arial" w:hAnsi="arial"/>
                <w:sz w:val="18"/>
              </w:rPr>
              <w:t xml:space="preserve">Stockholders or their proxyholders may participate and vote at our Annual Meeting via the internet at </w:t>
            </w:r>
            <w:r>
              <w:rPr>
                <w:rFonts w:ascii="arial" w:hAnsi="arial"/>
                <w:i/>
                <w:color w:val="0171B9"/>
                <w:sz w:val="18"/>
              </w:rPr>
              <w:t>www.virtualshareholdermeeting.com/AMGN2024</w:t>
            </w:r>
            <w:r>
              <w:rPr>
                <w:rFonts w:ascii="arial" w:hAnsi="arial"/>
                <w:sz w:val="18"/>
              </w:rPr>
              <w:t xml:space="preserve"> and using your control number.</w:t>
            </w:r>
          </w:p>
        </w:tc>
      </w:tr>
      <w:tr>
        <w:trPr/>
        <w:tc>
          <w:tcPr>
            <w:tcW w:w="1277" w:type="dxa"/>
            <w:tcBorders/>
            <w:vAlign w:val="center"/>
          </w:tcPr>
          <w:p>
            <w:pPr>
              <w:pStyle w:val="TableContents"/>
              <w:bidi w:val="0"/>
              <w:spacing w:before="0" w:after="283"/>
              <w:jc w:val="left"/>
              <w:rPr>
                <w:sz w:val="4"/>
                <w:szCs w:val="4"/>
              </w:rPr>
            </w:pPr>
            <w:r>
              <w:rPr>
                <w:sz w:val="4"/>
                <w:szCs w:val="4"/>
              </w:rPr>
            </w:r>
          </w:p>
        </w:tc>
        <w:tc>
          <w:tcPr>
            <w:tcW w:w="8928" w:type="dxa"/>
            <w:gridSpan w:val="2"/>
            <w:tcBorders/>
            <w:vAlign w:val="center"/>
          </w:tcPr>
          <w:p>
            <w:pPr>
              <w:pStyle w:val="TableContents"/>
              <w:bidi w:val="0"/>
              <w:spacing w:before="0" w:after="283"/>
              <w:jc w:val="left"/>
              <w:rPr>
                <w:sz w:val="4"/>
                <w:szCs w:val="4"/>
              </w:rPr>
            </w:pPr>
            <w:r>
              <w:rPr>
                <w:sz w:val="4"/>
                <w:szCs w:val="4"/>
              </w:rPr>
            </w:r>
          </w:p>
        </w:tc>
      </w:tr>
      <w:tr>
        <w:trPr/>
        <w:tc>
          <w:tcPr>
            <w:tcW w:w="1277" w:type="dxa"/>
            <w:tcBorders/>
            <w:vAlign w:val="center"/>
          </w:tcPr>
          <w:p>
            <w:pPr>
              <w:pStyle w:val="TableContents"/>
              <w:bidi w:val="0"/>
              <w:spacing w:before="0" w:after="0"/>
              <w:jc w:val="both"/>
              <w:rPr>
                <w:rFonts w:ascii="arial" w:hAnsi="arial"/>
                <w:b/>
                <w:sz w:val="18"/>
              </w:rPr>
            </w:pPr>
            <w:r>
              <w:rPr>
                <w:rFonts w:ascii="arial" w:hAnsi="arial"/>
                <w:b/>
                <w:sz w:val="18"/>
              </w:rPr>
              <w:t>Record Date:</w:t>
            </w:r>
          </w:p>
        </w:tc>
        <w:tc>
          <w:tcPr>
            <w:tcW w:w="120" w:type="dxa"/>
            <w:tcBorders/>
            <w:vAlign w:val="center"/>
          </w:tcPr>
          <w:p>
            <w:pPr>
              <w:pStyle w:val="TableContents"/>
              <w:bidi w:val="0"/>
              <w:spacing w:before="0" w:after="283"/>
              <w:jc w:val="left"/>
              <w:rPr/>
            </w:pPr>
            <w:r>
              <w:rPr/>
              <w:t>  </w:t>
            </w:r>
          </w:p>
        </w:tc>
        <w:tc>
          <w:tcPr>
            <w:tcW w:w="8808" w:type="dxa"/>
            <w:tcBorders/>
            <w:vAlign w:val="center"/>
          </w:tcPr>
          <w:p>
            <w:pPr>
              <w:pStyle w:val="TableContents"/>
              <w:bidi w:val="0"/>
              <w:spacing w:before="0" w:after="0"/>
              <w:jc w:val="both"/>
              <w:rPr>
                <w:rFonts w:ascii="arial" w:hAnsi="arial"/>
                <w:sz w:val="18"/>
              </w:rPr>
            </w:pPr>
            <w:r>
              <w:rPr>
                <w:rFonts w:ascii="arial" w:hAnsi="arial"/>
                <w:sz w:val="18"/>
              </w:rPr>
              <w:t>April 1, 2024</w:t>
            </w:r>
          </w:p>
        </w:tc>
      </w:tr>
      <w:tr>
        <w:trPr/>
        <w:tc>
          <w:tcPr>
            <w:tcW w:w="1277" w:type="dxa"/>
            <w:tcBorders/>
            <w:vAlign w:val="center"/>
          </w:tcPr>
          <w:p>
            <w:pPr>
              <w:pStyle w:val="TableContents"/>
              <w:bidi w:val="0"/>
              <w:spacing w:before="0" w:after="283"/>
              <w:jc w:val="left"/>
              <w:rPr>
                <w:sz w:val="4"/>
                <w:szCs w:val="4"/>
              </w:rPr>
            </w:pPr>
            <w:r>
              <w:rPr>
                <w:sz w:val="4"/>
                <w:szCs w:val="4"/>
              </w:rPr>
            </w:r>
          </w:p>
        </w:tc>
        <w:tc>
          <w:tcPr>
            <w:tcW w:w="8928" w:type="dxa"/>
            <w:gridSpan w:val="2"/>
            <w:tcBorders/>
            <w:vAlign w:val="center"/>
          </w:tcPr>
          <w:p>
            <w:pPr>
              <w:pStyle w:val="TableContents"/>
              <w:bidi w:val="0"/>
              <w:spacing w:before="0" w:after="283"/>
              <w:jc w:val="left"/>
              <w:rPr>
                <w:sz w:val="4"/>
                <w:szCs w:val="4"/>
              </w:rPr>
            </w:pPr>
            <w:r>
              <w:rPr>
                <w:sz w:val="4"/>
                <w:szCs w:val="4"/>
              </w:rPr>
            </w:r>
          </w:p>
        </w:tc>
      </w:tr>
      <w:tr>
        <w:trPr/>
        <w:tc>
          <w:tcPr>
            <w:tcW w:w="1277" w:type="dxa"/>
            <w:tcBorders/>
            <w:vAlign w:val="center"/>
          </w:tcPr>
          <w:p>
            <w:pPr>
              <w:pStyle w:val="TableContents"/>
              <w:bidi w:val="0"/>
              <w:spacing w:before="0" w:after="0"/>
              <w:jc w:val="both"/>
              <w:rPr>
                <w:rFonts w:ascii="arial" w:hAnsi="arial"/>
                <w:b/>
                <w:sz w:val="18"/>
              </w:rPr>
            </w:pPr>
            <w:r>
              <w:rPr>
                <w:rFonts w:ascii="arial" w:hAnsi="arial"/>
                <w:b/>
                <w:sz w:val="18"/>
              </w:rPr>
              <w:t>Mail Date:</w:t>
            </w:r>
          </w:p>
        </w:tc>
        <w:tc>
          <w:tcPr>
            <w:tcW w:w="120" w:type="dxa"/>
            <w:tcBorders/>
            <w:vAlign w:val="center"/>
          </w:tcPr>
          <w:p>
            <w:pPr>
              <w:pStyle w:val="TableContents"/>
              <w:bidi w:val="0"/>
              <w:spacing w:before="0" w:after="283"/>
              <w:jc w:val="left"/>
              <w:rPr/>
            </w:pPr>
            <w:r>
              <w:rPr/>
              <w:t>  </w:t>
            </w:r>
          </w:p>
        </w:tc>
        <w:tc>
          <w:tcPr>
            <w:tcW w:w="8808" w:type="dxa"/>
            <w:tcBorders/>
            <w:vAlign w:val="center"/>
          </w:tcPr>
          <w:p>
            <w:pPr>
              <w:pStyle w:val="TableContents"/>
              <w:bidi w:val="0"/>
              <w:spacing w:before="0" w:after="0"/>
              <w:jc w:val="both"/>
              <w:rPr>
                <w:rFonts w:ascii="arial" w:hAnsi="arial"/>
                <w:sz w:val="18"/>
              </w:rPr>
            </w:pPr>
            <w:r>
              <w:rPr>
                <w:rFonts w:ascii="arial" w:hAnsi="arial"/>
                <w:sz w:val="18"/>
              </w:rPr>
              <w:t>We intend to mail the Notice Regarding the Availability of Proxy Materials, or Notice, or the proxy statement and proxy card, as applicable, on or about April 17, 2024, to our stockholders.</w:t>
            </w:r>
          </w:p>
        </w:tc>
      </w:tr>
    </w:tbl>
    <w:p>
      <w:pPr>
        <w:pStyle w:val="TextBody"/>
        <w:bidi w:val="0"/>
        <w:spacing w:before="360" w:after="0"/>
        <w:jc w:val="left"/>
        <w:rPr>
          <w:rFonts w:ascii="arial" w:hAnsi="arial"/>
          <w:b/>
          <w:color w:val="0171B9"/>
          <w:sz w:val="28"/>
        </w:rPr>
      </w:pPr>
      <w:r>
        <w:rPr>
          <w:rFonts w:ascii="arial" w:hAnsi="arial"/>
          <w:b/>
          <w:color w:val="0171B9"/>
          <w:sz w:val="28"/>
        </w:rPr>
        <w:t xml:space="preserve">Voting Matters and Board Recommendations </w:t>
      </w:r>
    </w:p>
    <w:p>
      <w:pPr>
        <w:pStyle w:val="TextBody"/>
        <w:pBdr>
          <w:bottom w:val="single" w:sz="2" w:space="1" w:color="666666"/>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60"/>
        <w:gridCol w:w="60"/>
        <w:gridCol w:w="5969"/>
        <w:gridCol w:w="60"/>
        <w:gridCol w:w="995"/>
        <w:gridCol w:w="60"/>
        <w:gridCol w:w="2301"/>
      </w:tblGrid>
      <w:tr>
        <w:trPr/>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bottom w:val="single" w:sz="8" w:space="0" w:color="FFFFFF"/>
            </w:tcBorders>
            <w:shd w:fill="0171B9"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color w:val="FFFFFF"/>
              </w:rPr>
            </w:pPr>
            <w:r>
              <w:rPr>
                <w:color w:val="FFFFFF"/>
              </w:rPr>
              <w:t> </w:t>
            </w:r>
            <w:r>
              <w:rPr>
                <w:rFonts w:ascii="arial" w:hAnsi="arial"/>
                <w:b/>
                <w:color w:val="FFFFFF"/>
                <w:sz w:val="18"/>
              </w:rPr>
              <w:t>Matter</w:t>
            </w:r>
          </w:p>
          <w:p>
            <w:pPr>
              <w:pStyle w:val="TableContents"/>
              <w:bidi w:val="0"/>
              <w:spacing w:before="0" w:after="20"/>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995" w:type="dxa"/>
            <w:tcBorders>
              <w:bottom w:val="single" w:sz="8" w:space="0" w:color="FFFFFF"/>
            </w:tcBorders>
            <w:shd w:fill="0171B9" w:val="clear"/>
            <w:tcMar>
              <w:bottom w:w="28" w:type="dxa"/>
            </w:tcMar>
            <w:vAlign w:val="center"/>
          </w:tcPr>
          <w:p>
            <w:pPr>
              <w:pStyle w:val="TableContents"/>
              <w:bidi w:val="0"/>
              <w:spacing w:before="0" w:after="0"/>
              <w:jc w:val="center"/>
              <w:rPr>
                <w:rFonts w:ascii="arial" w:hAnsi="arial"/>
                <w:b/>
                <w:color w:val="FFFFFF"/>
                <w:sz w:val="18"/>
              </w:rPr>
            </w:pPr>
            <w:r>
              <w:rPr>
                <w:rFonts w:ascii="arial" w:hAnsi="arial"/>
                <w:b/>
                <w:color w:val="FFFFFF"/>
                <w:sz w:val="18"/>
              </w:rPr>
              <w:t>For More</w:t>
            </w:r>
          </w:p>
          <w:p>
            <w:pPr>
              <w:pStyle w:val="TableContents"/>
              <w:bidi w:val="0"/>
              <w:spacing w:before="0" w:after="20"/>
              <w:jc w:val="center"/>
              <w:rPr>
                <w:rFonts w:ascii="arial" w:hAnsi="arial"/>
                <w:b/>
                <w:color w:val="FFFFFF"/>
                <w:sz w:val="18"/>
              </w:rPr>
            </w:pPr>
            <w:r>
              <w:rPr>
                <w:rFonts w:ascii="arial" w:hAnsi="arial"/>
                <w:b/>
                <w:color w:val="FFFFFF"/>
                <w:sz w:val="18"/>
              </w:rPr>
              <w:t>Information</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2301" w:type="dxa"/>
            <w:tcBorders>
              <w:bottom w:val="single" w:sz="8" w:space="0" w:color="FFFFFF"/>
            </w:tcBorders>
            <w:shd w:fill="0171B9"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Our Board Vote</w:t>
              <w:br/>
              <w:t>Recommendation</w:t>
            </w:r>
          </w:p>
          <w:p>
            <w:pPr>
              <w:pStyle w:val="TableContents"/>
              <w:bidi w:val="0"/>
              <w:spacing w:before="0" w:after="20"/>
              <w:jc w:val="left"/>
              <w:rPr/>
            </w:pPr>
            <w:r>
              <w:rPr/>
              <w:t> </w:t>
            </w:r>
          </w:p>
        </w:tc>
      </w:tr>
      <w:tr>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vAlign w:val="center"/>
          </w:tcPr>
          <w:p>
            <w:pPr>
              <w:pStyle w:val="TableContents"/>
              <w:bidi w:val="0"/>
              <w:spacing w:before="0" w:after="0"/>
              <w:jc w:val="left"/>
              <w:rPr/>
            </w:pPr>
            <w:r>
              <w:rPr/>
              <w:t> </w:t>
            </w:r>
            <w:r>
              <w:rPr>
                <w:rFonts w:ascii="arial" w:hAnsi="arial"/>
                <w:b/>
                <w:sz w:val="18"/>
              </w:rPr>
              <w:t>Management Proposals:</w:t>
            </w:r>
          </w:p>
          <w:p>
            <w:pPr>
              <w:pStyle w:val="TableContents"/>
              <w:bidi w:val="0"/>
              <w:spacing w:before="0" w:after="20"/>
              <w:jc w:val="left"/>
              <w:rPr/>
            </w:pPr>
            <w:r>
              <w:rPr/>
              <w:t> </w:t>
            </w:r>
          </w:p>
        </w:tc>
      </w:tr>
      <w:tr>
        <w:trPr/>
        <w:tc>
          <w:tcPr>
            <w:tcW w:w="760" w:type="dxa"/>
            <w:tcBorders/>
            <w:shd w:fill="CCE2F1" w:val="clear"/>
            <w:vAlign w:val="center"/>
          </w:tcPr>
          <w:p>
            <w:pPr>
              <w:pStyle w:val="TableContents"/>
              <w:bidi w:val="0"/>
              <w:spacing w:before="0" w:after="283"/>
              <w:jc w:val="left"/>
              <w:rPr>
                <w:sz w:val="4"/>
                <w:szCs w:val="4"/>
              </w:rPr>
            </w:pPr>
            <w:r>
              <w:rPr>
                <w:sz w:val="4"/>
                <w:szCs w:val="4"/>
              </w:rPr>
            </w:r>
          </w:p>
        </w:tc>
        <w:tc>
          <w:tcPr>
            <w:tcW w:w="6029" w:type="dxa"/>
            <w:gridSpan w:val="2"/>
            <w:tcBorders/>
            <w:shd w:fill="CCE2F1" w:val="clear"/>
            <w:vAlign w:val="center"/>
          </w:tcPr>
          <w:p>
            <w:pPr>
              <w:pStyle w:val="TableContents"/>
              <w:bidi w:val="0"/>
              <w:spacing w:before="0" w:after="283"/>
              <w:jc w:val="left"/>
              <w:rPr>
                <w:sz w:val="4"/>
                <w:szCs w:val="4"/>
              </w:rPr>
            </w:pPr>
            <w:r>
              <w:rPr>
                <w:sz w:val="4"/>
                <w:szCs w:val="4"/>
              </w:rPr>
            </w:r>
          </w:p>
        </w:tc>
        <w:tc>
          <w:tcPr>
            <w:tcW w:w="1055" w:type="dxa"/>
            <w:gridSpan w:val="2"/>
            <w:tcBorders/>
            <w:shd w:fill="CCE2F1" w:val="clear"/>
            <w:vAlign w:val="center"/>
          </w:tcPr>
          <w:p>
            <w:pPr>
              <w:pStyle w:val="TableContents"/>
              <w:bidi w:val="0"/>
              <w:spacing w:before="0" w:after="283"/>
              <w:jc w:val="left"/>
              <w:rPr>
                <w:sz w:val="4"/>
                <w:szCs w:val="4"/>
              </w:rPr>
            </w:pPr>
            <w:r>
              <w:rPr>
                <w:sz w:val="4"/>
                <w:szCs w:val="4"/>
              </w:rPr>
            </w:r>
          </w:p>
        </w:tc>
        <w:tc>
          <w:tcPr>
            <w:tcW w:w="2361" w:type="dxa"/>
            <w:gridSpan w:val="2"/>
            <w:tcBorders/>
            <w:shd w:fill="CCE2F1" w:val="clear"/>
            <w:vAlign w:val="center"/>
          </w:tcPr>
          <w:p>
            <w:pPr>
              <w:pStyle w:val="TableContents"/>
              <w:bidi w:val="0"/>
              <w:spacing w:before="0" w:after="283"/>
              <w:jc w:val="left"/>
              <w:rPr>
                <w:sz w:val="4"/>
                <w:szCs w:val="4"/>
              </w:rPr>
            </w:pPr>
            <w:r>
              <w:rPr>
                <w:sz w:val="4"/>
                <w:szCs w:val="4"/>
              </w:rPr>
            </w:r>
          </w:p>
        </w:tc>
      </w:tr>
      <w:tr>
        <w:trPr/>
        <w:tc>
          <w:tcPr>
            <w:tcW w:w="760" w:type="dxa"/>
            <w:tcBorders/>
            <w:shd w:fill="CCE2F1" w:val="clear"/>
            <w:vAlign w:val="center"/>
          </w:tcPr>
          <w:p>
            <w:pPr>
              <w:pStyle w:val="TableContents"/>
              <w:bidi w:val="0"/>
              <w:spacing w:before="0" w:after="0"/>
              <w:jc w:val="left"/>
              <w:rPr/>
            </w:pPr>
            <w:r>
              <w:rPr/>
              <w:t> </w:t>
            </w:r>
          </w:p>
          <w:p>
            <w:pPr>
              <w:pStyle w:val="TableContents"/>
              <w:bidi w:val="0"/>
              <w:spacing w:before="0" w:after="0"/>
              <w:jc w:val="left"/>
              <w:rPr/>
            </w:pPr>
            <w:r>
              <w:rPr/>
              <w:t> </w:t>
            </w:r>
            <w:r>
              <w:rPr>
                <w:rFonts w:ascii="arial" w:hAnsi="arial"/>
                <w:sz w:val="19"/>
              </w:rPr>
              <w:t>Item 1:</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283"/>
              <w:jc w:val="left"/>
              <w:rPr/>
            </w:pPr>
            <w:r>
              <w:rPr/>
              <w:t> </w:t>
            </w:r>
          </w:p>
        </w:tc>
        <w:tc>
          <w:tcPr>
            <w:tcW w:w="5969" w:type="dxa"/>
            <w:tcBorders/>
            <w:shd w:fill="CCE2F1" w:val="clear"/>
            <w:vAlign w:val="center"/>
          </w:tcPr>
          <w:p>
            <w:pPr>
              <w:pStyle w:val="TableContents"/>
              <w:bidi w:val="0"/>
              <w:spacing w:before="0" w:after="0"/>
              <w:jc w:val="left"/>
              <w:rPr/>
            </w:pPr>
            <w:r>
              <w:rPr/>
              <w:t> </w:t>
            </w:r>
          </w:p>
          <w:p>
            <w:pPr>
              <w:pStyle w:val="TableContents"/>
              <w:bidi w:val="0"/>
              <w:spacing w:before="0" w:after="0"/>
              <w:jc w:val="left"/>
              <w:rPr>
                <w:rFonts w:ascii="arial" w:hAnsi="arial"/>
                <w:sz w:val="19"/>
              </w:rPr>
            </w:pPr>
            <w:r>
              <w:rPr>
                <w:rFonts w:ascii="arial" w:hAnsi="arial"/>
                <w:sz w:val="19"/>
              </w:rPr>
              <w:t xml:space="preserve">Election of the 12 Nominees to the Board of Directors </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283"/>
              <w:jc w:val="left"/>
              <w:rPr/>
            </w:pPr>
            <w:r>
              <w:rPr/>
              <w:t> </w:t>
            </w:r>
          </w:p>
        </w:tc>
        <w:tc>
          <w:tcPr>
            <w:tcW w:w="995" w:type="dxa"/>
            <w:tcBorders/>
            <w:shd w:fill="CCE2F1" w:val="clear"/>
            <w:vAlign w:val="center"/>
          </w:tcPr>
          <w:p>
            <w:pPr>
              <w:pStyle w:val="TableContents"/>
              <w:bidi w:val="0"/>
              <w:spacing w:before="0" w:after="0"/>
              <w:jc w:val="left"/>
              <w:rPr/>
            </w:pPr>
            <w:r>
              <w:rPr/>
              <w:t> </w:t>
            </w:r>
          </w:p>
          <w:p>
            <w:pPr>
              <w:pStyle w:val="TableContents"/>
              <w:bidi w:val="0"/>
              <w:spacing w:before="0" w:after="0"/>
              <w:jc w:val="right"/>
              <w:rPr>
                <w:rFonts w:ascii="arial" w:hAnsi="arial"/>
                <w:sz w:val="19"/>
              </w:rPr>
            </w:pPr>
            <w:r>
              <w:rPr>
                <w:rFonts w:ascii="arial" w:hAnsi="arial"/>
                <w:sz w:val="19"/>
              </w:rPr>
              <w:t>Page  8</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283"/>
              <w:jc w:val="left"/>
              <w:rPr/>
            </w:pPr>
            <w:r>
              <w:rPr/>
              <w:t> </w:t>
            </w:r>
          </w:p>
        </w:tc>
        <w:tc>
          <w:tcPr>
            <w:tcW w:w="2301" w:type="dxa"/>
            <w:tcBorders/>
            <w:shd w:fill="CCE2F1" w:val="clear"/>
            <w:vAlign w:val="center"/>
          </w:tcPr>
          <w:p>
            <w:pPr>
              <w:pStyle w:val="TableContents"/>
              <w:bidi w:val="0"/>
              <w:spacing w:lineRule="atLeast" w:line="300" w:before="0" w:after="0"/>
              <w:jc w:val="center"/>
              <w:rPr>
                <w:rFonts w:ascii="arial" w:hAnsi="arial"/>
                <w:sz w:val="19"/>
              </w:rPr>
            </w:pPr>
            <w:r>
              <w:rPr>
                <w:rFonts w:ascii="arial" w:hAnsi="arial"/>
                <w:sz w:val="19"/>
              </w:rPr>
              <w:t>FOR Each Board Nominee</w:t>
            </w:r>
          </w:p>
          <w:p>
            <w:pPr>
              <w:pStyle w:val="TableContents"/>
              <w:bidi w:val="0"/>
              <w:spacing w:before="0" w:after="20"/>
              <w:jc w:val="left"/>
              <w:rPr/>
            </w:pPr>
            <w:r>
              <w:rPr/>
              <w:t> </w:t>
            </w:r>
          </w:p>
        </w:tc>
      </w:tr>
      <w:tr>
        <w:trPr/>
        <w:tc>
          <w:tcPr>
            <w:tcW w:w="760" w:type="dxa"/>
            <w:tcBorders/>
            <w:vAlign w:val="center"/>
          </w:tcPr>
          <w:p>
            <w:pPr>
              <w:pStyle w:val="TableContents"/>
              <w:bidi w:val="0"/>
              <w:spacing w:before="0" w:after="283"/>
              <w:jc w:val="left"/>
              <w:rPr>
                <w:sz w:val="4"/>
                <w:szCs w:val="4"/>
              </w:rPr>
            </w:pPr>
            <w:r>
              <w:rPr>
                <w:sz w:val="4"/>
                <w:szCs w:val="4"/>
              </w:rPr>
            </w:r>
          </w:p>
        </w:tc>
        <w:tc>
          <w:tcPr>
            <w:tcW w:w="6029" w:type="dxa"/>
            <w:gridSpan w:val="2"/>
            <w:tcBorders/>
            <w:vAlign w:val="center"/>
          </w:tcPr>
          <w:p>
            <w:pPr>
              <w:pStyle w:val="TableContents"/>
              <w:bidi w:val="0"/>
              <w:spacing w:before="0" w:after="283"/>
              <w:jc w:val="left"/>
              <w:rPr>
                <w:sz w:val="4"/>
                <w:szCs w:val="4"/>
              </w:rPr>
            </w:pPr>
            <w:r>
              <w:rPr>
                <w:sz w:val="4"/>
                <w:szCs w:val="4"/>
              </w:rPr>
            </w:r>
          </w:p>
        </w:tc>
        <w:tc>
          <w:tcPr>
            <w:tcW w:w="1055" w:type="dxa"/>
            <w:gridSpan w:val="2"/>
            <w:tcBorders/>
            <w:vAlign w:val="center"/>
          </w:tcPr>
          <w:p>
            <w:pPr>
              <w:pStyle w:val="TableContents"/>
              <w:bidi w:val="0"/>
              <w:spacing w:before="0" w:after="283"/>
              <w:jc w:val="left"/>
              <w:rPr>
                <w:sz w:val="4"/>
                <w:szCs w:val="4"/>
              </w:rPr>
            </w:pPr>
            <w:r>
              <w:rPr>
                <w:sz w:val="4"/>
                <w:szCs w:val="4"/>
              </w:rPr>
            </w:r>
          </w:p>
        </w:tc>
        <w:tc>
          <w:tcPr>
            <w:tcW w:w="2361" w:type="dxa"/>
            <w:gridSpan w:val="2"/>
            <w:tcBorders/>
            <w:vAlign w:val="center"/>
          </w:tcPr>
          <w:p>
            <w:pPr>
              <w:pStyle w:val="TableContents"/>
              <w:bidi w:val="0"/>
              <w:spacing w:before="0" w:after="283"/>
              <w:jc w:val="left"/>
              <w:rPr>
                <w:sz w:val="4"/>
                <w:szCs w:val="4"/>
              </w:rPr>
            </w:pPr>
            <w:r>
              <w:rPr>
                <w:sz w:val="4"/>
                <w:szCs w:val="4"/>
              </w:rPr>
            </w:r>
          </w:p>
        </w:tc>
      </w:tr>
      <w:tr>
        <w:trPr/>
        <w:tc>
          <w:tcPr>
            <w:tcW w:w="760" w:type="dxa"/>
            <w:tcBorders/>
            <w:vAlign w:val="center"/>
          </w:tcPr>
          <w:p>
            <w:pPr>
              <w:pStyle w:val="TableContents"/>
              <w:bidi w:val="0"/>
              <w:spacing w:before="0" w:after="0"/>
              <w:jc w:val="left"/>
              <w:rPr/>
            </w:pPr>
            <w:r>
              <w:rPr/>
              <w:t> </w:t>
            </w:r>
          </w:p>
          <w:p>
            <w:pPr>
              <w:pStyle w:val="TableContents"/>
              <w:bidi w:val="0"/>
              <w:spacing w:before="0" w:after="0"/>
              <w:jc w:val="left"/>
              <w:rPr/>
            </w:pPr>
            <w:r>
              <w:rPr/>
              <w:t> </w:t>
            </w:r>
            <w:r>
              <w:rPr>
                <w:rFonts w:ascii="arial" w:hAnsi="arial"/>
                <w:sz w:val="19"/>
              </w:rPr>
              <w:t>Item 2:</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969" w:type="dxa"/>
            <w:tcBorders/>
            <w:vAlign w:val="center"/>
          </w:tcPr>
          <w:p>
            <w:pPr>
              <w:pStyle w:val="TableContents"/>
              <w:bidi w:val="0"/>
              <w:spacing w:before="0" w:after="0"/>
              <w:jc w:val="left"/>
              <w:rPr/>
            </w:pPr>
            <w:r>
              <w:rPr/>
              <w:t> </w:t>
            </w:r>
          </w:p>
          <w:p>
            <w:pPr>
              <w:pStyle w:val="TableContents"/>
              <w:bidi w:val="0"/>
              <w:spacing w:lineRule="atLeast" w:line="300" w:before="0" w:after="0"/>
              <w:jc w:val="both"/>
              <w:rPr>
                <w:rFonts w:ascii="arial" w:hAnsi="arial"/>
                <w:sz w:val="19"/>
              </w:rPr>
            </w:pPr>
            <w:r>
              <w:rPr>
                <w:rFonts w:ascii="arial" w:hAnsi="arial"/>
                <w:sz w:val="19"/>
              </w:rPr>
              <w:t>Advisory Vote to Approve Our Executive Compensation</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0"/>
              <w:jc w:val="left"/>
              <w:rPr/>
            </w:pPr>
            <w:r>
              <w:rPr/>
              <w:t> </w:t>
            </w:r>
          </w:p>
          <w:p>
            <w:pPr>
              <w:pStyle w:val="TableContents"/>
              <w:bidi w:val="0"/>
              <w:spacing w:before="0" w:after="0"/>
              <w:jc w:val="right"/>
              <w:rPr>
                <w:rFonts w:ascii="arial" w:hAnsi="arial"/>
                <w:sz w:val="19"/>
              </w:rPr>
            </w:pPr>
            <w:r>
              <w:rPr>
                <w:rFonts w:ascii="arial" w:hAnsi="arial"/>
                <w:sz w:val="19"/>
              </w:rPr>
              <w:t>Page  47</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01" w:type="dxa"/>
            <w:tcBorders/>
            <w:vAlign w:val="center"/>
          </w:tcPr>
          <w:p>
            <w:pPr>
              <w:pStyle w:val="TableContents"/>
              <w:bidi w:val="0"/>
              <w:spacing w:before="0" w:after="0"/>
              <w:jc w:val="left"/>
              <w:rPr/>
            </w:pPr>
            <w:r>
              <w:rPr/>
              <w:t> </w:t>
            </w:r>
          </w:p>
          <w:p>
            <w:pPr>
              <w:pStyle w:val="TableContents"/>
              <w:bidi w:val="0"/>
              <w:spacing w:lineRule="atLeast" w:line="300" w:before="0" w:after="20"/>
              <w:jc w:val="center"/>
              <w:rPr>
                <w:rFonts w:ascii="arial" w:hAnsi="arial"/>
                <w:sz w:val="19"/>
              </w:rPr>
            </w:pPr>
            <w:r>
              <w:rPr>
                <w:rFonts w:ascii="arial" w:hAnsi="arial"/>
                <w:sz w:val="19"/>
              </w:rPr>
              <w:t>FOR</w:t>
            </w:r>
          </w:p>
        </w:tc>
      </w:tr>
      <w:tr>
        <w:trPr/>
        <w:tc>
          <w:tcPr>
            <w:tcW w:w="760" w:type="dxa"/>
            <w:tcBorders/>
            <w:shd w:fill="CCE2F1" w:val="clear"/>
            <w:vAlign w:val="center"/>
          </w:tcPr>
          <w:p>
            <w:pPr>
              <w:pStyle w:val="TableContents"/>
              <w:bidi w:val="0"/>
              <w:spacing w:before="0" w:after="283"/>
              <w:jc w:val="left"/>
              <w:rPr>
                <w:sz w:val="4"/>
                <w:szCs w:val="4"/>
              </w:rPr>
            </w:pPr>
            <w:r>
              <w:rPr>
                <w:sz w:val="4"/>
                <w:szCs w:val="4"/>
              </w:rPr>
            </w:r>
          </w:p>
        </w:tc>
        <w:tc>
          <w:tcPr>
            <w:tcW w:w="6029" w:type="dxa"/>
            <w:gridSpan w:val="2"/>
            <w:tcBorders/>
            <w:shd w:fill="CCE2F1" w:val="clear"/>
            <w:vAlign w:val="center"/>
          </w:tcPr>
          <w:p>
            <w:pPr>
              <w:pStyle w:val="TableContents"/>
              <w:bidi w:val="0"/>
              <w:spacing w:before="0" w:after="283"/>
              <w:jc w:val="left"/>
              <w:rPr>
                <w:sz w:val="4"/>
                <w:szCs w:val="4"/>
              </w:rPr>
            </w:pPr>
            <w:r>
              <w:rPr>
                <w:sz w:val="4"/>
                <w:szCs w:val="4"/>
              </w:rPr>
            </w:r>
          </w:p>
        </w:tc>
        <w:tc>
          <w:tcPr>
            <w:tcW w:w="1055" w:type="dxa"/>
            <w:gridSpan w:val="2"/>
            <w:tcBorders/>
            <w:shd w:fill="CCE2F1" w:val="clear"/>
            <w:vAlign w:val="center"/>
          </w:tcPr>
          <w:p>
            <w:pPr>
              <w:pStyle w:val="TableContents"/>
              <w:bidi w:val="0"/>
              <w:spacing w:before="0" w:after="283"/>
              <w:jc w:val="left"/>
              <w:rPr>
                <w:sz w:val="4"/>
                <w:szCs w:val="4"/>
              </w:rPr>
            </w:pPr>
            <w:r>
              <w:rPr>
                <w:sz w:val="4"/>
                <w:szCs w:val="4"/>
              </w:rPr>
            </w:r>
          </w:p>
        </w:tc>
        <w:tc>
          <w:tcPr>
            <w:tcW w:w="2361" w:type="dxa"/>
            <w:gridSpan w:val="2"/>
            <w:tcBorders/>
            <w:shd w:fill="CCE2F1" w:val="clear"/>
            <w:vAlign w:val="center"/>
          </w:tcPr>
          <w:p>
            <w:pPr>
              <w:pStyle w:val="TableContents"/>
              <w:bidi w:val="0"/>
              <w:spacing w:before="0" w:after="283"/>
              <w:jc w:val="left"/>
              <w:rPr>
                <w:sz w:val="4"/>
                <w:szCs w:val="4"/>
              </w:rPr>
            </w:pPr>
            <w:r>
              <w:rPr>
                <w:sz w:val="4"/>
                <w:szCs w:val="4"/>
              </w:rPr>
            </w:r>
          </w:p>
        </w:tc>
      </w:tr>
      <w:tr>
        <w:trPr/>
        <w:tc>
          <w:tcPr>
            <w:tcW w:w="760" w:type="dxa"/>
            <w:tcBorders/>
            <w:shd w:fill="CCE2F1" w:val="clear"/>
            <w:vAlign w:val="center"/>
          </w:tcPr>
          <w:p>
            <w:pPr>
              <w:pStyle w:val="TableContents"/>
              <w:bidi w:val="0"/>
              <w:spacing w:before="0" w:after="0"/>
              <w:jc w:val="left"/>
              <w:rPr/>
            </w:pPr>
            <w:r>
              <w:rPr/>
              <w:t> </w:t>
            </w:r>
          </w:p>
          <w:p>
            <w:pPr>
              <w:pStyle w:val="TableContents"/>
              <w:bidi w:val="0"/>
              <w:spacing w:before="0" w:after="0"/>
              <w:jc w:val="left"/>
              <w:rPr/>
            </w:pPr>
            <w:r>
              <w:rPr/>
              <w:t> </w:t>
            </w:r>
            <w:r>
              <w:rPr>
                <w:rFonts w:ascii="arial" w:hAnsi="arial"/>
                <w:sz w:val="19"/>
              </w:rPr>
              <w:t>Item 3:</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283"/>
              <w:jc w:val="left"/>
              <w:rPr/>
            </w:pPr>
            <w:r>
              <w:rPr/>
              <w:t> </w:t>
            </w:r>
          </w:p>
        </w:tc>
        <w:tc>
          <w:tcPr>
            <w:tcW w:w="5969" w:type="dxa"/>
            <w:tcBorders/>
            <w:shd w:fill="CCE2F1" w:val="clear"/>
            <w:vAlign w:val="center"/>
          </w:tcPr>
          <w:p>
            <w:pPr>
              <w:pStyle w:val="TableContents"/>
              <w:bidi w:val="0"/>
              <w:spacing w:before="0" w:after="0"/>
              <w:jc w:val="left"/>
              <w:rPr/>
            </w:pPr>
            <w:r>
              <w:rPr/>
              <w:t> </w:t>
            </w:r>
          </w:p>
          <w:p>
            <w:pPr>
              <w:pStyle w:val="TableContents"/>
              <w:bidi w:val="0"/>
              <w:spacing w:before="0" w:after="0"/>
              <w:jc w:val="left"/>
              <w:rPr>
                <w:rFonts w:ascii="arial" w:hAnsi="arial"/>
                <w:sz w:val="19"/>
              </w:rPr>
            </w:pPr>
            <w:r>
              <w:rPr>
                <w:rFonts w:ascii="arial" w:hAnsi="arial"/>
                <w:sz w:val="19"/>
              </w:rPr>
              <w:t>Amgen Inc. Second Amended and Restated 2009 Equity Incentive Plan</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283"/>
              <w:jc w:val="left"/>
              <w:rPr/>
            </w:pPr>
            <w:r>
              <w:rPr/>
              <w:t> </w:t>
            </w:r>
          </w:p>
        </w:tc>
        <w:tc>
          <w:tcPr>
            <w:tcW w:w="995" w:type="dxa"/>
            <w:tcBorders/>
            <w:shd w:fill="CCE2F1" w:val="clear"/>
            <w:vAlign w:val="center"/>
          </w:tcPr>
          <w:p>
            <w:pPr>
              <w:pStyle w:val="TableContents"/>
              <w:bidi w:val="0"/>
              <w:spacing w:before="0" w:after="0"/>
              <w:jc w:val="left"/>
              <w:rPr/>
            </w:pPr>
            <w:r>
              <w:rPr/>
              <w:t> </w:t>
            </w:r>
          </w:p>
          <w:p>
            <w:pPr>
              <w:pStyle w:val="TableContents"/>
              <w:bidi w:val="0"/>
              <w:spacing w:before="0" w:after="0"/>
              <w:jc w:val="right"/>
              <w:rPr>
                <w:rFonts w:ascii="arial" w:hAnsi="arial"/>
                <w:sz w:val="19"/>
              </w:rPr>
            </w:pPr>
            <w:r>
              <w:rPr>
                <w:rFonts w:ascii="arial" w:hAnsi="arial"/>
                <w:sz w:val="19"/>
              </w:rPr>
              <w:t>Page 108</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283"/>
              <w:jc w:val="left"/>
              <w:rPr/>
            </w:pPr>
            <w:r>
              <w:rPr/>
              <w:t> </w:t>
            </w:r>
          </w:p>
        </w:tc>
        <w:tc>
          <w:tcPr>
            <w:tcW w:w="2301" w:type="dxa"/>
            <w:tcBorders/>
            <w:shd w:fill="CCE2F1" w:val="clear"/>
            <w:vAlign w:val="center"/>
          </w:tcPr>
          <w:p>
            <w:pPr>
              <w:pStyle w:val="TableContents"/>
              <w:bidi w:val="0"/>
              <w:spacing w:lineRule="atLeast" w:line="300" w:before="0" w:after="0"/>
              <w:jc w:val="center"/>
              <w:rPr>
                <w:rFonts w:ascii="arial" w:hAnsi="arial"/>
                <w:sz w:val="19"/>
              </w:rPr>
            </w:pPr>
            <w:r>
              <w:rPr>
                <w:rFonts w:ascii="arial" w:hAnsi="arial"/>
                <w:sz w:val="19"/>
              </w:rPr>
              <w:t>FOR</w:t>
            </w:r>
          </w:p>
          <w:p>
            <w:pPr>
              <w:pStyle w:val="TableContents"/>
              <w:bidi w:val="0"/>
              <w:spacing w:before="0" w:after="20"/>
              <w:jc w:val="left"/>
              <w:rPr/>
            </w:pPr>
            <w:r>
              <w:rPr/>
              <w:t> </w:t>
            </w:r>
          </w:p>
        </w:tc>
      </w:tr>
      <w:tr>
        <w:trPr/>
        <w:tc>
          <w:tcPr>
            <w:tcW w:w="760" w:type="dxa"/>
            <w:tcBorders/>
            <w:vAlign w:val="center"/>
          </w:tcPr>
          <w:p>
            <w:pPr>
              <w:pStyle w:val="TableContents"/>
              <w:bidi w:val="0"/>
              <w:spacing w:before="0" w:after="283"/>
              <w:jc w:val="left"/>
              <w:rPr>
                <w:sz w:val="4"/>
                <w:szCs w:val="4"/>
              </w:rPr>
            </w:pPr>
            <w:r>
              <w:rPr>
                <w:sz w:val="4"/>
                <w:szCs w:val="4"/>
              </w:rPr>
            </w:r>
          </w:p>
        </w:tc>
        <w:tc>
          <w:tcPr>
            <w:tcW w:w="6029" w:type="dxa"/>
            <w:gridSpan w:val="2"/>
            <w:tcBorders/>
            <w:vAlign w:val="center"/>
          </w:tcPr>
          <w:p>
            <w:pPr>
              <w:pStyle w:val="TableContents"/>
              <w:bidi w:val="0"/>
              <w:spacing w:before="0" w:after="283"/>
              <w:jc w:val="left"/>
              <w:rPr>
                <w:sz w:val="4"/>
                <w:szCs w:val="4"/>
              </w:rPr>
            </w:pPr>
            <w:r>
              <w:rPr>
                <w:sz w:val="4"/>
                <w:szCs w:val="4"/>
              </w:rPr>
            </w:r>
          </w:p>
        </w:tc>
        <w:tc>
          <w:tcPr>
            <w:tcW w:w="1055" w:type="dxa"/>
            <w:gridSpan w:val="2"/>
            <w:tcBorders/>
            <w:vAlign w:val="center"/>
          </w:tcPr>
          <w:p>
            <w:pPr>
              <w:pStyle w:val="TableContents"/>
              <w:bidi w:val="0"/>
              <w:spacing w:before="0" w:after="283"/>
              <w:jc w:val="left"/>
              <w:rPr>
                <w:sz w:val="4"/>
                <w:szCs w:val="4"/>
              </w:rPr>
            </w:pPr>
            <w:r>
              <w:rPr>
                <w:sz w:val="4"/>
                <w:szCs w:val="4"/>
              </w:rPr>
            </w:r>
          </w:p>
        </w:tc>
        <w:tc>
          <w:tcPr>
            <w:tcW w:w="2361" w:type="dxa"/>
            <w:gridSpan w:val="2"/>
            <w:tcBorders/>
            <w:vAlign w:val="center"/>
          </w:tcPr>
          <w:p>
            <w:pPr>
              <w:pStyle w:val="TableContents"/>
              <w:bidi w:val="0"/>
              <w:spacing w:before="0" w:after="283"/>
              <w:jc w:val="left"/>
              <w:rPr>
                <w:sz w:val="4"/>
                <w:szCs w:val="4"/>
              </w:rPr>
            </w:pPr>
            <w:r>
              <w:rPr>
                <w:sz w:val="4"/>
                <w:szCs w:val="4"/>
              </w:rPr>
            </w:r>
          </w:p>
        </w:tc>
      </w:tr>
      <w:tr>
        <w:trPr/>
        <w:tc>
          <w:tcPr>
            <w:tcW w:w="760" w:type="dxa"/>
            <w:tcBorders>
              <w:bottom w:val="single" w:sz="8" w:space="0" w:color="0171B9"/>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r>
              <w:rPr>
                <w:rFonts w:ascii="arial" w:hAnsi="arial"/>
                <w:sz w:val="19"/>
              </w:rPr>
              <w:t>Item 4:</w:t>
            </w:r>
          </w:p>
          <w:p>
            <w:pPr>
              <w:pStyle w:val="TableContents"/>
              <w:bidi w:val="0"/>
              <w:spacing w:before="0" w:after="20"/>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5969" w:type="dxa"/>
            <w:tcBorders>
              <w:bottom w:val="single" w:sz="8" w:space="0" w:color="0171B9"/>
            </w:tcBorders>
            <w:tcMar>
              <w:bottom w:w="28" w:type="dxa"/>
            </w:tcMar>
            <w:vAlign w:val="center"/>
          </w:tcPr>
          <w:p>
            <w:pPr>
              <w:pStyle w:val="TableContents"/>
              <w:bidi w:val="0"/>
              <w:spacing w:before="0" w:after="0"/>
              <w:jc w:val="left"/>
              <w:rPr/>
            </w:pPr>
            <w:r>
              <w:rPr/>
              <w:t> </w:t>
            </w:r>
          </w:p>
          <w:p>
            <w:pPr>
              <w:pStyle w:val="TableContents"/>
              <w:bidi w:val="0"/>
              <w:spacing w:lineRule="atLeast" w:line="300" w:before="0" w:after="0"/>
              <w:jc w:val="both"/>
              <w:rPr>
                <w:rFonts w:ascii="arial" w:hAnsi="arial"/>
                <w:sz w:val="19"/>
              </w:rPr>
            </w:pPr>
            <w:r>
              <w:rPr>
                <w:rFonts w:ascii="arial" w:hAnsi="arial"/>
                <w:sz w:val="19"/>
              </w:rPr>
              <w:t>Ratification of Selection of Independent Registered Public Accountants</w:t>
            </w:r>
          </w:p>
          <w:p>
            <w:pPr>
              <w:pStyle w:val="TableContents"/>
              <w:bidi w:val="0"/>
              <w:spacing w:before="0" w:after="20"/>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995" w:type="dxa"/>
            <w:tcBorders>
              <w:bottom w:val="single" w:sz="8" w:space="0" w:color="0171B9"/>
            </w:tcBorders>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sz w:val="19"/>
              </w:rPr>
            </w:pPr>
            <w:r>
              <w:rPr>
                <w:rFonts w:ascii="arial" w:hAnsi="arial"/>
                <w:sz w:val="19"/>
              </w:rPr>
              <w:t>Page 123</w:t>
            </w:r>
          </w:p>
          <w:p>
            <w:pPr>
              <w:pStyle w:val="TableContents"/>
              <w:bidi w:val="0"/>
              <w:spacing w:before="0" w:after="20"/>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2301" w:type="dxa"/>
            <w:tcBorders>
              <w:bottom w:val="single" w:sz="8" w:space="0" w:color="0171B9"/>
            </w:tcBorders>
            <w:tcMar>
              <w:bottom w:w="28" w:type="dxa"/>
            </w:tcMar>
            <w:vAlign w:val="center"/>
          </w:tcPr>
          <w:p>
            <w:pPr>
              <w:pStyle w:val="TableContents"/>
              <w:bidi w:val="0"/>
              <w:spacing w:lineRule="atLeast" w:line="300" w:before="0" w:after="0"/>
              <w:jc w:val="center"/>
              <w:rPr>
                <w:rFonts w:ascii="arial" w:hAnsi="arial"/>
                <w:sz w:val="19"/>
              </w:rPr>
            </w:pPr>
            <w:r>
              <w:rPr>
                <w:rFonts w:ascii="arial" w:hAnsi="arial"/>
                <w:sz w:val="19"/>
              </w:rPr>
              <w:t>FOR</w:t>
            </w:r>
          </w:p>
          <w:p>
            <w:pPr>
              <w:pStyle w:val="TableContents"/>
              <w:bidi w:val="0"/>
              <w:spacing w:before="0" w:after="20"/>
              <w:jc w:val="left"/>
              <w:rPr/>
            </w:pPr>
            <w:r>
              <w:rPr/>
              <w:t> </w:t>
            </w:r>
          </w:p>
        </w:tc>
      </w:tr>
    </w:tbl>
    <w:p>
      <w:pPr>
        <w:pStyle w:val="TextBody"/>
        <w:bidi w:val="0"/>
        <w:spacing w:before="360" w:after="0"/>
        <w:jc w:val="left"/>
        <w:rPr>
          <w:rFonts w:ascii="arial" w:hAnsi="arial"/>
          <w:b/>
          <w:color w:val="0171B9"/>
          <w:sz w:val="28"/>
        </w:rPr>
      </w:pPr>
      <w:r>
        <w:rPr>
          <w:rFonts w:ascii="arial" w:hAnsi="arial"/>
          <w:b/>
          <w:color w:val="0171B9"/>
          <w:sz w:val="28"/>
        </w:rPr>
        <w:t xml:space="preserve">How to Vote </w:t>
      </w:r>
    </w:p>
    <w:p>
      <w:pPr>
        <w:pStyle w:val="TextBody"/>
        <w:pBdr>
          <w:bottom w:val="single" w:sz="2" w:space="1" w:color="666666"/>
        </w:pBdr>
        <w:bidi w:val="0"/>
        <w:spacing w:lineRule="atLeast" w:line="142" w:before="0" w:after="4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61"/>
        <w:gridCol w:w="120"/>
        <w:gridCol w:w="9224"/>
      </w:tblGrid>
      <w:tr>
        <w:trPr/>
        <w:tc>
          <w:tcPr>
            <w:tcW w:w="8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24" w:type="dxa"/>
            <w:tcBorders/>
            <w:vAlign w:val="center"/>
          </w:tcPr>
          <w:p>
            <w:pPr>
              <w:pStyle w:val="TableContents"/>
              <w:bidi w:val="0"/>
              <w:spacing w:before="0" w:after="283"/>
              <w:jc w:val="left"/>
              <w:rPr>
                <w:sz w:val="4"/>
                <w:szCs w:val="4"/>
              </w:rPr>
            </w:pPr>
            <w:r>
              <w:rPr>
                <w:sz w:val="4"/>
                <w:szCs w:val="4"/>
              </w:rPr>
            </w:r>
          </w:p>
        </w:tc>
      </w:tr>
      <w:tr>
        <w:trPr/>
        <w:tc>
          <w:tcPr>
            <w:tcW w:w="861" w:type="dxa"/>
            <w:tcBorders/>
            <w:vAlign w:val="center"/>
          </w:tcPr>
          <w:p>
            <w:pPr>
              <w:pStyle w:val="TableContents"/>
              <w:bidi w:val="0"/>
              <w:spacing w:before="0" w:after="0"/>
              <w:jc w:val="left"/>
              <w:rPr/>
            </w:pPr>
            <w:r>
              <w:rPr/>
              <w:t> </w:t>
            </w:r>
          </w:p>
          <w:p>
            <w:pPr>
              <w:pStyle w:val="TableContents"/>
              <w:bidi w:val="0"/>
              <w:spacing w:before="0" w:after="20"/>
              <w:jc w:val="both"/>
              <w:rPr/>
            </w:pPr>
            <w:r>
              <w:rPr/>
              <w:drawing>
                <wp:inline distT="0" distB="0" distL="0" distR="0">
                  <wp:extent cx="533400" cy="542925"/>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533400" cy="54292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9224" w:type="dxa"/>
            <w:tcBorders/>
            <w:vAlign w:val="center"/>
          </w:tcPr>
          <w:p>
            <w:pPr>
              <w:pStyle w:val="TableContents"/>
              <w:bidi w:val="0"/>
              <w:spacing w:before="0" w:after="0"/>
              <w:jc w:val="both"/>
              <w:rPr/>
            </w:pPr>
            <w:r>
              <w:rPr>
                <w:color w:val="0171B9"/>
              </w:rPr>
              <w:t>•</w:t>
            </w:r>
            <w:r>
              <w:rPr/>
              <w:t>   </w:t>
            </w:r>
            <w:r>
              <w:rPr>
                <w:rFonts w:ascii="arial" w:hAnsi="arial"/>
                <w:b/>
                <w:color w:val="0171B9"/>
                <w:sz w:val="18"/>
              </w:rPr>
              <w:t>By Internet:</w:t>
            </w:r>
            <w:r>
              <w:rPr>
                <w:rFonts w:ascii="arial" w:hAnsi="arial"/>
                <w:sz w:val="18"/>
              </w:rPr>
              <w:t xml:space="preserve"> You may submit a proxy over the internet by following the instructions on the website referred to in the Notice, proxy card, or voting instruction form mailed to you. You will need the control number that appears on your Notice, proxy card, or voting instruction form.</w:t>
            </w:r>
          </w:p>
        </w:tc>
      </w:tr>
      <w:tr>
        <w:trPr/>
        <w:tc>
          <w:tcPr>
            <w:tcW w:w="8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24" w:type="dxa"/>
            <w:tcBorders/>
            <w:vAlign w:val="center"/>
          </w:tcPr>
          <w:p>
            <w:pPr>
              <w:pStyle w:val="TableContents"/>
              <w:bidi w:val="0"/>
              <w:spacing w:before="0" w:after="283"/>
              <w:jc w:val="left"/>
              <w:rPr>
                <w:sz w:val="4"/>
                <w:szCs w:val="4"/>
              </w:rPr>
            </w:pPr>
            <w:r>
              <w:rPr>
                <w:sz w:val="4"/>
                <w:szCs w:val="4"/>
              </w:rPr>
            </w:r>
          </w:p>
        </w:tc>
      </w:tr>
      <w:tr>
        <w:trPr/>
        <w:tc>
          <w:tcPr>
            <w:tcW w:w="861" w:type="dxa"/>
            <w:tcBorders/>
            <w:vAlign w:val="center"/>
          </w:tcPr>
          <w:p>
            <w:pPr>
              <w:pStyle w:val="TableContents"/>
              <w:bidi w:val="0"/>
              <w:spacing w:before="0" w:after="0"/>
              <w:jc w:val="both"/>
              <w:rPr/>
            </w:pPr>
            <w:r>
              <w:rPr/>
              <w:drawing>
                <wp:inline distT="0" distB="0" distL="0" distR="0">
                  <wp:extent cx="55245" cy="48895"/>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55245" cy="4889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9224" w:type="dxa"/>
            <w:tcBorders/>
            <w:vAlign w:val="center"/>
          </w:tcPr>
          <w:p>
            <w:pPr>
              <w:pStyle w:val="TableContents"/>
              <w:bidi w:val="0"/>
              <w:spacing w:before="0" w:after="0"/>
              <w:jc w:val="both"/>
              <w:rPr/>
            </w:pPr>
            <w:r>
              <w:rPr>
                <w:color w:val="0171B9"/>
              </w:rPr>
              <w:t>•</w:t>
            </w:r>
            <w:r>
              <w:rPr/>
              <w:t>   </w:t>
            </w:r>
            <w:r>
              <w:rPr>
                <w:rFonts w:ascii="arial" w:hAnsi="arial"/>
                <w:b/>
                <w:color w:val="0171B9"/>
                <w:sz w:val="18"/>
              </w:rPr>
              <w:t>By Telephone:</w:t>
            </w:r>
            <w:r>
              <w:rPr>
                <w:rFonts w:ascii="arial" w:hAnsi="arial"/>
                <w:sz w:val="18"/>
              </w:rPr>
              <w:t xml:space="preserve"> You may submit a proxy by telephone by following the instructions on the website referred to in the Notice, proxy card, or voting instruction form mailed to you. You will need the control number that appears on your Notice, proxy card, or voting instruction form.</w:t>
            </w:r>
          </w:p>
        </w:tc>
      </w:tr>
      <w:tr>
        <w:trPr/>
        <w:tc>
          <w:tcPr>
            <w:tcW w:w="8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24" w:type="dxa"/>
            <w:tcBorders/>
            <w:vAlign w:val="center"/>
          </w:tcPr>
          <w:p>
            <w:pPr>
              <w:pStyle w:val="TableContents"/>
              <w:bidi w:val="0"/>
              <w:spacing w:before="0" w:after="283"/>
              <w:jc w:val="left"/>
              <w:rPr>
                <w:sz w:val="4"/>
                <w:szCs w:val="4"/>
              </w:rPr>
            </w:pPr>
            <w:r>
              <w:rPr>
                <w:sz w:val="4"/>
                <w:szCs w:val="4"/>
              </w:rPr>
            </w:r>
          </w:p>
        </w:tc>
      </w:tr>
      <w:tr>
        <w:trPr/>
        <w:tc>
          <w:tcPr>
            <w:tcW w:w="861" w:type="dxa"/>
            <w:tcBorders/>
            <w:vAlign w:val="center"/>
          </w:tcPr>
          <w:p>
            <w:pPr>
              <w:pStyle w:val="TableContents"/>
              <w:bidi w:val="0"/>
              <w:spacing w:before="0" w:after="0"/>
              <w:jc w:val="both"/>
              <w:rPr/>
            </w:pPr>
            <w:r>
              <w:rPr/>
              <w:drawing>
                <wp:inline distT="0" distB="0" distL="0" distR="0">
                  <wp:extent cx="55245" cy="48895"/>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9"/>
                          <a:stretch>
                            <a:fillRect/>
                          </a:stretch>
                        </pic:blipFill>
                        <pic:spPr bwMode="auto">
                          <a:xfrm>
                            <a:off x="0" y="0"/>
                            <a:ext cx="55245" cy="4889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9224" w:type="dxa"/>
            <w:tcBorders/>
            <w:vAlign w:val="center"/>
          </w:tcPr>
          <w:p>
            <w:pPr>
              <w:pStyle w:val="TableContents"/>
              <w:bidi w:val="0"/>
              <w:spacing w:before="0" w:after="0"/>
              <w:jc w:val="both"/>
              <w:rPr/>
            </w:pPr>
            <w:r>
              <w:rPr>
                <w:color w:val="0171B9"/>
              </w:rPr>
              <w:t>•</w:t>
            </w:r>
            <w:r>
              <w:rPr/>
              <w:t>   </w:t>
            </w:r>
            <w:r>
              <w:rPr>
                <w:rFonts w:ascii="arial" w:hAnsi="arial"/>
                <w:b/>
                <w:color w:val="0171B9"/>
                <w:sz w:val="18"/>
              </w:rPr>
              <w:t>By Mail:</w:t>
            </w:r>
            <w:r>
              <w:rPr>
                <w:rFonts w:ascii="arial" w:hAnsi="arial"/>
                <w:sz w:val="18"/>
              </w:rPr>
              <w:t xml:space="preserve"> If you received a full paper set of materials, date and sign your proxy card or voting instruction form and mail it in the enclosed, postage-paid envelope. If you received a Notice, you may request a proxy card by following the instructions on your Notice. You do not need to mail the proxy card if you are submitting your proxy by internet or telephone.</w:t>
            </w:r>
          </w:p>
        </w:tc>
      </w:tr>
      <w:tr>
        <w:trPr/>
        <w:tc>
          <w:tcPr>
            <w:tcW w:w="8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224" w:type="dxa"/>
            <w:tcBorders/>
            <w:vAlign w:val="center"/>
          </w:tcPr>
          <w:p>
            <w:pPr>
              <w:pStyle w:val="TableContents"/>
              <w:bidi w:val="0"/>
              <w:spacing w:before="0" w:after="283"/>
              <w:jc w:val="left"/>
              <w:rPr>
                <w:sz w:val="4"/>
                <w:szCs w:val="4"/>
              </w:rPr>
            </w:pPr>
            <w:r>
              <w:rPr>
                <w:sz w:val="4"/>
                <w:szCs w:val="4"/>
              </w:rPr>
            </w:r>
          </w:p>
        </w:tc>
      </w:tr>
      <w:tr>
        <w:trPr/>
        <w:tc>
          <w:tcPr>
            <w:tcW w:w="861" w:type="dxa"/>
            <w:tcBorders/>
            <w:vAlign w:val="center"/>
          </w:tcPr>
          <w:p>
            <w:pPr>
              <w:pStyle w:val="TableContents"/>
              <w:bidi w:val="0"/>
              <w:spacing w:before="0" w:after="0"/>
              <w:jc w:val="both"/>
              <w:rPr/>
            </w:pPr>
            <w:r>
              <w:rPr/>
              <w:drawing>
                <wp:inline distT="0" distB="0" distL="0" distR="0">
                  <wp:extent cx="55245" cy="48895"/>
                  <wp:effectExtent l="0" t="0" r="0" b="0"/>
                  <wp:docPr id="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descr=""/>
                          <pic:cNvPicPr>
                            <a:picLocks noChangeAspect="1" noChangeArrowheads="1"/>
                          </pic:cNvPicPr>
                        </pic:nvPicPr>
                        <pic:blipFill>
                          <a:blip r:embed="rId10"/>
                          <a:stretch>
                            <a:fillRect/>
                          </a:stretch>
                        </pic:blipFill>
                        <pic:spPr bwMode="auto">
                          <a:xfrm>
                            <a:off x="0" y="0"/>
                            <a:ext cx="55245" cy="4889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9224" w:type="dxa"/>
            <w:tcBorders/>
            <w:vAlign w:val="center"/>
          </w:tcPr>
          <w:p>
            <w:pPr>
              <w:pStyle w:val="TableContents"/>
              <w:bidi w:val="0"/>
              <w:spacing w:before="0" w:after="0"/>
              <w:jc w:val="both"/>
              <w:rPr/>
            </w:pPr>
            <w:r>
              <w:rPr>
                <w:color w:val="0171B9"/>
              </w:rPr>
              <w:t>•</w:t>
            </w:r>
            <w:r>
              <w:rPr/>
              <w:t>   </w:t>
            </w:r>
            <w:r>
              <w:rPr>
                <w:rFonts w:ascii="arial" w:hAnsi="arial"/>
                <w:b/>
                <w:color w:val="0171B9"/>
                <w:sz w:val="18"/>
              </w:rPr>
              <w:t>At the Meeting:</w:t>
            </w:r>
            <w:r>
              <w:rPr>
                <w:rFonts w:ascii="arial" w:hAnsi="arial"/>
                <w:sz w:val="18"/>
              </w:rPr>
              <w:t xml:space="preserve"> To vote at the Annual Meeting, visit </w:t>
            </w:r>
            <w:r>
              <w:rPr>
                <w:rFonts w:ascii="arial" w:hAnsi="arial"/>
                <w:i/>
                <w:color w:val="0171B9"/>
                <w:sz w:val="18"/>
              </w:rPr>
              <w:t>www.virtualshareholdermeeting.com/AMGN2024</w:t>
            </w:r>
            <w:r>
              <w:rPr>
                <w:rFonts w:ascii="arial" w:hAnsi="arial"/>
                <w:sz w:val="18"/>
              </w:rPr>
              <w:t xml:space="preserve">. You will need the control number that appears on your Notice, proxy card, or voting instruction form. </w:t>
            </w:r>
            <w:r>
              <w:rPr>
                <w:rFonts w:ascii="arial" w:hAnsi="arial"/>
                <w:b/>
                <w:sz w:val="18"/>
              </w:rPr>
              <w:t>Please note that if your shares are held of record by a broker, bank, trust, or other nominee, and you decide to attend and vote at the Annual Meeting, your vote at the Annual Meeting will not be effective unless you provide a legal proxy, issued in your name from the record holder (your broker, bank, trust, or other nominee).</w:t>
            </w:r>
            <w:r>
              <w:rPr>
                <w:rFonts w:ascii="arial" w:hAnsi="arial"/>
                <w:sz w:val="18"/>
              </w:rPr>
              <w:t xml:space="preserve"> Please read “Information Concerning Voting and Solicitation—Attendance at the Annual Meeting.” Even if you intend to attend the Annual Meeting, we encourage you to submit your proxy in advance of the Annual Meeting.</w:t>
            </w:r>
          </w:p>
        </w:tc>
      </w:tr>
    </w:tbl>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 descr=""/>
                    <pic:cNvPicPr>
                      <a:picLocks noChangeAspect="1" noChangeArrowheads="1"/>
                    </pic:cNvPicPr>
                  </pic:nvPicPr>
                  <pic:blipFill>
                    <a:blip r:embed="rId11"/>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1</w:t>
      </w:r>
      <w:r>
        <w:rPr>
          <w:rFonts w:ascii="arial" w:hAnsi="arial"/>
          <w:b/>
          <w:sz w:val="22"/>
        </w:rPr>
        <w:t xml:space="preserve"> </w:t>
      </w:r>
      <w:r>
        <w:br w:type="page"/>
      </w:r>
    </w:p>
    <w:p>
      <w:pPr>
        <w:pStyle w:val="HorizontalLine"/>
        <w:bidi w:val="0"/>
        <w:jc w:val="left"/>
        <w:rPr/>
      </w:pPr>
      <w:r>
        <w:rPr/>
      </w:r>
    </w:p>
    <w:tbl>
      <w:tblPr>
        <w:tblW w:w="354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306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6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306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Proxy Statement Summary</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171B9"/>
          <w:sz w:val="40"/>
        </w:rPr>
      </w:pPr>
      <w:r>
        <w:rPr>
          <w:rFonts w:ascii="arial" w:hAnsi="arial"/>
          <w:b/>
          <w:color w:val="0171B9"/>
          <w:sz w:val="40"/>
        </w:rPr>
        <w:t xml:space="preserve">Item 1: Election of Directors (Page 8) </w:t>
      </w:r>
    </w:p>
    <w:p>
      <w:pPr>
        <w:pStyle w:val="TextBody"/>
        <w:pBdr>
          <w:bottom w:val="single" w:sz="2" w:space="1" w:color="666666"/>
        </w:pBdr>
        <w:bidi w:val="0"/>
        <w:spacing w:lineRule="atLeast" w:line="142" w:before="0" w:after="40"/>
        <w:jc w:val="left"/>
        <w:rPr/>
      </w:pPr>
      <w:r>
        <w:rPr/>
        <w:t> </w:t>
      </w:r>
    </w:p>
    <w:p>
      <w:pPr>
        <w:pStyle w:val="TextBody"/>
        <w:bidi w:val="0"/>
        <w:spacing w:before="120" w:after="0"/>
        <w:jc w:val="left"/>
        <w:rPr>
          <w:rFonts w:ascii="arial" w:hAnsi="arial"/>
          <w:b/>
          <w:color w:val="0171B9"/>
          <w:sz w:val="28"/>
        </w:rPr>
      </w:pPr>
      <w:r>
        <w:rPr>
          <w:rFonts w:ascii="arial" w:hAnsi="arial"/>
          <w:b/>
          <w:color w:val="0171B9"/>
          <w:sz w:val="28"/>
        </w:rPr>
        <w:t xml:space="preserve">Nominee Composition of the Board and Corporate Governance Highlights </w:t>
      </w:r>
    </w:p>
    <w:p>
      <w:pPr>
        <w:pStyle w:val="TextBody"/>
        <w:pBdr>
          <w:bottom w:val="single" w:sz="2" w:space="1" w:color="666666"/>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2228850"/>
            <wp:effectExtent l="0" t="0" r="0" b="0"/>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2"/>
                    <a:stretch>
                      <a:fillRect/>
                    </a:stretch>
                  </pic:blipFill>
                  <pic:spPr bwMode="auto">
                    <a:xfrm>
                      <a:off x="0" y="0"/>
                      <a:ext cx="7810500" cy="22288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990600"/>
            <wp:effectExtent l="0" t="0" r="0" b="0"/>
            <wp:docPr id="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descr=""/>
                    <pic:cNvPicPr>
                      <a:picLocks noChangeAspect="1" noChangeArrowheads="1"/>
                    </pic:cNvPicPr>
                  </pic:nvPicPr>
                  <pic:blipFill>
                    <a:blip r:embed="rId13"/>
                    <a:stretch>
                      <a:fillRect/>
                    </a:stretch>
                  </pic:blipFill>
                  <pic:spPr bwMode="auto">
                    <a:xfrm>
                      <a:off x="0" y="0"/>
                      <a:ext cx="7810500" cy="990600"/>
                    </a:xfrm>
                    <a:prstGeom prst="rect">
                      <a:avLst/>
                    </a:prstGeom>
                  </pic:spPr>
                </pic:pic>
              </a:graphicData>
            </a:graphic>
          </wp:inline>
        </w:drawing>
      </w:r>
      <w:r>
        <w:rPr/>
        <w:t xml:space="preserve"> </w:t>
      </w:r>
    </w:p>
    <w:p>
      <w:pPr>
        <w:pStyle w:val="TextBody"/>
        <w:bidi w:val="0"/>
        <w:spacing w:before="240" w:after="0"/>
        <w:jc w:val="left"/>
        <w:rPr>
          <w:rFonts w:ascii="arial" w:hAnsi="arial"/>
          <w:b/>
          <w:color w:val="0171B9"/>
          <w:sz w:val="28"/>
        </w:rPr>
      </w:pPr>
      <w:r>
        <w:rPr>
          <w:rFonts w:ascii="arial" w:hAnsi="arial"/>
          <w:b/>
          <w:color w:val="0171B9"/>
          <w:sz w:val="28"/>
        </w:rPr>
        <w:t xml:space="preserve">Nominees to the Board </w:t>
      </w:r>
    </w:p>
    <w:p>
      <w:pPr>
        <w:pStyle w:val="TextBody"/>
        <w:pBdr>
          <w:bottom w:val="single" w:sz="2" w:space="1" w:color="666666"/>
        </w:pBdr>
        <w:bidi w:val="0"/>
        <w:spacing w:lineRule="atLeast" w:line="142" w:before="0" w:after="40"/>
        <w:jc w:val="left"/>
        <w:rPr/>
      </w:pPr>
      <w:r>
        <w:rPr/>
        <w:t> </w:t>
      </w:r>
    </w:p>
    <w:p>
      <w:pPr>
        <w:pStyle w:val="TextBody"/>
        <w:bidi w:val="0"/>
        <w:spacing w:before="0" w:after="0"/>
        <w:jc w:val="left"/>
        <w:rPr/>
      </w:pPr>
      <w:r>
        <w:rPr/>
        <w:t> </w:t>
      </w:r>
    </w:p>
    <w:tbl>
      <w:tblPr>
        <w:tblW w:w="11465" w:type="dxa"/>
        <w:jc w:val="left"/>
        <w:tblInd w:w="0" w:type="dxa"/>
        <w:tblLayout w:type="fixed"/>
        <w:tblCellMar>
          <w:top w:w="0" w:type="dxa"/>
          <w:left w:w="0" w:type="dxa"/>
          <w:bottom w:w="0" w:type="dxa"/>
          <w:right w:w="0" w:type="dxa"/>
        </w:tblCellMar>
      </w:tblPr>
      <w:tblGrid>
        <w:gridCol w:w="75"/>
        <w:gridCol w:w="60"/>
        <w:gridCol w:w="785"/>
        <w:gridCol w:w="60"/>
        <w:gridCol w:w="60"/>
        <w:gridCol w:w="1310"/>
        <w:gridCol w:w="60"/>
        <w:gridCol w:w="60"/>
        <w:gridCol w:w="60"/>
        <w:gridCol w:w="425"/>
        <w:gridCol w:w="60"/>
        <w:gridCol w:w="60"/>
        <w:gridCol w:w="60"/>
        <w:gridCol w:w="875"/>
        <w:gridCol w:w="60"/>
        <w:gridCol w:w="60"/>
        <w:gridCol w:w="60"/>
        <w:gridCol w:w="605"/>
        <w:gridCol w:w="60"/>
        <w:gridCol w:w="60"/>
        <w:gridCol w:w="60"/>
        <w:gridCol w:w="1250"/>
        <w:gridCol w:w="60"/>
        <w:gridCol w:w="60"/>
        <w:gridCol w:w="60"/>
        <w:gridCol w:w="1010"/>
        <w:gridCol w:w="60"/>
        <w:gridCol w:w="60"/>
        <w:gridCol w:w="60"/>
        <w:gridCol w:w="1490"/>
        <w:gridCol w:w="60"/>
        <w:gridCol w:w="60"/>
        <w:gridCol w:w="60"/>
        <w:gridCol w:w="710"/>
        <w:gridCol w:w="60"/>
        <w:gridCol w:w="60"/>
        <w:gridCol w:w="60"/>
        <w:gridCol w:w="1235"/>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785" w:type="dxa"/>
            <w:tcBorders>
              <w:bottom w:val="single" w:sz="8" w:space="0" w:color="FFFFFF"/>
            </w:tcBorders>
            <w:shd w:fill="0171B9" w:val="clear"/>
            <w:tcMar>
              <w:bottom w:w="28" w:type="dxa"/>
            </w:tcMar>
            <w:vAlign w:val="center"/>
          </w:tcPr>
          <w:p>
            <w:pPr>
              <w:pStyle w:val="TableContents"/>
              <w:bidi w:val="0"/>
              <w:spacing w:before="0" w:after="0"/>
              <w:jc w:val="left"/>
              <w:rPr>
                <w:color w:val="FFFFFF"/>
              </w:rPr>
            </w:pPr>
            <w:r>
              <w:rPr>
                <w:color w:val="FFFFFF"/>
              </w:rPr>
              <w:t> </w:t>
            </w:r>
            <w:r>
              <w:rPr>
                <w:rFonts w:ascii="arial" w:hAnsi="arial"/>
                <w:b/>
                <w:color w:val="FFFFFF"/>
                <w:sz w:val="18"/>
              </w:rPr>
              <w:t>Nominee</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color w:val="FFFFFF"/>
              </w:rPr>
            </w:pPr>
            <w:r>
              <w:rPr>
                <w:color w:val="FFFFFF"/>
              </w:rPr>
              <w:t> </w:t>
            </w:r>
          </w:p>
        </w:tc>
        <w:tc>
          <w:tcPr>
            <w:tcW w:w="1310" w:type="dxa"/>
            <w:tcBorders>
              <w:bottom w:val="single" w:sz="8" w:space="0" w:color="FFFFFF"/>
            </w:tcBorders>
            <w:shd w:fill="0171B9" w:val="clear"/>
            <w:tcMar>
              <w:bottom w:w="28" w:type="dxa"/>
            </w:tcMar>
            <w:vAlign w:val="center"/>
          </w:tcPr>
          <w:p>
            <w:pPr>
              <w:pStyle w:val="TableContents"/>
              <w:bidi w:val="0"/>
              <w:spacing w:before="0" w:after="283"/>
              <w:jc w:val="right"/>
              <w:rPr>
                <w:b/>
                <w:color w:val="FFFFFF"/>
              </w:rPr>
            </w:pPr>
            <w:r>
              <w:rPr>
                <w:b/>
                <w:color w:val="FFFFFF"/>
              </w:rPr>
              <w:t>Independent</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color w:val="FFFFFF"/>
              </w:rPr>
            </w:pPr>
            <w:r>
              <w:rPr>
                <w:color w:val="FFFFFF"/>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color w:val="FFFFFF"/>
              </w:rPr>
            </w:pPr>
            <w:r>
              <w:rPr>
                <w:color w:val="FFFFFF"/>
              </w:rPr>
              <w:t> </w:t>
            </w:r>
          </w:p>
        </w:tc>
        <w:tc>
          <w:tcPr>
            <w:tcW w:w="425" w:type="dxa"/>
            <w:tcBorders>
              <w:bottom w:val="single" w:sz="8" w:space="0" w:color="FFFFFF"/>
            </w:tcBorders>
            <w:shd w:fill="0171B9" w:val="clear"/>
            <w:tcMar>
              <w:bottom w:w="28" w:type="dxa"/>
            </w:tcMar>
            <w:vAlign w:val="center"/>
          </w:tcPr>
          <w:p>
            <w:pPr>
              <w:pStyle w:val="TableContents"/>
              <w:bidi w:val="0"/>
              <w:spacing w:before="0" w:after="283"/>
              <w:jc w:val="right"/>
              <w:rPr>
                <w:b/>
                <w:color w:val="FFFFFF"/>
              </w:rPr>
            </w:pPr>
            <w:r>
              <w:rPr>
                <w:b/>
                <w:color w:val="FFFFFF"/>
              </w:rPr>
              <w:t>Age</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color w:val="FFFFFF"/>
              </w:rPr>
            </w:pPr>
            <w:r>
              <w:rPr>
                <w:color w:val="FFFFFF"/>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color w:val="FFFFFF"/>
              </w:rPr>
            </w:pPr>
            <w:r>
              <w:rPr>
                <w:color w:val="FFFFFF"/>
              </w:rPr>
              <w:t> </w:t>
            </w:r>
          </w:p>
        </w:tc>
        <w:tc>
          <w:tcPr>
            <w:tcW w:w="875" w:type="dxa"/>
            <w:tcBorders>
              <w:bottom w:val="single" w:sz="8" w:space="0" w:color="FFFFFF"/>
            </w:tcBorders>
            <w:shd w:fill="0171B9" w:val="clear"/>
            <w:tcMar>
              <w:bottom w:w="28" w:type="dxa"/>
            </w:tcMar>
            <w:vAlign w:val="center"/>
          </w:tcPr>
          <w:p>
            <w:pPr>
              <w:pStyle w:val="TableContents"/>
              <w:bidi w:val="0"/>
              <w:jc w:val="right"/>
              <w:rPr>
                <w:b/>
                <w:color w:val="FFFFFF"/>
              </w:rPr>
            </w:pPr>
            <w:r>
              <w:rPr>
                <w:b/>
                <w:color w:val="FFFFFF"/>
              </w:rPr>
              <w:t>Director</w:t>
            </w:r>
          </w:p>
          <w:p>
            <w:pPr>
              <w:pStyle w:val="TableContents"/>
              <w:bidi w:val="0"/>
              <w:spacing w:before="0" w:after="20"/>
              <w:jc w:val="right"/>
              <w:rPr>
                <w:rFonts w:ascii="arial" w:hAnsi="arial"/>
                <w:b/>
                <w:color w:val="FFFFFF"/>
                <w:sz w:val="18"/>
              </w:rPr>
            </w:pPr>
            <w:r>
              <w:rPr>
                <w:rFonts w:ascii="arial" w:hAnsi="arial"/>
                <w:b/>
                <w:color w:val="FFFFFF"/>
                <w:sz w:val="18"/>
              </w:rPr>
              <w:t>Since</w:t>
            </w:r>
          </w:p>
        </w:tc>
        <w:tc>
          <w:tcPr>
            <w:tcW w:w="60" w:type="dxa"/>
            <w:tcBorders>
              <w:bottom w:val="single" w:sz="8" w:space="0" w:color="FFFFFF"/>
            </w:tcBorders>
            <w:shd w:fill="0171B9" w:val="clear"/>
            <w:tcMar>
              <w:bottom w:w="28" w:type="dxa"/>
            </w:tcMar>
            <w:vAlign w:val="center"/>
          </w:tcPr>
          <w:p>
            <w:pPr>
              <w:pStyle w:val="TableContents"/>
              <w:bidi w:val="0"/>
              <w:jc w:val="left"/>
              <w:rPr>
                <w:color w:val="FFFFFF"/>
              </w:rPr>
            </w:pPr>
            <w:r>
              <w:rPr>
                <w:color w:val="FFFFFF"/>
              </w:rPr>
              <w:t> </w:t>
            </w:r>
          </w:p>
          <w:p>
            <w:pPr>
              <w:pStyle w:val="TableContents"/>
              <w:bidi w:val="0"/>
              <w:spacing w:before="0" w:after="20"/>
              <w:jc w:val="left"/>
              <w:rPr>
                <w:color w:val="FFFFFF"/>
              </w:rPr>
            </w:pPr>
            <w:r>
              <w:rPr>
                <w:color w:val="FFFFFF"/>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color w:val="FFFFFF"/>
              </w:rPr>
            </w:pPr>
            <w:r>
              <w:rPr>
                <w:color w:val="FFFFFF"/>
              </w:rPr>
              <w:t> </w:t>
            </w:r>
          </w:p>
        </w:tc>
        <w:tc>
          <w:tcPr>
            <w:tcW w:w="605" w:type="dxa"/>
            <w:tcBorders>
              <w:bottom w:val="single" w:sz="8" w:space="0" w:color="FFFFFF"/>
            </w:tcBorders>
            <w:shd w:fill="0171B9" w:val="clear"/>
            <w:tcMar>
              <w:bottom w:w="28" w:type="dxa"/>
            </w:tcMar>
            <w:vAlign w:val="center"/>
          </w:tcPr>
          <w:p>
            <w:pPr>
              <w:pStyle w:val="TableContents"/>
              <w:bidi w:val="0"/>
              <w:spacing w:before="0" w:after="283"/>
              <w:jc w:val="right"/>
              <w:rPr>
                <w:b/>
                <w:color w:val="FFFFFF"/>
              </w:rPr>
            </w:pPr>
            <w:r>
              <w:rPr>
                <w:b/>
                <w:color w:val="FFFFFF"/>
              </w:rPr>
              <w:t>Audit</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color w:val="FFFFFF"/>
              </w:rPr>
            </w:pPr>
            <w:r>
              <w:rPr>
                <w:color w:val="FFFFFF"/>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color w:val="FFFFFF"/>
              </w:rPr>
            </w:pPr>
            <w:r>
              <w:rPr>
                <w:color w:val="FFFFFF"/>
              </w:rPr>
              <w:t> </w:t>
            </w:r>
          </w:p>
        </w:tc>
        <w:tc>
          <w:tcPr>
            <w:tcW w:w="1250" w:type="dxa"/>
            <w:tcBorders>
              <w:bottom w:val="single" w:sz="8" w:space="0" w:color="FFFFFF"/>
            </w:tcBorders>
            <w:shd w:fill="0171B9" w:val="clear"/>
            <w:tcMar>
              <w:bottom w:w="28" w:type="dxa"/>
            </w:tcMar>
            <w:vAlign w:val="center"/>
          </w:tcPr>
          <w:p>
            <w:pPr>
              <w:pStyle w:val="TableContents"/>
              <w:bidi w:val="0"/>
              <w:jc w:val="right"/>
              <w:rPr>
                <w:b/>
                <w:color w:val="FFFFFF"/>
              </w:rPr>
            </w:pPr>
            <w:r>
              <w:rPr>
                <w:b/>
                <w:color w:val="FFFFFF"/>
              </w:rPr>
              <w:t>Governance</w:t>
            </w:r>
          </w:p>
          <w:p>
            <w:pPr>
              <w:pStyle w:val="TableContents"/>
              <w:bidi w:val="0"/>
              <w:spacing w:before="0" w:after="0"/>
              <w:jc w:val="right"/>
              <w:rPr>
                <w:rFonts w:ascii="arial" w:hAnsi="arial"/>
                <w:b/>
                <w:color w:val="FFFFFF"/>
                <w:sz w:val="18"/>
              </w:rPr>
            </w:pPr>
            <w:r>
              <w:rPr>
                <w:rFonts w:ascii="arial" w:hAnsi="arial"/>
                <w:b/>
                <w:color w:val="FFFFFF"/>
                <w:sz w:val="18"/>
              </w:rPr>
              <w:t>and</w:t>
            </w:r>
          </w:p>
          <w:p>
            <w:pPr>
              <w:pStyle w:val="TableContents"/>
              <w:bidi w:val="0"/>
              <w:spacing w:before="0" w:after="20"/>
              <w:jc w:val="right"/>
              <w:rPr>
                <w:rFonts w:ascii="arial" w:hAnsi="arial"/>
                <w:b/>
                <w:color w:val="FFFFFF"/>
                <w:sz w:val="18"/>
              </w:rPr>
            </w:pPr>
            <w:r>
              <w:rPr>
                <w:rFonts w:ascii="arial" w:hAnsi="arial"/>
                <w:b/>
                <w:color w:val="FFFFFF"/>
                <w:sz w:val="18"/>
              </w:rPr>
              <w:t>Nominating</w:t>
            </w:r>
          </w:p>
        </w:tc>
        <w:tc>
          <w:tcPr>
            <w:tcW w:w="60" w:type="dxa"/>
            <w:tcBorders>
              <w:bottom w:val="single" w:sz="8" w:space="0" w:color="FFFFFF"/>
            </w:tcBorders>
            <w:shd w:fill="0171B9" w:val="clear"/>
            <w:tcMar>
              <w:bottom w:w="28" w:type="dxa"/>
            </w:tcMar>
            <w:vAlign w:val="center"/>
          </w:tcPr>
          <w:p>
            <w:pPr>
              <w:pStyle w:val="TableContents"/>
              <w:bidi w:val="0"/>
              <w:jc w:val="left"/>
              <w:rPr>
                <w:color w:val="FFFFFF"/>
              </w:rPr>
            </w:pPr>
            <w:r>
              <w:rPr>
                <w:color w:val="FFFFFF"/>
              </w:rPr>
              <w:t> </w:t>
            </w:r>
          </w:p>
          <w:p>
            <w:pPr>
              <w:pStyle w:val="TableContents"/>
              <w:bidi w:val="0"/>
              <w:spacing w:before="0" w:after="0"/>
              <w:jc w:val="left"/>
              <w:rPr>
                <w:color w:val="FFFFFF"/>
              </w:rPr>
            </w:pPr>
            <w:r>
              <w:rPr>
                <w:color w:val="FFFFFF"/>
              </w:rPr>
              <w:t> </w:t>
            </w:r>
          </w:p>
          <w:p>
            <w:pPr>
              <w:pStyle w:val="TableContents"/>
              <w:bidi w:val="0"/>
              <w:spacing w:before="0" w:after="20"/>
              <w:jc w:val="left"/>
              <w:rPr>
                <w:color w:val="FFFFFF"/>
              </w:rPr>
            </w:pPr>
            <w:r>
              <w:rPr>
                <w:color w:val="FFFFFF"/>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color w:val="FFFFFF"/>
              </w:rPr>
            </w:pPr>
            <w:r>
              <w:rPr>
                <w:color w:val="FFFFFF"/>
              </w:rPr>
              <w:t> </w:t>
            </w:r>
          </w:p>
        </w:tc>
        <w:tc>
          <w:tcPr>
            <w:tcW w:w="1010" w:type="dxa"/>
            <w:tcBorders>
              <w:bottom w:val="single" w:sz="8" w:space="0" w:color="FFFFFF"/>
            </w:tcBorders>
            <w:shd w:fill="0171B9" w:val="clear"/>
            <w:tcMar>
              <w:bottom w:w="28" w:type="dxa"/>
            </w:tcMar>
            <w:vAlign w:val="center"/>
          </w:tcPr>
          <w:p>
            <w:pPr>
              <w:pStyle w:val="TableContents"/>
              <w:bidi w:val="0"/>
              <w:spacing w:before="0" w:after="283"/>
              <w:jc w:val="right"/>
              <w:rPr>
                <w:b/>
                <w:color w:val="FFFFFF"/>
              </w:rPr>
            </w:pPr>
            <w:r>
              <w:rPr>
                <w:b/>
                <w:color w:val="FFFFFF"/>
              </w:rPr>
              <w:t>Executive</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color w:val="FFFFFF"/>
              </w:rPr>
            </w:pPr>
            <w:r>
              <w:rPr>
                <w:color w:val="FFFFFF"/>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color w:val="FFFFFF"/>
              </w:rPr>
            </w:pPr>
            <w:r>
              <w:rPr>
                <w:color w:val="FFFFFF"/>
              </w:rPr>
              <w:t> </w:t>
            </w:r>
          </w:p>
        </w:tc>
        <w:tc>
          <w:tcPr>
            <w:tcW w:w="1490" w:type="dxa"/>
            <w:tcBorders>
              <w:bottom w:val="single" w:sz="8" w:space="0" w:color="FFFFFF"/>
            </w:tcBorders>
            <w:shd w:fill="0171B9" w:val="clear"/>
            <w:tcMar>
              <w:bottom w:w="28" w:type="dxa"/>
            </w:tcMar>
            <w:vAlign w:val="center"/>
          </w:tcPr>
          <w:p>
            <w:pPr>
              <w:pStyle w:val="TableContents"/>
              <w:bidi w:val="0"/>
              <w:jc w:val="right"/>
              <w:rPr>
                <w:b/>
                <w:color w:val="FFFFFF"/>
              </w:rPr>
            </w:pPr>
            <w:r>
              <w:rPr>
                <w:b/>
                <w:color w:val="FFFFFF"/>
              </w:rPr>
              <w:t>Compensation</w:t>
            </w:r>
          </w:p>
          <w:p>
            <w:pPr>
              <w:pStyle w:val="TableContents"/>
              <w:bidi w:val="0"/>
              <w:spacing w:before="0" w:after="0"/>
              <w:jc w:val="right"/>
              <w:rPr>
                <w:rFonts w:ascii="arial" w:hAnsi="arial"/>
                <w:b/>
                <w:color w:val="FFFFFF"/>
                <w:sz w:val="18"/>
              </w:rPr>
            </w:pPr>
            <w:r>
              <w:rPr>
                <w:rFonts w:ascii="arial" w:hAnsi="arial"/>
                <w:b/>
                <w:color w:val="FFFFFF"/>
                <w:sz w:val="18"/>
              </w:rPr>
              <w:t>and</w:t>
            </w:r>
          </w:p>
          <w:p>
            <w:pPr>
              <w:pStyle w:val="TableContents"/>
              <w:bidi w:val="0"/>
              <w:spacing w:before="0" w:after="0"/>
              <w:jc w:val="right"/>
              <w:rPr>
                <w:rFonts w:ascii="arial" w:hAnsi="arial"/>
                <w:b/>
                <w:color w:val="FFFFFF"/>
                <w:sz w:val="18"/>
              </w:rPr>
            </w:pPr>
            <w:r>
              <w:rPr>
                <w:rFonts w:ascii="arial" w:hAnsi="arial"/>
                <w:b/>
                <w:color w:val="FFFFFF"/>
                <w:sz w:val="18"/>
              </w:rPr>
              <w:t>Management</w:t>
            </w:r>
          </w:p>
          <w:p>
            <w:pPr>
              <w:pStyle w:val="TableContents"/>
              <w:bidi w:val="0"/>
              <w:spacing w:before="0" w:after="20"/>
              <w:jc w:val="right"/>
              <w:rPr>
                <w:rFonts w:ascii="arial" w:hAnsi="arial"/>
                <w:b/>
                <w:color w:val="FFFFFF"/>
                <w:sz w:val="18"/>
              </w:rPr>
            </w:pPr>
            <w:r>
              <w:rPr>
                <w:rFonts w:ascii="arial" w:hAnsi="arial"/>
                <w:b/>
                <w:color w:val="FFFFFF"/>
                <w:sz w:val="18"/>
              </w:rPr>
              <w:t>Development</w:t>
            </w:r>
          </w:p>
        </w:tc>
        <w:tc>
          <w:tcPr>
            <w:tcW w:w="60" w:type="dxa"/>
            <w:tcBorders>
              <w:bottom w:val="single" w:sz="8" w:space="0" w:color="FFFFFF"/>
            </w:tcBorders>
            <w:shd w:fill="0171B9" w:val="clear"/>
            <w:tcMar>
              <w:bottom w:w="28" w:type="dxa"/>
            </w:tcMar>
            <w:vAlign w:val="center"/>
          </w:tcPr>
          <w:p>
            <w:pPr>
              <w:pStyle w:val="TableContents"/>
              <w:bidi w:val="0"/>
              <w:jc w:val="left"/>
              <w:rPr>
                <w:color w:val="FFFFFF"/>
              </w:rPr>
            </w:pPr>
            <w:r>
              <w:rPr>
                <w:color w:val="FFFFFF"/>
              </w:rPr>
              <w:t> </w:t>
            </w:r>
          </w:p>
          <w:p>
            <w:pPr>
              <w:pStyle w:val="TableContents"/>
              <w:bidi w:val="0"/>
              <w:spacing w:before="0" w:after="0"/>
              <w:jc w:val="left"/>
              <w:rPr>
                <w:color w:val="FFFFFF"/>
              </w:rPr>
            </w:pPr>
            <w:r>
              <w:rPr>
                <w:color w:val="FFFFFF"/>
              </w:rPr>
              <w:t> </w:t>
            </w:r>
          </w:p>
          <w:p>
            <w:pPr>
              <w:pStyle w:val="TableContents"/>
              <w:bidi w:val="0"/>
              <w:spacing w:before="0" w:after="0"/>
              <w:jc w:val="left"/>
              <w:rPr>
                <w:color w:val="FFFFFF"/>
              </w:rPr>
            </w:pPr>
            <w:r>
              <w:rPr>
                <w:color w:val="FFFFFF"/>
              </w:rPr>
              <w:t> </w:t>
            </w:r>
          </w:p>
          <w:p>
            <w:pPr>
              <w:pStyle w:val="TableContents"/>
              <w:bidi w:val="0"/>
              <w:spacing w:before="0" w:after="20"/>
              <w:jc w:val="left"/>
              <w:rPr>
                <w:color w:val="FFFFFF"/>
              </w:rPr>
            </w:pPr>
            <w:r>
              <w:rPr>
                <w:color w:val="FFFFFF"/>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color w:val="FFFFFF"/>
              </w:rPr>
            </w:pPr>
            <w:r>
              <w:rPr>
                <w:color w:val="FFFFFF"/>
              </w:rPr>
              <w:t> </w:t>
            </w:r>
          </w:p>
        </w:tc>
        <w:tc>
          <w:tcPr>
            <w:tcW w:w="710" w:type="dxa"/>
            <w:tcBorders>
              <w:bottom w:val="single" w:sz="8" w:space="0" w:color="FFFFFF"/>
            </w:tcBorders>
            <w:shd w:fill="0171B9" w:val="clear"/>
            <w:tcMar>
              <w:bottom w:w="28" w:type="dxa"/>
            </w:tcMar>
            <w:vAlign w:val="center"/>
          </w:tcPr>
          <w:p>
            <w:pPr>
              <w:pStyle w:val="TableContents"/>
              <w:bidi w:val="0"/>
              <w:jc w:val="right"/>
              <w:rPr>
                <w:b/>
                <w:color w:val="FFFFFF"/>
              </w:rPr>
            </w:pPr>
            <w:r>
              <w:rPr>
                <w:b/>
                <w:color w:val="FFFFFF"/>
              </w:rPr>
              <w:t>Equity</w:t>
            </w:r>
          </w:p>
          <w:p>
            <w:pPr>
              <w:pStyle w:val="TableContents"/>
              <w:bidi w:val="0"/>
              <w:spacing w:before="0" w:after="20"/>
              <w:jc w:val="right"/>
              <w:rPr>
                <w:rFonts w:ascii="arial" w:hAnsi="arial"/>
                <w:b/>
                <w:color w:val="FFFFFF"/>
                <w:sz w:val="18"/>
              </w:rPr>
            </w:pPr>
            <w:r>
              <w:rPr>
                <w:rFonts w:ascii="arial" w:hAnsi="arial"/>
                <w:b/>
                <w:color w:val="FFFFFF"/>
                <w:sz w:val="18"/>
              </w:rPr>
              <w:t>Award</w:t>
            </w:r>
          </w:p>
        </w:tc>
        <w:tc>
          <w:tcPr>
            <w:tcW w:w="60" w:type="dxa"/>
            <w:tcBorders>
              <w:bottom w:val="single" w:sz="8" w:space="0" w:color="FFFFFF"/>
            </w:tcBorders>
            <w:shd w:fill="0171B9" w:val="clear"/>
            <w:tcMar>
              <w:bottom w:w="28" w:type="dxa"/>
            </w:tcMar>
            <w:vAlign w:val="center"/>
          </w:tcPr>
          <w:p>
            <w:pPr>
              <w:pStyle w:val="TableContents"/>
              <w:bidi w:val="0"/>
              <w:jc w:val="left"/>
              <w:rPr>
                <w:color w:val="FFFFFF"/>
              </w:rPr>
            </w:pPr>
            <w:r>
              <w:rPr>
                <w:color w:val="FFFFFF"/>
              </w:rPr>
              <w:t> </w:t>
            </w:r>
          </w:p>
          <w:p>
            <w:pPr>
              <w:pStyle w:val="TableContents"/>
              <w:bidi w:val="0"/>
              <w:spacing w:before="0" w:after="20"/>
              <w:jc w:val="left"/>
              <w:rPr>
                <w:color w:val="FFFFFF"/>
              </w:rPr>
            </w:pPr>
            <w:r>
              <w:rPr>
                <w:color w:val="FFFFFF"/>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color w:val="FFFFFF"/>
              </w:rPr>
            </w:pPr>
            <w:r>
              <w:rPr>
                <w:color w:val="FFFFFF"/>
              </w:rPr>
              <w:t> </w:t>
            </w:r>
          </w:p>
        </w:tc>
        <w:tc>
          <w:tcPr>
            <w:tcW w:w="1235" w:type="dxa"/>
            <w:tcBorders>
              <w:bottom w:val="single" w:sz="8" w:space="0" w:color="FFFFFF"/>
            </w:tcBorders>
            <w:shd w:fill="0171B9" w:val="clear"/>
            <w:tcMar>
              <w:bottom w:w="28" w:type="dxa"/>
            </w:tcMar>
            <w:vAlign w:val="center"/>
          </w:tcPr>
          <w:p>
            <w:pPr>
              <w:pStyle w:val="TableContents"/>
              <w:bidi w:val="0"/>
              <w:jc w:val="right"/>
              <w:rPr>
                <w:b/>
                <w:color w:val="FFFFFF"/>
              </w:rPr>
            </w:pPr>
            <w:r>
              <w:rPr>
                <w:b/>
                <w:color w:val="FFFFFF"/>
              </w:rPr>
              <w:t>Corporate </w:t>
            </w:r>
          </w:p>
          <w:p>
            <w:pPr>
              <w:pStyle w:val="TableContents"/>
              <w:bidi w:val="0"/>
              <w:spacing w:before="0" w:after="0"/>
              <w:jc w:val="right"/>
              <w:rPr>
                <w:rFonts w:ascii="arial" w:hAnsi="arial"/>
                <w:b/>
                <w:color w:val="FFFFFF"/>
                <w:sz w:val="18"/>
              </w:rPr>
            </w:pPr>
            <w:r>
              <w:rPr>
                <w:rFonts w:ascii="arial" w:hAnsi="arial"/>
                <w:b/>
                <w:color w:val="FFFFFF"/>
                <w:sz w:val="18"/>
              </w:rPr>
              <w:t>Responsibility </w:t>
            </w:r>
          </w:p>
          <w:p>
            <w:pPr>
              <w:pStyle w:val="TableContents"/>
              <w:bidi w:val="0"/>
              <w:spacing w:before="0" w:after="0"/>
              <w:jc w:val="right"/>
              <w:rPr>
                <w:rFonts w:ascii="arial" w:hAnsi="arial"/>
                <w:b/>
                <w:color w:val="FFFFFF"/>
                <w:sz w:val="18"/>
              </w:rPr>
            </w:pPr>
            <w:r>
              <w:rPr>
                <w:rFonts w:ascii="arial" w:hAnsi="arial"/>
                <w:b/>
                <w:color w:val="FFFFFF"/>
                <w:sz w:val="18"/>
              </w:rPr>
              <w:t>and </w:t>
            </w:r>
          </w:p>
          <w:p>
            <w:pPr>
              <w:pStyle w:val="TableContents"/>
              <w:bidi w:val="0"/>
              <w:spacing w:before="0" w:after="20"/>
              <w:jc w:val="right"/>
              <w:rPr>
                <w:rFonts w:ascii="arial" w:hAnsi="arial"/>
                <w:b/>
                <w:color w:val="FFFFFF"/>
                <w:sz w:val="18"/>
              </w:rPr>
            </w:pPr>
            <w:r>
              <w:rPr>
                <w:rFonts w:ascii="arial" w:hAnsi="arial"/>
                <w:b/>
                <w:color w:val="FFFFFF"/>
                <w:sz w:val="18"/>
              </w:rPr>
              <w:t>Compliance </w:t>
            </w:r>
          </w:p>
        </w:tc>
        <w:tc>
          <w:tcPr>
            <w:tcW w:w="75" w:type="dxa"/>
            <w:tcBorders>
              <w:bottom w:val="single" w:sz="8" w:space="0" w:color="FFFFFF"/>
            </w:tcBorders>
            <w:shd w:fill="0171B9" w:val="clear"/>
            <w:tcMar>
              <w:bottom w:w="28" w:type="dxa"/>
            </w:tcMar>
            <w:vAlign w:val="center"/>
          </w:tcPr>
          <w:p>
            <w:pPr>
              <w:pStyle w:val="TableContents"/>
              <w:bidi w:val="0"/>
              <w:spacing w:before="0" w:after="283"/>
              <w:jc w:val="left"/>
              <w:rPr/>
            </w:pPr>
            <w:r>
              <w:rPr/>
            </w:r>
          </w:p>
        </w:tc>
      </w:tr>
      <w:tr>
        <w:trPr/>
        <w:tc>
          <w:tcPr>
            <w:tcW w:w="75" w:type="dxa"/>
            <w:tcBorders/>
            <w:shd w:fill="CCE2F1" w:val="clear"/>
            <w:vAlign w:val="center"/>
          </w:tcPr>
          <w:p>
            <w:pPr>
              <w:pStyle w:val="TableContents"/>
              <w:bidi w:val="0"/>
              <w:spacing w:before="0" w:after="283"/>
              <w:jc w:val="left"/>
              <w:rPr>
                <w:sz w:val="4"/>
                <w:szCs w:val="4"/>
              </w:rPr>
            </w:pPr>
            <w:r>
              <w:rPr>
                <w:sz w:val="4"/>
                <w:szCs w:val="4"/>
              </w:rPr>
            </w:r>
          </w:p>
        </w:tc>
        <w:tc>
          <w:tcPr>
            <w:tcW w:w="845" w:type="dxa"/>
            <w:gridSpan w:val="2"/>
            <w:tcBorders/>
            <w:shd w:fill="CCE2F1" w:val="clear"/>
            <w:vAlign w:val="center"/>
          </w:tcPr>
          <w:p>
            <w:pPr>
              <w:pStyle w:val="TableContents"/>
              <w:bidi w:val="0"/>
              <w:spacing w:before="0" w:after="283"/>
              <w:jc w:val="left"/>
              <w:rPr>
                <w:sz w:val="4"/>
                <w:szCs w:val="4"/>
              </w:rPr>
            </w:pPr>
            <w:r>
              <w:rPr>
                <w:sz w:val="4"/>
                <w:szCs w:val="4"/>
              </w:rPr>
            </w:r>
          </w:p>
        </w:tc>
        <w:tc>
          <w:tcPr>
            <w:tcW w:w="1490" w:type="dxa"/>
            <w:gridSpan w:val="4"/>
            <w:tcBorders/>
            <w:shd w:fill="CCE2F1" w:val="clear"/>
            <w:vAlign w:val="center"/>
          </w:tcPr>
          <w:p>
            <w:pPr>
              <w:pStyle w:val="TableContents"/>
              <w:bidi w:val="0"/>
              <w:spacing w:before="0" w:after="283"/>
              <w:jc w:val="left"/>
              <w:rPr>
                <w:sz w:val="4"/>
                <w:szCs w:val="4"/>
              </w:rPr>
            </w:pPr>
            <w:r>
              <w:rPr>
                <w:sz w:val="4"/>
                <w:szCs w:val="4"/>
              </w:rPr>
            </w:r>
          </w:p>
        </w:tc>
        <w:tc>
          <w:tcPr>
            <w:tcW w:w="605" w:type="dxa"/>
            <w:gridSpan w:val="4"/>
            <w:tcBorders/>
            <w:shd w:fill="CCE2F1" w:val="clear"/>
            <w:vAlign w:val="center"/>
          </w:tcPr>
          <w:p>
            <w:pPr>
              <w:pStyle w:val="TableContents"/>
              <w:bidi w:val="0"/>
              <w:spacing w:before="0" w:after="283"/>
              <w:jc w:val="left"/>
              <w:rPr>
                <w:sz w:val="4"/>
                <w:szCs w:val="4"/>
              </w:rPr>
            </w:pPr>
            <w:r>
              <w:rPr>
                <w:sz w:val="4"/>
                <w:szCs w:val="4"/>
              </w:rPr>
            </w:r>
          </w:p>
        </w:tc>
        <w:tc>
          <w:tcPr>
            <w:tcW w:w="1055" w:type="dxa"/>
            <w:gridSpan w:val="4"/>
            <w:tcBorders/>
            <w:shd w:fill="CCE2F1" w:val="clear"/>
            <w:vAlign w:val="center"/>
          </w:tcPr>
          <w:p>
            <w:pPr>
              <w:pStyle w:val="TableContents"/>
              <w:bidi w:val="0"/>
              <w:spacing w:before="0" w:after="283"/>
              <w:jc w:val="left"/>
              <w:rPr>
                <w:sz w:val="4"/>
                <w:szCs w:val="4"/>
              </w:rPr>
            </w:pPr>
            <w:r>
              <w:rPr>
                <w:sz w:val="4"/>
                <w:szCs w:val="4"/>
              </w:rPr>
            </w:r>
          </w:p>
        </w:tc>
        <w:tc>
          <w:tcPr>
            <w:tcW w:w="785" w:type="dxa"/>
            <w:gridSpan w:val="4"/>
            <w:tcBorders/>
            <w:shd w:fill="CCE2F1" w:val="clear"/>
            <w:vAlign w:val="center"/>
          </w:tcPr>
          <w:p>
            <w:pPr>
              <w:pStyle w:val="TableContents"/>
              <w:bidi w:val="0"/>
              <w:spacing w:before="0" w:after="283"/>
              <w:jc w:val="left"/>
              <w:rPr>
                <w:sz w:val="4"/>
                <w:szCs w:val="4"/>
              </w:rPr>
            </w:pPr>
            <w:r>
              <w:rPr>
                <w:sz w:val="4"/>
                <w:szCs w:val="4"/>
              </w:rPr>
            </w:r>
          </w:p>
        </w:tc>
        <w:tc>
          <w:tcPr>
            <w:tcW w:w="1430" w:type="dxa"/>
            <w:gridSpan w:val="4"/>
            <w:tcBorders/>
            <w:shd w:fill="CCE2F1" w:val="clear"/>
            <w:vAlign w:val="center"/>
          </w:tcPr>
          <w:p>
            <w:pPr>
              <w:pStyle w:val="TableContents"/>
              <w:bidi w:val="0"/>
              <w:spacing w:before="0" w:after="283"/>
              <w:jc w:val="left"/>
              <w:rPr>
                <w:sz w:val="4"/>
                <w:szCs w:val="4"/>
              </w:rPr>
            </w:pPr>
            <w:r>
              <w:rPr>
                <w:sz w:val="4"/>
                <w:szCs w:val="4"/>
              </w:rPr>
            </w:r>
          </w:p>
        </w:tc>
        <w:tc>
          <w:tcPr>
            <w:tcW w:w="1190" w:type="dxa"/>
            <w:gridSpan w:val="4"/>
            <w:tcBorders/>
            <w:shd w:fill="CCE2F1" w:val="clear"/>
            <w:vAlign w:val="center"/>
          </w:tcPr>
          <w:p>
            <w:pPr>
              <w:pStyle w:val="TableContents"/>
              <w:bidi w:val="0"/>
              <w:spacing w:before="0" w:after="283"/>
              <w:jc w:val="left"/>
              <w:rPr>
                <w:sz w:val="4"/>
                <w:szCs w:val="4"/>
              </w:rPr>
            </w:pPr>
            <w:r>
              <w:rPr>
                <w:sz w:val="4"/>
                <w:szCs w:val="4"/>
              </w:rPr>
            </w:r>
          </w:p>
        </w:tc>
        <w:tc>
          <w:tcPr>
            <w:tcW w:w="1670" w:type="dxa"/>
            <w:gridSpan w:val="4"/>
            <w:tcBorders/>
            <w:shd w:fill="CCE2F1" w:val="clear"/>
            <w:vAlign w:val="center"/>
          </w:tcPr>
          <w:p>
            <w:pPr>
              <w:pStyle w:val="TableContents"/>
              <w:bidi w:val="0"/>
              <w:spacing w:before="0" w:after="283"/>
              <w:jc w:val="left"/>
              <w:rPr>
                <w:sz w:val="4"/>
                <w:szCs w:val="4"/>
              </w:rPr>
            </w:pPr>
            <w:r>
              <w:rPr>
                <w:sz w:val="4"/>
                <w:szCs w:val="4"/>
              </w:rPr>
            </w:r>
          </w:p>
        </w:tc>
        <w:tc>
          <w:tcPr>
            <w:tcW w:w="890" w:type="dxa"/>
            <w:gridSpan w:val="4"/>
            <w:tcBorders/>
            <w:shd w:fill="CCE2F1" w:val="clear"/>
            <w:vAlign w:val="center"/>
          </w:tcPr>
          <w:p>
            <w:pPr>
              <w:pStyle w:val="TableContents"/>
              <w:bidi w:val="0"/>
              <w:spacing w:before="0" w:after="283"/>
              <w:jc w:val="left"/>
              <w:rPr>
                <w:sz w:val="4"/>
                <w:szCs w:val="4"/>
              </w:rPr>
            </w:pPr>
            <w:r>
              <w:rPr>
                <w:sz w:val="4"/>
                <w:szCs w:val="4"/>
              </w:rPr>
            </w:r>
          </w:p>
        </w:tc>
        <w:tc>
          <w:tcPr>
            <w:tcW w:w="1430"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7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785" w:type="dxa"/>
            <w:tcBorders/>
            <w:shd w:fill="CCE2F1" w:val="clear"/>
            <w:vAlign w:val="center"/>
          </w:tcPr>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Wanda M. Austin</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jc w:val="left"/>
              <w:rPr/>
            </w:pPr>
            <w:r>
              <w:rPr/>
              <w:t> </w:t>
            </w:r>
          </w:p>
          <w:p>
            <w:pPr>
              <w:pStyle w:val="TableContents"/>
              <w:bidi w:val="0"/>
              <w:spacing w:before="0" w:after="20"/>
              <w:jc w:val="left"/>
              <w:rPr/>
            </w:pPr>
            <w:r>
              <w:rPr/>
              <w:t> </w:t>
            </w:r>
          </w:p>
        </w:tc>
        <w:tc>
          <w:tcPr>
            <w:tcW w:w="1310" w:type="dxa"/>
            <w:tcBorders/>
            <w:shd w:fill="CCE2F1" w:val="clear"/>
            <w:vAlign w:val="center"/>
          </w:tcPr>
          <w:p>
            <w:pPr>
              <w:pStyle w:val="TableContents"/>
              <w:bidi w:val="0"/>
              <w:jc w:val="right"/>
              <w:rPr/>
            </w:pPr>
            <w:r>
              <w:rPr>
                <w:color w:val="0171B9"/>
              </w:rPr>
              <w:t>✓</w:t>
            </w:r>
            <w:r>
              <w:rPr/>
              <w:t xml:space="preserve"> </w:t>
            </w:r>
          </w:p>
          <w:p>
            <w:pPr>
              <w:pStyle w:val="TableContents"/>
              <w:bidi w:val="0"/>
              <w:spacing w:before="0" w:after="20"/>
              <w:jc w:val="left"/>
              <w:rPr/>
            </w:pPr>
            <w:r>
              <w:rPr/>
              <w:t> </w:t>
            </w:r>
          </w:p>
        </w:tc>
        <w:tc>
          <w:tcPr>
            <w:tcW w:w="60" w:type="dxa"/>
            <w:tcBorders/>
            <w:shd w:fill="CCE2F1"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jc w:val="left"/>
              <w:rPr/>
            </w:pPr>
            <w:r>
              <w:rPr/>
              <w:t> </w:t>
            </w:r>
          </w:p>
          <w:p>
            <w:pPr>
              <w:pStyle w:val="TableContents"/>
              <w:bidi w:val="0"/>
              <w:spacing w:before="0" w:after="20"/>
              <w:jc w:val="left"/>
              <w:rPr/>
            </w:pPr>
            <w:r>
              <w:rPr/>
              <w:t> </w:t>
            </w:r>
          </w:p>
        </w:tc>
        <w:tc>
          <w:tcPr>
            <w:tcW w:w="425" w:type="dxa"/>
            <w:tcBorders/>
            <w:shd w:fill="CCE2F1" w:val="clear"/>
            <w:vAlign w:val="center"/>
          </w:tcPr>
          <w:p>
            <w:pPr>
              <w:pStyle w:val="TableContents"/>
              <w:bidi w:val="0"/>
              <w:jc w:val="center"/>
              <w:rPr/>
            </w:pPr>
            <w:r>
              <w:rPr/>
              <w:t>69</w:t>
            </w:r>
          </w:p>
          <w:p>
            <w:pPr>
              <w:pStyle w:val="TableContents"/>
              <w:bidi w:val="0"/>
              <w:spacing w:before="0" w:after="20"/>
              <w:jc w:val="left"/>
              <w:rPr/>
            </w:pPr>
            <w:r>
              <w:rPr/>
              <w:t> </w:t>
            </w:r>
          </w:p>
        </w:tc>
        <w:tc>
          <w:tcPr>
            <w:tcW w:w="60" w:type="dxa"/>
            <w:tcBorders/>
            <w:shd w:fill="CCE2F1"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jc w:val="left"/>
              <w:rPr/>
            </w:pPr>
            <w:r>
              <w:rPr/>
              <w:t> </w:t>
            </w:r>
          </w:p>
          <w:p>
            <w:pPr>
              <w:pStyle w:val="TableContents"/>
              <w:bidi w:val="0"/>
              <w:spacing w:before="0" w:after="20"/>
              <w:jc w:val="left"/>
              <w:rPr/>
            </w:pPr>
            <w:r>
              <w:rPr/>
              <w:t> </w:t>
            </w:r>
          </w:p>
        </w:tc>
        <w:tc>
          <w:tcPr>
            <w:tcW w:w="875" w:type="dxa"/>
            <w:tcBorders/>
            <w:shd w:fill="CCE2F1" w:val="clear"/>
            <w:vAlign w:val="center"/>
          </w:tcPr>
          <w:p>
            <w:pPr>
              <w:pStyle w:val="TableContents"/>
              <w:bidi w:val="0"/>
              <w:jc w:val="center"/>
              <w:rPr/>
            </w:pPr>
            <w:r>
              <w:rPr/>
              <w:t>2017</w:t>
            </w:r>
          </w:p>
          <w:p>
            <w:pPr>
              <w:pStyle w:val="TableContents"/>
              <w:bidi w:val="0"/>
              <w:spacing w:before="0" w:after="20"/>
              <w:jc w:val="left"/>
              <w:rPr/>
            </w:pPr>
            <w:r>
              <w:rPr/>
              <w:t> </w:t>
            </w:r>
          </w:p>
        </w:tc>
        <w:tc>
          <w:tcPr>
            <w:tcW w:w="60" w:type="dxa"/>
            <w:tcBorders/>
            <w:shd w:fill="CCE2F1"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jc w:val="left"/>
              <w:rPr/>
            </w:pPr>
            <w:r>
              <w:rPr/>
              <w:t> </w:t>
            </w:r>
          </w:p>
          <w:p>
            <w:pPr>
              <w:pStyle w:val="TableContents"/>
              <w:bidi w:val="0"/>
              <w:spacing w:before="0" w:after="20"/>
              <w:jc w:val="left"/>
              <w:rPr/>
            </w:pPr>
            <w:r>
              <w:rPr/>
              <w:t> </w:t>
            </w:r>
          </w:p>
        </w:tc>
        <w:tc>
          <w:tcPr>
            <w:tcW w:w="605" w:type="dxa"/>
            <w:tcBorders/>
            <w:shd w:fill="CCE2F1" w:val="clear"/>
            <w:vAlign w:val="center"/>
          </w:tcPr>
          <w:p>
            <w:pPr>
              <w:pStyle w:val="TableContents"/>
              <w:bidi w:val="0"/>
              <w:jc w:val="center"/>
              <w:rPr/>
            </w:pPr>
            <w:r>
              <w:rPr/>
              <w:t>M</w:t>
            </w:r>
          </w:p>
          <w:p>
            <w:pPr>
              <w:pStyle w:val="TableContents"/>
              <w:bidi w:val="0"/>
              <w:spacing w:before="0" w:after="20"/>
              <w:jc w:val="left"/>
              <w:rPr/>
            </w:pPr>
            <w:r>
              <w:rPr/>
              <w:t> </w:t>
            </w:r>
          </w:p>
        </w:tc>
        <w:tc>
          <w:tcPr>
            <w:tcW w:w="60" w:type="dxa"/>
            <w:tcBorders/>
            <w:shd w:fill="CCE2F1"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125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101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jc w:val="left"/>
              <w:rPr/>
            </w:pPr>
            <w:r>
              <w:rPr/>
              <w:t> </w:t>
            </w:r>
          </w:p>
          <w:p>
            <w:pPr>
              <w:pStyle w:val="TableContents"/>
              <w:bidi w:val="0"/>
              <w:spacing w:before="0" w:after="20"/>
              <w:jc w:val="left"/>
              <w:rPr/>
            </w:pPr>
            <w:r>
              <w:rPr/>
              <w:t> </w:t>
            </w:r>
          </w:p>
        </w:tc>
        <w:tc>
          <w:tcPr>
            <w:tcW w:w="1490" w:type="dxa"/>
            <w:tcBorders/>
            <w:shd w:fill="CCE2F1" w:val="clear"/>
            <w:vAlign w:val="center"/>
          </w:tcPr>
          <w:p>
            <w:pPr>
              <w:pStyle w:val="TableContents"/>
              <w:bidi w:val="0"/>
              <w:jc w:val="center"/>
              <w:rPr/>
            </w:pPr>
            <w:r>
              <w:rPr/>
              <w:t>M</w:t>
            </w:r>
          </w:p>
          <w:p>
            <w:pPr>
              <w:pStyle w:val="TableContents"/>
              <w:bidi w:val="0"/>
              <w:spacing w:before="0" w:after="20"/>
              <w:jc w:val="left"/>
              <w:rPr/>
            </w:pPr>
            <w:r>
              <w:rPr/>
              <w:t> </w:t>
            </w:r>
          </w:p>
        </w:tc>
        <w:tc>
          <w:tcPr>
            <w:tcW w:w="60" w:type="dxa"/>
            <w:tcBorders/>
            <w:shd w:fill="CCE2F1"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71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1235" w:type="dxa"/>
            <w:tcBorders/>
            <w:shd w:fill="CCE2F1" w:val="clear"/>
            <w:vAlign w:val="center"/>
          </w:tcPr>
          <w:p>
            <w:pPr>
              <w:pStyle w:val="TableContents"/>
              <w:bidi w:val="0"/>
              <w:spacing w:before="0" w:after="283"/>
              <w:jc w:val="left"/>
              <w:rPr>
                <w:sz w:val="4"/>
                <w:szCs w:val="4"/>
              </w:rPr>
            </w:pPr>
            <w:r>
              <w:rPr>
                <w:sz w:val="4"/>
                <w:szCs w:val="4"/>
              </w:rPr>
            </w:r>
          </w:p>
        </w:tc>
        <w:tc>
          <w:tcPr>
            <w:tcW w:w="75" w:type="dxa"/>
            <w:tcBorders/>
            <w:shd w:fill="CCE2F1" w:val="cle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845" w:type="dxa"/>
            <w:gridSpan w:val="2"/>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60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Robert A. Bradway</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425" w:type="dxa"/>
            <w:tcBorders/>
            <w:vAlign w:val="center"/>
          </w:tcPr>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61</w:t>
            </w:r>
          </w:p>
          <w:p>
            <w:pPr>
              <w:pStyle w:val="TableContents"/>
              <w:bidi w:val="0"/>
              <w:spacing w:before="0" w:after="20"/>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875" w:type="dxa"/>
            <w:tcBorders/>
            <w:vAlign w:val="center"/>
          </w:tcPr>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2011</w:t>
            </w:r>
          </w:p>
          <w:p>
            <w:pPr>
              <w:pStyle w:val="TableContents"/>
              <w:bidi w:val="0"/>
              <w:spacing w:before="0" w:after="20"/>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1010" w:type="dxa"/>
            <w:tcBorders/>
            <w:vAlign w:val="center"/>
          </w:tcPr>
          <w:p>
            <w:pPr>
              <w:pStyle w:val="TableContents"/>
              <w:bidi w:val="0"/>
              <w:jc w:val="center"/>
              <w:rPr/>
            </w:pPr>
            <w:r>
              <w:rPr/>
              <w:t>C</w:t>
            </w:r>
          </w:p>
          <w:p>
            <w:pPr>
              <w:pStyle w:val="TableContents"/>
              <w:bidi w:val="0"/>
              <w:spacing w:before="0" w:after="20"/>
              <w:jc w:val="lef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710" w:type="dxa"/>
            <w:tcBorders/>
            <w:vAlign w:val="center"/>
          </w:tcPr>
          <w:p>
            <w:pPr>
              <w:pStyle w:val="TableContents"/>
              <w:bidi w:val="0"/>
              <w:jc w:val="center"/>
              <w:rPr/>
            </w:pPr>
            <w:r>
              <w:rPr/>
              <w:t>M</w:t>
            </w:r>
          </w:p>
          <w:p>
            <w:pPr>
              <w:pStyle w:val="TableContents"/>
              <w:bidi w:val="0"/>
              <w:spacing w:before="0" w:after="20"/>
              <w:jc w:val="lef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shd w:fill="CCE2F1" w:val="clear"/>
            <w:vAlign w:val="center"/>
          </w:tcPr>
          <w:p>
            <w:pPr>
              <w:pStyle w:val="TableContents"/>
              <w:bidi w:val="0"/>
              <w:spacing w:before="0" w:after="283"/>
              <w:jc w:val="left"/>
              <w:rPr>
                <w:sz w:val="4"/>
                <w:szCs w:val="4"/>
              </w:rPr>
            </w:pPr>
            <w:r>
              <w:rPr>
                <w:sz w:val="4"/>
                <w:szCs w:val="4"/>
              </w:rPr>
            </w:r>
          </w:p>
        </w:tc>
        <w:tc>
          <w:tcPr>
            <w:tcW w:w="845" w:type="dxa"/>
            <w:gridSpan w:val="2"/>
            <w:tcBorders/>
            <w:shd w:fill="CCE2F1" w:val="clear"/>
            <w:vAlign w:val="center"/>
          </w:tcPr>
          <w:p>
            <w:pPr>
              <w:pStyle w:val="TableContents"/>
              <w:bidi w:val="0"/>
              <w:spacing w:before="0" w:after="283"/>
              <w:jc w:val="left"/>
              <w:rPr>
                <w:sz w:val="4"/>
                <w:szCs w:val="4"/>
              </w:rPr>
            </w:pPr>
            <w:r>
              <w:rPr>
                <w:sz w:val="4"/>
                <w:szCs w:val="4"/>
              </w:rPr>
            </w:r>
          </w:p>
        </w:tc>
        <w:tc>
          <w:tcPr>
            <w:tcW w:w="1490" w:type="dxa"/>
            <w:gridSpan w:val="4"/>
            <w:tcBorders/>
            <w:shd w:fill="CCE2F1" w:val="clear"/>
            <w:vAlign w:val="center"/>
          </w:tcPr>
          <w:p>
            <w:pPr>
              <w:pStyle w:val="TableContents"/>
              <w:bidi w:val="0"/>
              <w:spacing w:before="0" w:after="283"/>
              <w:jc w:val="left"/>
              <w:rPr>
                <w:sz w:val="4"/>
                <w:szCs w:val="4"/>
              </w:rPr>
            </w:pPr>
            <w:r>
              <w:rPr>
                <w:sz w:val="4"/>
                <w:szCs w:val="4"/>
              </w:rPr>
            </w:r>
          </w:p>
        </w:tc>
        <w:tc>
          <w:tcPr>
            <w:tcW w:w="605" w:type="dxa"/>
            <w:gridSpan w:val="4"/>
            <w:tcBorders/>
            <w:shd w:fill="CCE2F1" w:val="clear"/>
            <w:vAlign w:val="center"/>
          </w:tcPr>
          <w:p>
            <w:pPr>
              <w:pStyle w:val="TableContents"/>
              <w:bidi w:val="0"/>
              <w:spacing w:before="0" w:after="283"/>
              <w:jc w:val="left"/>
              <w:rPr>
                <w:sz w:val="4"/>
                <w:szCs w:val="4"/>
              </w:rPr>
            </w:pPr>
            <w:r>
              <w:rPr>
                <w:sz w:val="4"/>
                <w:szCs w:val="4"/>
              </w:rPr>
            </w:r>
          </w:p>
        </w:tc>
        <w:tc>
          <w:tcPr>
            <w:tcW w:w="1055" w:type="dxa"/>
            <w:gridSpan w:val="4"/>
            <w:tcBorders/>
            <w:shd w:fill="CCE2F1" w:val="clear"/>
            <w:vAlign w:val="center"/>
          </w:tcPr>
          <w:p>
            <w:pPr>
              <w:pStyle w:val="TableContents"/>
              <w:bidi w:val="0"/>
              <w:spacing w:before="0" w:after="283"/>
              <w:jc w:val="left"/>
              <w:rPr>
                <w:sz w:val="4"/>
                <w:szCs w:val="4"/>
              </w:rPr>
            </w:pPr>
            <w:r>
              <w:rPr>
                <w:sz w:val="4"/>
                <w:szCs w:val="4"/>
              </w:rPr>
            </w:r>
          </w:p>
        </w:tc>
        <w:tc>
          <w:tcPr>
            <w:tcW w:w="785" w:type="dxa"/>
            <w:gridSpan w:val="4"/>
            <w:tcBorders/>
            <w:shd w:fill="CCE2F1" w:val="clear"/>
            <w:vAlign w:val="center"/>
          </w:tcPr>
          <w:p>
            <w:pPr>
              <w:pStyle w:val="TableContents"/>
              <w:bidi w:val="0"/>
              <w:spacing w:before="0" w:after="283"/>
              <w:jc w:val="left"/>
              <w:rPr>
                <w:sz w:val="4"/>
                <w:szCs w:val="4"/>
              </w:rPr>
            </w:pPr>
            <w:r>
              <w:rPr>
                <w:sz w:val="4"/>
                <w:szCs w:val="4"/>
              </w:rPr>
            </w:r>
          </w:p>
        </w:tc>
        <w:tc>
          <w:tcPr>
            <w:tcW w:w="1430" w:type="dxa"/>
            <w:gridSpan w:val="4"/>
            <w:tcBorders/>
            <w:shd w:fill="CCE2F1" w:val="clear"/>
            <w:vAlign w:val="center"/>
          </w:tcPr>
          <w:p>
            <w:pPr>
              <w:pStyle w:val="TableContents"/>
              <w:bidi w:val="0"/>
              <w:spacing w:before="0" w:after="283"/>
              <w:jc w:val="left"/>
              <w:rPr>
                <w:sz w:val="4"/>
                <w:szCs w:val="4"/>
              </w:rPr>
            </w:pPr>
            <w:r>
              <w:rPr>
                <w:sz w:val="4"/>
                <w:szCs w:val="4"/>
              </w:rPr>
            </w:r>
          </w:p>
        </w:tc>
        <w:tc>
          <w:tcPr>
            <w:tcW w:w="1190" w:type="dxa"/>
            <w:gridSpan w:val="4"/>
            <w:tcBorders/>
            <w:shd w:fill="CCE2F1" w:val="clear"/>
            <w:vAlign w:val="center"/>
          </w:tcPr>
          <w:p>
            <w:pPr>
              <w:pStyle w:val="TableContents"/>
              <w:bidi w:val="0"/>
              <w:spacing w:before="0" w:after="283"/>
              <w:jc w:val="left"/>
              <w:rPr>
                <w:sz w:val="4"/>
                <w:szCs w:val="4"/>
              </w:rPr>
            </w:pPr>
            <w:r>
              <w:rPr>
                <w:sz w:val="4"/>
                <w:szCs w:val="4"/>
              </w:rPr>
            </w:r>
          </w:p>
        </w:tc>
        <w:tc>
          <w:tcPr>
            <w:tcW w:w="1670" w:type="dxa"/>
            <w:gridSpan w:val="4"/>
            <w:tcBorders/>
            <w:shd w:fill="CCE2F1" w:val="clear"/>
            <w:vAlign w:val="center"/>
          </w:tcPr>
          <w:p>
            <w:pPr>
              <w:pStyle w:val="TableContents"/>
              <w:bidi w:val="0"/>
              <w:spacing w:before="0" w:after="283"/>
              <w:jc w:val="left"/>
              <w:rPr>
                <w:sz w:val="4"/>
                <w:szCs w:val="4"/>
              </w:rPr>
            </w:pPr>
            <w:r>
              <w:rPr>
                <w:sz w:val="4"/>
                <w:szCs w:val="4"/>
              </w:rPr>
            </w:r>
          </w:p>
        </w:tc>
        <w:tc>
          <w:tcPr>
            <w:tcW w:w="890" w:type="dxa"/>
            <w:gridSpan w:val="4"/>
            <w:tcBorders/>
            <w:shd w:fill="CCE2F1" w:val="clear"/>
            <w:vAlign w:val="center"/>
          </w:tcPr>
          <w:p>
            <w:pPr>
              <w:pStyle w:val="TableContents"/>
              <w:bidi w:val="0"/>
              <w:spacing w:before="0" w:after="283"/>
              <w:jc w:val="left"/>
              <w:rPr>
                <w:sz w:val="4"/>
                <w:szCs w:val="4"/>
              </w:rPr>
            </w:pPr>
            <w:r>
              <w:rPr>
                <w:sz w:val="4"/>
                <w:szCs w:val="4"/>
              </w:rPr>
            </w:r>
          </w:p>
        </w:tc>
        <w:tc>
          <w:tcPr>
            <w:tcW w:w="1430"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7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785" w:type="dxa"/>
            <w:tcBorders/>
            <w:shd w:fill="CCE2F1" w:val="clear"/>
            <w:vAlign w:val="center"/>
          </w:tcPr>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Michael V. Drake</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jc w:val="left"/>
              <w:rPr/>
            </w:pPr>
            <w:r>
              <w:rPr/>
              <w:t> </w:t>
            </w:r>
          </w:p>
          <w:p>
            <w:pPr>
              <w:pStyle w:val="TableContents"/>
              <w:bidi w:val="0"/>
              <w:spacing w:before="0" w:after="20"/>
              <w:jc w:val="left"/>
              <w:rPr/>
            </w:pPr>
            <w:r>
              <w:rPr/>
              <w:t> </w:t>
            </w:r>
          </w:p>
        </w:tc>
        <w:tc>
          <w:tcPr>
            <w:tcW w:w="1310" w:type="dxa"/>
            <w:tcBorders/>
            <w:shd w:fill="CCE2F1" w:val="clear"/>
            <w:vAlign w:val="center"/>
          </w:tcPr>
          <w:p>
            <w:pPr>
              <w:pStyle w:val="TableContents"/>
              <w:bidi w:val="0"/>
              <w:jc w:val="right"/>
              <w:rPr/>
            </w:pPr>
            <w:r>
              <w:rPr>
                <w:color w:val="0171B9"/>
              </w:rPr>
              <w:t>✓</w:t>
            </w:r>
            <w:r>
              <w:rPr/>
              <w:t xml:space="preserve"> </w:t>
            </w:r>
          </w:p>
          <w:p>
            <w:pPr>
              <w:pStyle w:val="TableContents"/>
              <w:bidi w:val="0"/>
              <w:spacing w:before="0" w:after="20"/>
              <w:jc w:val="left"/>
              <w:rPr/>
            </w:pPr>
            <w:r>
              <w:rPr/>
              <w:t> </w:t>
            </w:r>
          </w:p>
        </w:tc>
        <w:tc>
          <w:tcPr>
            <w:tcW w:w="60" w:type="dxa"/>
            <w:tcBorders/>
            <w:shd w:fill="CCE2F1"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425" w:type="dxa"/>
            <w:tcBorders/>
            <w:shd w:fill="CCE2F1" w:val="clear"/>
            <w:vAlign w:val="center"/>
          </w:tcPr>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73</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875" w:type="dxa"/>
            <w:tcBorders/>
            <w:shd w:fill="CCE2F1" w:val="clear"/>
            <w:vAlign w:val="center"/>
          </w:tcPr>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2022</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250" w:type="dxa"/>
            <w:tcBorders/>
            <w:shd w:fill="CCE2F1" w:val="clear"/>
            <w:vAlign w:val="center"/>
          </w:tcPr>
          <w:p>
            <w:pPr>
              <w:pStyle w:val="TableContents"/>
              <w:bidi w:val="0"/>
              <w:spacing w:before="0" w:after="283"/>
              <w:jc w:val="center"/>
              <w:rPr/>
            </w:pPr>
            <w:r>
              <w:rPr/>
              <w:t>M</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101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149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71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235" w:type="dxa"/>
            <w:tcBorders/>
            <w:shd w:fill="CCE2F1" w:val="clear"/>
            <w:vAlign w:val="center"/>
          </w:tcPr>
          <w:p>
            <w:pPr>
              <w:pStyle w:val="TableContents"/>
              <w:bidi w:val="0"/>
              <w:spacing w:before="0" w:after="283"/>
              <w:jc w:val="center"/>
              <w:rPr/>
            </w:pPr>
            <w:r>
              <w:rPr/>
              <w:t>M</w:t>
            </w:r>
          </w:p>
        </w:tc>
        <w:tc>
          <w:tcPr>
            <w:tcW w:w="75" w:type="dxa"/>
            <w:tcBorders/>
            <w:shd w:fill="CCE2F1" w:val="cle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845" w:type="dxa"/>
            <w:gridSpan w:val="2"/>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60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Brian J. Druker</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1310" w:type="dxa"/>
            <w:tcBorders/>
            <w:vAlign w:val="center"/>
          </w:tcPr>
          <w:p>
            <w:pPr>
              <w:pStyle w:val="TableContents"/>
              <w:bidi w:val="0"/>
              <w:jc w:val="right"/>
              <w:rPr/>
            </w:pPr>
            <w:r>
              <w:rPr>
                <w:color w:val="0171B9"/>
              </w:rPr>
              <w:t>✓</w:t>
            </w:r>
            <w:r>
              <w:rPr/>
              <w:t xml:space="preserve"> </w:t>
            </w:r>
          </w:p>
          <w:p>
            <w:pPr>
              <w:pStyle w:val="TableContents"/>
              <w:bidi w:val="0"/>
              <w:spacing w:before="0" w:after="20"/>
              <w:jc w:val="lef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425" w:type="dxa"/>
            <w:tcBorders/>
            <w:vAlign w:val="center"/>
          </w:tcPr>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68</w:t>
            </w:r>
          </w:p>
          <w:p>
            <w:pPr>
              <w:pStyle w:val="TableContents"/>
              <w:bidi w:val="0"/>
              <w:spacing w:before="0" w:after="20"/>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875" w:type="dxa"/>
            <w:tcBorders/>
            <w:vAlign w:val="center"/>
          </w:tcPr>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2018</w:t>
            </w:r>
          </w:p>
          <w:p>
            <w:pPr>
              <w:pStyle w:val="TableContents"/>
              <w:bidi w:val="0"/>
              <w:spacing w:before="0" w:after="20"/>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1490" w:type="dxa"/>
            <w:tcBorders/>
            <w:vAlign w:val="center"/>
          </w:tcPr>
          <w:p>
            <w:pPr>
              <w:pStyle w:val="TableContents"/>
              <w:bidi w:val="0"/>
              <w:jc w:val="center"/>
              <w:rPr/>
            </w:pPr>
            <w:r>
              <w:rPr/>
              <w:t>M</w:t>
            </w:r>
          </w:p>
          <w:p>
            <w:pPr>
              <w:pStyle w:val="TableContents"/>
              <w:bidi w:val="0"/>
              <w:spacing w:before="0" w:after="20"/>
              <w:jc w:val="lef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1235" w:type="dxa"/>
            <w:tcBorders/>
            <w:vAlign w:val="center"/>
          </w:tcPr>
          <w:p>
            <w:pPr>
              <w:pStyle w:val="TableContents"/>
              <w:bidi w:val="0"/>
              <w:jc w:val="center"/>
              <w:rPr/>
            </w:pPr>
            <w:r>
              <w:rPr/>
              <w:t>M</w:t>
            </w:r>
          </w:p>
          <w:p>
            <w:pPr>
              <w:pStyle w:val="TableContents"/>
              <w:bidi w:val="0"/>
              <w:spacing w:before="0" w:after="20"/>
              <w:jc w:val="left"/>
              <w:rPr/>
            </w:pPr>
            <w:r>
              <w:rPr/>
              <w:t> </w:t>
            </w:r>
          </w:p>
        </w:tc>
        <w:tc>
          <w:tcPr>
            <w:tcW w:w="75" w:type="dxa"/>
            <w:tcBorders/>
            <w:vAlign w:val="center"/>
          </w:tcPr>
          <w:p>
            <w:pPr>
              <w:pStyle w:val="TableContents"/>
              <w:bidi w:val="0"/>
              <w:jc w:val="left"/>
              <w:rPr/>
            </w:pPr>
            <w:r>
              <w:rPr/>
              <w:t> </w:t>
            </w:r>
          </w:p>
          <w:p>
            <w:pPr>
              <w:pStyle w:val="TableContents"/>
              <w:bidi w:val="0"/>
              <w:spacing w:before="0" w:after="20"/>
              <w:jc w:val="left"/>
              <w:rPr/>
            </w:pPr>
            <w:r>
              <w:rPr/>
              <w:t> </w:t>
            </w:r>
          </w:p>
        </w:tc>
      </w:tr>
      <w:tr>
        <w:trPr/>
        <w:tc>
          <w:tcPr>
            <w:tcW w:w="75" w:type="dxa"/>
            <w:tcBorders/>
            <w:shd w:fill="CCE2F1" w:val="clear"/>
            <w:vAlign w:val="center"/>
          </w:tcPr>
          <w:p>
            <w:pPr>
              <w:pStyle w:val="TableContents"/>
              <w:bidi w:val="0"/>
              <w:spacing w:before="0" w:after="283"/>
              <w:jc w:val="left"/>
              <w:rPr>
                <w:sz w:val="4"/>
                <w:szCs w:val="4"/>
              </w:rPr>
            </w:pPr>
            <w:r>
              <w:rPr>
                <w:sz w:val="4"/>
                <w:szCs w:val="4"/>
              </w:rPr>
            </w:r>
          </w:p>
        </w:tc>
        <w:tc>
          <w:tcPr>
            <w:tcW w:w="845" w:type="dxa"/>
            <w:gridSpan w:val="2"/>
            <w:tcBorders/>
            <w:shd w:fill="CCE2F1" w:val="clear"/>
            <w:vAlign w:val="center"/>
          </w:tcPr>
          <w:p>
            <w:pPr>
              <w:pStyle w:val="TableContents"/>
              <w:bidi w:val="0"/>
              <w:spacing w:before="0" w:after="283"/>
              <w:jc w:val="left"/>
              <w:rPr>
                <w:sz w:val="4"/>
                <w:szCs w:val="4"/>
              </w:rPr>
            </w:pPr>
            <w:r>
              <w:rPr>
                <w:sz w:val="4"/>
                <w:szCs w:val="4"/>
              </w:rPr>
            </w:r>
          </w:p>
        </w:tc>
        <w:tc>
          <w:tcPr>
            <w:tcW w:w="1490" w:type="dxa"/>
            <w:gridSpan w:val="4"/>
            <w:tcBorders/>
            <w:shd w:fill="CCE2F1" w:val="clear"/>
            <w:vAlign w:val="center"/>
          </w:tcPr>
          <w:p>
            <w:pPr>
              <w:pStyle w:val="TableContents"/>
              <w:bidi w:val="0"/>
              <w:spacing w:before="0" w:after="283"/>
              <w:jc w:val="left"/>
              <w:rPr>
                <w:sz w:val="4"/>
                <w:szCs w:val="4"/>
              </w:rPr>
            </w:pPr>
            <w:r>
              <w:rPr>
                <w:sz w:val="4"/>
                <w:szCs w:val="4"/>
              </w:rPr>
            </w:r>
          </w:p>
        </w:tc>
        <w:tc>
          <w:tcPr>
            <w:tcW w:w="605" w:type="dxa"/>
            <w:gridSpan w:val="4"/>
            <w:tcBorders/>
            <w:shd w:fill="CCE2F1" w:val="clear"/>
            <w:vAlign w:val="center"/>
          </w:tcPr>
          <w:p>
            <w:pPr>
              <w:pStyle w:val="TableContents"/>
              <w:bidi w:val="0"/>
              <w:spacing w:before="0" w:after="283"/>
              <w:jc w:val="left"/>
              <w:rPr>
                <w:sz w:val="4"/>
                <w:szCs w:val="4"/>
              </w:rPr>
            </w:pPr>
            <w:r>
              <w:rPr>
                <w:sz w:val="4"/>
                <w:szCs w:val="4"/>
              </w:rPr>
            </w:r>
          </w:p>
        </w:tc>
        <w:tc>
          <w:tcPr>
            <w:tcW w:w="1055" w:type="dxa"/>
            <w:gridSpan w:val="4"/>
            <w:tcBorders/>
            <w:shd w:fill="CCE2F1" w:val="clear"/>
            <w:vAlign w:val="center"/>
          </w:tcPr>
          <w:p>
            <w:pPr>
              <w:pStyle w:val="TableContents"/>
              <w:bidi w:val="0"/>
              <w:spacing w:before="0" w:after="283"/>
              <w:jc w:val="left"/>
              <w:rPr>
                <w:sz w:val="4"/>
                <w:szCs w:val="4"/>
              </w:rPr>
            </w:pPr>
            <w:r>
              <w:rPr>
                <w:sz w:val="4"/>
                <w:szCs w:val="4"/>
              </w:rPr>
            </w:r>
          </w:p>
        </w:tc>
        <w:tc>
          <w:tcPr>
            <w:tcW w:w="785" w:type="dxa"/>
            <w:gridSpan w:val="4"/>
            <w:tcBorders/>
            <w:shd w:fill="CCE2F1" w:val="clear"/>
            <w:vAlign w:val="center"/>
          </w:tcPr>
          <w:p>
            <w:pPr>
              <w:pStyle w:val="TableContents"/>
              <w:bidi w:val="0"/>
              <w:spacing w:before="0" w:after="283"/>
              <w:jc w:val="left"/>
              <w:rPr>
                <w:sz w:val="4"/>
                <w:szCs w:val="4"/>
              </w:rPr>
            </w:pPr>
            <w:r>
              <w:rPr>
                <w:sz w:val="4"/>
                <w:szCs w:val="4"/>
              </w:rPr>
            </w:r>
          </w:p>
        </w:tc>
        <w:tc>
          <w:tcPr>
            <w:tcW w:w="1430" w:type="dxa"/>
            <w:gridSpan w:val="4"/>
            <w:tcBorders/>
            <w:shd w:fill="CCE2F1" w:val="clear"/>
            <w:vAlign w:val="center"/>
          </w:tcPr>
          <w:p>
            <w:pPr>
              <w:pStyle w:val="TableContents"/>
              <w:bidi w:val="0"/>
              <w:spacing w:before="0" w:after="283"/>
              <w:jc w:val="left"/>
              <w:rPr>
                <w:sz w:val="4"/>
                <w:szCs w:val="4"/>
              </w:rPr>
            </w:pPr>
            <w:r>
              <w:rPr>
                <w:sz w:val="4"/>
                <w:szCs w:val="4"/>
              </w:rPr>
            </w:r>
          </w:p>
        </w:tc>
        <w:tc>
          <w:tcPr>
            <w:tcW w:w="1190" w:type="dxa"/>
            <w:gridSpan w:val="4"/>
            <w:tcBorders/>
            <w:shd w:fill="CCE2F1" w:val="clear"/>
            <w:vAlign w:val="center"/>
          </w:tcPr>
          <w:p>
            <w:pPr>
              <w:pStyle w:val="TableContents"/>
              <w:bidi w:val="0"/>
              <w:spacing w:before="0" w:after="283"/>
              <w:jc w:val="left"/>
              <w:rPr>
                <w:sz w:val="4"/>
                <w:szCs w:val="4"/>
              </w:rPr>
            </w:pPr>
            <w:r>
              <w:rPr>
                <w:sz w:val="4"/>
                <w:szCs w:val="4"/>
              </w:rPr>
            </w:r>
          </w:p>
        </w:tc>
        <w:tc>
          <w:tcPr>
            <w:tcW w:w="1670" w:type="dxa"/>
            <w:gridSpan w:val="4"/>
            <w:tcBorders/>
            <w:shd w:fill="CCE2F1" w:val="clear"/>
            <w:vAlign w:val="center"/>
          </w:tcPr>
          <w:p>
            <w:pPr>
              <w:pStyle w:val="TableContents"/>
              <w:bidi w:val="0"/>
              <w:spacing w:before="0" w:after="283"/>
              <w:jc w:val="left"/>
              <w:rPr>
                <w:sz w:val="4"/>
                <w:szCs w:val="4"/>
              </w:rPr>
            </w:pPr>
            <w:r>
              <w:rPr>
                <w:sz w:val="4"/>
                <w:szCs w:val="4"/>
              </w:rPr>
            </w:r>
          </w:p>
        </w:tc>
        <w:tc>
          <w:tcPr>
            <w:tcW w:w="890" w:type="dxa"/>
            <w:gridSpan w:val="4"/>
            <w:tcBorders/>
            <w:shd w:fill="CCE2F1" w:val="clear"/>
            <w:vAlign w:val="center"/>
          </w:tcPr>
          <w:p>
            <w:pPr>
              <w:pStyle w:val="TableContents"/>
              <w:bidi w:val="0"/>
              <w:spacing w:before="0" w:after="283"/>
              <w:jc w:val="left"/>
              <w:rPr>
                <w:sz w:val="4"/>
                <w:szCs w:val="4"/>
              </w:rPr>
            </w:pPr>
            <w:r>
              <w:rPr>
                <w:sz w:val="4"/>
                <w:szCs w:val="4"/>
              </w:rPr>
            </w:r>
          </w:p>
        </w:tc>
        <w:tc>
          <w:tcPr>
            <w:tcW w:w="1430"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7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785" w:type="dxa"/>
            <w:tcBorders/>
            <w:shd w:fill="CCE2F1" w:val="clear"/>
            <w:vAlign w:val="center"/>
          </w:tcPr>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Robert A. Eckert*</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jc w:val="left"/>
              <w:rPr/>
            </w:pPr>
            <w:r>
              <w:rPr/>
              <w:t> </w:t>
            </w:r>
          </w:p>
          <w:p>
            <w:pPr>
              <w:pStyle w:val="TableContents"/>
              <w:bidi w:val="0"/>
              <w:spacing w:before="0" w:after="20"/>
              <w:jc w:val="left"/>
              <w:rPr/>
            </w:pPr>
            <w:r>
              <w:rPr/>
              <w:t> </w:t>
            </w:r>
          </w:p>
        </w:tc>
        <w:tc>
          <w:tcPr>
            <w:tcW w:w="1310" w:type="dxa"/>
            <w:tcBorders/>
            <w:shd w:fill="CCE2F1" w:val="clear"/>
            <w:vAlign w:val="center"/>
          </w:tcPr>
          <w:p>
            <w:pPr>
              <w:pStyle w:val="TableContents"/>
              <w:bidi w:val="0"/>
              <w:jc w:val="right"/>
              <w:rPr/>
            </w:pPr>
            <w:r>
              <w:rPr>
                <w:color w:val="0171B9"/>
              </w:rPr>
              <w:t>✓</w:t>
            </w:r>
            <w:r>
              <w:rPr/>
              <w:t xml:space="preserve"> </w:t>
            </w:r>
          </w:p>
          <w:p>
            <w:pPr>
              <w:pStyle w:val="TableContents"/>
              <w:bidi w:val="0"/>
              <w:spacing w:before="0" w:after="20"/>
              <w:jc w:val="left"/>
              <w:rPr/>
            </w:pPr>
            <w:r>
              <w:rPr/>
              <w:t> </w:t>
            </w:r>
          </w:p>
        </w:tc>
        <w:tc>
          <w:tcPr>
            <w:tcW w:w="60" w:type="dxa"/>
            <w:tcBorders/>
            <w:shd w:fill="CCE2F1"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425" w:type="dxa"/>
            <w:tcBorders/>
            <w:shd w:fill="CCE2F1" w:val="clear"/>
            <w:vAlign w:val="center"/>
          </w:tcPr>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69</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875" w:type="dxa"/>
            <w:tcBorders/>
            <w:shd w:fill="CCE2F1" w:val="clear"/>
            <w:vAlign w:val="center"/>
          </w:tcPr>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2012</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jc w:val="left"/>
              <w:rPr/>
            </w:pPr>
            <w:r>
              <w:rPr/>
              <w:t> </w:t>
            </w:r>
          </w:p>
          <w:p>
            <w:pPr>
              <w:pStyle w:val="TableContents"/>
              <w:bidi w:val="0"/>
              <w:spacing w:before="0" w:after="20"/>
              <w:jc w:val="left"/>
              <w:rPr/>
            </w:pPr>
            <w:r>
              <w:rPr/>
              <w:t> </w:t>
            </w:r>
          </w:p>
        </w:tc>
        <w:tc>
          <w:tcPr>
            <w:tcW w:w="1250" w:type="dxa"/>
            <w:tcBorders/>
            <w:shd w:fill="CCE2F1" w:val="clear"/>
            <w:vAlign w:val="center"/>
          </w:tcPr>
          <w:p>
            <w:pPr>
              <w:pStyle w:val="TableContents"/>
              <w:bidi w:val="0"/>
              <w:jc w:val="center"/>
              <w:rPr/>
            </w:pPr>
            <w:r>
              <w:rPr/>
              <w:t>M</w:t>
            </w:r>
          </w:p>
          <w:p>
            <w:pPr>
              <w:pStyle w:val="TableContents"/>
              <w:bidi w:val="0"/>
              <w:spacing w:before="0" w:after="20"/>
              <w:jc w:val="left"/>
              <w:rPr/>
            </w:pPr>
            <w:r>
              <w:rPr/>
              <w:t> </w:t>
            </w:r>
          </w:p>
        </w:tc>
        <w:tc>
          <w:tcPr>
            <w:tcW w:w="60" w:type="dxa"/>
            <w:tcBorders/>
            <w:shd w:fill="CCE2F1"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jc w:val="left"/>
              <w:rPr/>
            </w:pPr>
            <w:r>
              <w:rPr/>
              <w:t> </w:t>
            </w:r>
          </w:p>
          <w:p>
            <w:pPr>
              <w:pStyle w:val="TableContents"/>
              <w:bidi w:val="0"/>
              <w:spacing w:before="0" w:after="20"/>
              <w:jc w:val="left"/>
              <w:rPr/>
            </w:pPr>
            <w:r>
              <w:rPr/>
              <w:t> </w:t>
            </w:r>
          </w:p>
        </w:tc>
        <w:tc>
          <w:tcPr>
            <w:tcW w:w="1010" w:type="dxa"/>
            <w:tcBorders/>
            <w:shd w:fill="CCE2F1" w:val="clear"/>
            <w:vAlign w:val="center"/>
          </w:tcPr>
          <w:p>
            <w:pPr>
              <w:pStyle w:val="TableContents"/>
              <w:bidi w:val="0"/>
              <w:jc w:val="center"/>
              <w:rPr/>
            </w:pPr>
            <w:r>
              <w:rPr/>
              <w:t>M</w:t>
            </w:r>
          </w:p>
          <w:p>
            <w:pPr>
              <w:pStyle w:val="TableContents"/>
              <w:bidi w:val="0"/>
              <w:spacing w:before="0" w:after="20"/>
              <w:jc w:val="left"/>
              <w:rPr/>
            </w:pPr>
            <w:r>
              <w:rPr/>
              <w:t> </w:t>
            </w:r>
          </w:p>
        </w:tc>
        <w:tc>
          <w:tcPr>
            <w:tcW w:w="60" w:type="dxa"/>
            <w:tcBorders/>
            <w:shd w:fill="CCE2F1"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jc w:val="left"/>
              <w:rPr/>
            </w:pPr>
            <w:r>
              <w:rPr/>
              <w:t> </w:t>
            </w:r>
          </w:p>
          <w:p>
            <w:pPr>
              <w:pStyle w:val="TableContents"/>
              <w:bidi w:val="0"/>
              <w:spacing w:before="0" w:after="20"/>
              <w:jc w:val="left"/>
              <w:rPr/>
            </w:pPr>
            <w:r>
              <w:rPr/>
              <w:t> </w:t>
            </w:r>
          </w:p>
        </w:tc>
        <w:tc>
          <w:tcPr>
            <w:tcW w:w="1490" w:type="dxa"/>
            <w:tcBorders/>
            <w:shd w:fill="CCE2F1" w:val="clear"/>
            <w:vAlign w:val="center"/>
          </w:tcPr>
          <w:p>
            <w:pPr>
              <w:pStyle w:val="TableContents"/>
              <w:bidi w:val="0"/>
              <w:jc w:val="center"/>
              <w:rPr/>
            </w:pPr>
            <w:r>
              <w:rPr/>
              <w:t>C</w:t>
            </w:r>
          </w:p>
          <w:p>
            <w:pPr>
              <w:pStyle w:val="TableContents"/>
              <w:bidi w:val="0"/>
              <w:spacing w:before="0" w:after="20"/>
              <w:jc w:val="left"/>
              <w:rPr/>
            </w:pPr>
            <w:r>
              <w:rPr/>
              <w:t> </w:t>
            </w:r>
          </w:p>
        </w:tc>
        <w:tc>
          <w:tcPr>
            <w:tcW w:w="60" w:type="dxa"/>
            <w:tcBorders/>
            <w:shd w:fill="CCE2F1"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71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1235" w:type="dxa"/>
            <w:tcBorders/>
            <w:shd w:fill="CCE2F1" w:val="clear"/>
            <w:vAlign w:val="center"/>
          </w:tcPr>
          <w:p>
            <w:pPr>
              <w:pStyle w:val="TableContents"/>
              <w:bidi w:val="0"/>
              <w:spacing w:before="0" w:after="283"/>
              <w:jc w:val="left"/>
              <w:rPr>
                <w:sz w:val="4"/>
                <w:szCs w:val="4"/>
              </w:rPr>
            </w:pPr>
            <w:r>
              <w:rPr>
                <w:sz w:val="4"/>
                <w:szCs w:val="4"/>
              </w:rPr>
            </w:r>
          </w:p>
        </w:tc>
        <w:tc>
          <w:tcPr>
            <w:tcW w:w="75" w:type="dxa"/>
            <w:tcBorders/>
            <w:shd w:fill="CCE2F1" w:val="cle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845" w:type="dxa"/>
            <w:gridSpan w:val="2"/>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60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Greg C. Garland</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1310" w:type="dxa"/>
            <w:tcBorders/>
            <w:vAlign w:val="center"/>
          </w:tcPr>
          <w:p>
            <w:pPr>
              <w:pStyle w:val="TableContents"/>
              <w:bidi w:val="0"/>
              <w:jc w:val="right"/>
              <w:rPr/>
            </w:pPr>
            <w:r>
              <w:rPr>
                <w:color w:val="0171B9"/>
              </w:rPr>
              <w:t>✓</w:t>
            </w:r>
            <w:r>
              <w:rPr/>
              <w:t xml:space="preserve"> </w:t>
            </w:r>
          </w:p>
          <w:p>
            <w:pPr>
              <w:pStyle w:val="TableContents"/>
              <w:bidi w:val="0"/>
              <w:spacing w:before="0" w:after="20"/>
              <w:jc w:val="lef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425" w:type="dxa"/>
            <w:tcBorders/>
            <w:vAlign w:val="center"/>
          </w:tcPr>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66</w:t>
            </w:r>
          </w:p>
          <w:p>
            <w:pPr>
              <w:pStyle w:val="TableContents"/>
              <w:bidi w:val="0"/>
              <w:spacing w:before="0" w:after="20"/>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875" w:type="dxa"/>
            <w:tcBorders/>
            <w:vAlign w:val="center"/>
          </w:tcPr>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2013</w:t>
            </w:r>
          </w:p>
          <w:p>
            <w:pPr>
              <w:pStyle w:val="TableContents"/>
              <w:bidi w:val="0"/>
              <w:spacing w:before="0" w:after="20"/>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1250" w:type="dxa"/>
            <w:tcBorders/>
            <w:vAlign w:val="center"/>
          </w:tcPr>
          <w:p>
            <w:pPr>
              <w:pStyle w:val="TableContents"/>
              <w:bidi w:val="0"/>
              <w:jc w:val="center"/>
              <w:rPr/>
            </w:pPr>
            <w:r>
              <w:rPr/>
              <w:t>C</w:t>
            </w:r>
          </w:p>
          <w:p>
            <w:pPr>
              <w:pStyle w:val="TableContents"/>
              <w:bidi w:val="0"/>
              <w:spacing w:before="0" w:after="20"/>
              <w:jc w:val="lef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1010" w:type="dxa"/>
            <w:tcBorders/>
            <w:vAlign w:val="center"/>
          </w:tcPr>
          <w:p>
            <w:pPr>
              <w:pStyle w:val="TableContents"/>
              <w:bidi w:val="0"/>
              <w:jc w:val="center"/>
              <w:rPr/>
            </w:pPr>
            <w:r>
              <w:rPr/>
              <w:t>M</w:t>
            </w:r>
          </w:p>
          <w:p>
            <w:pPr>
              <w:pStyle w:val="TableContents"/>
              <w:bidi w:val="0"/>
              <w:spacing w:before="0" w:after="20"/>
              <w:jc w:val="lef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1490" w:type="dxa"/>
            <w:tcBorders/>
            <w:vAlign w:val="center"/>
          </w:tcPr>
          <w:p>
            <w:pPr>
              <w:pStyle w:val="TableContents"/>
              <w:bidi w:val="0"/>
              <w:jc w:val="center"/>
              <w:rPr/>
            </w:pPr>
            <w:r>
              <w:rPr/>
              <w:t>M</w:t>
            </w:r>
          </w:p>
          <w:p>
            <w:pPr>
              <w:pStyle w:val="TableContents"/>
              <w:bidi w:val="0"/>
              <w:spacing w:before="0" w:after="20"/>
              <w:jc w:val="lef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shd w:fill="CCE2F1" w:val="clear"/>
            <w:vAlign w:val="center"/>
          </w:tcPr>
          <w:p>
            <w:pPr>
              <w:pStyle w:val="TableContents"/>
              <w:bidi w:val="0"/>
              <w:spacing w:before="0" w:after="283"/>
              <w:jc w:val="left"/>
              <w:rPr>
                <w:sz w:val="4"/>
                <w:szCs w:val="4"/>
              </w:rPr>
            </w:pPr>
            <w:r>
              <w:rPr>
                <w:sz w:val="4"/>
                <w:szCs w:val="4"/>
              </w:rPr>
            </w:r>
          </w:p>
        </w:tc>
        <w:tc>
          <w:tcPr>
            <w:tcW w:w="845" w:type="dxa"/>
            <w:gridSpan w:val="2"/>
            <w:tcBorders/>
            <w:shd w:fill="CCE2F1" w:val="clear"/>
            <w:vAlign w:val="center"/>
          </w:tcPr>
          <w:p>
            <w:pPr>
              <w:pStyle w:val="TableContents"/>
              <w:bidi w:val="0"/>
              <w:spacing w:before="0" w:after="283"/>
              <w:jc w:val="left"/>
              <w:rPr>
                <w:sz w:val="4"/>
                <w:szCs w:val="4"/>
              </w:rPr>
            </w:pPr>
            <w:r>
              <w:rPr>
                <w:sz w:val="4"/>
                <w:szCs w:val="4"/>
              </w:rPr>
            </w:r>
          </w:p>
        </w:tc>
        <w:tc>
          <w:tcPr>
            <w:tcW w:w="1490" w:type="dxa"/>
            <w:gridSpan w:val="4"/>
            <w:tcBorders/>
            <w:shd w:fill="CCE2F1" w:val="clear"/>
            <w:vAlign w:val="center"/>
          </w:tcPr>
          <w:p>
            <w:pPr>
              <w:pStyle w:val="TableContents"/>
              <w:bidi w:val="0"/>
              <w:spacing w:before="0" w:after="283"/>
              <w:jc w:val="left"/>
              <w:rPr>
                <w:sz w:val="4"/>
                <w:szCs w:val="4"/>
              </w:rPr>
            </w:pPr>
            <w:r>
              <w:rPr>
                <w:sz w:val="4"/>
                <w:szCs w:val="4"/>
              </w:rPr>
            </w:r>
          </w:p>
        </w:tc>
        <w:tc>
          <w:tcPr>
            <w:tcW w:w="605" w:type="dxa"/>
            <w:gridSpan w:val="4"/>
            <w:tcBorders/>
            <w:shd w:fill="CCE2F1" w:val="clear"/>
            <w:vAlign w:val="center"/>
          </w:tcPr>
          <w:p>
            <w:pPr>
              <w:pStyle w:val="TableContents"/>
              <w:bidi w:val="0"/>
              <w:spacing w:before="0" w:after="283"/>
              <w:jc w:val="left"/>
              <w:rPr>
                <w:sz w:val="4"/>
                <w:szCs w:val="4"/>
              </w:rPr>
            </w:pPr>
            <w:r>
              <w:rPr>
                <w:sz w:val="4"/>
                <w:szCs w:val="4"/>
              </w:rPr>
            </w:r>
          </w:p>
        </w:tc>
        <w:tc>
          <w:tcPr>
            <w:tcW w:w="1055" w:type="dxa"/>
            <w:gridSpan w:val="4"/>
            <w:tcBorders/>
            <w:shd w:fill="CCE2F1" w:val="clear"/>
            <w:vAlign w:val="center"/>
          </w:tcPr>
          <w:p>
            <w:pPr>
              <w:pStyle w:val="TableContents"/>
              <w:bidi w:val="0"/>
              <w:spacing w:before="0" w:after="283"/>
              <w:jc w:val="left"/>
              <w:rPr>
                <w:sz w:val="4"/>
                <w:szCs w:val="4"/>
              </w:rPr>
            </w:pPr>
            <w:r>
              <w:rPr>
                <w:sz w:val="4"/>
                <w:szCs w:val="4"/>
              </w:rPr>
            </w:r>
          </w:p>
        </w:tc>
        <w:tc>
          <w:tcPr>
            <w:tcW w:w="785" w:type="dxa"/>
            <w:gridSpan w:val="4"/>
            <w:tcBorders/>
            <w:shd w:fill="CCE2F1" w:val="clear"/>
            <w:vAlign w:val="center"/>
          </w:tcPr>
          <w:p>
            <w:pPr>
              <w:pStyle w:val="TableContents"/>
              <w:bidi w:val="0"/>
              <w:spacing w:before="0" w:after="283"/>
              <w:jc w:val="left"/>
              <w:rPr>
                <w:sz w:val="4"/>
                <w:szCs w:val="4"/>
              </w:rPr>
            </w:pPr>
            <w:r>
              <w:rPr>
                <w:sz w:val="4"/>
                <w:szCs w:val="4"/>
              </w:rPr>
            </w:r>
          </w:p>
        </w:tc>
        <w:tc>
          <w:tcPr>
            <w:tcW w:w="1430" w:type="dxa"/>
            <w:gridSpan w:val="4"/>
            <w:tcBorders/>
            <w:shd w:fill="CCE2F1" w:val="clear"/>
            <w:vAlign w:val="center"/>
          </w:tcPr>
          <w:p>
            <w:pPr>
              <w:pStyle w:val="TableContents"/>
              <w:bidi w:val="0"/>
              <w:spacing w:before="0" w:after="283"/>
              <w:jc w:val="left"/>
              <w:rPr>
                <w:sz w:val="4"/>
                <w:szCs w:val="4"/>
              </w:rPr>
            </w:pPr>
            <w:r>
              <w:rPr>
                <w:sz w:val="4"/>
                <w:szCs w:val="4"/>
              </w:rPr>
            </w:r>
          </w:p>
        </w:tc>
        <w:tc>
          <w:tcPr>
            <w:tcW w:w="1190" w:type="dxa"/>
            <w:gridSpan w:val="4"/>
            <w:tcBorders/>
            <w:shd w:fill="CCE2F1" w:val="clear"/>
            <w:vAlign w:val="center"/>
          </w:tcPr>
          <w:p>
            <w:pPr>
              <w:pStyle w:val="TableContents"/>
              <w:bidi w:val="0"/>
              <w:spacing w:before="0" w:after="283"/>
              <w:jc w:val="left"/>
              <w:rPr>
                <w:sz w:val="4"/>
                <w:szCs w:val="4"/>
              </w:rPr>
            </w:pPr>
            <w:r>
              <w:rPr>
                <w:sz w:val="4"/>
                <w:szCs w:val="4"/>
              </w:rPr>
            </w:r>
          </w:p>
        </w:tc>
        <w:tc>
          <w:tcPr>
            <w:tcW w:w="1670" w:type="dxa"/>
            <w:gridSpan w:val="4"/>
            <w:tcBorders/>
            <w:shd w:fill="CCE2F1" w:val="clear"/>
            <w:vAlign w:val="center"/>
          </w:tcPr>
          <w:p>
            <w:pPr>
              <w:pStyle w:val="TableContents"/>
              <w:bidi w:val="0"/>
              <w:spacing w:before="0" w:after="283"/>
              <w:jc w:val="left"/>
              <w:rPr>
                <w:sz w:val="4"/>
                <w:szCs w:val="4"/>
              </w:rPr>
            </w:pPr>
            <w:r>
              <w:rPr>
                <w:sz w:val="4"/>
                <w:szCs w:val="4"/>
              </w:rPr>
            </w:r>
          </w:p>
        </w:tc>
        <w:tc>
          <w:tcPr>
            <w:tcW w:w="890" w:type="dxa"/>
            <w:gridSpan w:val="4"/>
            <w:tcBorders/>
            <w:shd w:fill="CCE2F1" w:val="clear"/>
            <w:vAlign w:val="center"/>
          </w:tcPr>
          <w:p>
            <w:pPr>
              <w:pStyle w:val="TableContents"/>
              <w:bidi w:val="0"/>
              <w:spacing w:before="0" w:after="283"/>
              <w:jc w:val="left"/>
              <w:rPr>
                <w:sz w:val="4"/>
                <w:szCs w:val="4"/>
              </w:rPr>
            </w:pPr>
            <w:r>
              <w:rPr>
                <w:sz w:val="4"/>
                <w:szCs w:val="4"/>
              </w:rPr>
            </w:r>
          </w:p>
        </w:tc>
        <w:tc>
          <w:tcPr>
            <w:tcW w:w="1430"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7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785" w:type="dxa"/>
            <w:tcBorders/>
            <w:shd w:fill="CCE2F1" w:val="clear"/>
            <w:vAlign w:val="center"/>
          </w:tcPr>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Charles M. Holley, Jr.</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jc w:val="left"/>
              <w:rPr/>
            </w:pPr>
            <w:r>
              <w:rPr/>
              <w:t> </w:t>
            </w:r>
          </w:p>
          <w:p>
            <w:pPr>
              <w:pStyle w:val="TableContents"/>
              <w:bidi w:val="0"/>
              <w:spacing w:before="0" w:after="20"/>
              <w:jc w:val="left"/>
              <w:rPr/>
            </w:pPr>
            <w:r>
              <w:rPr/>
              <w:t> </w:t>
            </w:r>
          </w:p>
        </w:tc>
        <w:tc>
          <w:tcPr>
            <w:tcW w:w="1310" w:type="dxa"/>
            <w:tcBorders/>
            <w:shd w:fill="CCE2F1" w:val="clear"/>
            <w:vAlign w:val="center"/>
          </w:tcPr>
          <w:p>
            <w:pPr>
              <w:pStyle w:val="TableContents"/>
              <w:bidi w:val="0"/>
              <w:jc w:val="right"/>
              <w:rPr/>
            </w:pPr>
            <w:r>
              <w:rPr>
                <w:color w:val="0171B9"/>
              </w:rPr>
              <w:t>✓</w:t>
            </w:r>
            <w:r>
              <w:rPr/>
              <w:t xml:space="preserve"> </w:t>
            </w:r>
          </w:p>
          <w:p>
            <w:pPr>
              <w:pStyle w:val="TableContents"/>
              <w:bidi w:val="0"/>
              <w:spacing w:before="0" w:after="20"/>
              <w:jc w:val="left"/>
              <w:rPr/>
            </w:pPr>
            <w:r>
              <w:rPr/>
              <w:t> </w:t>
            </w:r>
          </w:p>
        </w:tc>
        <w:tc>
          <w:tcPr>
            <w:tcW w:w="60" w:type="dxa"/>
            <w:tcBorders/>
            <w:shd w:fill="CCE2F1"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425" w:type="dxa"/>
            <w:tcBorders/>
            <w:shd w:fill="CCE2F1" w:val="clear"/>
            <w:vAlign w:val="center"/>
          </w:tcPr>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67</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875" w:type="dxa"/>
            <w:tcBorders/>
            <w:shd w:fill="CCE2F1" w:val="clear"/>
            <w:vAlign w:val="center"/>
          </w:tcPr>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2017</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jc w:val="left"/>
              <w:rPr/>
            </w:pPr>
            <w:r>
              <w:rPr/>
              <w:t> </w:t>
            </w:r>
          </w:p>
          <w:p>
            <w:pPr>
              <w:pStyle w:val="TableContents"/>
              <w:bidi w:val="0"/>
              <w:spacing w:before="0" w:after="20"/>
              <w:jc w:val="left"/>
              <w:rPr/>
            </w:pPr>
            <w:r>
              <w:rPr/>
              <w:t> </w:t>
            </w:r>
          </w:p>
        </w:tc>
        <w:tc>
          <w:tcPr>
            <w:tcW w:w="605" w:type="dxa"/>
            <w:tcBorders/>
            <w:shd w:fill="CCE2F1" w:val="clear"/>
            <w:vAlign w:val="center"/>
          </w:tcPr>
          <w:p>
            <w:pPr>
              <w:pStyle w:val="TableContents"/>
              <w:bidi w:val="0"/>
              <w:jc w:val="center"/>
              <w:rPr/>
            </w:pPr>
            <w:r>
              <w:rPr/>
              <w:t>C</w:t>
            </w:r>
          </w:p>
          <w:p>
            <w:pPr>
              <w:pStyle w:val="TableContents"/>
              <w:bidi w:val="0"/>
              <w:spacing w:before="0" w:after="20"/>
              <w:jc w:val="left"/>
              <w:rPr/>
            </w:pPr>
            <w:r>
              <w:rPr/>
              <w:t> </w:t>
            </w:r>
          </w:p>
        </w:tc>
        <w:tc>
          <w:tcPr>
            <w:tcW w:w="60" w:type="dxa"/>
            <w:tcBorders/>
            <w:shd w:fill="CCE2F1"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jc w:val="left"/>
              <w:rPr/>
            </w:pPr>
            <w:r>
              <w:rPr/>
              <w:t> </w:t>
            </w:r>
          </w:p>
          <w:p>
            <w:pPr>
              <w:pStyle w:val="TableContents"/>
              <w:bidi w:val="0"/>
              <w:spacing w:before="0" w:after="20"/>
              <w:jc w:val="left"/>
              <w:rPr/>
            </w:pPr>
            <w:r>
              <w:rPr/>
              <w:t> </w:t>
            </w:r>
          </w:p>
        </w:tc>
        <w:tc>
          <w:tcPr>
            <w:tcW w:w="1250" w:type="dxa"/>
            <w:tcBorders/>
            <w:shd w:fill="CCE2F1" w:val="clear"/>
            <w:vAlign w:val="center"/>
          </w:tcPr>
          <w:p>
            <w:pPr>
              <w:pStyle w:val="TableContents"/>
              <w:bidi w:val="0"/>
              <w:jc w:val="center"/>
              <w:rPr/>
            </w:pPr>
            <w:r>
              <w:rPr/>
              <w:t>M</w:t>
            </w:r>
          </w:p>
          <w:p>
            <w:pPr>
              <w:pStyle w:val="TableContents"/>
              <w:bidi w:val="0"/>
              <w:spacing w:before="0" w:after="20"/>
              <w:jc w:val="left"/>
              <w:rPr/>
            </w:pPr>
            <w:r>
              <w:rPr/>
              <w:t> </w:t>
            </w:r>
          </w:p>
        </w:tc>
        <w:tc>
          <w:tcPr>
            <w:tcW w:w="60" w:type="dxa"/>
            <w:tcBorders/>
            <w:shd w:fill="CCE2F1"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jc w:val="left"/>
              <w:rPr/>
            </w:pPr>
            <w:r>
              <w:rPr/>
              <w:t> </w:t>
            </w:r>
          </w:p>
          <w:p>
            <w:pPr>
              <w:pStyle w:val="TableContents"/>
              <w:bidi w:val="0"/>
              <w:spacing w:before="0" w:after="20"/>
              <w:jc w:val="left"/>
              <w:rPr/>
            </w:pPr>
            <w:r>
              <w:rPr/>
              <w:t> </w:t>
            </w:r>
          </w:p>
        </w:tc>
        <w:tc>
          <w:tcPr>
            <w:tcW w:w="1010" w:type="dxa"/>
            <w:tcBorders/>
            <w:shd w:fill="CCE2F1" w:val="clear"/>
            <w:vAlign w:val="center"/>
          </w:tcPr>
          <w:p>
            <w:pPr>
              <w:pStyle w:val="TableContents"/>
              <w:bidi w:val="0"/>
              <w:jc w:val="center"/>
              <w:rPr/>
            </w:pPr>
            <w:r>
              <w:rPr/>
              <w:t>M</w:t>
            </w:r>
          </w:p>
          <w:p>
            <w:pPr>
              <w:pStyle w:val="TableContents"/>
              <w:bidi w:val="0"/>
              <w:spacing w:before="0" w:after="20"/>
              <w:jc w:val="left"/>
              <w:rPr/>
            </w:pPr>
            <w:r>
              <w:rPr/>
              <w:t> </w:t>
            </w:r>
          </w:p>
        </w:tc>
        <w:tc>
          <w:tcPr>
            <w:tcW w:w="60" w:type="dxa"/>
            <w:tcBorders/>
            <w:shd w:fill="CCE2F1"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149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71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1235" w:type="dxa"/>
            <w:tcBorders/>
            <w:shd w:fill="CCE2F1" w:val="clear"/>
            <w:vAlign w:val="center"/>
          </w:tcPr>
          <w:p>
            <w:pPr>
              <w:pStyle w:val="TableContents"/>
              <w:bidi w:val="0"/>
              <w:spacing w:before="0" w:after="283"/>
              <w:jc w:val="left"/>
              <w:rPr>
                <w:sz w:val="4"/>
                <w:szCs w:val="4"/>
              </w:rPr>
            </w:pPr>
            <w:r>
              <w:rPr>
                <w:sz w:val="4"/>
                <w:szCs w:val="4"/>
              </w:rPr>
            </w:r>
          </w:p>
        </w:tc>
        <w:tc>
          <w:tcPr>
            <w:tcW w:w="75" w:type="dxa"/>
            <w:tcBorders/>
            <w:shd w:fill="CCE2F1" w:val="cle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845" w:type="dxa"/>
            <w:gridSpan w:val="2"/>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60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S. Omar Ishrak</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1310" w:type="dxa"/>
            <w:tcBorders/>
            <w:vAlign w:val="center"/>
          </w:tcPr>
          <w:p>
            <w:pPr>
              <w:pStyle w:val="TableContents"/>
              <w:bidi w:val="0"/>
              <w:jc w:val="right"/>
              <w:rPr/>
            </w:pPr>
            <w:r>
              <w:rPr>
                <w:color w:val="0171B9"/>
              </w:rPr>
              <w:t>✓</w:t>
            </w:r>
            <w:r>
              <w:rPr/>
              <w:t xml:space="preserve"> </w:t>
            </w:r>
          </w:p>
          <w:p>
            <w:pPr>
              <w:pStyle w:val="TableContents"/>
              <w:bidi w:val="0"/>
              <w:spacing w:before="0" w:after="20"/>
              <w:jc w:val="lef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425" w:type="dxa"/>
            <w:tcBorders/>
            <w:vAlign w:val="center"/>
          </w:tcPr>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68</w:t>
            </w:r>
          </w:p>
          <w:p>
            <w:pPr>
              <w:pStyle w:val="TableContents"/>
              <w:bidi w:val="0"/>
              <w:spacing w:before="0" w:after="20"/>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875" w:type="dxa"/>
            <w:tcBorders/>
            <w:vAlign w:val="center"/>
          </w:tcPr>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2021</w:t>
            </w:r>
          </w:p>
          <w:p>
            <w:pPr>
              <w:pStyle w:val="TableContents"/>
              <w:bidi w:val="0"/>
              <w:spacing w:before="0" w:after="20"/>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1490" w:type="dxa"/>
            <w:tcBorders/>
            <w:vAlign w:val="center"/>
          </w:tcPr>
          <w:p>
            <w:pPr>
              <w:pStyle w:val="TableContents"/>
              <w:bidi w:val="0"/>
              <w:jc w:val="center"/>
              <w:rPr/>
            </w:pPr>
            <w:r>
              <w:rPr/>
              <w:t>M</w:t>
            </w:r>
          </w:p>
          <w:p>
            <w:pPr>
              <w:pStyle w:val="TableContents"/>
              <w:bidi w:val="0"/>
              <w:spacing w:before="0" w:after="20"/>
              <w:jc w:val="lef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1235" w:type="dxa"/>
            <w:tcBorders/>
            <w:vAlign w:val="center"/>
          </w:tcPr>
          <w:p>
            <w:pPr>
              <w:pStyle w:val="TableContents"/>
              <w:bidi w:val="0"/>
              <w:jc w:val="center"/>
              <w:rPr/>
            </w:pPr>
            <w:r>
              <w:rPr/>
              <w:t>M</w:t>
            </w:r>
          </w:p>
          <w:p>
            <w:pPr>
              <w:pStyle w:val="TableContents"/>
              <w:bidi w:val="0"/>
              <w:spacing w:before="0" w:after="20"/>
              <w:jc w:val="left"/>
              <w:rPr/>
            </w:pPr>
            <w:r>
              <w:rPr/>
              <w:t> </w:t>
            </w:r>
          </w:p>
        </w:tc>
        <w:tc>
          <w:tcPr>
            <w:tcW w:w="75" w:type="dxa"/>
            <w:tcBorders/>
            <w:vAlign w:val="center"/>
          </w:tcPr>
          <w:p>
            <w:pPr>
              <w:pStyle w:val="TableContents"/>
              <w:bidi w:val="0"/>
              <w:jc w:val="left"/>
              <w:rPr/>
            </w:pPr>
            <w:r>
              <w:rPr/>
              <w:t> </w:t>
            </w:r>
          </w:p>
          <w:p>
            <w:pPr>
              <w:pStyle w:val="TableContents"/>
              <w:bidi w:val="0"/>
              <w:spacing w:before="0" w:after="20"/>
              <w:jc w:val="left"/>
              <w:rPr/>
            </w:pPr>
            <w:r>
              <w:rPr/>
              <w:t> </w:t>
            </w:r>
          </w:p>
        </w:tc>
      </w:tr>
      <w:tr>
        <w:trPr/>
        <w:tc>
          <w:tcPr>
            <w:tcW w:w="75" w:type="dxa"/>
            <w:tcBorders/>
            <w:shd w:fill="CCE2F1" w:val="clear"/>
            <w:vAlign w:val="center"/>
          </w:tcPr>
          <w:p>
            <w:pPr>
              <w:pStyle w:val="TableContents"/>
              <w:bidi w:val="0"/>
              <w:spacing w:before="0" w:after="283"/>
              <w:jc w:val="left"/>
              <w:rPr>
                <w:sz w:val="4"/>
                <w:szCs w:val="4"/>
              </w:rPr>
            </w:pPr>
            <w:r>
              <w:rPr>
                <w:sz w:val="4"/>
                <w:szCs w:val="4"/>
              </w:rPr>
            </w:r>
          </w:p>
        </w:tc>
        <w:tc>
          <w:tcPr>
            <w:tcW w:w="845" w:type="dxa"/>
            <w:gridSpan w:val="2"/>
            <w:tcBorders/>
            <w:shd w:fill="CCE2F1" w:val="clear"/>
            <w:vAlign w:val="center"/>
          </w:tcPr>
          <w:p>
            <w:pPr>
              <w:pStyle w:val="TableContents"/>
              <w:bidi w:val="0"/>
              <w:spacing w:before="0" w:after="283"/>
              <w:jc w:val="left"/>
              <w:rPr>
                <w:sz w:val="4"/>
                <w:szCs w:val="4"/>
              </w:rPr>
            </w:pPr>
            <w:r>
              <w:rPr>
                <w:sz w:val="4"/>
                <w:szCs w:val="4"/>
              </w:rPr>
            </w:r>
          </w:p>
        </w:tc>
        <w:tc>
          <w:tcPr>
            <w:tcW w:w="1490" w:type="dxa"/>
            <w:gridSpan w:val="4"/>
            <w:tcBorders/>
            <w:shd w:fill="CCE2F1" w:val="clear"/>
            <w:vAlign w:val="center"/>
          </w:tcPr>
          <w:p>
            <w:pPr>
              <w:pStyle w:val="TableContents"/>
              <w:bidi w:val="0"/>
              <w:spacing w:before="0" w:after="283"/>
              <w:jc w:val="left"/>
              <w:rPr>
                <w:sz w:val="4"/>
                <w:szCs w:val="4"/>
              </w:rPr>
            </w:pPr>
            <w:r>
              <w:rPr>
                <w:sz w:val="4"/>
                <w:szCs w:val="4"/>
              </w:rPr>
            </w:r>
          </w:p>
        </w:tc>
        <w:tc>
          <w:tcPr>
            <w:tcW w:w="605" w:type="dxa"/>
            <w:gridSpan w:val="4"/>
            <w:tcBorders/>
            <w:shd w:fill="CCE2F1" w:val="clear"/>
            <w:vAlign w:val="center"/>
          </w:tcPr>
          <w:p>
            <w:pPr>
              <w:pStyle w:val="TableContents"/>
              <w:bidi w:val="0"/>
              <w:spacing w:before="0" w:after="283"/>
              <w:jc w:val="left"/>
              <w:rPr>
                <w:sz w:val="4"/>
                <w:szCs w:val="4"/>
              </w:rPr>
            </w:pPr>
            <w:r>
              <w:rPr>
                <w:sz w:val="4"/>
                <w:szCs w:val="4"/>
              </w:rPr>
            </w:r>
          </w:p>
        </w:tc>
        <w:tc>
          <w:tcPr>
            <w:tcW w:w="1055" w:type="dxa"/>
            <w:gridSpan w:val="4"/>
            <w:tcBorders/>
            <w:shd w:fill="CCE2F1" w:val="clear"/>
            <w:vAlign w:val="center"/>
          </w:tcPr>
          <w:p>
            <w:pPr>
              <w:pStyle w:val="TableContents"/>
              <w:bidi w:val="0"/>
              <w:spacing w:before="0" w:after="283"/>
              <w:jc w:val="left"/>
              <w:rPr>
                <w:sz w:val="4"/>
                <w:szCs w:val="4"/>
              </w:rPr>
            </w:pPr>
            <w:r>
              <w:rPr>
                <w:sz w:val="4"/>
                <w:szCs w:val="4"/>
              </w:rPr>
            </w:r>
          </w:p>
        </w:tc>
        <w:tc>
          <w:tcPr>
            <w:tcW w:w="785" w:type="dxa"/>
            <w:gridSpan w:val="4"/>
            <w:tcBorders/>
            <w:shd w:fill="CCE2F1" w:val="clear"/>
            <w:vAlign w:val="center"/>
          </w:tcPr>
          <w:p>
            <w:pPr>
              <w:pStyle w:val="TableContents"/>
              <w:bidi w:val="0"/>
              <w:spacing w:before="0" w:after="283"/>
              <w:jc w:val="left"/>
              <w:rPr>
                <w:sz w:val="4"/>
                <w:szCs w:val="4"/>
              </w:rPr>
            </w:pPr>
            <w:r>
              <w:rPr>
                <w:sz w:val="4"/>
                <w:szCs w:val="4"/>
              </w:rPr>
            </w:r>
          </w:p>
        </w:tc>
        <w:tc>
          <w:tcPr>
            <w:tcW w:w="1430" w:type="dxa"/>
            <w:gridSpan w:val="4"/>
            <w:tcBorders/>
            <w:shd w:fill="CCE2F1" w:val="clear"/>
            <w:vAlign w:val="center"/>
          </w:tcPr>
          <w:p>
            <w:pPr>
              <w:pStyle w:val="TableContents"/>
              <w:bidi w:val="0"/>
              <w:spacing w:before="0" w:after="283"/>
              <w:jc w:val="left"/>
              <w:rPr>
                <w:sz w:val="4"/>
                <w:szCs w:val="4"/>
              </w:rPr>
            </w:pPr>
            <w:r>
              <w:rPr>
                <w:sz w:val="4"/>
                <w:szCs w:val="4"/>
              </w:rPr>
            </w:r>
          </w:p>
        </w:tc>
        <w:tc>
          <w:tcPr>
            <w:tcW w:w="1190" w:type="dxa"/>
            <w:gridSpan w:val="4"/>
            <w:tcBorders/>
            <w:shd w:fill="CCE2F1" w:val="clear"/>
            <w:vAlign w:val="center"/>
          </w:tcPr>
          <w:p>
            <w:pPr>
              <w:pStyle w:val="TableContents"/>
              <w:bidi w:val="0"/>
              <w:spacing w:before="0" w:after="283"/>
              <w:jc w:val="left"/>
              <w:rPr>
                <w:sz w:val="4"/>
                <w:szCs w:val="4"/>
              </w:rPr>
            </w:pPr>
            <w:r>
              <w:rPr>
                <w:sz w:val="4"/>
                <w:szCs w:val="4"/>
              </w:rPr>
            </w:r>
          </w:p>
        </w:tc>
        <w:tc>
          <w:tcPr>
            <w:tcW w:w="1670" w:type="dxa"/>
            <w:gridSpan w:val="4"/>
            <w:tcBorders/>
            <w:shd w:fill="CCE2F1" w:val="clear"/>
            <w:vAlign w:val="center"/>
          </w:tcPr>
          <w:p>
            <w:pPr>
              <w:pStyle w:val="TableContents"/>
              <w:bidi w:val="0"/>
              <w:spacing w:before="0" w:after="283"/>
              <w:jc w:val="left"/>
              <w:rPr>
                <w:sz w:val="4"/>
                <w:szCs w:val="4"/>
              </w:rPr>
            </w:pPr>
            <w:r>
              <w:rPr>
                <w:sz w:val="4"/>
                <w:szCs w:val="4"/>
              </w:rPr>
            </w:r>
          </w:p>
        </w:tc>
        <w:tc>
          <w:tcPr>
            <w:tcW w:w="890" w:type="dxa"/>
            <w:gridSpan w:val="4"/>
            <w:tcBorders/>
            <w:shd w:fill="CCE2F1" w:val="clear"/>
            <w:vAlign w:val="center"/>
          </w:tcPr>
          <w:p>
            <w:pPr>
              <w:pStyle w:val="TableContents"/>
              <w:bidi w:val="0"/>
              <w:spacing w:before="0" w:after="283"/>
              <w:jc w:val="left"/>
              <w:rPr>
                <w:sz w:val="4"/>
                <w:szCs w:val="4"/>
              </w:rPr>
            </w:pPr>
            <w:r>
              <w:rPr>
                <w:sz w:val="4"/>
                <w:szCs w:val="4"/>
              </w:rPr>
            </w:r>
          </w:p>
        </w:tc>
        <w:tc>
          <w:tcPr>
            <w:tcW w:w="1430"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7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785" w:type="dxa"/>
            <w:tcBorders/>
            <w:shd w:fill="CCE2F1" w:val="clear"/>
            <w:vAlign w:val="center"/>
          </w:tcPr>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Tyler Jacks</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jc w:val="left"/>
              <w:rPr/>
            </w:pPr>
            <w:r>
              <w:rPr/>
              <w:t> </w:t>
            </w:r>
          </w:p>
          <w:p>
            <w:pPr>
              <w:pStyle w:val="TableContents"/>
              <w:bidi w:val="0"/>
              <w:spacing w:before="0" w:after="20"/>
              <w:jc w:val="left"/>
              <w:rPr/>
            </w:pPr>
            <w:r>
              <w:rPr/>
              <w:t> </w:t>
            </w:r>
          </w:p>
        </w:tc>
        <w:tc>
          <w:tcPr>
            <w:tcW w:w="1310" w:type="dxa"/>
            <w:tcBorders/>
            <w:shd w:fill="CCE2F1" w:val="clear"/>
            <w:vAlign w:val="center"/>
          </w:tcPr>
          <w:p>
            <w:pPr>
              <w:pStyle w:val="TableContents"/>
              <w:bidi w:val="0"/>
              <w:jc w:val="right"/>
              <w:rPr/>
            </w:pPr>
            <w:r>
              <w:rPr>
                <w:color w:val="0171B9"/>
              </w:rPr>
              <w:t>✓</w:t>
            </w:r>
            <w:r>
              <w:rPr/>
              <w:t xml:space="preserve"> </w:t>
            </w:r>
          </w:p>
          <w:p>
            <w:pPr>
              <w:pStyle w:val="TableContents"/>
              <w:bidi w:val="0"/>
              <w:spacing w:before="0" w:after="20"/>
              <w:jc w:val="left"/>
              <w:rPr/>
            </w:pPr>
            <w:r>
              <w:rPr/>
              <w:t> </w:t>
            </w:r>
          </w:p>
        </w:tc>
        <w:tc>
          <w:tcPr>
            <w:tcW w:w="60" w:type="dxa"/>
            <w:tcBorders/>
            <w:shd w:fill="CCE2F1"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425" w:type="dxa"/>
            <w:tcBorders/>
            <w:shd w:fill="CCE2F1" w:val="clear"/>
            <w:vAlign w:val="center"/>
          </w:tcPr>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63</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875" w:type="dxa"/>
            <w:tcBorders/>
            <w:shd w:fill="CCE2F1" w:val="clear"/>
            <w:vAlign w:val="center"/>
          </w:tcPr>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2012</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125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101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jc w:val="left"/>
              <w:rPr/>
            </w:pPr>
            <w:r>
              <w:rPr/>
              <w:t> </w:t>
            </w:r>
          </w:p>
          <w:p>
            <w:pPr>
              <w:pStyle w:val="TableContents"/>
              <w:bidi w:val="0"/>
              <w:spacing w:before="0" w:after="20"/>
              <w:jc w:val="left"/>
              <w:rPr/>
            </w:pPr>
            <w:r>
              <w:rPr/>
              <w:t> </w:t>
            </w:r>
          </w:p>
        </w:tc>
        <w:tc>
          <w:tcPr>
            <w:tcW w:w="1490" w:type="dxa"/>
            <w:tcBorders/>
            <w:shd w:fill="CCE2F1" w:val="clear"/>
            <w:vAlign w:val="center"/>
          </w:tcPr>
          <w:p>
            <w:pPr>
              <w:pStyle w:val="TableContents"/>
              <w:bidi w:val="0"/>
              <w:jc w:val="center"/>
              <w:rPr/>
            </w:pPr>
            <w:r>
              <w:rPr/>
              <w:t>M</w:t>
            </w:r>
          </w:p>
          <w:p>
            <w:pPr>
              <w:pStyle w:val="TableContents"/>
              <w:bidi w:val="0"/>
              <w:spacing w:before="0" w:after="20"/>
              <w:jc w:val="left"/>
              <w:rPr/>
            </w:pPr>
            <w:r>
              <w:rPr/>
              <w:t> </w:t>
            </w:r>
          </w:p>
        </w:tc>
        <w:tc>
          <w:tcPr>
            <w:tcW w:w="60" w:type="dxa"/>
            <w:tcBorders/>
            <w:shd w:fill="CCE2F1"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71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jc w:val="left"/>
              <w:rPr/>
            </w:pPr>
            <w:r>
              <w:rPr/>
              <w:t> </w:t>
            </w:r>
          </w:p>
          <w:p>
            <w:pPr>
              <w:pStyle w:val="TableContents"/>
              <w:bidi w:val="0"/>
              <w:spacing w:before="0" w:after="20"/>
              <w:jc w:val="left"/>
              <w:rPr/>
            </w:pPr>
            <w:r>
              <w:rPr/>
              <w:t> </w:t>
            </w:r>
          </w:p>
        </w:tc>
        <w:tc>
          <w:tcPr>
            <w:tcW w:w="1235" w:type="dxa"/>
            <w:tcBorders/>
            <w:shd w:fill="CCE2F1" w:val="clear"/>
            <w:vAlign w:val="center"/>
          </w:tcPr>
          <w:p>
            <w:pPr>
              <w:pStyle w:val="TableContents"/>
              <w:bidi w:val="0"/>
              <w:jc w:val="center"/>
              <w:rPr/>
            </w:pPr>
            <w:r>
              <w:rPr/>
              <w:t>M</w:t>
            </w:r>
          </w:p>
          <w:p>
            <w:pPr>
              <w:pStyle w:val="TableContents"/>
              <w:bidi w:val="0"/>
              <w:spacing w:before="0" w:after="20"/>
              <w:jc w:val="left"/>
              <w:rPr/>
            </w:pPr>
            <w:r>
              <w:rPr/>
              <w:t> </w:t>
            </w:r>
          </w:p>
        </w:tc>
        <w:tc>
          <w:tcPr>
            <w:tcW w:w="75" w:type="dxa"/>
            <w:tcBorders/>
            <w:shd w:fill="CCE2F1" w:val="clear"/>
            <w:vAlign w:val="center"/>
          </w:tcPr>
          <w:p>
            <w:pPr>
              <w:pStyle w:val="TableContents"/>
              <w:bidi w:val="0"/>
              <w:jc w:val="left"/>
              <w:rPr/>
            </w:pPr>
            <w:r>
              <w:rPr/>
              <w:t> </w:t>
            </w:r>
          </w:p>
          <w:p>
            <w:pPr>
              <w:pStyle w:val="TableContents"/>
              <w:bidi w:val="0"/>
              <w:spacing w:before="0" w:after="20"/>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845" w:type="dxa"/>
            <w:gridSpan w:val="2"/>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60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Mary E. Klotman</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1310" w:type="dxa"/>
            <w:tcBorders/>
            <w:vAlign w:val="center"/>
          </w:tcPr>
          <w:p>
            <w:pPr>
              <w:pStyle w:val="TableContents"/>
              <w:bidi w:val="0"/>
              <w:jc w:val="right"/>
              <w:rPr/>
            </w:pPr>
            <w:r>
              <w:rPr>
                <w:color w:val="0171B9"/>
              </w:rPr>
              <w:t>✓</w:t>
            </w:r>
            <w:r>
              <w:rPr/>
              <w:t xml:space="preserve"> </w:t>
            </w:r>
          </w:p>
          <w:p>
            <w:pPr>
              <w:pStyle w:val="TableContents"/>
              <w:bidi w:val="0"/>
              <w:spacing w:before="0" w:after="20"/>
              <w:jc w:val="lef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425" w:type="dxa"/>
            <w:tcBorders/>
            <w:vAlign w:val="center"/>
          </w:tcPr>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70</w:t>
            </w:r>
          </w:p>
          <w:p>
            <w:pPr>
              <w:pStyle w:val="TableContents"/>
              <w:bidi w:val="0"/>
              <w:spacing w:before="0" w:after="20"/>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875" w:type="dxa"/>
            <w:tcBorders/>
            <w:vAlign w:val="center"/>
          </w:tcPr>
          <w:p>
            <w:pPr>
              <w:pStyle w:val="TableContents"/>
              <w:bidi w:val="0"/>
              <w:spacing w:before="0" w:after="0"/>
              <w:jc w:val="left"/>
              <w:rPr/>
            </w:pPr>
            <w:r>
              <w:rPr/>
              <w:t> </w:t>
            </w:r>
          </w:p>
          <w:p>
            <w:pPr>
              <w:pStyle w:val="TableContents"/>
              <w:bidi w:val="0"/>
              <w:spacing w:before="0" w:after="0"/>
              <w:jc w:val="center"/>
              <w:rPr>
                <w:rFonts w:ascii="arial" w:hAnsi="arial"/>
                <w:sz w:val="12"/>
              </w:rPr>
            </w:pPr>
            <w:r>
              <w:rPr>
                <w:rFonts w:ascii="arial" w:hAnsi="arial"/>
                <w:sz w:val="12"/>
              </w:rPr>
              <w:t xml:space="preserve">(1) </w:t>
            </w:r>
          </w:p>
          <w:p>
            <w:pPr>
              <w:pStyle w:val="TableContents"/>
              <w:bidi w:val="0"/>
              <w:spacing w:before="0" w:after="20"/>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shd w:fill="CCE2F1" w:val="clear"/>
            <w:vAlign w:val="center"/>
          </w:tcPr>
          <w:p>
            <w:pPr>
              <w:pStyle w:val="TableContents"/>
              <w:bidi w:val="0"/>
              <w:spacing w:before="0" w:after="283"/>
              <w:jc w:val="left"/>
              <w:rPr>
                <w:sz w:val="4"/>
                <w:szCs w:val="4"/>
              </w:rPr>
            </w:pPr>
            <w:r>
              <w:rPr>
                <w:sz w:val="4"/>
                <w:szCs w:val="4"/>
              </w:rPr>
            </w:r>
          </w:p>
        </w:tc>
        <w:tc>
          <w:tcPr>
            <w:tcW w:w="845" w:type="dxa"/>
            <w:gridSpan w:val="2"/>
            <w:tcBorders/>
            <w:shd w:fill="CCE2F1" w:val="clear"/>
            <w:vAlign w:val="center"/>
          </w:tcPr>
          <w:p>
            <w:pPr>
              <w:pStyle w:val="TableContents"/>
              <w:bidi w:val="0"/>
              <w:spacing w:before="0" w:after="283"/>
              <w:jc w:val="left"/>
              <w:rPr>
                <w:sz w:val="4"/>
                <w:szCs w:val="4"/>
              </w:rPr>
            </w:pPr>
            <w:r>
              <w:rPr>
                <w:sz w:val="4"/>
                <w:szCs w:val="4"/>
              </w:rPr>
            </w:r>
          </w:p>
        </w:tc>
        <w:tc>
          <w:tcPr>
            <w:tcW w:w="1490" w:type="dxa"/>
            <w:gridSpan w:val="4"/>
            <w:tcBorders/>
            <w:shd w:fill="CCE2F1" w:val="clear"/>
            <w:vAlign w:val="center"/>
          </w:tcPr>
          <w:p>
            <w:pPr>
              <w:pStyle w:val="TableContents"/>
              <w:bidi w:val="0"/>
              <w:spacing w:before="0" w:after="283"/>
              <w:jc w:val="left"/>
              <w:rPr>
                <w:sz w:val="4"/>
                <w:szCs w:val="4"/>
              </w:rPr>
            </w:pPr>
            <w:r>
              <w:rPr>
                <w:sz w:val="4"/>
                <w:szCs w:val="4"/>
              </w:rPr>
            </w:r>
          </w:p>
        </w:tc>
        <w:tc>
          <w:tcPr>
            <w:tcW w:w="605" w:type="dxa"/>
            <w:gridSpan w:val="4"/>
            <w:tcBorders/>
            <w:shd w:fill="CCE2F1" w:val="clear"/>
            <w:vAlign w:val="center"/>
          </w:tcPr>
          <w:p>
            <w:pPr>
              <w:pStyle w:val="TableContents"/>
              <w:bidi w:val="0"/>
              <w:spacing w:before="0" w:after="283"/>
              <w:jc w:val="left"/>
              <w:rPr>
                <w:sz w:val="4"/>
                <w:szCs w:val="4"/>
              </w:rPr>
            </w:pPr>
            <w:r>
              <w:rPr>
                <w:sz w:val="4"/>
                <w:szCs w:val="4"/>
              </w:rPr>
            </w:r>
          </w:p>
        </w:tc>
        <w:tc>
          <w:tcPr>
            <w:tcW w:w="1055" w:type="dxa"/>
            <w:gridSpan w:val="4"/>
            <w:tcBorders/>
            <w:shd w:fill="CCE2F1" w:val="clear"/>
            <w:vAlign w:val="center"/>
          </w:tcPr>
          <w:p>
            <w:pPr>
              <w:pStyle w:val="TableContents"/>
              <w:bidi w:val="0"/>
              <w:spacing w:before="0" w:after="283"/>
              <w:jc w:val="left"/>
              <w:rPr>
                <w:sz w:val="4"/>
                <w:szCs w:val="4"/>
              </w:rPr>
            </w:pPr>
            <w:r>
              <w:rPr>
                <w:sz w:val="4"/>
                <w:szCs w:val="4"/>
              </w:rPr>
            </w:r>
          </w:p>
        </w:tc>
        <w:tc>
          <w:tcPr>
            <w:tcW w:w="785" w:type="dxa"/>
            <w:gridSpan w:val="4"/>
            <w:tcBorders/>
            <w:shd w:fill="CCE2F1" w:val="clear"/>
            <w:vAlign w:val="center"/>
          </w:tcPr>
          <w:p>
            <w:pPr>
              <w:pStyle w:val="TableContents"/>
              <w:bidi w:val="0"/>
              <w:spacing w:before="0" w:after="283"/>
              <w:jc w:val="left"/>
              <w:rPr>
                <w:sz w:val="4"/>
                <w:szCs w:val="4"/>
              </w:rPr>
            </w:pPr>
            <w:r>
              <w:rPr>
                <w:sz w:val="4"/>
                <w:szCs w:val="4"/>
              </w:rPr>
            </w:r>
          </w:p>
        </w:tc>
        <w:tc>
          <w:tcPr>
            <w:tcW w:w="1430" w:type="dxa"/>
            <w:gridSpan w:val="4"/>
            <w:tcBorders/>
            <w:shd w:fill="CCE2F1" w:val="clear"/>
            <w:vAlign w:val="center"/>
          </w:tcPr>
          <w:p>
            <w:pPr>
              <w:pStyle w:val="TableContents"/>
              <w:bidi w:val="0"/>
              <w:spacing w:before="0" w:after="283"/>
              <w:jc w:val="left"/>
              <w:rPr>
                <w:sz w:val="4"/>
                <w:szCs w:val="4"/>
              </w:rPr>
            </w:pPr>
            <w:r>
              <w:rPr>
                <w:sz w:val="4"/>
                <w:szCs w:val="4"/>
              </w:rPr>
            </w:r>
          </w:p>
        </w:tc>
        <w:tc>
          <w:tcPr>
            <w:tcW w:w="1190" w:type="dxa"/>
            <w:gridSpan w:val="4"/>
            <w:tcBorders/>
            <w:shd w:fill="CCE2F1" w:val="clear"/>
            <w:vAlign w:val="center"/>
          </w:tcPr>
          <w:p>
            <w:pPr>
              <w:pStyle w:val="TableContents"/>
              <w:bidi w:val="0"/>
              <w:spacing w:before="0" w:after="283"/>
              <w:jc w:val="left"/>
              <w:rPr>
                <w:sz w:val="4"/>
                <w:szCs w:val="4"/>
              </w:rPr>
            </w:pPr>
            <w:r>
              <w:rPr>
                <w:sz w:val="4"/>
                <w:szCs w:val="4"/>
              </w:rPr>
            </w:r>
          </w:p>
        </w:tc>
        <w:tc>
          <w:tcPr>
            <w:tcW w:w="1670" w:type="dxa"/>
            <w:gridSpan w:val="4"/>
            <w:tcBorders/>
            <w:shd w:fill="CCE2F1" w:val="clear"/>
            <w:vAlign w:val="center"/>
          </w:tcPr>
          <w:p>
            <w:pPr>
              <w:pStyle w:val="TableContents"/>
              <w:bidi w:val="0"/>
              <w:spacing w:before="0" w:after="283"/>
              <w:jc w:val="left"/>
              <w:rPr>
                <w:sz w:val="4"/>
                <w:szCs w:val="4"/>
              </w:rPr>
            </w:pPr>
            <w:r>
              <w:rPr>
                <w:sz w:val="4"/>
                <w:szCs w:val="4"/>
              </w:rPr>
            </w:r>
          </w:p>
        </w:tc>
        <w:tc>
          <w:tcPr>
            <w:tcW w:w="890" w:type="dxa"/>
            <w:gridSpan w:val="4"/>
            <w:tcBorders/>
            <w:shd w:fill="CCE2F1" w:val="clear"/>
            <w:vAlign w:val="center"/>
          </w:tcPr>
          <w:p>
            <w:pPr>
              <w:pStyle w:val="TableContents"/>
              <w:bidi w:val="0"/>
              <w:spacing w:before="0" w:after="283"/>
              <w:jc w:val="left"/>
              <w:rPr>
                <w:sz w:val="4"/>
                <w:szCs w:val="4"/>
              </w:rPr>
            </w:pPr>
            <w:r>
              <w:rPr>
                <w:sz w:val="4"/>
                <w:szCs w:val="4"/>
              </w:rPr>
            </w:r>
          </w:p>
        </w:tc>
        <w:tc>
          <w:tcPr>
            <w:tcW w:w="1430"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7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785" w:type="dxa"/>
            <w:tcBorders/>
            <w:shd w:fill="CCE2F1" w:val="clear"/>
            <w:vAlign w:val="center"/>
          </w:tcPr>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Ellen J. Kullman</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jc w:val="left"/>
              <w:rPr/>
            </w:pPr>
            <w:r>
              <w:rPr/>
              <w:t> </w:t>
            </w:r>
          </w:p>
          <w:p>
            <w:pPr>
              <w:pStyle w:val="TableContents"/>
              <w:bidi w:val="0"/>
              <w:spacing w:before="0" w:after="20"/>
              <w:jc w:val="left"/>
              <w:rPr/>
            </w:pPr>
            <w:r>
              <w:rPr/>
              <w:t> </w:t>
            </w:r>
          </w:p>
        </w:tc>
        <w:tc>
          <w:tcPr>
            <w:tcW w:w="1310" w:type="dxa"/>
            <w:tcBorders/>
            <w:shd w:fill="CCE2F1" w:val="clear"/>
            <w:vAlign w:val="center"/>
          </w:tcPr>
          <w:p>
            <w:pPr>
              <w:pStyle w:val="TableContents"/>
              <w:bidi w:val="0"/>
              <w:jc w:val="right"/>
              <w:rPr/>
            </w:pPr>
            <w:r>
              <w:rPr>
                <w:color w:val="0171B9"/>
              </w:rPr>
              <w:t>✓</w:t>
            </w:r>
            <w:r>
              <w:rPr/>
              <w:t xml:space="preserve"> </w:t>
            </w:r>
          </w:p>
          <w:p>
            <w:pPr>
              <w:pStyle w:val="TableContents"/>
              <w:bidi w:val="0"/>
              <w:spacing w:before="0" w:after="20"/>
              <w:jc w:val="left"/>
              <w:rPr/>
            </w:pPr>
            <w:r>
              <w:rPr/>
              <w:t> </w:t>
            </w:r>
          </w:p>
        </w:tc>
        <w:tc>
          <w:tcPr>
            <w:tcW w:w="60" w:type="dxa"/>
            <w:tcBorders/>
            <w:shd w:fill="CCE2F1"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425" w:type="dxa"/>
            <w:tcBorders/>
            <w:shd w:fill="CCE2F1" w:val="clear"/>
            <w:vAlign w:val="center"/>
          </w:tcPr>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68</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875" w:type="dxa"/>
            <w:tcBorders/>
            <w:shd w:fill="CCE2F1" w:val="clear"/>
            <w:vAlign w:val="center"/>
          </w:tcPr>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2016</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jc w:val="left"/>
              <w:rPr/>
            </w:pPr>
            <w:r>
              <w:rPr/>
              <w:t> </w:t>
            </w:r>
          </w:p>
          <w:p>
            <w:pPr>
              <w:pStyle w:val="TableContents"/>
              <w:bidi w:val="0"/>
              <w:spacing w:before="0" w:after="20"/>
              <w:jc w:val="left"/>
              <w:rPr/>
            </w:pPr>
            <w:r>
              <w:rPr/>
              <w:t> </w:t>
            </w:r>
          </w:p>
        </w:tc>
        <w:tc>
          <w:tcPr>
            <w:tcW w:w="605" w:type="dxa"/>
            <w:tcBorders/>
            <w:shd w:fill="CCE2F1" w:val="clear"/>
            <w:vAlign w:val="center"/>
          </w:tcPr>
          <w:p>
            <w:pPr>
              <w:pStyle w:val="TableContents"/>
              <w:bidi w:val="0"/>
              <w:jc w:val="center"/>
              <w:rPr/>
            </w:pPr>
            <w:r>
              <w:rPr/>
              <w:t>M</w:t>
            </w:r>
          </w:p>
          <w:p>
            <w:pPr>
              <w:pStyle w:val="TableContents"/>
              <w:bidi w:val="0"/>
              <w:spacing w:before="0" w:after="20"/>
              <w:jc w:val="left"/>
              <w:rPr/>
            </w:pPr>
            <w:r>
              <w:rPr/>
              <w:t> </w:t>
            </w:r>
          </w:p>
        </w:tc>
        <w:tc>
          <w:tcPr>
            <w:tcW w:w="60" w:type="dxa"/>
            <w:tcBorders/>
            <w:shd w:fill="CCE2F1"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jc w:val="left"/>
              <w:rPr/>
            </w:pPr>
            <w:r>
              <w:rPr/>
              <w:t> </w:t>
            </w:r>
          </w:p>
          <w:p>
            <w:pPr>
              <w:pStyle w:val="TableContents"/>
              <w:bidi w:val="0"/>
              <w:spacing w:before="0" w:after="20"/>
              <w:jc w:val="left"/>
              <w:rPr/>
            </w:pPr>
            <w:r>
              <w:rPr/>
              <w:t> </w:t>
            </w:r>
          </w:p>
        </w:tc>
        <w:tc>
          <w:tcPr>
            <w:tcW w:w="1250" w:type="dxa"/>
            <w:tcBorders/>
            <w:shd w:fill="CCE2F1" w:val="clear"/>
            <w:vAlign w:val="center"/>
          </w:tcPr>
          <w:p>
            <w:pPr>
              <w:pStyle w:val="TableContents"/>
              <w:bidi w:val="0"/>
              <w:jc w:val="center"/>
              <w:rPr/>
            </w:pPr>
            <w:r>
              <w:rPr/>
              <w:t>M</w:t>
            </w:r>
          </w:p>
          <w:p>
            <w:pPr>
              <w:pStyle w:val="TableContents"/>
              <w:bidi w:val="0"/>
              <w:spacing w:before="0" w:after="20"/>
              <w:jc w:val="left"/>
              <w:rPr/>
            </w:pPr>
            <w:r>
              <w:rPr/>
              <w:t> </w:t>
            </w:r>
          </w:p>
        </w:tc>
        <w:tc>
          <w:tcPr>
            <w:tcW w:w="60" w:type="dxa"/>
            <w:tcBorders/>
            <w:shd w:fill="CCE2F1"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101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149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71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235" w:type="dxa"/>
            <w:tcBorders/>
            <w:shd w:fill="CCE2F1" w:val="clear"/>
            <w:vAlign w:val="center"/>
          </w:tcPr>
          <w:p>
            <w:pPr>
              <w:pStyle w:val="TableContents"/>
              <w:bidi w:val="0"/>
              <w:spacing w:before="0" w:after="283"/>
              <w:jc w:val="center"/>
              <w:rPr/>
            </w:pPr>
            <w:r>
              <w:rPr/>
              <w:t>C(2)</w:t>
            </w:r>
          </w:p>
        </w:tc>
        <w:tc>
          <w:tcPr>
            <w:tcW w:w="75" w:type="dxa"/>
            <w:tcBorders/>
            <w:shd w:fill="CCE2F1" w:val="cle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845" w:type="dxa"/>
            <w:gridSpan w:val="2"/>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60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bottom w:val="single" w:sz="8" w:space="0" w:color="0171B9"/>
            </w:tcBorders>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785" w:type="dxa"/>
            <w:tcBorders>
              <w:bottom w:val="single" w:sz="8" w:space="0" w:color="0171B9"/>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Amy E. Miles</w:t>
            </w:r>
          </w:p>
          <w:p>
            <w:pPr>
              <w:pStyle w:val="TableContents"/>
              <w:bidi w:val="0"/>
              <w:spacing w:before="0" w:after="20"/>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jc w:val="left"/>
              <w:rPr/>
            </w:pPr>
            <w:r>
              <w:rPr/>
              <w:t> </w:t>
            </w:r>
          </w:p>
          <w:p>
            <w:pPr>
              <w:pStyle w:val="TableContents"/>
              <w:bidi w:val="0"/>
              <w:spacing w:before="0" w:after="20"/>
              <w:jc w:val="left"/>
              <w:rPr/>
            </w:pPr>
            <w:r>
              <w:rPr/>
              <w:t> </w:t>
            </w:r>
          </w:p>
        </w:tc>
        <w:tc>
          <w:tcPr>
            <w:tcW w:w="1310" w:type="dxa"/>
            <w:tcBorders>
              <w:bottom w:val="single" w:sz="8" w:space="0" w:color="0171B9"/>
            </w:tcBorders>
            <w:tcMar>
              <w:bottom w:w="28" w:type="dxa"/>
            </w:tcMar>
            <w:vAlign w:val="center"/>
          </w:tcPr>
          <w:p>
            <w:pPr>
              <w:pStyle w:val="TableContents"/>
              <w:bidi w:val="0"/>
              <w:jc w:val="right"/>
              <w:rPr/>
            </w:pPr>
            <w:r>
              <w:rPr>
                <w:color w:val="0171B9"/>
              </w:rPr>
              <w:t>✓</w:t>
            </w:r>
            <w:r>
              <w:rPr/>
              <w:t xml:space="preserve"> </w:t>
            </w:r>
          </w:p>
          <w:p>
            <w:pPr>
              <w:pStyle w:val="TableContents"/>
              <w:bidi w:val="0"/>
              <w:spacing w:before="0" w:after="20"/>
              <w:jc w:val="left"/>
              <w:rPr/>
            </w:pPr>
            <w:r>
              <w:rPr/>
              <w:t> </w:t>
            </w:r>
          </w:p>
        </w:tc>
        <w:tc>
          <w:tcPr>
            <w:tcW w:w="60" w:type="dxa"/>
            <w:tcBorders>
              <w:bottom w:val="single" w:sz="8" w:space="0" w:color="0171B9"/>
            </w:tcBorders>
            <w:tcMar>
              <w:bottom w:w="28" w:type="dxa"/>
            </w:tcMar>
            <w:vAlign w:val="center"/>
          </w:tcPr>
          <w:p>
            <w:pPr>
              <w:pStyle w:val="TableContents"/>
              <w:bidi w:val="0"/>
              <w:jc w:val="left"/>
              <w:rPr/>
            </w:pPr>
            <w:r>
              <w:rPr/>
              <w:t> </w:t>
            </w:r>
          </w:p>
          <w:p>
            <w:pPr>
              <w:pStyle w:val="TableContents"/>
              <w:bidi w:val="0"/>
              <w:spacing w:before="0" w:after="20"/>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425" w:type="dxa"/>
            <w:tcBorders>
              <w:bottom w:val="single" w:sz="8" w:space="0" w:color="0171B9"/>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57</w:t>
            </w:r>
          </w:p>
          <w:p>
            <w:pPr>
              <w:pStyle w:val="TableContents"/>
              <w:bidi w:val="0"/>
              <w:spacing w:before="0" w:after="20"/>
              <w:jc w:val="left"/>
              <w:rPr/>
            </w:pPr>
            <w:r>
              <w:rPr/>
              <w:t> </w:t>
            </w:r>
          </w:p>
        </w:tc>
        <w:tc>
          <w:tcPr>
            <w:tcW w:w="60" w:type="dxa"/>
            <w:tcBorders>
              <w:bottom w:val="single" w:sz="8" w:space="0" w:color="0171B9"/>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875" w:type="dxa"/>
            <w:tcBorders>
              <w:bottom w:val="single" w:sz="8" w:space="0" w:color="0171B9"/>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2020</w:t>
            </w:r>
          </w:p>
          <w:p>
            <w:pPr>
              <w:pStyle w:val="TableContents"/>
              <w:bidi w:val="0"/>
              <w:spacing w:before="0" w:after="20"/>
              <w:jc w:val="left"/>
              <w:rPr/>
            </w:pPr>
            <w:r>
              <w:rPr/>
              <w:t> </w:t>
            </w:r>
          </w:p>
        </w:tc>
        <w:tc>
          <w:tcPr>
            <w:tcW w:w="60" w:type="dxa"/>
            <w:tcBorders>
              <w:bottom w:val="single" w:sz="8" w:space="0" w:color="0171B9"/>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jc w:val="left"/>
              <w:rPr/>
            </w:pPr>
            <w:r>
              <w:rPr/>
              <w:t> </w:t>
            </w:r>
          </w:p>
          <w:p>
            <w:pPr>
              <w:pStyle w:val="TableContents"/>
              <w:bidi w:val="0"/>
              <w:spacing w:before="0" w:after="20"/>
              <w:jc w:val="left"/>
              <w:rPr/>
            </w:pPr>
            <w:r>
              <w:rPr/>
              <w:t> </w:t>
            </w:r>
          </w:p>
        </w:tc>
        <w:tc>
          <w:tcPr>
            <w:tcW w:w="605" w:type="dxa"/>
            <w:tcBorders>
              <w:bottom w:val="single" w:sz="8" w:space="0" w:color="0171B9"/>
            </w:tcBorders>
            <w:tcMar>
              <w:bottom w:w="28" w:type="dxa"/>
            </w:tcMar>
            <w:vAlign w:val="center"/>
          </w:tcPr>
          <w:p>
            <w:pPr>
              <w:pStyle w:val="TableContents"/>
              <w:bidi w:val="0"/>
              <w:jc w:val="center"/>
              <w:rPr/>
            </w:pPr>
            <w:r>
              <w:rPr/>
              <w:t>M</w:t>
            </w:r>
          </w:p>
          <w:p>
            <w:pPr>
              <w:pStyle w:val="TableContents"/>
              <w:bidi w:val="0"/>
              <w:spacing w:before="0" w:after="20"/>
              <w:jc w:val="left"/>
              <w:rPr/>
            </w:pPr>
            <w:r>
              <w:rPr/>
              <w:t> </w:t>
            </w:r>
          </w:p>
        </w:tc>
        <w:tc>
          <w:tcPr>
            <w:tcW w:w="60" w:type="dxa"/>
            <w:tcBorders>
              <w:bottom w:val="single" w:sz="8" w:space="0" w:color="0171B9"/>
            </w:tcBorders>
            <w:tcMar>
              <w:bottom w:w="28" w:type="dxa"/>
            </w:tcMar>
            <w:vAlign w:val="center"/>
          </w:tcPr>
          <w:p>
            <w:pPr>
              <w:pStyle w:val="TableContents"/>
              <w:bidi w:val="0"/>
              <w:jc w:val="left"/>
              <w:rPr/>
            </w:pPr>
            <w:r>
              <w:rPr/>
              <w:t> </w:t>
            </w:r>
          </w:p>
          <w:p>
            <w:pPr>
              <w:pStyle w:val="TableContents"/>
              <w:bidi w:val="0"/>
              <w:spacing w:before="0" w:after="20"/>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jc w:val="left"/>
              <w:rPr/>
            </w:pPr>
            <w:r>
              <w:rPr/>
              <w:t> </w:t>
            </w:r>
          </w:p>
          <w:p>
            <w:pPr>
              <w:pStyle w:val="TableContents"/>
              <w:bidi w:val="0"/>
              <w:spacing w:before="0" w:after="20"/>
              <w:jc w:val="left"/>
              <w:rPr/>
            </w:pPr>
            <w:r>
              <w:rPr/>
              <w:t> </w:t>
            </w:r>
          </w:p>
        </w:tc>
        <w:tc>
          <w:tcPr>
            <w:tcW w:w="1250" w:type="dxa"/>
            <w:tcBorders>
              <w:bottom w:val="single" w:sz="8" w:space="0" w:color="0171B9"/>
            </w:tcBorders>
            <w:tcMar>
              <w:bottom w:w="28" w:type="dxa"/>
            </w:tcMar>
            <w:vAlign w:val="center"/>
          </w:tcPr>
          <w:p>
            <w:pPr>
              <w:pStyle w:val="TableContents"/>
              <w:bidi w:val="0"/>
              <w:jc w:val="center"/>
              <w:rPr/>
            </w:pPr>
            <w:r>
              <w:rPr/>
              <w:t>M</w:t>
            </w:r>
          </w:p>
          <w:p>
            <w:pPr>
              <w:pStyle w:val="TableContents"/>
              <w:bidi w:val="0"/>
              <w:spacing w:before="0" w:after="20"/>
              <w:jc w:val="left"/>
              <w:rPr/>
            </w:pPr>
            <w:r>
              <w:rPr/>
              <w:t> </w:t>
            </w:r>
          </w:p>
        </w:tc>
        <w:tc>
          <w:tcPr>
            <w:tcW w:w="60" w:type="dxa"/>
            <w:tcBorders>
              <w:bottom w:val="single" w:sz="8" w:space="0" w:color="0171B9"/>
            </w:tcBorders>
            <w:tcMar>
              <w:bottom w:w="28" w:type="dxa"/>
            </w:tcMar>
            <w:vAlign w:val="center"/>
          </w:tcPr>
          <w:p>
            <w:pPr>
              <w:pStyle w:val="TableContents"/>
              <w:bidi w:val="0"/>
              <w:jc w:val="left"/>
              <w:rPr/>
            </w:pPr>
            <w:r>
              <w:rPr/>
              <w:t> </w:t>
            </w:r>
          </w:p>
          <w:p>
            <w:pPr>
              <w:pStyle w:val="TableContents"/>
              <w:bidi w:val="0"/>
              <w:spacing w:before="0" w:after="20"/>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1010" w:type="dxa"/>
            <w:tcBorders>
              <w:bottom w:val="single" w:sz="8" w:space="0" w:color="0171B9"/>
            </w:tcBorders>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1490" w:type="dxa"/>
            <w:tcBorders>
              <w:bottom w:val="single" w:sz="8" w:space="0" w:color="0171B9"/>
            </w:tcBorders>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710" w:type="dxa"/>
            <w:tcBorders>
              <w:bottom w:val="single" w:sz="8" w:space="0" w:color="0171B9"/>
            </w:tcBorders>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1235" w:type="dxa"/>
            <w:tcBorders>
              <w:bottom w:val="single" w:sz="8" w:space="0" w:color="0171B9"/>
            </w:tcBorders>
            <w:tcMar>
              <w:bottom w:w="28" w:type="dxa"/>
            </w:tcMar>
            <w:vAlign w:val="center"/>
          </w:tcPr>
          <w:p>
            <w:pPr>
              <w:pStyle w:val="TableContents"/>
              <w:bidi w:val="0"/>
              <w:spacing w:before="0" w:after="283"/>
              <w:jc w:val="left"/>
              <w:rPr/>
            </w:pPr>
            <w:r>
              <w:rPr/>
              <w:t> </w:t>
            </w:r>
          </w:p>
        </w:tc>
        <w:tc>
          <w:tcPr>
            <w:tcW w:w="75" w:type="dxa"/>
            <w:tcBorders>
              <w:bottom w:val="single" w:sz="8" w:space="0" w:color="0171B9"/>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2215" w:type="dxa"/>
        <w:jc w:val="left"/>
        <w:tblInd w:w="0" w:type="dxa"/>
        <w:tblLayout w:type="fixed"/>
        <w:tblCellMar>
          <w:top w:w="0" w:type="dxa"/>
          <w:left w:w="0" w:type="dxa"/>
          <w:bottom w:w="0" w:type="dxa"/>
          <w:right w:w="0" w:type="dxa"/>
        </w:tblCellMar>
      </w:tblPr>
      <w:tblGrid>
        <w:gridCol w:w="155"/>
        <w:gridCol w:w="2060"/>
      </w:tblGrid>
      <w:tr>
        <w:trPr/>
        <w:tc>
          <w:tcPr>
            <w:tcW w:w="155" w:type="dxa"/>
            <w:tcBorders/>
            <w:vAlign w:val="center"/>
          </w:tcPr>
          <w:p>
            <w:pPr>
              <w:pStyle w:val="TableContents"/>
              <w:bidi w:val="0"/>
              <w:spacing w:before="0" w:after="283"/>
              <w:jc w:val="left"/>
              <w:rPr/>
            </w:pPr>
            <w:r>
              <w:rPr/>
              <w:t>*</w:t>
            </w:r>
          </w:p>
        </w:tc>
        <w:tc>
          <w:tcPr>
            <w:tcW w:w="2060" w:type="dxa"/>
            <w:tcBorders/>
            <w:vAlign w:val="center"/>
          </w:tcPr>
          <w:p>
            <w:pPr>
              <w:pStyle w:val="TableContents"/>
              <w:bidi w:val="0"/>
              <w:spacing w:before="0" w:after="0"/>
              <w:jc w:val="both"/>
              <w:rPr>
                <w:rFonts w:ascii="arial" w:hAnsi="arial"/>
                <w:sz w:val="16"/>
              </w:rPr>
            </w:pPr>
            <w:r>
              <w:rPr>
                <w:rFonts w:ascii="arial" w:hAnsi="arial"/>
                <w:sz w:val="16"/>
              </w:rPr>
              <w:t xml:space="preserve">Lead Independent Director. </w:t>
            </w:r>
          </w:p>
        </w:tc>
      </w:tr>
    </w:tbl>
    <w:tbl>
      <w:tblPr>
        <w:tblW w:w="5395" w:type="dxa"/>
        <w:jc w:val="left"/>
        <w:tblInd w:w="0" w:type="dxa"/>
        <w:tblLayout w:type="fixed"/>
        <w:tblCellMar>
          <w:top w:w="0" w:type="dxa"/>
          <w:left w:w="0" w:type="dxa"/>
          <w:bottom w:w="0" w:type="dxa"/>
          <w:right w:w="0" w:type="dxa"/>
        </w:tblCellMar>
      </w:tblPr>
      <w:tblGrid>
        <w:gridCol w:w="410"/>
        <w:gridCol w:w="4985"/>
      </w:tblGrid>
      <w:tr>
        <w:trPr/>
        <w:tc>
          <w:tcPr>
            <w:tcW w:w="410" w:type="dxa"/>
            <w:tcBorders/>
            <w:vAlign w:val="center"/>
          </w:tcPr>
          <w:p>
            <w:pPr>
              <w:pStyle w:val="TableContents"/>
              <w:bidi w:val="0"/>
              <w:spacing w:before="0" w:after="283"/>
              <w:jc w:val="left"/>
              <w:rPr/>
            </w:pPr>
            <w:r>
              <w:rPr/>
              <w:t>“</w:t>
            </w:r>
            <w:r>
              <w:rPr/>
              <w:t>C”</w:t>
            </w:r>
          </w:p>
        </w:tc>
        <w:tc>
          <w:tcPr>
            <w:tcW w:w="4985" w:type="dxa"/>
            <w:tcBorders/>
            <w:vAlign w:val="center"/>
          </w:tcPr>
          <w:p>
            <w:pPr>
              <w:pStyle w:val="TableContents"/>
              <w:bidi w:val="0"/>
              <w:spacing w:before="0" w:after="0"/>
              <w:jc w:val="both"/>
              <w:rPr>
                <w:rFonts w:ascii="arial" w:hAnsi="arial"/>
                <w:sz w:val="16"/>
              </w:rPr>
            </w:pPr>
            <w:r>
              <w:rPr>
                <w:rFonts w:ascii="arial" w:hAnsi="arial"/>
                <w:sz w:val="16"/>
              </w:rPr>
              <w:t xml:space="preserve">Indicates current Chair of the committee, except as provided below. </w:t>
            </w:r>
          </w:p>
        </w:tc>
      </w:tr>
    </w:tbl>
    <w:tbl>
      <w:tblPr>
        <w:tblW w:w="5740" w:type="dxa"/>
        <w:jc w:val="left"/>
        <w:tblInd w:w="0" w:type="dxa"/>
        <w:tblLayout w:type="fixed"/>
        <w:tblCellMar>
          <w:top w:w="0" w:type="dxa"/>
          <w:left w:w="0" w:type="dxa"/>
          <w:bottom w:w="0" w:type="dxa"/>
          <w:right w:w="0" w:type="dxa"/>
        </w:tblCellMar>
      </w:tblPr>
      <w:tblGrid>
        <w:gridCol w:w="455"/>
        <w:gridCol w:w="5285"/>
      </w:tblGrid>
      <w:tr>
        <w:trPr/>
        <w:tc>
          <w:tcPr>
            <w:tcW w:w="455" w:type="dxa"/>
            <w:tcBorders/>
            <w:vAlign w:val="center"/>
          </w:tcPr>
          <w:p>
            <w:pPr>
              <w:pStyle w:val="TableContents"/>
              <w:bidi w:val="0"/>
              <w:spacing w:before="0" w:after="283"/>
              <w:jc w:val="left"/>
              <w:rPr/>
            </w:pPr>
            <w:r>
              <w:rPr/>
              <w:t>“</w:t>
            </w:r>
            <w:r>
              <w:rPr/>
              <w:t>M”</w:t>
            </w:r>
          </w:p>
        </w:tc>
        <w:tc>
          <w:tcPr>
            <w:tcW w:w="5285" w:type="dxa"/>
            <w:tcBorders/>
            <w:vAlign w:val="center"/>
          </w:tcPr>
          <w:p>
            <w:pPr>
              <w:pStyle w:val="TableContents"/>
              <w:bidi w:val="0"/>
              <w:spacing w:before="0" w:after="0"/>
              <w:jc w:val="both"/>
              <w:rPr>
                <w:rFonts w:ascii="arial" w:hAnsi="arial"/>
                <w:sz w:val="16"/>
              </w:rPr>
            </w:pPr>
            <w:r>
              <w:rPr>
                <w:rFonts w:ascii="arial" w:hAnsi="arial"/>
                <w:sz w:val="16"/>
              </w:rPr>
              <w:t xml:space="preserve">Indicates current members of the committee, except as provided below. </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(1) </w:t>
            </w:r>
          </w:p>
        </w:tc>
        <w:tc>
          <w:tcPr>
            <w:tcW w:w="9923" w:type="dxa"/>
            <w:tcBorders/>
            <w:vAlign w:val="center"/>
          </w:tcPr>
          <w:p>
            <w:pPr>
              <w:pStyle w:val="TableContents"/>
              <w:bidi w:val="0"/>
              <w:spacing w:before="0" w:after="0"/>
              <w:jc w:val="both"/>
              <w:rPr>
                <w:rFonts w:ascii="arial" w:hAnsi="arial"/>
                <w:sz w:val="16"/>
              </w:rPr>
            </w:pPr>
            <w:r>
              <w:rPr>
                <w:rFonts w:ascii="arial" w:hAnsi="arial"/>
                <w:sz w:val="16"/>
              </w:rPr>
              <w:t xml:space="preserve">Dr. Klotman is standing for initial election to the Board. Subject to her election to the Board by our stockholders at the Annual Meeting, it is anticipated that Dr. Klotman will be appointed to the Corporate Responsibility and Compliance Committee and the Governance and Nominating Committee, effective as of the Annual Meeting. </w:t>
            </w:r>
          </w:p>
        </w:tc>
      </w:tr>
    </w:tbl>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jc w:val="left"/>
              <w:rPr/>
            </w:pPr>
            <w:r>
              <w:rPr/>
              <w:t>(2) </w:t>
            </w:r>
          </w:p>
        </w:tc>
        <w:tc>
          <w:tcPr>
            <w:tcW w:w="9886" w:type="dxa"/>
            <w:tcBorders/>
            <w:vAlign w:val="center"/>
          </w:tcPr>
          <w:p>
            <w:pPr>
              <w:pStyle w:val="TableContents"/>
              <w:bidi w:val="0"/>
              <w:spacing w:before="0" w:after="0"/>
              <w:jc w:val="both"/>
              <w:rPr>
                <w:rFonts w:ascii="arial" w:hAnsi="arial"/>
                <w:sz w:val="16"/>
              </w:rPr>
            </w:pPr>
            <w:r>
              <w:rPr>
                <w:rFonts w:ascii="arial" w:hAnsi="arial"/>
                <w:sz w:val="16"/>
              </w:rPr>
              <w:t xml:space="preserve">Subject to her re-election to the Board by our stockholders at the Annual Meeting, Ms. Kullman will serve as Chair of the Corporate Responsibility and Compliance Committee, effective June 1, 2024. </w:t>
            </w:r>
          </w:p>
        </w:tc>
      </w:tr>
    </w:tbl>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2  </w:t>
      </w:r>
      <w:r>
        <w:rPr>
          <w:rFonts w:ascii="arial" w:hAnsi="arial"/>
          <w:b/>
          <w:color w:val="474747"/>
          <w:sz w:val="22"/>
        </w:rPr>
        <w:drawing>
          <wp:inline distT="0" distB="0" distL="0" distR="0">
            <wp:extent cx="64770" cy="15240"/>
            <wp:effectExtent l="0" t="0" r="0" b="0"/>
            <wp:docPr id="1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3" descr=""/>
                    <pic:cNvPicPr>
                      <a:picLocks noChangeAspect="1" noChangeArrowheads="1"/>
                    </pic:cNvPicPr>
                  </pic:nvPicPr>
                  <pic:blipFill>
                    <a:blip r:embed="rId14"/>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354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306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6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306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Proxy Statement Summary</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171B9"/>
          <w:sz w:val="28"/>
        </w:rPr>
      </w:pPr>
      <w:r>
        <w:rPr>
          <w:rFonts w:ascii="arial" w:hAnsi="arial"/>
          <w:b/>
          <w:color w:val="0171B9"/>
          <w:sz w:val="28"/>
        </w:rPr>
        <w:t xml:space="preserve">We Have Implemented Governance Best Practices </w:t>
      </w:r>
    </w:p>
    <w:p>
      <w:pPr>
        <w:pStyle w:val="TextBody"/>
        <w:pBdr>
          <w:bottom w:val="single" w:sz="2" w:space="1" w:color="666666"/>
        </w:pBdr>
        <w:bidi w:val="0"/>
        <w:spacing w:lineRule="atLeast" w:line="142" w:before="0" w:after="40"/>
        <w:jc w:val="left"/>
        <w:rPr/>
      </w:pPr>
      <w:r>
        <w:rPr/>
        <w:t> </w:t>
      </w:r>
    </w:p>
    <w:p>
      <w:pPr>
        <w:pStyle w:val="TextBody"/>
        <w:bidi w:val="0"/>
        <w:spacing w:before="160" w:after="0"/>
        <w:jc w:val="both"/>
        <w:rPr>
          <w:rFonts w:ascii="arial" w:hAnsi="arial"/>
          <w:sz w:val="19"/>
        </w:rPr>
      </w:pPr>
      <w:r>
        <w:rPr>
          <w:rFonts w:ascii="arial" w:hAnsi="arial"/>
          <w:sz w:val="19"/>
        </w:rPr>
        <w:t xml:space="preserve">We continuously monitor developments and best practices in corporate governance and consider stockholder feedback when enhancing our governance structures. Below are highlights of our key governance practices: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02"/>
        <w:gridCol w:w="120"/>
        <w:gridCol w:w="7883"/>
      </w:tblGrid>
      <w:tr>
        <w:trPr/>
        <w:tc>
          <w:tcPr>
            <w:tcW w:w="220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83" w:type="dxa"/>
            <w:tcBorders/>
            <w:vAlign w:val="center"/>
          </w:tcPr>
          <w:p>
            <w:pPr>
              <w:pStyle w:val="TableContents"/>
              <w:bidi w:val="0"/>
              <w:spacing w:before="0" w:after="283"/>
              <w:jc w:val="left"/>
              <w:rPr>
                <w:sz w:val="4"/>
                <w:szCs w:val="4"/>
              </w:rPr>
            </w:pPr>
            <w:r>
              <w:rPr>
                <w:sz w:val="4"/>
                <w:szCs w:val="4"/>
              </w:rPr>
            </w:r>
          </w:p>
        </w:tc>
      </w:tr>
      <w:tr>
        <w:trPr/>
        <w:tc>
          <w:tcPr>
            <w:tcW w:w="2202" w:type="dxa"/>
            <w:tcBorders/>
            <w:shd w:fill="0171B9"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914400" cy="1200150"/>
                  <wp:effectExtent l="0" t="0" r="0" b="0"/>
                  <wp:docPr id="1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4" descr=""/>
                          <pic:cNvPicPr>
                            <a:picLocks noChangeAspect="1" noChangeArrowheads="1"/>
                          </pic:cNvPicPr>
                        </pic:nvPicPr>
                        <pic:blipFill>
                          <a:blip r:embed="rId15"/>
                          <a:stretch>
                            <a:fillRect/>
                          </a:stretch>
                        </pic:blipFill>
                        <pic:spPr bwMode="auto">
                          <a:xfrm>
                            <a:off x="0" y="0"/>
                            <a:ext cx="914400" cy="1200150"/>
                          </a:xfrm>
                          <a:prstGeom prst="rect">
                            <a:avLst/>
                          </a:prstGeom>
                        </pic:spPr>
                      </pic:pic>
                    </a:graphicData>
                  </a:graphic>
                </wp:inline>
              </w:drawing>
            </w:r>
            <w:r>
              <w:rPr/>
              <w:t xml:space="preserve"> </w:t>
            </w:r>
          </w:p>
        </w:tc>
        <w:tc>
          <w:tcPr>
            <w:tcW w:w="120" w:type="dxa"/>
            <w:tcBorders>
              <w:top w:val="single" w:sz="6" w:space="0" w:color="0171B9"/>
            </w:tcBorders>
            <w:tcMar>
              <w:top w:w="28" w:type="dxa"/>
            </w:tcMar>
            <w:vAlign w:val="center"/>
          </w:tcPr>
          <w:p>
            <w:pPr>
              <w:pStyle w:val="TableContents"/>
              <w:bidi w:val="0"/>
              <w:spacing w:before="0" w:after="283"/>
              <w:jc w:val="left"/>
              <w:rPr/>
            </w:pPr>
            <w:r>
              <w:rPr/>
              <w:t>  </w:t>
            </w:r>
          </w:p>
        </w:tc>
        <w:tc>
          <w:tcPr>
            <w:tcW w:w="7883" w:type="dxa"/>
            <w:tcBorders>
              <w:top w:val="single" w:sz="6" w:space="0" w:color="0171B9"/>
              <w:right w:val="single" w:sz="6" w:space="0" w:color="0171B9"/>
            </w:tcBorders>
            <w:tcMar>
              <w:top w:w="28" w:type="dxa"/>
              <w:right w:w="40" w:type="dxa"/>
            </w:tcMar>
            <w:vAlign w:val="center"/>
          </w:tcPr>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 xml:space="preserve">Highly Independent Board – 11 of our 12 director nominees </w:t>
            </w:r>
            <w:r>
              <w:rPr>
                <w:rFonts w:ascii="arial" w:hAnsi="arial"/>
                <w:i/>
                <w:sz w:val="19"/>
              </w:rPr>
              <w:t>(page 33)</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 xml:space="preserve">Regular Executive Sessions of Independent Directors and Access to Management </w:t>
            </w:r>
            <w:r>
              <w:rPr>
                <w:rFonts w:ascii="arial" w:hAnsi="arial"/>
                <w:i/>
                <w:sz w:val="19"/>
              </w:rPr>
              <w:t>(pages 21, 24, and 32)</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 xml:space="preserve">All Directors Meet Our Board of Directors Guidelines for Director Qualifications and Evaluations </w:t>
            </w:r>
            <w:r>
              <w:rPr>
                <w:rFonts w:ascii="arial" w:hAnsi="arial"/>
                <w:i/>
                <w:sz w:val="19"/>
              </w:rPr>
              <w:t>(Appendix A)</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 xml:space="preserve">Robust Lead Independent Director Role </w:t>
            </w:r>
            <w:r>
              <w:rPr>
                <w:rFonts w:ascii="arial" w:hAnsi="arial"/>
                <w:i/>
                <w:sz w:val="19"/>
              </w:rPr>
              <w:t>(pages 23-25)</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 xml:space="preserve">Limitation on Number of Other Boards </w:t>
            </w:r>
            <w:r>
              <w:rPr>
                <w:rFonts w:ascii="arial" w:hAnsi="arial"/>
                <w:i/>
                <w:sz w:val="19"/>
              </w:rPr>
              <w:t>(page 22)</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 xml:space="preserve">Annual Review of Director Commitment Levels </w:t>
            </w:r>
            <w:r>
              <w:rPr>
                <w:rFonts w:ascii="arial" w:hAnsi="arial"/>
                <w:i/>
                <w:sz w:val="19"/>
              </w:rPr>
              <w:t>(page 22)</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 xml:space="preserve">Corporate Responsibility and Compliance Committee </w:t>
            </w:r>
            <w:r>
              <w:rPr>
                <w:rFonts w:ascii="arial" w:hAnsi="arial"/>
                <w:i/>
                <w:sz w:val="19"/>
              </w:rPr>
              <w:t>(page 35)</w:t>
            </w:r>
          </w:p>
          <w:p>
            <w:pPr>
              <w:pStyle w:val="TableContents"/>
              <w:bidi w:val="0"/>
              <w:spacing w:before="0" w:after="0"/>
              <w:jc w:val="left"/>
              <w:rPr/>
            </w:pPr>
            <w:r>
              <w:rPr/>
              <w:t> </w:t>
            </w:r>
          </w:p>
          <w:p>
            <w:pPr>
              <w:pStyle w:val="TableContents"/>
              <w:bidi w:val="0"/>
              <w:spacing w:before="0" w:after="20"/>
              <w:jc w:val="both"/>
              <w:rPr/>
            </w:pPr>
            <w:r>
              <w:rPr>
                <w:color w:val="0171B9"/>
              </w:rPr>
              <w:t>✓</w:t>
            </w:r>
            <w:r>
              <w:rPr/>
              <w:t> </w:t>
            </w:r>
            <w:r>
              <w:rPr>
                <w:rFonts w:ascii="arial" w:hAnsi="arial"/>
                <w:sz w:val="19"/>
              </w:rPr>
              <w:t xml:space="preserve">Enterprise Risk Management Program and Annual Compensation Risk Analysis – overseen by Board and Compensation and Management Development Committee, respectively </w:t>
            </w:r>
            <w:r>
              <w:rPr>
                <w:rFonts w:ascii="arial" w:hAnsi="arial"/>
                <w:i/>
                <w:sz w:val="19"/>
              </w:rPr>
              <w:t>(pages 25-26 and 44-45)</w:t>
            </w:r>
          </w:p>
        </w:tc>
      </w:tr>
      <w:tr>
        <w:trPr/>
        <w:tc>
          <w:tcPr>
            <w:tcW w:w="2202" w:type="dxa"/>
            <w:tcBorders>
              <w:top w:val="single" w:sz="6" w:space="0" w:color="FFFFFF"/>
              <w:bottom w:val="single" w:sz="6" w:space="0" w:color="FFFFFF"/>
            </w:tcBorders>
            <w:shd w:fill="0171B9" w:val="clear"/>
            <w:tcMar>
              <w:top w:w="28" w:type="dxa"/>
              <w:bottom w:w="28" w:type="dxa"/>
            </w:tcM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381125" cy="1152525"/>
                  <wp:effectExtent l="0" t="0" r="0" b="0"/>
                  <wp:docPr id="1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5" descr=""/>
                          <pic:cNvPicPr>
                            <a:picLocks noChangeAspect="1" noChangeArrowheads="1"/>
                          </pic:cNvPicPr>
                        </pic:nvPicPr>
                        <pic:blipFill>
                          <a:blip r:embed="rId16"/>
                          <a:stretch>
                            <a:fillRect/>
                          </a:stretch>
                        </pic:blipFill>
                        <pic:spPr bwMode="auto">
                          <a:xfrm>
                            <a:off x="0" y="0"/>
                            <a:ext cx="1381125" cy="1152525"/>
                          </a:xfrm>
                          <a:prstGeom prst="rect">
                            <a:avLst/>
                          </a:prstGeom>
                        </pic:spPr>
                      </pic:pic>
                    </a:graphicData>
                  </a:graphic>
                </wp:inline>
              </w:drawing>
            </w:r>
            <w:r>
              <w:rPr/>
              <w:t xml:space="preserve"> </w:t>
            </w:r>
          </w:p>
        </w:tc>
        <w:tc>
          <w:tcPr>
            <w:tcW w:w="120" w:type="dxa"/>
            <w:tcBorders>
              <w:top w:val="single" w:sz="6" w:space="0" w:color="0171B9"/>
              <w:bottom w:val="single" w:sz="6" w:space="0" w:color="0171B9"/>
            </w:tcBorders>
            <w:tcMar>
              <w:top w:w="28" w:type="dxa"/>
              <w:bottom w:w="28" w:type="dxa"/>
            </w:tcMar>
            <w:vAlign w:val="center"/>
          </w:tcPr>
          <w:p>
            <w:pPr>
              <w:pStyle w:val="TableContents"/>
              <w:bidi w:val="0"/>
              <w:spacing w:before="0" w:after="283"/>
              <w:jc w:val="left"/>
              <w:rPr/>
            </w:pPr>
            <w:r>
              <w:rPr/>
              <w:t>  </w:t>
            </w:r>
          </w:p>
        </w:tc>
        <w:tc>
          <w:tcPr>
            <w:tcW w:w="7883" w:type="dxa"/>
            <w:tcBorders>
              <w:top w:val="single" w:sz="6" w:space="0" w:color="0171B9"/>
              <w:bottom w:val="single" w:sz="6" w:space="0" w:color="0171B9"/>
              <w:right w:val="single" w:sz="6" w:space="0" w:color="0171B9"/>
            </w:tcBorders>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 xml:space="preserve">Continuous Refreshment Practices </w:t>
            </w:r>
            <w:r>
              <w:rPr>
                <w:rFonts w:ascii="arial" w:hAnsi="arial"/>
                <w:i/>
                <w:sz w:val="19"/>
              </w:rPr>
              <w:t>(pages 22, 29-31)</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4 Women and 3 Racially/Ethnically Diverse Director Nominees</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Average Board Tenure of Approximately 6.3 Years for Our Director Nominees</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Annual Election of Directors</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 xml:space="preserve">Annual Anonymous Board and Committee Evaluation Process </w:t>
            </w:r>
            <w:r>
              <w:rPr>
                <w:rFonts w:ascii="arial" w:hAnsi="arial"/>
                <w:i/>
                <w:sz w:val="19"/>
              </w:rPr>
              <w:t>(pages 21 and 32-33)</w:t>
            </w:r>
          </w:p>
          <w:p>
            <w:pPr>
              <w:pStyle w:val="TableContents"/>
              <w:bidi w:val="0"/>
              <w:spacing w:before="0" w:after="20"/>
              <w:jc w:val="left"/>
              <w:rPr/>
            </w:pPr>
            <w:r>
              <w:rPr/>
              <w:t> </w:t>
            </w:r>
          </w:p>
        </w:tc>
      </w:tr>
      <w:tr>
        <w:trPr/>
        <w:tc>
          <w:tcPr>
            <w:tcW w:w="2202" w:type="dxa"/>
            <w:tcBorders>
              <w:bottom w:val="single" w:sz="6" w:space="0" w:color="FFFFFF"/>
            </w:tcBorders>
            <w:shd w:fill="0171B9"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104900" cy="923925"/>
                  <wp:effectExtent l="0" t="0" r="0" b="0"/>
                  <wp:docPr id="1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 descr=""/>
                          <pic:cNvPicPr>
                            <a:picLocks noChangeAspect="1" noChangeArrowheads="1"/>
                          </pic:cNvPicPr>
                        </pic:nvPicPr>
                        <pic:blipFill>
                          <a:blip r:embed="rId17"/>
                          <a:stretch>
                            <a:fillRect/>
                          </a:stretch>
                        </pic:blipFill>
                        <pic:spPr bwMode="auto">
                          <a:xfrm>
                            <a:off x="0" y="0"/>
                            <a:ext cx="1104900" cy="923925"/>
                          </a:xfrm>
                          <a:prstGeom prst="rect">
                            <a:avLst/>
                          </a:prstGeom>
                        </pic:spPr>
                      </pic:pic>
                    </a:graphicData>
                  </a:graphic>
                </wp:inline>
              </w:drawing>
            </w:r>
            <w:r>
              <w:rPr/>
              <w:t xml:space="preserve"> </w:t>
            </w:r>
          </w:p>
        </w:tc>
        <w:tc>
          <w:tcPr>
            <w:tcW w:w="120" w:type="dxa"/>
            <w:tcBorders>
              <w:bottom w:val="single" w:sz="6" w:space="0" w:color="0171B9"/>
            </w:tcBorders>
            <w:tcMar>
              <w:bottom w:w="28" w:type="dxa"/>
            </w:tcMar>
            <w:vAlign w:val="center"/>
          </w:tcPr>
          <w:p>
            <w:pPr>
              <w:pStyle w:val="TableContents"/>
              <w:bidi w:val="0"/>
              <w:spacing w:before="0" w:after="283"/>
              <w:jc w:val="left"/>
              <w:rPr/>
            </w:pPr>
            <w:r>
              <w:rPr/>
              <w:t>  </w:t>
            </w:r>
          </w:p>
        </w:tc>
        <w:tc>
          <w:tcPr>
            <w:tcW w:w="7883" w:type="dxa"/>
            <w:tcBorders>
              <w:bottom w:val="single" w:sz="6" w:space="0" w:color="0171B9"/>
              <w:right w:val="single" w:sz="6" w:space="0" w:color="0171B9"/>
            </w:tcBorders>
            <w:tcMar>
              <w:bottom w:w="28" w:type="dxa"/>
              <w:right w:w="40" w:type="dxa"/>
            </w:tcMar>
            <w:vAlign w:val="center"/>
          </w:tcPr>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 xml:space="preserve">Single Class of Shares – One share equals one vote </w:t>
            </w:r>
            <w:r>
              <w:rPr>
                <w:rFonts w:ascii="arial" w:hAnsi="arial"/>
                <w:i/>
                <w:sz w:val="19"/>
              </w:rPr>
              <w:t>(page 22)</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 xml:space="preserve">Proxy Access – Up to 20 eligible stockholders who own 3% of shares for 3 years who meet the requirements set forth in our Bylaws may have their director nominees constituting up to the greater of 20% of the total directors or two nominees included in our proxy materials </w:t>
            </w:r>
            <w:r>
              <w:rPr>
                <w:rFonts w:ascii="arial" w:hAnsi="arial"/>
                <w:i/>
                <w:sz w:val="19"/>
              </w:rPr>
              <w:t>(pages 23 and 133)</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 xml:space="preserve">Majority Voting Standard for Director Elections </w:t>
            </w:r>
            <w:r>
              <w:rPr>
                <w:rFonts w:ascii="arial" w:hAnsi="arial"/>
                <w:i/>
                <w:sz w:val="19"/>
              </w:rPr>
              <w:t>(pages 22 and 131)</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 xml:space="preserve">Stockholders(1) May Act By Written Consent </w:t>
            </w:r>
            <w:r>
              <w:rPr>
                <w:rFonts w:ascii="arial" w:hAnsi="arial"/>
                <w:i/>
                <w:sz w:val="19"/>
              </w:rPr>
              <w:t>(page 23)</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 xml:space="preserve">Stockholders(1) Have a Right to Call Special Meetings (15% threshold requirement) </w:t>
            </w:r>
            <w:r>
              <w:rPr>
                <w:rFonts w:ascii="arial" w:hAnsi="arial"/>
                <w:i/>
                <w:sz w:val="19"/>
              </w:rPr>
              <w:t>(page 23)</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 xml:space="preserve">No Supermajority Vote Provisions in Certificate of Incorporation or Bylaws </w:t>
            </w:r>
            <w:r>
              <w:rPr>
                <w:rFonts w:ascii="arial" w:hAnsi="arial"/>
                <w:i/>
                <w:sz w:val="19"/>
              </w:rPr>
              <w:t>(page 23)</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 xml:space="preserve">No Poison Pill </w:t>
            </w:r>
            <w:r>
              <w:rPr>
                <w:rFonts w:ascii="arial" w:hAnsi="arial"/>
                <w:i/>
                <w:sz w:val="19"/>
              </w:rPr>
              <w:t>(page 23)</w:t>
            </w:r>
          </w:p>
          <w:p>
            <w:pPr>
              <w:pStyle w:val="TableContents"/>
              <w:bidi w:val="0"/>
              <w:spacing w:before="0" w:after="20"/>
              <w:jc w:val="left"/>
              <w:rPr/>
            </w:pPr>
            <w:r>
              <w:rPr/>
              <w:t> </w:t>
            </w:r>
          </w:p>
        </w:tc>
      </w:tr>
      <w:tr>
        <w:trPr/>
        <w:tc>
          <w:tcPr>
            <w:tcW w:w="2202" w:type="dxa"/>
            <w:tcBorders/>
            <w:shd w:fill="0171B9" w:val="cle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095375" cy="1047750"/>
                  <wp:effectExtent l="0" t="0" r="0" b="0"/>
                  <wp:docPr id="1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7" descr=""/>
                          <pic:cNvPicPr>
                            <a:picLocks noChangeAspect="1" noChangeArrowheads="1"/>
                          </pic:cNvPicPr>
                        </pic:nvPicPr>
                        <pic:blipFill>
                          <a:blip r:embed="rId18"/>
                          <a:stretch>
                            <a:fillRect/>
                          </a:stretch>
                        </pic:blipFill>
                        <pic:spPr bwMode="auto">
                          <a:xfrm>
                            <a:off x="0" y="0"/>
                            <a:ext cx="1095375" cy="1047750"/>
                          </a:xfrm>
                          <a:prstGeom prst="rect">
                            <a:avLst/>
                          </a:prstGeom>
                        </pic:spPr>
                      </pic:pic>
                    </a:graphicData>
                  </a:graphic>
                </wp:inline>
              </w:drawing>
            </w:r>
            <w:r>
              <w:rPr/>
              <w:t xml:space="preserve"> </w:t>
            </w:r>
          </w:p>
        </w:tc>
        <w:tc>
          <w:tcPr>
            <w:tcW w:w="120" w:type="dxa"/>
            <w:tcBorders>
              <w:bottom w:val="single" w:sz="6" w:space="0" w:color="0171B9"/>
            </w:tcBorders>
            <w:tcMar>
              <w:bottom w:w="28" w:type="dxa"/>
            </w:tcMar>
            <w:vAlign w:val="center"/>
          </w:tcPr>
          <w:p>
            <w:pPr>
              <w:pStyle w:val="TableContents"/>
              <w:bidi w:val="0"/>
              <w:spacing w:before="0" w:after="283"/>
              <w:jc w:val="left"/>
              <w:rPr/>
            </w:pPr>
            <w:r>
              <w:rPr/>
              <w:t>  </w:t>
            </w:r>
          </w:p>
        </w:tc>
        <w:tc>
          <w:tcPr>
            <w:tcW w:w="7883" w:type="dxa"/>
            <w:tcBorders>
              <w:bottom w:val="single" w:sz="6" w:space="0" w:color="0171B9"/>
              <w:right w:val="single" w:sz="6" w:space="0" w:color="0171B9"/>
            </w:tcBorders>
            <w:tcMar>
              <w:bottom w:w="28" w:type="dxa"/>
              <w:right w:w="40" w:type="dxa"/>
            </w:tcMar>
            <w:vAlign w:val="center"/>
          </w:tcPr>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 xml:space="preserve">Regular Engagement With Stockholders to Seek Feedback </w:t>
            </w:r>
            <w:r>
              <w:rPr>
                <w:rFonts w:ascii="arial" w:hAnsi="arial"/>
                <w:i/>
                <w:sz w:val="19"/>
              </w:rPr>
              <w:t>(pages 22 and 60-61)</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 xml:space="preserve">Our Approach to Environmental Sustainability, Social Responsibility, and Corporate Governance (ESG), Has Delivered Environmentally Responsible Operations with Reduced Costs and Increased Efficiencies, Improved Patient Access to Medicines, Provided High Quality, Free Science Education Resources, and Benefited the Communities Where We Live and Work </w:t>
            </w:r>
            <w:r>
              <w:rPr>
                <w:rFonts w:ascii="arial" w:hAnsi="arial"/>
                <w:i/>
                <w:sz w:val="19"/>
              </w:rPr>
              <w:t>(pages 36-41)</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 xml:space="preserve">Significant Stock Ownership Requirements for Officers and Directors </w:t>
            </w:r>
            <w:r>
              <w:rPr>
                <w:rFonts w:ascii="arial" w:hAnsi="arial"/>
                <w:i/>
                <w:sz w:val="19"/>
              </w:rPr>
              <w:t>(pages 44, 53, 78-79, and 103-104)</w:t>
            </w:r>
          </w:p>
          <w:p>
            <w:pPr>
              <w:pStyle w:val="TableContents"/>
              <w:bidi w:val="0"/>
              <w:spacing w:before="0" w:after="20"/>
              <w:jc w:val="left"/>
              <w:rPr/>
            </w:pPr>
            <w:r>
              <w:rPr/>
              <w:t> </w:t>
            </w:r>
          </w:p>
        </w:tc>
      </w:tr>
    </w:tbl>
    <w:p>
      <w:pPr>
        <w:pStyle w:val="TextBody"/>
        <w:bidi w:val="0"/>
        <w:spacing w:before="0" w:after="0"/>
        <w:jc w:val="left"/>
        <w:rPr/>
      </w:pPr>
      <w:r>
        <w:rPr/>
        <w:t> </w:t>
      </w:r>
    </w:p>
    <w:tbl>
      <w:tblPr>
        <w:tblW w:w="7926" w:type="dxa"/>
        <w:jc w:val="left"/>
        <w:tblInd w:w="0" w:type="dxa"/>
        <w:tblLayout w:type="fixed"/>
        <w:tblCellMar>
          <w:top w:w="0" w:type="dxa"/>
          <w:left w:w="0" w:type="dxa"/>
          <w:bottom w:w="0" w:type="dxa"/>
          <w:right w:w="0" w:type="dxa"/>
        </w:tblCellMar>
      </w:tblPr>
      <w:tblGrid>
        <w:gridCol w:w="38"/>
        <w:gridCol w:w="60"/>
        <w:gridCol w:w="7670"/>
        <w:gridCol w:w="12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70" w:type="dxa"/>
            <w:tcBorders/>
            <w:vAlign w:val="center"/>
          </w:tcPr>
          <w:p>
            <w:pPr>
              <w:pStyle w:val="TableContents"/>
              <w:pBdr>
                <w:bottom w:val="single" w:sz="8" w:space="1" w:color="0171B9"/>
              </w:pBdr>
              <w:bidi w:val="0"/>
              <w:spacing w:lineRule="atLeast" w:line="142" w:before="0" w:after="4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rFonts w:ascii="arial" w:hAnsi="arial"/>
                <w:b/>
                <w:i/>
                <w:color w:val="0171B9"/>
                <w:sz w:val="23"/>
              </w:rPr>
            </w:pPr>
            <w:r>
              <w:rPr>
                <w:rFonts w:ascii="arial" w:hAnsi="arial"/>
                <w:b/>
                <w:i/>
                <w:color w:val="0171B9"/>
                <w:sz w:val="23"/>
              </w:rPr>
              <w:t xml:space="preserve">THE BOARD OF DIRECTORS RECOMMENDS A VOTE “FOR” EACH OF </w:t>
            </w:r>
          </w:p>
          <w:p>
            <w:pPr>
              <w:pStyle w:val="TableContents"/>
              <w:bidi w:val="0"/>
              <w:spacing w:before="0" w:after="0"/>
              <w:jc w:val="center"/>
              <w:rPr>
                <w:rFonts w:ascii="arial" w:hAnsi="arial"/>
                <w:b/>
                <w:i/>
                <w:color w:val="0171B9"/>
                <w:sz w:val="23"/>
              </w:rPr>
            </w:pPr>
            <w:r>
              <w:rPr>
                <w:rFonts w:ascii="arial" w:hAnsi="arial"/>
                <w:b/>
                <w:i/>
                <w:color w:val="0171B9"/>
                <w:sz w:val="23"/>
              </w:rPr>
              <w:t>THE 12 NOMINEES TO THE BOARD OF DIRECTORS.</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70" w:type="dxa"/>
            <w:tcBorders/>
            <w:vAlign w:val="center"/>
          </w:tcPr>
          <w:p>
            <w:pPr>
              <w:pStyle w:val="TableContents"/>
              <w:pBdr>
                <w:bottom w:val="single" w:sz="8" w:space="1" w:color="0171B9"/>
              </w:pBdr>
              <w:bidi w:val="0"/>
              <w:spacing w:lineRule="atLeast" w:line="142" w:before="0" w:after="40"/>
              <w:jc w:val="left"/>
              <w:rPr/>
            </w:pPr>
            <w:r>
              <w:rPr/>
              <w:t>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tbl>
      <w:tblPr>
        <w:tblW w:w="10105" w:type="dxa"/>
        <w:jc w:val="left"/>
        <w:tblInd w:w="0" w:type="dxa"/>
        <w:tblLayout w:type="fixed"/>
        <w:tblCellMar>
          <w:top w:w="0" w:type="dxa"/>
          <w:left w:w="0" w:type="dxa"/>
          <w:bottom w:w="0" w:type="dxa"/>
          <w:right w:w="0" w:type="dxa"/>
        </w:tblCellMar>
      </w:tblPr>
      <w:tblGrid>
        <w:gridCol w:w="365"/>
        <w:gridCol w:w="9740"/>
      </w:tblGrid>
      <w:tr>
        <w:trPr/>
        <w:tc>
          <w:tcPr>
            <w:tcW w:w="365" w:type="dxa"/>
            <w:tcBorders/>
            <w:vAlign w:val="center"/>
          </w:tcPr>
          <w:p>
            <w:pPr>
              <w:pStyle w:val="TableContents"/>
              <w:bidi w:val="0"/>
              <w:spacing w:before="0" w:after="283"/>
              <w:jc w:val="left"/>
              <w:rPr/>
            </w:pPr>
            <w:r>
              <w:rPr/>
              <w:t>(1) </w:t>
            </w:r>
          </w:p>
        </w:tc>
        <w:tc>
          <w:tcPr>
            <w:tcW w:w="9740" w:type="dxa"/>
            <w:tcBorders/>
            <w:vAlign w:val="center"/>
          </w:tcPr>
          <w:p>
            <w:pPr>
              <w:pStyle w:val="TableContents"/>
              <w:bidi w:val="0"/>
              <w:spacing w:before="0" w:after="0"/>
              <w:jc w:val="both"/>
              <w:rPr>
                <w:rFonts w:ascii="arial" w:hAnsi="arial"/>
                <w:sz w:val="16"/>
              </w:rPr>
            </w:pPr>
            <w:r>
              <w:rPr>
                <w:rFonts w:ascii="arial" w:hAnsi="arial"/>
                <w:sz w:val="16"/>
              </w:rPr>
              <w:t xml:space="preserve">Who meet the requirements set forth in our Restated Certificate of Incorporation or our Amended and Restated Bylaws, as applicable. </w:t>
            </w:r>
          </w:p>
        </w:tc>
      </w:tr>
    </w:tbl>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2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8" descr=""/>
                    <pic:cNvPicPr>
                      <a:picLocks noChangeAspect="1" noChangeArrowheads="1"/>
                    </pic:cNvPicPr>
                  </pic:nvPicPr>
                  <pic:blipFill>
                    <a:blip r:embed="rId19"/>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3</w:t>
      </w:r>
      <w:r>
        <w:rPr>
          <w:rFonts w:ascii="arial" w:hAnsi="arial"/>
          <w:b/>
          <w:sz w:val="22"/>
        </w:rPr>
        <w:t xml:space="preserve"> </w:t>
      </w:r>
      <w:r>
        <w:br w:type="page"/>
      </w:r>
    </w:p>
    <w:p>
      <w:pPr>
        <w:pStyle w:val="HorizontalLine"/>
        <w:bidi w:val="0"/>
        <w:jc w:val="left"/>
        <w:rPr/>
      </w:pPr>
      <w:r>
        <w:rPr/>
      </w:r>
    </w:p>
    <w:tbl>
      <w:tblPr>
        <w:tblW w:w="354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306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6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306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Proxy Statement Summary</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171B9"/>
          <w:sz w:val="40"/>
        </w:rPr>
      </w:pPr>
      <w:r>
        <w:rPr>
          <w:rFonts w:ascii="arial" w:hAnsi="arial"/>
          <w:b/>
          <w:color w:val="0171B9"/>
          <w:sz w:val="40"/>
        </w:rPr>
        <w:t xml:space="preserve">Item 2: Advisory Vote to Approve Our Executive Compensation (Page 47) </w:t>
      </w:r>
    </w:p>
    <w:p>
      <w:pPr>
        <w:pStyle w:val="TextBody"/>
        <w:pBdr>
          <w:bottom w:val="single" w:sz="2" w:space="1" w:color="666666"/>
        </w:pBdr>
        <w:bidi w:val="0"/>
        <w:spacing w:lineRule="atLeast" w:line="142" w:before="0" w:after="40"/>
        <w:jc w:val="left"/>
        <w:rPr/>
      </w:pPr>
      <w:r>
        <w:rPr/>
        <w:t> </w:t>
      </w:r>
    </w:p>
    <w:p>
      <w:pPr>
        <w:pStyle w:val="TextBody"/>
        <w:bidi w:val="0"/>
        <w:spacing w:before="120" w:after="0"/>
        <w:jc w:val="left"/>
        <w:rPr>
          <w:rFonts w:ascii="arial" w:hAnsi="arial"/>
          <w:sz w:val="22"/>
        </w:rPr>
      </w:pPr>
      <w:r>
        <w:rPr>
          <w:rFonts w:ascii="arial" w:hAnsi="arial"/>
          <w:sz w:val="22"/>
        </w:rPr>
        <w:t xml:space="preserve">Our executive compensation program is designed to reward and drive long-term performance. </w:t>
      </w:r>
    </w:p>
    <w:p>
      <w:pPr>
        <w:pStyle w:val="TextBody"/>
        <w:bidi w:val="0"/>
        <w:spacing w:before="240" w:after="0"/>
        <w:jc w:val="left"/>
        <w:rPr>
          <w:rFonts w:ascii="arial" w:hAnsi="arial"/>
          <w:b/>
          <w:color w:val="0171B9"/>
          <w:sz w:val="28"/>
        </w:rPr>
      </w:pPr>
      <w:r>
        <w:rPr>
          <w:rFonts w:ascii="arial" w:hAnsi="arial"/>
          <w:b/>
          <w:color w:val="0171B9"/>
          <w:sz w:val="28"/>
        </w:rPr>
        <w:t xml:space="preserve">2023 Business Highlights </w:t>
      </w:r>
    </w:p>
    <w:p>
      <w:pPr>
        <w:pStyle w:val="TextBody"/>
        <w:pBdr>
          <w:bottom w:val="single" w:sz="2" w:space="1" w:color="666666"/>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48">
                <wp:simplePos x="0" y="0"/>
                <wp:positionH relativeFrom="column">
                  <wp:align>left</wp:align>
                </wp:positionH>
                <wp:positionV relativeFrom="line">
                  <wp:posOffset>635</wp:posOffset>
                </wp:positionV>
                <wp:extent cx="3110230" cy="553720"/>
                <wp:effectExtent l="0" t="0" r="0" b="0"/>
                <wp:wrapSquare wrapText="right"/>
                <wp:docPr id="21" name="Frame3"/>
                <a:graphic xmlns:a="http://schemas.openxmlformats.org/drawingml/2006/main">
                  <a:graphicData uri="http://schemas.microsoft.com/office/word/2010/wordprocessingShape">
                    <wps:wsp>
                      <wps:cNvSpPr txBox="1"/>
                      <wps:spPr>
                        <a:xfrm>
                          <a:off x="0" y="0"/>
                          <a:ext cx="3110230" cy="55372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Our strategy includes integrated activities intended to strengthen our competitive position in the industry. We delivered strong performance in 2023, advanced our innovative pipeline, entered into strategic transactions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3.6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Our strategy includes integrated activities intended to strengthen our competitive position in the industry. We delivered strong performance in 2023, advanced our innovative pipeline, entered into strategic transactions </w:t>
                      </w:r>
                    </w:p>
                  </w:txbxContent>
                </v:textbox>
                <w10:wrap type="square" side="right"/>
              </v:rect>
            </w:pict>
          </mc:Fallback>
        </mc:AlternateContent>
      </w:r>
      <w:r>
        <mc:AlternateContent>
          <mc:Choice Requires="wps">
            <w:drawing>
              <wp:anchor behindDoc="0" distT="0" distB="0" distL="0" distR="0" simplePos="0" locked="0" layoutInCell="1" allowOverlap="1" relativeHeight="249">
                <wp:simplePos x="0" y="0"/>
                <wp:positionH relativeFrom="column">
                  <wp:align>left</wp:align>
                </wp:positionH>
                <wp:positionV relativeFrom="line">
                  <wp:posOffset>635</wp:posOffset>
                </wp:positionV>
                <wp:extent cx="3175000" cy="415290"/>
                <wp:effectExtent l="0" t="0" r="0" b="0"/>
                <wp:wrapSquare wrapText="right"/>
                <wp:docPr id="22" name="Frame4"/>
                <a:graphic xmlns:a="http://schemas.openxmlformats.org/drawingml/2006/main">
                  <a:graphicData uri="http://schemas.microsoft.com/office/word/2010/wordprocessingShape">
                    <wps:wsp>
                      <wps:cNvSpPr txBox="1"/>
                      <wps:spPr>
                        <a:xfrm>
                          <a:off x="0" y="0"/>
                          <a:ext cx="3175000" cy="41529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to augment our pipeline and our commercial portfolio, and continued to provide uninterrupted supply of our medicines globally.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2.7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to augment our pipeline and our commercial portfolio, and continued to provide uninterrupted supply of our medicines globally.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b/>
          <w:color w:val="0171B9"/>
          <w:sz w:val="22"/>
        </w:rPr>
      </w:pPr>
      <w:r>
        <w:rPr>
          <w:rFonts w:ascii="arial" w:hAnsi="arial"/>
          <w:b/>
          <w:color w:val="0171B9"/>
          <w:sz w:val="22"/>
        </w:rPr>
        <w:t xml:space="preserve">Completed Horizon Therapeutics Acquisition Establishing Fourth Therapeutic Pillar </w:t>
      </w:r>
    </w:p>
    <w:p>
      <w:pPr>
        <w:pStyle w:val="TextBody"/>
        <w:bidi w:val="0"/>
        <w:spacing w:before="120" w:after="0"/>
        <w:jc w:val="both"/>
        <w:rPr>
          <w:rFonts w:ascii="arial" w:hAnsi="arial"/>
          <w:sz w:val="19"/>
        </w:rPr>
      </w:pPr>
      <w:r>
        <w:rPr>
          <w:rFonts w:ascii="arial" w:hAnsi="arial"/>
          <w:sz w:val="19"/>
        </w:rPr>
        <w:t xml:space="preserve">In October 2023, we completed our $27.8 billion acquisition of </w:t>
      </w:r>
      <w:r>
        <w:rPr>
          <w:rFonts w:ascii="arial" w:hAnsi="arial"/>
          <w:b/>
          <w:color w:val="0171B9"/>
          <w:sz w:val="19"/>
        </w:rPr>
        <w:t>Horizon Therapeutics plc</w:t>
      </w:r>
      <w:r>
        <w:rPr>
          <w:rFonts w:ascii="arial" w:hAnsi="arial"/>
          <w:sz w:val="19"/>
        </w:rPr>
        <w:t xml:space="preserve">. This strategic acquisition brings first-in-class and/or best-in-class innovative medicines that address rare autoimmune diseases, including </w:t>
      </w:r>
      <w:r>
        <w:rPr>
          <w:rFonts w:ascii="arial" w:hAnsi="arial"/>
          <w:b/>
          <w:color w:val="0171B9"/>
          <w:sz w:val="19"/>
        </w:rPr>
        <w:t>TEPEZZA®</w:t>
      </w:r>
      <w:r>
        <w:rPr>
          <w:rFonts w:ascii="arial" w:hAnsi="arial"/>
          <w:sz w:val="19"/>
        </w:rPr>
        <w:t xml:space="preserve"> (for thyroid eye disease), </w:t>
      </w:r>
      <w:r>
        <w:rPr>
          <w:rFonts w:ascii="arial" w:hAnsi="arial"/>
          <w:b/>
          <w:color w:val="0171B9"/>
          <w:sz w:val="19"/>
        </w:rPr>
        <w:t>KRYSTEXXA®</w:t>
      </w:r>
      <w:r>
        <w:rPr>
          <w:rFonts w:ascii="arial" w:hAnsi="arial"/>
          <w:sz w:val="19"/>
        </w:rPr>
        <w:t xml:space="preserve"> (for uncontrolled gout), and </w:t>
      </w:r>
      <w:r>
        <w:rPr>
          <w:rFonts w:ascii="arial" w:hAnsi="arial"/>
          <w:b/>
          <w:color w:val="0171B9"/>
          <w:sz w:val="19"/>
        </w:rPr>
        <w:t>UPLIZNA®</w:t>
      </w:r>
      <w:r>
        <w:rPr>
          <w:rFonts w:ascii="arial" w:hAnsi="arial"/>
          <w:sz w:val="19"/>
        </w:rPr>
        <w:t xml:space="preserve"> (for neuromyelitis optica spectrum disorder) as well as a pipeline of rare disease product candidates, including </w:t>
      </w:r>
      <w:r>
        <w:rPr>
          <w:rFonts w:ascii="arial" w:hAnsi="arial"/>
          <w:b/>
          <w:color w:val="0171B9"/>
          <w:sz w:val="19"/>
        </w:rPr>
        <w:t>dazodalibep</w:t>
      </w:r>
      <w:r>
        <w:rPr>
          <w:rFonts w:ascii="arial" w:hAnsi="arial"/>
          <w:sz w:val="19"/>
        </w:rPr>
        <w:t xml:space="preserve"> (for Sjögren’s disease) in Phase 3 trial and </w:t>
      </w:r>
      <w:r>
        <w:rPr>
          <w:rFonts w:ascii="arial" w:hAnsi="arial"/>
          <w:b/>
          <w:color w:val="0171B9"/>
          <w:sz w:val="19"/>
        </w:rPr>
        <w:t>daxdilimab</w:t>
      </w:r>
      <w:r>
        <w:rPr>
          <w:rFonts w:ascii="arial" w:hAnsi="arial"/>
          <w:sz w:val="19"/>
        </w:rPr>
        <w:t xml:space="preserve"> (for discoid lupus erythematosus and dermatomyositis and anti-synthetase inflammatory myositis) and </w:t>
      </w:r>
      <w:r>
        <w:rPr>
          <w:rFonts w:ascii="arial" w:hAnsi="arial"/>
          <w:b/>
          <w:color w:val="0171B9"/>
          <w:sz w:val="19"/>
        </w:rPr>
        <w:t>fipaxalparant</w:t>
      </w:r>
      <w:r>
        <w:rPr>
          <w:rFonts w:ascii="arial" w:hAnsi="arial"/>
          <w:b/>
          <w:sz w:val="19"/>
        </w:rPr>
        <w:t xml:space="preserve"> </w:t>
      </w:r>
      <w:r>
        <w:rPr>
          <w:rFonts w:ascii="arial" w:hAnsi="arial"/>
          <w:sz w:val="19"/>
        </w:rPr>
        <w:t xml:space="preserve">(in systemic sclerosis and idiopathic pulmonary fibrosis) in Phase 2 trials. The acquisition of the Horizon business with its important rare disease products and pipeline, coupled with </w:t>
      </w:r>
      <w:r>
        <w:rPr>
          <w:rFonts w:ascii="arial" w:hAnsi="arial"/>
          <w:b/>
          <w:color w:val="0171B9"/>
          <w:sz w:val="19"/>
        </w:rPr>
        <w:t>TAVNEOS®</w:t>
      </w:r>
      <w:r>
        <w:rPr>
          <w:rFonts w:ascii="arial" w:hAnsi="arial"/>
          <w:sz w:val="19"/>
        </w:rPr>
        <w:t xml:space="preserve"> (our first-in-class treatment for adult patients with severe active anti-neutrophil cytoplasmic autoantibody (ANCA)-associated vasculitis acquired from </w:t>
      </w:r>
      <w:r>
        <w:rPr>
          <w:rFonts w:ascii="arial" w:hAnsi="arial"/>
          <w:b/>
          <w:color w:val="0171B9"/>
          <w:sz w:val="19"/>
        </w:rPr>
        <w:t>ChemoCentryx, Inc.</w:t>
      </w:r>
      <w:r>
        <w:rPr>
          <w:rFonts w:ascii="arial" w:hAnsi="arial"/>
          <w:sz w:val="19"/>
        </w:rPr>
        <w:t xml:space="preserve">), comprise our new </w:t>
      </w:r>
      <w:r>
        <w:rPr>
          <w:rFonts w:ascii="arial" w:hAnsi="arial"/>
          <w:b/>
          <w:color w:val="0171B9"/>
          <w:sz w:val="19"/>
        </w:rPr>
        <w:t>rare disease therapeutic area</w:t>
      </w:r>
      <w:r>
        <w:rPr>
          <w:rFonts w:ascii="arial" w:hAnsi="arial"/>
          <w:b/>
          <w:sz w:val="19"/>
        </w:rPr>
        <w:t xml:space="preserve"> </w:t>
      </w:r>
      <w:r>
        <w:rPr>
          <w:rFonts w:ascii="arial" w:hAnsi="arial"/>
          <w:sz w:val="19"/>
        </w:rPr>
        <w:t xml:space="preserve">and fit well with our broad innovative portfolio, our experience in inflammatory diseases, our global infrastructure, and our capabilities in biologic process development and manufacturing. </w:t>
      </w:r>
    </w:p>
    <w:p>
      <w:pPr>
        <w:pStyle w:val="TextBody"/>
        <w:bidi w:val="0"/>
        <w:spacing w:before="240" w:after="0"/>
        <w:jc w:val="left"/>
        <w:rPr>
          <w:rFonts w:ascii="arial" w:hAnsi="arial"/>
          <w:b/>
          <w:color w:val="0171B9"/>
          <w:sz w:val="22"/>
        </w:rPr>
      </w:pPr>
      <w:r>
        <w:rPr>
          <w:rFonts w:ascii="arial" w:hAnsi="arial"/>
          <w:b/>
          <w:color w:val="0171B9"/>
          <w:sz w:val="22"/>
        </w:rPr>
        <w:t xml:space="preserve">Executed Key Clinical Studies and Advanced Innovative First-in-Class Pipeline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We executed key clinical studies and advanced our robust pipeline that includes potential first-in-class and/or best-in-class medicines.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In our oncology therapeutic area we were granted </w:t>
            </w:r>
            <w:r>
              <w:rPr>
                <w:rFonts w:ascii="arial" w:hAnsi="arial"/>
                <w:b/>
                <w:color w:val="0171B9"/>
                <w:sz w:val="19"/>
              </w:rPr>
              <w:t>three Breakthrough Therapy Designations</w:t>
            </w:r>
            <w:r>
              <w:rPr>
                <w:rFonts w:ascii="arial" w:hAnsi="arial"/>
                <w:sz w:val="19"/>
              </w:rPr>
              <w:t xml:space="preserve">(1) by the U.S. Food and Drug Administration, or FDA, for: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0"/>
              <w:jc w:val="both"/>
              <w:rPr>
                <w:rFonts w:ascii="arial" w:hAnsi="arial"/>
                <w:sz w:val="19"/>
              </w:rPr>
            </w:pPr>
            <w:r>
              <w:rPr>
                <w:rFonts w:ascii="arial" w:hAnsi="arial"/>
                <w:b/>
                <w:color w:val="0171B9"/>
                <w:sz w:val="19"/>
              </w:rPr>
              <w:t>tarlatamab</w:t>
            </w:r>
            <w:r>
              <w:rPr>
                <w:rFonts w:ascii="arial" w:hAnsi="arial"/>
                <w:sz w:val="19"/>
              </w:rPr>
              <w:t xml:space="preserve"> for patients with advanced-stage small cell lung cancer (SCLC) and the FDA also granted tarlatamab Priority Review;(2) </w:t>
            </w:r>
          </w:p>
        </w:tc>
      </w:tr>
    </w:tbl>
    <w:p>
      <w:pPr>
        <w:pStyle w:val="TextBody"/>
        <w:bidi w:val="0"/>
        <w:spacing w:before="0" w:after="0"/>
        <w:jc w:val="left"/>
        <w:rPr/>
      </w:pPr>
      <w:r>
        <w:rPr/>
        <w:t> </w:t>
      </w:r>
    </w:p>
    <w:tbl>
      <w:tblPr>
        <w:tblW w:w="9550" w:type="dxa"/>
        <w:jc w:val="left"/>
        <w:tblInd w:w="0" w:type="dxa"/>
        <w:tblLayout w:type="fixed"/>
        <w:tblCellMar>
          <w:top w:w="0" w:type="dxa"/>
          <w:left w:w="0" w:type="dxa"/>
          <w:bottom w:w="0" w:type="dxa"/>
          <w:right w:w="0" w:type="dxa"/>
        </w:tblCellMar>
      </w:tblPr>
      <w:tblGrid>
        <w:gridCol w:w="75"/>
        <w:gridCol w:w="140"/>
        <w:gridCol w:w="933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335" w:type="dxa"/>
            <w:tcBorders/>
            <w:vAlign w:val="center"/>
          </w:tcPr>
          <w:p>
            <w:pPr>
              <w:pStyle w:val="TableContents"/>
              <w:bidi w:val="0"/>
              <w:spacing w:before="0" w:after="0"/>
              <w:jc w:val="both"/>
              <w:rPr>
                <w:rFonts w:ascii="arial" w:hAnsi="arial"/>
                <w:sz w:val="19"/>
              </w:rPr>
            </w:pPr>
            <w:r>
              <w:rPr>
                <w:rFonts w:ascii="arial" w:hAnsi="arial"/>
                <w:b/>
                <w:color w:val="0171B9"/>
                <w:sz w:val="19"/>
              </w:rPr>
              <w:t>BLINCYTO®</w:t>
            </w:r>
            <w:r>
              <w:rPr>
                <w:rFonts w:ascii="arial" w:hAnsi="arial"/>
                <w:b/>
                <w:sz w:val="19"/>
              </w:rPr>
              <w:t xml:space="preserve"> </w:t>
            </w:r>
            <w:r>
              <w:rPr>
                <w:rFonts w:ascii="arial" w:hAnsi="arial"/>
                <w:sz w:val="19"/>
              </w:rPr>
              <w:t xml:space="preserve">for the treatment of patients with B-cell precursor acute lymphoblastic leukemia (B-ALL); and </w:t>
            </w:r>
          </w:p>
        </w:tc>
      </w:tr>
    </w:tbl>
    <w:p>
      <w:pPr>
        <w:pStyle w:val="TextBody"/>
        <w:bidi w:val="0"/>
        <w:spacing w:before="0" w:after="0"/>
        <w:jc w:val="left"/>
        <w:rPr/>
      </w:pPr>
      <w:r>
        <w:rPr/>
        <w:t> </w:t>
      </w:r>
    </w:p>
    <w:tbl>
      <w:tblPr>
        <w:tblW w:w="9745" w:type="dxa"/>
        <w:jc w:val="left"/>
        <w:tblInd w:w="0" w:type="dxa"/>
        <w:tblLayout w:type="fixed"/>
        <w:tblCellMar>
          <w:top w:w="0" w:type="dxa"/>
          <w:left w:w="0" w:type="dxa"/>
          <w:bottom w:w="0" w:type="dxa"/>
          <w:right w:w="0" w:type="dxa"/>
        </w:tblCellMar>
      </w:tblPr>
      <w:tblGrid>
        <w:gridCol w:w="75"/>
        <w:gridCol w:w="140"/>
        <w:gridCol w:w="953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530" w:type="dxa"/>
            <w:tcBorders/>
            <w:vAlign w:val="center"/>
          </w:tcPr>
          <w:p>
            <w:pPr>
              <w:pStyle w:val="TableContents"/>
              <w:bidi w:val="0"/>
              <w:spacing w:before="0" w:after="0"/>
              <w:jc w:val="both"/>
              <w:rPr>
                <w:rFonts w:ascii="arial" w:hAnsi="arial"/>
                <w:sz w:val="19"/>
              </w:rPr>
            </w:pPr>
            <w:r>
              <w:rPr>
                <w:rFonts w:ascii="arial" w:hAnsi="arial"/>
                <w:b/>
                <w:color w:val="0171B9"/>
                <w:sz w:val="19"/>
              </w:rPr>
              <w:t>LUMAKRAS®</w:t>
            </w:r>
            <w:r>
              <w:rPr>
                <w:rFonts w:ascii="arial" w:hAnsi="arial"/>
                <w:sz w:val="19"/>
              </w:rPr>
              <w:t xml:space="preserve"> in combination with </w:t>
            </w:r>
            <w:r>
              <w:rPr>
                <w:rFonts w:ascii="arial" w:hAnsi="arial"/>
                <w:b/>
                <w:color w:val="0171B9"/>
                <w:sz w:val="19"/>
              </w:rPr>
              <w:t>Vectibix®</w:t>
            </w:r>
            <w:r>
              <w:rPr>
                <w:rFonts w:ascii="arial" w:hAnsi="arial"/>
                <w:sz w:val="19"/>
              </w:rPr>
              <w:t xml:space="preserve"> in third-line KRAS G12C mutated metastatic colorectal cancer. </w:t>
            </w:r>
          </w:p>
        </w:tc>
      </w:tr>
    </w:tbl>
    <w:p>
      <w:pPr>
        <w:pStyle w:val="TextBody"/>
        <w:bidi w:val="0"/>
        <w:spacing w:before="0" w:after="0"/>
        <w:jc w:val="left"/>
        <w:rPr/>
      </w:pPr>
      <w:r>
        <w:rPr/>
        <w:t> </w:t>
      </w:r>
    </w:p>
    <w:tbl>
      <w:tblPr>
        <w:tblW w:w="8845" w:type="dxa"/>
        <w:jc w:val="left"/>
        <w:tblInd w:w="0" w:type="dxa"/>
        <w:tblLayout w:type="fixed"/>
        <w:tblCellMar>
          <w:top w:w="0" w:type="dxa"/>
          <w:left w:w="0" w:type="dxa"/>
          <w:bottom w:w="0" w:type="dxa"/>
          <w:right w:w="0" w:type="dxa"/>
        </w:tblCellMar>
      </w:tblPr>
      <w:tblGrid>
        <w:gridCol w:w="125"/>
        <w:gridCol w:w="60"/>
        <w:gridCol w:w="866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0"/>
              <w:jc w:val="both"/>
              <w:rPr>
                <w:rFonts w:ascii="arial" w:hAnsi="arial"/>
                <w:sz w:val="19"/>
              </w:rPr>
            </w:pPr>
            <w:r>
              <w:rPr>
                <w:rFonts w:ascii="arial" w:hAnsi="arial"/>
                <w:sz w:val="19"/>
              </w:rPr>
              <w:t xml:space="preserve">We have continued to advance our biosimilar programs (with 11 biosimilars in our current portfolio).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We generated four new product teams (formed when a molecule has been judged to possess many of the attributes of a clinical candidate) and two investigational new drug (IND) approvals, initiated five first-in-human studies in unique indications, and we determined to advance five programs into the clinic. </w:t>
            </w:r>
          </w:p>
        </w:tc>
      </w:tr>
    </w:tbl>
    <w:p>
      <w:pPr>
        <w:pStyle w:val="TextBody"/>
        <w:bidi w:val="0"/>
        <w:spacing w:before="240" w:after="0"/>
        <w:jc w:val="both"/>
        <w:rPr>
          <w:rFonts w:ascii="arial" w:hAnsi="arial"/>
          <w:sz w:val="19"/>
        </w:rPr>
      </w:pPr>
      <w:r>
        <w:rPr>
          <w:rFonts w:ascii="arial" w:hAnsi="arial"/>
          <w:sz w:val="19"/>
        </w:rPr>
        <w:t xml:space="preserve">We accomplished these objectives while maintaining a disciplined approach to capital allocation, investing in long-term growth and returning capital to our stockholders through our growing dividend.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6" w:space="0" w:color="666666"/>
              <w:left w:val="single" w:sz="6" w:space="0" w:color="666666"/>
              <w:bottom w:val="single" w:sz="6" w:space="0" w:color="666666"/>
              <w:right w:val="single" w:sz="6" w:space="0" w:color="666666"/>
            </w:tcBorders>
            <w:shd w:fill="F2F7FB" w:val="clear"/>
            <w:tcMar>
              <w:top w:w="28" w:type="dxa"/>
              <w:left w:w="160"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171B9"/>
                <w:sz w:val="18"/>
              </w:rPr>
            </w:pPr>
            <w:r>
              <w:rPr>
                <w:rFonts w:ascii="arial" w:hAnsi="arial"/>
                <w:b/>
                <w:color w:val="0171B9"/>
                <w:sz w:val="18"/>
              </w:rPr>
              <w:t>In 2023, while investing $27.8 billion in a strategic business acquisition, $4.8 billion in research and development, and $1.1 billion in capital expenditures, we also returned $4.6 billion of capital to our stockholders in dividends.</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(1) </w:t>
            </w:r>
          </w:p>
        </w:tc>
        <w:tc>
          <w:tcPr>
            <w:tcW w:w="9919" w:type="dxa"/>
            <w:tcBorders/>
            <w:vAlign w:val="center"/>
          </w:tcPr>
          <w:p>
            <w:pPr>
              <w:pStyle w:val="TableContents"/>
              <w:bidi w:val="0"/>
              <w:spacing w:before="0" w:after="0"/>
              <w:jc w:val="both"/>
              <w:rPr>
                <w:rFonts w:ascii="arial" w:hAnsi="arial"/>
                <w:sz w:val="16"/>
              </w:rPr>
            </w:pPr>
            <w:r>
              <w:rPr>
                <w:rFonts w:ascii="arial" w:hAnsi="arial"/>
                <w:sz w:val="16"/>
              </w:rPr>
              <w:t xml:space="preserve">Breakthrough Therapy Designation is a process designed to expedite the development and review of drugs that are intended to treat a serious condition and preliminary clinical evidence indicates that the drug may demonstrate substantial improvement over available therapy on a clinically significant endpoint. </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283"/>
              <w:jc w:val="left"/>
              <w:rPr/>
            </w:pPr>
            <w:r>
              <w:rPr/>
              <w:t>(2) </w:t>
            </w:r>
          </w:p>
        </w:tc>
        <w:tc>
          <w:tcPr>
            <w:tcW w:w="9892" w:type="dxa"/>
            <w:tcBorders/>
            <w:vAlign w:val="center"/>
          </w:tcPr>
          <w:p>
            <w:pPr>
              <w:pStyle w:val="TableContents"/>
              <w:bidi w:val="0"/>
              <w:spacing w:before="0" w:after="0"/>
              <w:jc w:val="both"/>
              <w:rPr>
                <w:rFonts w:ascii="arial" w:hAnsi="arial"/>
                <w:sz w:val="16"/>
              </w:rPr>
            </w:pPr>
            <w:r>
              <w:rPr>
                <w:rFonts w:ascii="arial" w:hAnsi="arial"/>
                <w:sz w:val="16"/>
              </w:rPr>
              <w:t xml:space="preserve">The FDA grants Priority Review to applications for medicines that offer, if approved, significant improvements over available options or may provide a treatment option where no adequate therapy currently exists. </w:t>
            </w:r>
          </w:p>
        </w:tc>
      </w:tr>
    </w:tbl>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4  </w:t>
      </w:r>
      <w:r>
        <w:rPr>
          <w:rFonts w:ascii="arial" w:hAnsi="arial"/>
          <w:b/>
          <w:color w:val="474747"/>
          <w:sz w:val="22"/>
        </w:rPr>
        <w:drawing>
          <wp:inline distT="0" distB="0" distL="0" distR="0">
            <wp:extent cx="64770" cy="15240"/>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0"/>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354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306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6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306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Proxy Statement Summary</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171B9"/>
          <w:sz w:val="22"/>
        </w:rPr>
      </w:pPr>
      <w:r>
        <w:rPr>
          <w:rFonts w:ascii="arial" w:hAnsi="arial"/>
          <w:b/>
          <w:color w:val="0171B9"/>
          <w:sz w:val="22"/>
        </w:rPr>
        <w:t xml:space="preserve">NEO Compensation Is Dependent on Our Performance </w:t>
      </w:r>
    </w:p>
    <w:p>
      <w:pPr>
        <w:pStyle w:val="TextBody"/>
        <w:pBdr>
          <w:bottom w:val="single" w:sz="2" w:space="1" w:color="666666"/>
        </w:pBdr>
        <w:bidi w:val="0"/>
        <w:spacing w:lineRule="atLeast" w:line="142" w:before="0" w:after="40"/>
        <w:jc w:val="left"/>
        <w:rPr/>
      </w:pPr>
      <w:r>
        <w:rPr/>
        <w:t> </w:t>
      </w:r>
    </w:p>
    <w:p>
      <w:pPr>
        <w:pStyle w:val="TextBody"/>
        <w:bidi w:val="0"/>
        <w:spacing w:before="120" w:after="0"/>
        <w:jc w:val="both"/>
        <w:rPr>
          <w:rFonts w:ascii="arial" w:hAnsi="arial"/>
          <w:sz w:val="16"/>
        </w:rPr>
      </w:pPr>
      <w:r>
        <w:rPr>
          <w:rFonts w:ascii="arial" w:hAnsi="arial"/>
          <w:sz w:val="16"/>
        </w:rPr>
        <w:t xml:space="preserve">A significant amount of each Named Executive Officer’s, or NEOs, compensation is at risk and dependent on performance. </w:t>
      </w:r>
    </w:p>
    <w:p>
      <w:pPr>
        <w:pStyle w:val="TextBody"/>
        <w:bidi w:val="0"/>
        <w:spacing w:before="60" w:after="0"/>
        <w:jc w:val="center"/>
        <w:rPr>
          <w:rFonts w:ascii="arial" w:hAnsi="arial"/>
          <w:b/>
          <w:color w:val="0171B9"/>
          <w:sz w:val="20"/>
        </w:rPr>
      </w:pPr>
      <w:r>
        <w:rPr>
          <w:rFonts w:ascii="arial" w:hAnsi="arial"/>
          <w:b/>
          <w:color w:val="0171B9"/>
          <w:sz w:val="20"/>
        </w:rPr>
        <w:t xml:space="preserve">2023 Total Target Direct Compensation Mix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32105" cy="248285"/>
            <wp:effectExtent l="0" t="0" r="0" b="0"/>
            <wp:docPr id="2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0" descr=""/>
                    <pic:cNvPicPr>
                      <a:picLocks noChangeAspect="1" noChangeArrowheads="1"/>
                    </pic:cNvPicPr>
                  </pic:nvPicPr>
                  <pic:blipFill>
                    <a:blip r:embed="rId21"/>
                    <a:stretch>
                      <a:fillRect/>
                    </a:stretch>
                  </pic:blipFill>
                  <pic:spPr bwMode="auto">
                    <a:xfrm>
                      <a:off x="0" y="0"/>
                      <a:ext cx="332105" cy="248285"/>
                    </a:xfrm>
                    <a:prstGeom prst="rect">
                      <a:avLst/>
                    </a:prstGeom>
                  </pic:spPr>
                </pic:pic>
              </a:graphicData>
            </a:graphic>
          </wp:inline>
        </w:drawing>
      </w:r>
      <w:r>
        <w:rPr/>
        <w:t xml:space="preserve"> </w:t>
      </w:r>
    </w:p>
    <w:p>
      <w:pPr>
        <w:pStyle w:val="TextBody"/>
        <w:bidi w:val="0"/>
        <w:spacing w:before="120" w:after="0"/>
        <w:jc w:val="left"/>
        <w:rPr>
          <w:rFonts w:ascii="arial" w:hAnsi="arial"/>
          <w:b/>
          <w:color w:val="0171B9"/>
          <w:sz w:val="20"/>
        </w:rPr>
      </w:pPr>
      <w:r>
        <w:rPr>
          <w:rFonts w:ascii="arial" w:hAnsi="arial"/>
          <w:b/>
          <w:color w:val="0171B9"/>
          <w:sz w:val="20"/>
        </w:rPr>
        <w:t xml:space="preserve">2023 Annual and Long-Term Awards Reflect Performance Against Pre-Established Goals and Measures </w:t>
      </w:r>
    </w:p>
    <w:p>
      <w:pPr>
        <w:pStyle w:val="TextBody"/>
        <w:pBdr>
          <w:bottom w:val="single" w:sz="2" w:space="1" w:color="666666"/>
        </w:pBdr>
        <w:bidi w:val="0"/>
        <w:spacing w:lineRule="atLeast" w:line="142" w:before="0" w:after="40"/>
        <w:jc w:val="left"/>
        <w:rPr/>
      </w:pPr>
      <w:r>
        <w:rPr/>
        <w:t> </w:t>
      </w:r>
    </w:p>
    <w:p>
      <w:pPr>
        <w:pStyle w:val="TextBody"/>
        <w:bidi w:val="0"/>
        <w:spacing w:before="0" w:after="0"/>
        <w:jc w:val="left"/>
        <w:rPr/>
      </w:pPr>
      <w:r>
        <w:rPr/>
        <w:t> </w:t>
      </w:r>
    </w:p>
    <w:tbl>
      <w:tblPr>
        <w:tblW w:w="11375" w:type="dxa"/>
        <w:jc w:val="left"/>
        <w:tblInd w:w="0" w:type="dxa"/>
        <w:tblLayout w:type="fixed"/>
        <w:tblCellMar>
          <w:top w:w="0" w:type="dxa"/>
          <w:left w:w="0" w:type="dxa"/>
          <w:bottom w:w="0" w:type="dxa"/>
          <w:right w:w="0" w:type="dxa"/>
        </w:tblCellMar>
      </w:tblPr>
      <w:tblGrid>
        <w:gridCol w:w="1115"/>
        <w:gridCol w:w="60"/>
        <w:gridCol w:w="60"/>
        <w:gridCol w:w="770"/>
        <w:gridCol w:w="60"/>
        <w:gridCol w:w="60"/>
        <w:gridCol w:w="60"/>
        <w:gridCol w:w="755"/>
        <w:gridCol w:w="60"/>
        <w:gridCol w:w="60"/>
        <w:gridCol w:w="60"/>
        <w:gridCol w:w="800"/>
        <w:gridCol w:w="60"/>
        <w:gridCol w:w="60"/>
        <w:gridCol w:w="60"/>
        <w:gridCol w:w="60"/>
        <w:gridCol w:w="7215"/>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15" w:type="dxa"/>
            <w:tcBorders/>
            <w:vAlign w:val="center"/>
          </w:tcPr>
          <w:p>
            <w:pPr>
              <w:pStyle w:val="TableContents"/>
              <w:bidi w:val="0"/>
              <w:spacing w:before="0" w:after="283"/>
              <w:jc w:val="left"/>
              <w:rPr>
                <w:sz w:val="4"/>
                <w:szCs w:val="4"/>
              </w:rPr>
            </w:pPr>
            <w:r>
              <w:rPr>
                <w:sz w:val="4"/>
                <w:szCs w:val="4"/>
              </w:rPr>
            </w:r>
          </w:p>
        </w:tc>
      </w:tr>
      <w:tr>
        <w:trPr/>
        <w:tc>
          <w:tcPr>
            <w:tcW w:w="3920" w:type="dxa"/>
            <w:gridSpan w:val="12"/>
            <w:tcBorders/>
            <w:vAlign w:val="center"/>
          </w:tcPr>
          <w:p>
            <w:pPr>
              <w:pStyle w:val="TableContents"/>
              <w:bidi w:val="0"/>
              <w:spacing w:before="0" w:after="0"/>
              <w:jc w:val="center"/>
              <w:rPr>
                <w:rFonts w:ascii="arial" w:hAnsi="arial"/>
                <w:b/>
                <w:i/>
                <w:sz w:val="16"/>
              </w:rPr>
            </w:pPr>
            <w:r>
              <w:rPr>
                <w:rFonts w:ascii="arial" w:hAnsi="arial"/>
                <w:b/>
                <w:i/>
                <w:sz w:val="16"/>
              </w:rPr>
              <w:t>2023 Annual Cash Incentive Plan</w:t>
            </w:r>
          </w:p>
          <w:p>
            <w:pPr>
              <w:pStyle w:val="TableContents"/>
              <w:bidi w:val="0"/>
              <w:spacing w:before="0" w:after="2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15" w:type="dxa"/>
            <w:tcBorders/>
            <w:vAlign w:val="center"/>
          </w:tcPr>
          <w:p>
            <w:pPr>
              <w:pStyle w:val="TableContents"/>
              <w:bidi w:val="0"/>
              <w:spacing w:before="0" w:after="0"/>
              <w:jc w:val="center"/>
              <w:rPr>
                <w:rFonts w:ascii="arial" w:hAnsi="arial"/>
                <w:b/>
                <w:i/>
                <w:sz w:val="16"/>
              </w:rPr>
            </w:pPr>
            <w:r>
              <w:rPr>
                <w:rFonts w:ascii="arial" w:hAnsi="arial"/>
                <w:b/>
                <w:i/>
                <w:sz w:val="16"/>
              </w:rPr>
              <w:t>2021-2023 Long-Term Incentive Performance Award Payout</w:t>
            </w:r>
          </w:p>
          <w:p>
            <w:pPr>
              <w:pStyle w:val="TableContents"/>
              <w:bidi w:val="0"/>
              <w:spacing w:before="0" w:after="20"/>
              <w:jc w:val="left"/>
              <w:rPr/>
            </w:pPr>
            <w:r>
              <w:rPr/>
              <w:t> </w:t>
            </w:r>
          </w:p>
        </w:tc>
      </w:tr>
      <w:tr>
        <w:trPr/>
        <w:tc>
          <w:tcPr>
            <w:tcW w:w="3920" w:type="dxa"/>
            <w:gridSpan w:val="12"/>
            <w:tcBorders/>
            <w:vAlign w:val="center"/>
          </w:tcPr>
          <w:p>
            <w:pPr>
              <w:pStyle w:val="TableContents"/>
              <w:bidi w:val="0"/>
              <w:spacing w:before="0" w:after="0"/>
              <w:jc w:val="both"/>
              <w:rPr>
                <w:rFonts w:ascii="arial" w:hAnsi="arial"/>
                <w:sz w:val="16"/>
              </w:rPr>
            </w:pPr>
            <w:r>
              <w:rPr>
                <w:rFonts w:ascii="arial" w:hAnsi="arial"/>
                <w:sz w:val="16"/>
              </w:rPr>
              <w:t>Our annual cash incentive plan is designed to focus our staff on delivering financial and operational objectives, advance strategic priorities, and position us for long-term success.</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15" w:type="dxa"/>
            <w:tcBorders/>
            <w:vAlign w:val="center"/>
          </w:tcPr>
          <w:p>
            <w:pPr>
              <w:pStyle w:val="TableContents"/>
              <w:bidi w:val="0"/>
              <w:spacing w:before="0" w:after="0"/>
              <w:jc w:val="both"/>
              <w:rPr>
                <w:rFonts w:ascii="arial" w:hAnsi="arial"/>
                <w:sz w:val="16"/>
              </w:rPr>
            </w:pPr>
            <w:r>
              <w:rPr>
                <w:rFonts w:ascii="arial" w:hAnsi="arial"/>
                <w:sz w:val="16"/>
              </w:rPr>
              <w:t>80% of our annual LTI equity award grants are performance-based, aligning compensation with long-term value creation for our stockholders. Performance units comprise 50% of our annual LTI equity award grants, with the goal design and all measurement targets established at the beginning of the three-year performance period.</w:t>
            </w:r>
          </w:p>
          <w:p>
            <w:pPr>
              <w:pStyle w:val="TableContents"/>
              <w:bidi w:val="0"/>
              <w:spacing w:before="0" w:after="0"/>
              <w:jc w:val="left"/>
              <w:rPr/>
            </w:pPr>
            <w:r>
              <w:rPr/>
              <w:t> </w:t>
            </w:r>
          </w:p>
          <w:p>
            <w:pPr>
              <w:pStyle w:val="TableContents"/>
              <w:bidi w:val="0"/>
              <w:spacing w:before="0" w:after="20"/>
              <w:jc w:val="left"/>
              <w:rPr/>
            </w:pPr>
            <w:r>
              <w:rPr/>
              <w:t> </w:t>
            </w:r>
          </w:p>
        </w:tc>
      </w:tr>
      <w:tr>
        <w:trPr/>
        <w:tc>
          <w:tcPr>
            <w:tcW w:w="1115" w:type="dxa"/>
            <w:tcBorders>
              <w:top w:val="single" w:sz="6" w:space="0" w:color="000000"/>
              <w:left w:val="single" w:sz="6" w:space="0" w:color="000000"/>
              <w:bottom w:val="single" w:sz="6" w:space="0" w:color="000000"/>
            </w:tcBorders>
            <w:tcMar>
              <w:top w:w="28" w:type="dxa"/>
              <w:left w:w="160" w:type="dxa"/>
              <w:bottom w:w="28" w:type="dxa"/>
            </w:tcMar>
            <w:vAlign w:val="center"/>
          </w:tcPr>
          <w:p>
            <w:pPr>
              <w:pStyle w:val="TableContents"/>
              <w:bidi w:val="0"/>
              <w:spacing w:before="0" w:after="0"/>
              <w:jc w:val="left"/>
              <w:rPr>
                <w:rFonts w:ascii="arial" w:hAnsi="arial"/>
                <w:b/>
                <w:sz w:val="16"/>
              </w:rPr>
            </w:pPr>
            <w:r>
              <w:rPr>
                <w:rFonts w:ascii="arial" w:hAnsi="arial"/>
                <w:b/>
                <w:sz w:val="16"/>
              </w:rPr>
              <w:t>Goal</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7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b/>
                <w:sz w:val="16"/>
              </w:rPr>
            </w:pPr>
            <w:r>
              <w:rPr>
                <w:b/>
                <w:sz w:val="16"/>
              </w:rPr>
              <w:t>Weighting</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55" w:type="dxa"/>
            <w:tcBorders>
              <w:top w:val="single" w:sz="6" w:space="0" w:color="000000"/>
              <w:bottom w:val="single" w:sz="6" w:space="0" w:color="000000"/>
            </w:tcBorders>
            <w:tcMar>
              <w:top w:w="28" w:type="dxa"/>
              <w:bottom w:w="28" w:type="dxa"/>
            </w:tcMar>
            <w:vAlign w:val="center"/>
          </w:tcPr>
          <w:p>
            <w:pPr>
              <w:pStyle w:val="TableContents"/>
              <w:bidi w:val="0"/>
              <w:jc w:val="right"/>
              <w:rPr>
                <w:b/>
                <w:sz w:val="16"/>
              </w:rPr>
            </w:pPr>
            <w:r>
              <w:rPr>
                <w:b/>
                <w:sz w:val="16"/>
              </w:rPr>
              <w:t>% of</w:t>
              <w:br/>
              <w:t>Target</w:t>
            </w:r>
          </w:p>
          <w:p>
            <w:pPr>
              <w:pStyle w:val="TableContents"/>
              <w:bidi w:val="0"/>
              <w:spacing w:before="0" w:after="20"/>
              <w:jc w:val="right"/>
              <w:rPr>
                <w:rFonts w:ascii="arial" w:hAnsi="arial"/>
                <w:b/>
                <w:sz w:val="16"/>
              </w:rPr>
            </w:pPr>
            <w:r>
              <w:rPr>
                <w:rFonts w:ascii="arial" w:hAnsi="arial"/>
                <w:b/>
                <w:sz w:val="16"/>
              </w:rPr>
              <w:t>Achieved</w:t>
            </w:r>
          </w:p>
        </w:tc>
        <w:tc>
          <w:tcPr>
            <w:tcW w:w="60" w:type="dxa"/>
            <w:tcBorders>
              <w:top w:val="single" w:sz="6" w:space="0" w:color="000000"/>
              <w:bottom w:val="single" w:sz="6" w:space="0" w:color="000000"/>
            </w:tcBorders>
            <w:tcMar>
              <w:top w:w="28" w:type="dxa"/>
              <w:bottom w:w="28" w:type="dxa"/>
            </w:tcMar>
            <w:vAlign w:val="center"/>
          </w:tcPr>
          <w:p>
            <w:pPr>
              <w:pStyle w:val="TableContents"/>
              <w:bidi w:val="0"/>
              <w:jc w:val="left"/>
              <w:rPr/>
            </w:pPr>
            <w:r>
              <w:rPr/>
              <w:t> </w:t>
            </w:r>
            <w:r>
              <w:rPr>
                <w:b/>
                <w:sz w:val="16"/>
              </w:rPr>
              <w:br/>
              <w:t> </w:t>
            </w:r>
          </w:p>
          <w:p>
            <w:pPr>
              <w:pStyle w:val="TableContents"/>
              <w:bidi w:val="0"/>
              <w:spacing w:before="0" w:after="20"/>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80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b/>
                <w:sz w:val="16"/>
              </w:rPr>
            </w:pPr>
            <w:r>
              <w:rPr>
                <w:b/>
                <w:sz w:val="16"/>
              </w:rPr>
              <w:t>Resulting </w:t>
              <w:br/>
              <w:t>Weighted </w:t>
              <w:br/>
              <w:t>Score </w:t>
            </w:r>
          </w:p>
        </w:tc>
        <w:tc>
          <w:tcPr>
            <w:tcW w:w="6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r>
              <w:rPr>
                <w:b/>
                <w:sz w:val="16"/>
              </w:rPr>
              <w:br/>
              <w:t> </w:t>
              <w:br/>
              <w:t> </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0"/>
              <w:jc w:val="left"/>
              <w:rPr/>
            </w:pPr>
            <w:r>
              <w:rPr/>
              <w:t> </w:t>
            </w:r>
          </w:p>
        </w:tc>
        <w:tc>
          <w:tcPr>
            <w:tcW w:w="60" w:type="dxa"/>
            <w:vMerge w:val="restart"/>
            <w:tcBorders/>
            <w:vAlign w:val="center"/>
          </w:tcPr>
          <w:p>
            <w:pPr>
              <w:pStyle w:val="TableContents"/>
              <w:bidi w:val="0"/>
              <w:spacing w:before="0" w:after="283"/>
              <w:jc w:val="left"/>
              <w:rPr/>
            </w:pPr>
            <w:r>
              <w:rPr/>
              <w:t> </w:t>
            </w:r>
          </w:p>
        </w:tc>
        <w:tc>
          <w:tcPr>
            <w:tcW w:w="7215" w:type="dxa"/>
            <w:vMerge w:val="restart"/>
            <w:tcBorders/>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4572000" cy="1914525"/>
                  <wp:effectExtent l="0" t="0" r="0" b="0"/>
                  <wp:docPr id="2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1" descr=""/>
                          <pic:cNvPicPr>
                            <a:picLocks noChangeAspect="1" noChangeArrowheads="1"/>
                          </pic:cNvPicPr>
                        </pic:nvPicPr>
                        <pic:blipFill>
                          <a:blip r:embed="rId22"/>
                          <a:stretch>
                            <a:fillRect/>
                          </a:stretch>
                        </pic:blipFill>
                        <pic:spPr bwMode="auto">
                          <a:xfrm>
                            <a:off x="0" y="0"/>
                            <a:ext cx="4572000" cy="1914525"/>
                          </a:xfrm>
                          <a:prstGeom prst="rect">
                            <a:avLst/>
                          </a:prstGeom>
                        </pic:spPr>
                      </pic:pic>
                    </a:graphicData>
                  </a:graphic>
                </wp:inline>
              </w:drawing>
            </w:r>
            <w:r>
              <w:rPr/>
              <w:t xml:space="preserve"> </w:t>
            </w:r>
          </w:p>
        </w:tc>
      </w:tr>
      <w:tr>
        <w:trPr/>
        <w:tc>
          <w:tcPr>
            <w:tcW w:w="2940" w:type="dxa"/>
            <w:gridSpan w:val="8"/>
            <w:tcBorders>
              <w:left w:val="single" w:sz="6" w:space="0" w:color="000000"/>
            </w:tcBorders>
            <w:shd w:fill="0171B9" w:val="clear"/>
            <w:tcMar>
              <w:left w:w="160" w:type="dxa"/>
            </w:tcMar>
            <w:vAlign w:val="center"/>
          </w:tcPr>
          <w:p>
            <w:pPr>
              <w:pStyle w:val="TableContents"/>
              <w:bidi w:val="0"/>
              <w:spacing w:before="0" w:after="0"/>
              <w:jc w:val="left"/>
              <w:rPr>
                <w:rFonts w:ascii="arial" w:hAnsi="arial"/>
                <w:b/>
                <w:color w:val="FFFFFF"/>
                <w:sz w:val="16"/>
              </w:rPr>
            </w:pPr>
            <w:r>
              <w:rPr>
                <w:rFonts w:ascii="arial" w:hAnsi="arial"/>
                <w:b/>
                <w:color w:val="FFFFFF"/>
                <w:sz w:val="16"/>
              </w:rPr>
              <w:t>Financial Performance</w:t>
            </w:r>
          </w:p>
        </w:tc>
        <w:tc>
          <w:tcPr>
            <w:tcW w:w="60" w:type="dxa"/>
            <w:tcBorders/>
            <w:shd w:fill="0171B9" w:val="clear"/>
            <w:vAlign w:val="center"/>
          </w:tcPr>
          <w:p>
            <w:pPr>
              <w:pStyle w:val="TableContents"/>
              <w:bidi w:val="0"/>
              <w:spacing w:before="0" w:after="0"/>
              <w:jc w:val="left"/>
              <w:rPr>
                <w:color w:val="FFFFFF"/>
              </w:rPr>
            </w:pPr>
            <w:r>
              <w:rPr>
                <w:color w:val="FFFFFF"/>
              </w:rPr>
              <w:t> </w:t>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color w:val="FFFFFF"/>
              </w:rPr>
            </w:pPr>
            <w:r>
              <w:rPr>
                <w:color w:val="FFFFFF"/>
              </w:rPr>
              <w:t> </w:t>
            </w:r>
          </w:p>
        </w:tc>
        <w:tc>
          <w:tcPr>
            <w:tcW w:w="800" w:type="dxa"/>
            <w:tcBorders/>
            <w:shd w:fill="0171B9" w:val="clear"/>
            <w:vAlign w:val="center"/>
          </w:tcPr>
          <w:p>
            <w:pPr>
              <w:pStyle w:val="TableContents"/>
              <w:bidi w:val="0"/>
              <w:spacing w:before="0" w:after="283"/>
              <w:jc w:val="right"/>
              <w:rPr>
                <w:b/>
                <w:color w:val="FFFFFF"/>
                <w:sz w:val="16"/>
              </w:rPr>
            </w:pPr>
            <w:r>
              <w:rPr>
                <w:b/>
                <w:color w:val="FFFFFF"/>
                <w:sz w:val="16"/>
              </w:rPr>
              <w:t>109.8%</w:t>
            </w:r>
          </w:p>
        </w:tc>
        <w:tc>
          <w:tcPr>
            <w:tcW w:w="60" w:type="dxa"/>
            <w:tcBorders>
              <w:right w:val="single" w:sz="6" w:space="0" w:color="000000"/>
            </w:tcBorders>
            <w:shd w:fill="0171B9" w:val="clear"/>
            <w:tcMar>
              <w:right w:w="28" w:type="dxa"/>
            </w:tcMar>
            <w:vAlign w:val="center"/>
          </w:tcPr>
          <w:p>
            <w:pPr>
              <w:pStyle w:val="TableContents"/>
              <w:bidi w:val="0"/>
              <w:spacing w:before="0" w:after="283"/>
              <w:jc w:val="left"/>
              <w:rPr>
                <w:color w:val="FFFFFF"/>
              </w:rPr>
            </w:pPr>
            <w:r>
              <w:rPr>
                <w:color w:val="FFFFFF"/>
              </w:rPr>
              <w:t> </w:t>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7215" w:type="dxa"/>
            <w:vMerge w:val="continue"/>
            <w:tcBorders/>
            <w:vAlign w:val="center"/>
          </w:tcPr>
          <w:p>
            <w:pPr>
              <w:pStyle w:val="Normal"/>
              <w:bidi w:val="0"/>
              <w:jc w:val="left"/>
              <w:rPr/>
            </w:pPr>
            <w:r>
              <w:rPr/>
            </w:r>
          </w:p>
        </w:tc>
      </w:tr>
      <w:tr>
        <w:trPr/>
        <w:tc>
          <w:tcPr>
            <w:tcW w:w="1115" w:type="dxa"/>
            <w:tcBorders>
              <w:top w:val="single" w:sz="6" w:space="0" w:color="000000"/>
              <w:left w:val="single" w:sz="6" w:space="0" w:color="000000"/>
            </w:tcBorders>
            <w:shd w:fill="CCE2F1" w:val="clear"/>
            <w:tcMar>
              <w:top w:w="28" w:type="dxa"/>
              <w:left w:w="160" w:type="dxa"/>
            </w:tcMar>
            <w:vAlign w:val="center"/>
          </w:tcPr>
          <w:p>
            <w:pPr>
              <w:pStyle w:val="TableContents"/>
              <w:bidi w:val="0"/>
              <w:spacing w:before="0" w:after="0"/>
              <w:jc w:val="left"/>
              <w:rPr>
                <w:rFonts w:ascii="arial" w:hAnsi="arial"/>
                <w:sz w:val="16"/>
              </w:rPr>
            </w:pPr>
            <w:r>
              <w:rPr>
                <w:rFonts w:ascii="arial" w:hAnsi="arial"/>
                <w:sz w:val="16"/>
              </w:rPr>
              <w:t>Revenues</w:t>
            </w:r>
          </w:p>
        </w:tc>
        <w:tc>
          <w:tcPr>
            <w:tcW w:w="60" w:type="dxa"/>
            <w:tcBorders>
              <w:top w:val="single" w:sz="6" w:space="0" w:color="000000"/>
            </w:tcBorders>
            <w:shd w:fill="CCE2F1" w:val="clear"/>
            <w:tcMar>
              <w:top w:w="28" w:type="dxa"/>
            </w:tcMar>
            <w:vAlign w:val="center"/>
          </w:tcPr>
          <w:p>
            <w:pPr>
              <w:pStyle w:val="TableContents"/>
              <w:bidi w:val="0"/>
              <w:spacing w:before="0" w:after="283"/>
              <w:jc w:val="left"/>
              <w:rPr/>
            </w:pPr>
            <w:r>
              <w:rPr/>
              <w:t> </w:t>
            </w:r>
          </w:p>
        </w:tc>
        <w:tc>
          <w:tcPr>
            <w:tcW w:w="60" w:type="dxa"/>
            <w:tcBorders>
              <w:top w:val="single" w:sz="6" w:space="0" w:color="000000"/>
            </w:tcBorders>
            <w:shd w:fill="CCE2F1" w:val="clear"/>
            <w:tcMar>
              <w:top w:w="28" w:type="dxa"/>
            </w:tcMar>
            <w:vAlign w:val="center"/>
          </w:tcPr>
          <w:p>
            <w:pPr>
              <w:pStyle w:val="TableContents"/>
              <w:bidi w:val="0"/>
              <w:spacing w:before="0" w:after="283"/>
              <w:jc w:val="left"/>
              <w:rPr/>
            </w:pPr>
            <w:r>
              <w:rPr/>
              <w:t> </w:t>
            </w:r>
          </w:p>
        </w:tc>
        <w:tc>
          <w:tcPr>
            <w:tcW w:w="770" w:type="dxa"/>
            <w:tcBorders>
              <w:top w:val="single" w:sz="6" w:space="0" w:color="000000"/>
            </w:tcBorders>
            <w:shd w:fill="CCE2F1" w:val="clear"/>
            <w:tcMar>
              <w:top w:w="28" w:type="dxa"/>
            </w:tcMar>
            <w:vAlign w:val="center"/>
          </w:tcPr>
          <w:p>
            <w:pPr>
              <w:pStyle w:val="TableContents"/>
              <w:bidi w:val="0"/>
              <w:spacing w:before="0" w:after="283"/>
              <w:jc w:val="right"/>
              <w:rPr>
                <w:sz w:val="16"/>
              </w:rPr>
            </w:pPr>
            <w:r>
              <w:rPr>
                <w:sz w:val="16"/>
              </w:rPr>
              <w:t>30%</w:t>
            </w:r>
          </w:p>
        </w:tc>
        <w:tc>
          <w:tcPr>
            <w:tcW w:w="60" w:type="dxa"/>
            <w:tcBorders>
              <w:top w:val="single" w:sz="6" w:space="0" w:color="000000"/>
            </w:tcBorders>
            <w:shd w:fill="CCE2F1" w:val="clear"/>
            <w:tcMar>
              <w:top w:w="28" w:type="dxa"/>
            </w:tcMar>
            <w:vAlign w:val="center"/>
          </w:tcPr>
          <w:p>
            <w:pPr>
              <w:pStyle w:val="TableContents"/>
              <w:bidi w:val="0"/>
              <w:spacing w:before="0" w:after="283"/>
              <w:jc w:val="left"/>
              <w:rPr/>
            </w:pPr>
            <w:r>
              <w:rPr/>
              <w:t> </w:t>
            </w:r>
          </w:p>
        </w:tc>
        <w:tc>
          <w:tcPr>
            <w:tcW w:w="60" w:type="dxa"/>
            <w:tcBorders>
              <w:top w:val="single" w:sz="6" w:space="0" w:color="000000"/>
            </w:tcBorders>
            <w:shd w:fill="CCE2F1" w:val="clear"/>
            <w:tcMar>
              <w:top w:w="28" w:type="dxa"/>
            </w:tcMar>
            <w:vAlign w:val="center"/>
          </w:tcPr>
          <w:p>
            <w:pPr>
              <w:pStyle w:val="TableContents"/>
              <w:bidi w:val="0"/>
              <w:spacing w:before="0" w:after="283"/>
              <w:jc w:val="left"/>
              <w:rPr/>
            </w:pPr>
            <w:r>
              <w:rPr/>
              <w:t> </w:t>
            </w:r>
          </w:p>
        </w:tc>
        <w:tc>
          <w:tcPr>
            <w:tcW w:w="60" w:type="dxa"/>
            <w:tcBorders>
              <w:top w:val="single" w:sz="6" w:space="0" w:color="000000"/>
            </w:tcBorders>
            <w:shd w:fill="CCE2F1" w:val="clear"/>
            <w:tcMar>
              <w:top w:w="28" w:type="dxa"/>
            </w:tcMar>
            <w:vAlign w:val="center"/>
          </w:tcPr>
          <w:p>
            <w:pPr>
              <w:pStyle w:val="TableContents"/>
              <w:bidi w:val="0"/>
              <w:spacing w:before="0" w:after="283"/>
              <w:jc w:val="left"/>
              <w:rPr/>
            </w:pPr>
            <w:r>
              <w:rPr/>
              <w:t> </w:t>
            </w:r>
          </w:p>
        </w:tc>
        <w:tc>
          <w:tcPr>
            <w:tcW w:w="755" w:type="dxa"/>
            <w:tcBorders>
              <w:top w:val="single" w:sz="6" w:space="0" w:color="000000"/>
            </w:tcBorders>
            <w:shd w:fill="CCE2F1" w:val="clear"/>
            <w:tcMar>
              <w:top w:w="28" w:type="dxa"/>
            </w:tcMar>
            <w:vAlign w:val="center"/>
          </w:tcPr>
          <w:p>
            <w:pPr>
              <w:pStyle w:val="TableContents"/>
              <w:bidi w:val="0"/>
              <w:spacing w:before="0" w:after="283"/>
              <w:jc w:val="right"/>
              <w:rPr>
                <w:sz w:val="16"/>
              </w:rPr>
            </w:pPr>
            <w:r>
              <w:rPr>
                <w:sz w:val="16"/>
              </w:rPr>
              <w:t>213.7%</w:t>
            </w:r>
          </w:p>
        </w:tc>
        <w:tc>
          <w:tcPr>
            <w:tcW w:w="60" w:type="dxa"/>
            <w:tcBorders>
              <w:top w:val="single" w:sz="6" w:space="0" w:color="000000"/>
            </w:tcBorders>
            <w:shd w:fill="CCE2F1" w:val="clear"/>
            <w:tcMar>
              <w:top w:w="28" w:type="dxa"/>
            </w:tcMar>
            <w:vAlign w:val="center"/>
          </w:tcPr>
          <w:p>
            <w:pPr>
              <w:pStyle w:val="TableContents"/>
              <w:bidi w:val="0"/>
              <w:spacing w:before="0" w:after="283"/>
              <w:jc w:val="left"/>
              <w:rPr/>
            </w:pPr>
            <w:r>
              <w:rPr/>
              <w:t> </w:t>
            </w:r>
          </w:p>
        </w:tc>
        <w:tc>
          <w:tcPr>
            <w:tcW w:w="60" w:type="dxa"/>
            <w:tcBorders>
              <w:top w:val="single" w:sz="6" w:space="0" w:color="000000"/>
            </w:tcBorders>
            <w:shd w:fill="CCE2F1" w:val="clear"/>
            <w:tcMar>
              <w:top w:w="28" w:type="dxa"/>
            </w:tcMar>
            <w:vAlign w:val="center"/>
          </w:tcPr>
          <w:p>
            <w:pPr>
              <w:pStyle w:val="TableContents"/>
              <w:bidi w:val="0"/>
              <w:spacing w:before="0" w:after="283"/>
              <w:jc w:val="left"/>
              <w:rPr/>
            </w:pPr>
            <w:r>
              <w:rPr/>
              <w:t> </w:t>
            </w:r>
          </w:p>
        </w:tc>
        <w:tc>
          <w:tcPr>
            <w:tcW w:w="60" w:type="dxa"/>
            <w:tcBorders>
              <w:top w:val="single" w:sz="6" w:space="0" w:color="000000"/>
            </w:tcBorders>
            <w:shd w:fill="CCE2F1" w:val="clear"/>
            <w:tcMar>
              <w:top w:w="28" w:type="dxa"/>
            </w:tcMar>
            <w:vAlign w:val="center"/>
          </w:tcPr>
          <w:p>
            <w:pPr>
              <w:pStyle w:val="TableContents"/>
              <w:bidi w:val="0"/>
              <w:spacing w:before="0" w:after="283"/>
              <w:jc w:val="left"/>
              <w:rPr/>
            </w:pPr>
            <w:r>
              <w:rPr/>
              <w:t> </w:t>
            </w:r>
          </w:p>
        </w:tc>
        <w:tc>
          <w:tcPr>
            <w:tcW w:w="800" w:type="dxa"/>
            <w:tcBorders>
              <w:top w:val="single" w:sz="6" w:space="0" w:color="000000"/>
            </w:tcBorders>
            <w:shd w:fill="CCE2F1" w:val="clear"/>
            <w:tcMar>
              <w:top w:w="28" w:type="dxa"/>
            </w:tcMar>
            <w:vAlign w:val="center"/>
          </w:tcPr>
          <w:p>
            <w:pPr>
              <w:pStyle w:val="TableContents"/>
              <w:bidi w:val="0"/>
              <w:spacing w:before="0" w:after="283"/>
              <w:jc w:val="right"/>
              <w:rPr>
                <w:sz w:val="16"/>
              </w:rPr>
            </w:pPr>
            <w:r>
              <w:rPr>
                <w:sz w:val="16"/>
              </w:rPr>
              <w:t>64.1%</w:t>
            </w:r>
          </w:p>
        </w:tc>
        <w:tc>
          <w:tcPr>
            <w:tcW w:w="60" w:type="dxa"/>
            <w:tcBorders>
              <w:top w:val="single" w:sz="6" w:space="0" w:color="000000"/>
              <w:right w:val="single" w:sz="6" w:space="0" w:color="000000"/>
            </w:tcBorders>
            <w:shd w:fill="CCE2F1" w:val="clear"/>
            <w:tcMar>
              <w:top w:w="28" w:type="dxa"/>
              <w:right w:w="28" w:type="dxa"/>
            </w:tcMar>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7215" w:type="dxa"/>
            <w:vMerge w:val="continue"/>
            <w:tcBorders/>
            <w:vAlign w:val="center"/>
          </w:tcPr>
          <w:p>
            <w:pPr>
              <w:pStyle w:val="Normal"/>
              <w:bidi w:val="0"/>
              <w:jc w:val="left"/>
              <w:rPr/>
            </w:pPr>
            <w:r>
              <w:rPr/>
            </w:r>
          </w:p>
        </w:tc>
      </w:tr>
      <w:tr>
        <w:trPr/>
        <w:tc>
          <w:tcPr>
            <w:tcW w:w="1115" w:type="dxa"/>
            <w:tcBorders>
              <w:left w:val="single" w:sz="6" w:space="0" w:color="000000"/>
              <w:bottom w:val="single" w:sz="6" w:space="0" w:color="000000"/>
            </w:tcBorders>
            <w:tcMar>
              <w:left w:w="160" w:type="dxa"/>
              <w:bottom w:w="28" w:type="dxa"/>
            </w:tcMar>
            <w:vAlign w:val="center"/>
          </w:tcPr>
          <w:p>
            <w:pPr>
              <w:pStyle w:val="TableContents"/>
              <w:bidi w:val="0"/>
              <w:spacing w:before="0" w:after="0"/>
              <w:jc w:val="left"/>
              <w:rPr>
                <w:rFonts w:ascii="arial" w:hAnsi="arial"/>
                <w:sz w:val="16"/>
              </w:rPr>
            </w:pPr>
            <w:r>
              <w:rPr>
                <w:rFonts w:ascii="arial" w:hAnsi="arial"/>
                <w:sz w:val="16"/>
              </w:rPr>
              <w:t>Non-GAAP Net Income(1)</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70" w:type="dxa"/>
            <w:tcBorders>
              <w:bottom w:val="single" w:sz="6" w:space="0" w:color="000000"/>
            </w:tcBorders>
            <w:tcMar>
              <w:bottom w:w="28" w:type="dxa"/>
            </w:tcMar>
            <w:vAlign w:val="center"/>
          </w:tcPr>
          <w:p>
            <w:pPr>
              <w:pStyle w:val="TableContents"/>
              <w:bidi w:val="0"/>
              <w:spacing w:before="0" w:after="283"/>
              <w:jc w:val="right"/>
              <w:rPr>
                <w:sz w:val="16"/>
              </w:rPr>
            </w:pPr>
            <w:r>
              <w:rPr>
                <w:sz w:val="16"/>
              </w:rPr>
              <w:t>30%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55" w:type="dxa"/>
            <w:tcBorders>
              <w:bottom w:val="single" w:sz="6" w:space="0" w:color="000000"/>
            </w:tcBorders>
            <w:tcMar>
              <w:bottom w:w="28" w:type="dxa"/>
            </w:tcMar>
            <w:vAlign w:val="center"/>
          </w:tcPr>
          <w:p>
            <w:pPr>
              <w:pStyle w:val="TableContents"/>
              <w:bidi w:val="0"/>
              <w:spacing w:before="0" w:after="283"/>
              <w:jc w:val="right"/>
              <w:rPr>
                <w:sz w:val="16"/>
              </w:rPr>
            </w:pPr>
            <w:r>
              <w:rPr>
                <w:sz w:val="16"/>
              </w:rPr>
              <w:t>152.4%</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00" w:type="dxa"/>
            <w:tcBorders>
              <w:bottom w:val="single" w:sz="6" w:space="0" w:color="000000"/>
            </w:tcBorders>
            <w:tcMar>
              <w:bottom w:w="28" w:type="dxa"/>
            </w:tcMar>
            <w:vAlign w:val="center"/>
          </w:tcPr>
          <w:p>
            <w:pPr>
              <w:pStyle w:val="TableContents"/>
              <w:bidi w:val="0"/>
              <w:spacing w:before="0" w:after="283"/>
              <w:jc w:val="right"/>
              <w:rPr>
                <w:sz w:val="16"/>
              </w:rPr>
            </w:pPr>
            <w:r>
              <w:rPr>
                <w:sz w:val="16"/>
              </w:rPr>
              <w:t>45.7%</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7215" w:type="dxa"/>
            <w:vMerge w:val="continue"/>
            <w:tcBorders/>
            <w:vAlign w:val="center"/>
          </w:tcPr>
          <w:p>
            <w:pPr>
              <w:pStyle w:val="Normal"/>
              <w:bidi w:val="0"/>
              <w:jc w:val="left"/>
              <w:rPr/>
            </w:pPr>
            <w:r>
              <w:rPr/>
            </w:r>
          </w:p>
        </w:tc>
      </w:tr>
      <w:tr>
        <w:trPr/>
        <w:tc>
          <w:tcPr>
            <w:tcW w:w="2940" w:type="dxa"/>
            <w:gridSpan w:val="8"/>
            <w:tcBorders>
              <w:left w:val="single" w:sz="6" w:space="0" w:color="000000"/>
            </w:tcBorders>
            <w:shd w:fill="0171B9" w:val="clear"/>
            <w:tcMar>
              <w:left w:w="160" w:type="dxa"/>
            </w:tcMar>
            <w:vAlign w:val="center"/>
          </w:tcPr>
          <w:p>
            <w:pPr>
              <w:pStyle w:val="TableContents"/>
              <w:bidi w:val="0"/>
              <w:spacing w:before="0" w:after="0"/>
              <w:jc w:val="left"/>
              <w:rPr>
                <w:rFonts w:ascii="arial" w:hAnsi="arial"/>
                <w:b/>
                <w:color w:val="FFFFFF"/>
                <w:sz w:val="16"/>
              </w:rPr>
            </w:pPr>
            <w:r>
              <w:rPr>
                <w:rFonts w:ascii="arial" w:hAnsi="arial"/>
                <w:b/>
                <w:color w:val="FFFFFF"/>
                <w:sz w:val="16"/>
              </w:rPr>
              <w:t>Progress Innovative Pipeline</w:t>
            </w:r>
          </w:p>
        </w:tc>
        <w:tc>
          <w:tcPr>
            <w:tcW w:w="60" w:type="dxa"/>
            <w:tcBorders/>
            <w:shd w:fill="0171B9" w:val="clear"/>
            <w:vAlign w:val="center"/>
          </w:tcPr>
          <w:p>
            <w:pPr>
              <w:pStyle w:val="TableContents"/>
              <w:bidi w:val="0"/>
              <w:spacing w:before="0" w:after="0"/>
              <w:jc w:val="left"/>
              <w:rPr>
                <w:color w:val="FFFFFF"/>
              </w:rPr>
            </w:pPr>
            <w:r>
              <w:rPr>
                <w:color w:val="FFFFFF"/>
              </w:rPr>
              <w:t> </w:t>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color w:val="FFFFFF"/>
              </w:rPr>
            </w:pPr>
            <w:r>
              <w:rPr>
                <w:color w:val="FFFFFF"/>
              </w:rPr>
              <w:t> </w:t>
            </w:r>
          </w:p>
        </w:tc>
        <w:tc>
          <w:tcPr>
            <w:tcW w:w="800" w:type="dxa"/>
            <w:tcBorders/>
            <w:shd w:fill="0171B9" w:val="clear"/>
            <w:vAlign w:val="center"/>
          </w:tcPr>
          <w:p>
            <w:pPr>
              <w:pStyle w:val="TableContents"/>
              <w:bidi w:val="0"/>
              <w:spacing w:before="0" w:after="283"/>
              <w:jc w:val="right"/>
              <w:rPr>
                <w:b/>
                <w:color w:val="FFFFFF"/>
                <w:sz w:val="16"/>
              </w:rPr>
            </w:pPr>
            <w:r>
              <w:rPr>
                <w:b/>
                <w:color w:val="FFFFFF"/>
                <w:sz w:val="16"/>
              </w:rPr>
              <w:t>28.3%</w:t>
            </w:r>
          </w:p>
        </w:tc>
        <w:tc>
          <w:tcPr>
            <w:tcW w:w="60" w:type="dxa"/>
            <w:tcBorders>
              <w:right w:val="single" w:sz="6" w:space="0" w:color="000000"/>
            </w:tcBorders>
            <w:shd w:fill="0171B9" w:val="clear"/>
            <w:tcMar>
              <w:right w:w="28" w:type="dxa"/>
            </w:tcMar>
            <w:vAlign w:val="center"/>
          </w:tcPr>
          <w:p>
            <w:pPr>
              <w:pStyle w:val="TableContents"/>
              <w:bidi w:val="0"/>
              <w:spacing w:before="0" w:after="283"/>
              <w:jc w:val="left"/>
              <w:rPr>
                <w:color w:val="FFFFFF"/>
              </w:rPr>
            </w:pPr>
            <w:r>
              <w:rPr>
                <w:color w:val="FFFFFF"/>
              </w:rPr>
              <w:t> </w:t>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7215" w:type="dxa"/>
            <w:vMerge w:val="continue"/>
            <w:tcBorders/>
            <w:vAlign w:val="center"/>
          </w:tcPr>
          <w:p>
            <w:pPr>
              <w:pStyle w:val="Normal"/>
              <w:bidi w:val="0"/>
              <w:jc w:val="left"/>
              <w:rPr/>
            </w:pPr>
            <w:r>
              <w:rPr/>
            </w:r>
          </w:p>
        </w:tc>
      </w:tr>
      <w:tr>
        <w:trPr/>
        <w:tc>
          <w:tcPr>
            <w:tcW w:w="1115" w:type="dxa"/>
            <w:tcBorders>
              <w:top w:val="single" w:sz="6" w:space="0" w:color="000000"/>
              <w:left w:val="single" w:sz="6" w:space="0" w:color="000000"/>
            </w:tcBorders>
            <w:shd w:fill="CCE2F1" w:val="clear"/>
            <w:tcMar>
              <w:top w:w="28" w:type="dxa"/>
              <w:left w:w="160" w:type="dxa"/>
            </w:tcMar>
            <w:vAlign w:val="center"/>
          </w:tcPr>
          <w:p>
            <w:pPr>
              <w:pStyle w:val="TableContents"/>
              <w:bidi w:val="0"/>
              <w:spacing w:before="0" w:after="0"/>
              <w:jc w:val="left"/>
              <w:rPr>
                <w:rFonts w:ascii="arial" w:hAnsi="arial"/>
                <w:sz w:val="16"/>
              </w:rPr>
            </w:pPr>
            <w:r>
              <w:rPr>
                <w:rFonts w:ascii="arial" w:hAnsi="arial"/>
                <w:sz w:val="16"/>
              </w:rPr>
              <w:t>Advance Early Pipeline</w:t>
            </w:r>
          </w:p>
        </w:tc>
        <w:tc>
          <w:tcPr>
            <w:tcW w:w="60" w:type="dxa"/>
            <w:tcBorders>
              <w:top w:val="single" w:sz="6" w:space="0" w:color="000000"/>
            </w:tcBorders>
            <w:shd w:fill="CCE2F1" w:val="clear"/>
            <w:tcMar>
              <w:top w:w="28" w:type="dxa"/>
            </w:tcMar>
            <w:vAlign w:val="center"/>
          </w:tcPr>
          <w:p>
            <w:pPr>
              <w:pStyle w:val="TableContents"/>
              <w:bidi w:val="0"/>
              <w:spacing w:before="0" w:after="283"/>
              <w:jc w:val="left"/>
              <w:rPr/>
            </w:pPr>
            <w:r>
              <w:rPr/>
              <w:t> </w:t>
            </w:r>
          </w:p>
        </w:tc>
        <w:tc>
          <w:tcPr>
            <w:tcW w:w="60" w:type="dxa"/>
            <w:tcBorders>
              <w:top w:val="single" w:sz="6" w:space="0" w:color="000000"/>
            </w:tcBorders>
            <w:shd w:fill="CCE2F1" w:val="clear"/>
            <w:tcMar>
              <w:top w:w="28" w:type="dxa"/>
            </w:tcMar>
            <w:vAlign w:val="center"/>
          </w:tcPr>
          <w:p>
            <w:pPr>
              <w:pStyle w:val="TableContents"/>
              <w:bidi w:val="0"/>
              <w:spacing w:before="0" w:after="283"/>
              <w:jc w:val="left"/>
              <w:rPr/>
            </w:pPr>
            <w:r>
              <w:rPr/>
              <w:t> </w:t>
            </w:r>
          </w:p>
        </w:tc>
        <w:tc>
          <w:tcPr>
            <w:tcW w:w="770" w:type="dxa"/>
            <w:tcBorders>
              <w:top w:val="single" w:sz="6" w:space="0" w:color="000000"/>
            </w:tcBorders>
            <w:shd w:fill="CCE2F1" w:val="clear"/>
            <w:tcMar>
              <w:top w:w="28" w:type="dxa"/>
            </w:tcMar>
            <w:vAlign w:val="center"/>
          </w:tcPr>
          <w:p>
            <w:pPr>
              <w:pStyle w:val="TableContents"/>
              <w:bidi w:val="0"/>
              <w:spacing w:before="0" w:after="283"/>
              <w:jc w:val="right"/>
              <w:rPr/>
            </w:pPr>
            <w:r>
              <w:rPr/>
              <w:t>10%</w:t>
            </w:r>
          </w:p>
        </w:tc>
        <w:tc>
          <w:tcPr>
            <w:tcW w:w="60" w:type="dxa"/>
            <w:tcBorders>
              <w:top w:val="single" w:sz="6" w:space="0" w:color="000000"/>
            </w:tcBorders>
            <w:shd w:fill="CCE2F1" w:val="clear"/>
            <w:tcMar>
              <w:top w:w="28" w:type="dxa"/>
            </w:tcMar>
            <w:vAlign w:val="center"/>
          </w:tcPr>
          <w:p>
            <w:pPr>
              <w:pStyle w:val="TableContents"/>
              <w:bidi w:val="0"/>
              <w:spacing w:before="0" w:after="283"/>
              <w:jc w:val="left"/>
              <w:rPr/>
            </w:pPr>
            <w:r>
              <w:rPr/>
              <w:t> </w:t>
            </w:r>
          </w:p>
        </w:tc>
        <w:tc>
          <w:tcPr>
            <w:tcW w:w="60" w:type="dxa"/>
            <w:tcBorders>
              <w:top w:val="single" w:sz="6" w:space="0" w:color="000000"/>
            </w:tcBorders>
            <w:shd w:fill="CCE2F1" w:val="clear"/>
            <w:tcMar>
              <w:top w:w="28" w:type="dxa"/>
            </w:tcMar>
            <w:vAlign w:val="center"/>
          </w:tcPr>
          <w:p>
            <w:pPr>
              <w:pStyle w:val="TableContents"/>
              <w:bidi w:val="0"/>
              <w:spacing w:before="0" w:after="283"/>
              <w:jc w:val="left"/>
              <w:rPr/>
            </w:pPr>
            <w:r>
              <w:rPr/>
              <w:t> </w:t>
            </w:r>
          </w:p>
        </w:tc>
        <w:tc>
          <w:tcPr>
            <w:tcW w:w="60" w:type="dxa"/>
            <w:tcBorders>
              <w:top w:val="single" w:sz="6" w:space="0" w:color="000000"/>
            </w:tcBorders>
            <w:shd w:fill="CCE2F1" w:val="clear"/>
            <w:tcMar>
              <w:top w:w="28" w:type="dxa"/>
            </w:tcMar>
            <w:vAlign w:val="center"/>
          </w:tcPr>
          <w:p>
            <w:pPr>
              <w:pStyle w:val="TableContents"/>
              <w:bidi w:val="0"/>
              <w:spacing w:before="0" w:after="283"/>
              <w:jc w:val="left"/>
              <w:rPr/>
            </w:pPr>
            <w:r>
              <w:rPr/>
              <w:t> </w:t>
            </w:r>
          </w:p>
        </w:tc>
        <w:tc>
          <w:tcPr>
            <w:tcW w:w="755" w:type="dxa"/>
            <w:tcBorders>
              <w:top w:val="single" w:sz="6" w:space="0" w:color="000000"/>
            </w:tcBorders>
            <w:shd w:fill="CCE2F1" w:val="clear"/>
            <w:tcMar>
              <w:top w:w="28" w:type="dxa"/>
            </w:tcMar>
            <w:vAlign w:val="center"/>
          </w:tcPr>
          <w:p>
            <w:pPr>
              <w:pStyle w:val="TableContents"/>
              <w:bidi w:val="0"/>
              <w:spacing w:before="0" w:after="283"/>
              <w:jc w:val="right"/>
              <w:rPr/>
            </w:pPr>
            <w:r>
              <w:rPr/>
              <w:t>100.0%</w:t>
            </w:r>
          </w:p>
        </w:tc>
        <w:tc>
          <w:tcPr>
            <w:tcW w:w="60" w:type="dxa"/>
            <w:tcBorders>
              <w:top w:val="single" w:sz="6" w:space="0" w:color="000000"/>
            </w:tcBorders>
            <w:shd w:fill="CCE2F1" w:val="clear"/>
            <w:tcMar>
              <w:top w:w="28" w:type="dxa"/>
            </w:tcMar>
            <w:vAlign w:val="center"/>
          </w:tcPr>
          <w:p>
            <w:pPr>
              <w:pStyle w:val="TableContents"/>
              <w:bidi w:val="0"/>
              <w:spacing w:before="0" w:after="283"/>
              <w:jc w:val="left"/>
              <w:rPr/>
            </w:pPr>
            <w:r>
              <w:rPr/>
              <w:t> </w:t>
            </w:r>
          </w:p>
        </w:tc>
        <w:tc>
          <w:tcPr>
            <w:tcW w:w="60" w:type="dxa"/>
            <w:tcBorders>
              <w:top w:val="single" w:sz="6" w:space="0" w:color="000000"/>
            </w:tcBorders>
            <w:shd w:fill="CCE2F1" w:val="clear"/>
            <w:tcMar>
              <w:top w:w="28" w:type="dxa"/>
            </w:tcMar>
            <w:vAlign w:val="center"/>
          </w:tcPr>
          <w:p>
            <w:pPr>
              <w:pStyle w:val="TableContents"/>
              <w:bidi w:val="0"/>
              <w:spacing w:before="0" w:after="283"/>
              <w:jc w:val="left"/>
              <w:rPr/>
            </w:pPr>
            <w:r>
              <w:rPr/>
              <w:t> </w:t>
            </w:r>
          </w:p>
        </w:tc>
        <w:tc>
          <w:tcPr>
            <w:tcW w:w="60" w:type="dxa"/>
            <w:tcBorders>
              <w:top w:val="single" w:sz="6" w:space="0" w:color="000000"/>
            </w:tcBorders>
            <w:shd w:fill="CCE2F1" w:val="clear"/>
            <w:tcMar>
              <w:top w:w="28" w:type="dxa"/>
            </w:tcMar>
            <w:vAlign w:val="center"/>
          </w:tcPr>
          <w:p>
            <w:pPr>
              <w:pStyle w:val="TableContents"/>
              <w:bidi w:val="0"/>
              <w:spacing w:before="0" w:after="283"/>
              <w:jc w:val="left"/>
              <w:rPr/>
            </w:pPr>
            <w:r>
              <w:rPr/>
              <w:t> </w:t>
            </w:r>
          </w:p>
        </w:tc>
        <w:tc>
          <w:tcPr>
            <w:tcW w:w="800" w:type="dxa"/>
            <w:tcBorders>
              <w:top w:val="single" w:sz="6" w:space="0" w:color="000000"/>
            </w:tcBorders>
            <w:shd w:fill="CCE2F1" w:val="clear"/>
            <w:tcMar>
              <w:top w:w="28" w:type="dxa"/>
            </w:tcMar>
            <w:vAlign w:val="center"/>
          </w:tcPr>
          <w:p>
            <w:pPr>
              <w:pStyle w:val="TableContents"/>
              <w:bidi w:val="0"/>
              <w:spacing w:before="0" w:after="283"/>
              <w:jc w:val="right"/>
              <w:rPr/>
            </w:pPr>
            <w:r>
              <w:rPr/>
              <w:t>10.0%</w:t>
            </w:r>
          </w:p>
        </w:tc>
        <w:tc>
          <w:tcPr>
            <w:tcW w:w="60" w:type="dxa"/>
            <w:tcBorders>
              <w:top w:val="single" w:sz="6" w:space="0" w:color="000000"/>
              <w:right w:val="single" w:sz="6" w:space="0" w:color="000000"/>
            </w:tcBorders>
            <w:shd w:fill="CCE2F1" w:val="clear"/>
            <w:tcMar>
              <w:top w:w="28" w:type="dxa"/>
              <w:right w:w="28" w:type="dxa"/>
            </w:tcMar>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7215" w:type="dxa"/>
            <w:vMerge w:val="continue"/>
            <w:tcBorders/>
            <w:vAlign w:val="center"/>
          </w:tcPr>
          <w:p>
            <w:pPr>
              <w:pStyle w:val="Normal"/>
              <w:bidi w:val="0"/>
              <w:jc w:val="left"/>
              <w:rPr/>
            </w:pPr>
            <w:r>
              <w:rPr/>
            </w:r>
          </w:p>
        </w:tc>
      </w:tr>
      <w:tr>
        <w:trPr/>
        <w:tc>
          <w:tcPr>
            <w:tcW w:w="1115" w:type="dxa"/>
            <w:tcBorders>
              <w:left w:val="single" w:sz="6" w:space="0" w:color="000000"/>
              <w:bottom w:val="single" w:sz="6" w:space="0" w:color="000000"/>
            </w:tcBorders>
            <w:tcMar>
              <w:left w:w="160" w:type="dxa"/>
              <w:bottom w:w="28" w:type="dxa"/>
            </w:tcMar>
            <w:vAlign w:val="center"/>
          </w:tcPr>
          <w:p>
            <w:pPr>
              <w:pStyle w:val="TableContents"/>
              <w:bidi w:val="0"/>
              <w:spacing w:before="0" w:after="0"/>
              <w:jc w:val="left"/>
              <w:rPr>
                <w:rFonts w:ascii="arial" w:hAnsi="arial"/>
                <w:sz w:val="16"/>
              </w:rPr>
            </w:pPr>
            <w:r>
              <w:rPr>
                <w:rFonts w:ascii="arial" w:hAnsi="arial"/>
                <w:sz w:val="16"/>
              </w:rPr>
              <w:t>Execute Key Clinical Studies and Regulatory Filings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70" w:type="dxa"/>
            <w:tcBorders>
              <w:bottom w:val="single" w:sz="6" w:space="0" w:color="000000"/>
            </w:tcBorders>
            <w:tcMar>
              <w:bottom w:w="28" w:type="dxa"/>
            </w:tcMar>
            <w:vAlign w:val="center"/>
          </w:tcPr>
          <w:p>
            <w:pPr>
              <w:pStyle w:val="TableContents"/>
              <w:bidi w:val="0"/>
              <w:spacing w:before="0" w:after="283"/>
              <w:jc w:val="right"/>
              <w:rPr>
                <w:sz w:val="16"/>
              </w:rPr>
            </w:pPr>
            <w:r>
              <w:rPr>
                <w:sz w:val="16"/>
              </w:rPr>
              <w:t>20%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55" w:type="dxa"/>
            <w:tcBorders>
              <w:bottom w:val="single" w:sz="6" w:space="0" w:color="000000"/>
            </w:tcBorders>
            <w:tcMar>
              <w:bottom w:w="28" w:type="dxa"/>
            </w:tcMar>
            <w:vAlign w:val="center"/>
          </w:tcPr>
          <w:p>
            <w:pPr>
              <w:pStyle w:val="TableContents"/>
              <w:bidi w:val="0"/>
              <w:spacing w:before="0" w:after="283"/>
              <w:jc w:val="right"/>
              <w:rPr>
                <w:sz w:val="16"/>
              </w:rPr>
            </w:pPr>
            <w:r>
              <w:rPr>
                <w:sz w:val="16"/>
              </w:rPr>
              <w:t>91.6%</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00" w:type="dxa"/>
            <w:tcBorders>
              <w:bottom w:val="single" w:sz="6" w:space="0" w:color="000000"/>
            </w:tcBorders>
            <w:tcMar>
              <w:bottom w:w="28" w:type="dxa"/>
            </w:tcMar>
            <w:vAlign w:val="center"/>
          </w:tcPr>
          <w:p>
            <w:pPr>
              <w:pStyle w:val="TableContents"/>
              <w:bidi w:val="0"/>
              <w:spacing w:before="0" w:after="283"/>
              <w:jc w:val="right"/>
              <w:rPr>
                <w:sz w:val="16"/>
              </w:rPr>
            </w:pPr>
            <w:r>
              <w:rPr>
                <w:sz w:val="16"/>
              </w:rPr>
              <w:t>18.3%</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7215" w:type="dxa"/>
            <w:vMerge w:val="continue"/>
            <w:tcBorders/>
            <w:vAlign w:val="center"/>
          </w:tcPr>
          <w:p>
            <w:pPr>
              <w:pStyle w:val="Normal"/>
              <w:bidi w:val="0"/>
              <w:jc w:val="left"/>
              <w:rPr/>
            </w:pPr>
            <w:r>
              <w:rPr/>
            </w:r>
          </w:p>
        </w:tc>
      </w:tr>
      <w:tr>
        <w:trPr/>
        <w:tc>
          <w:tcPr>
            <w:tcW w:w="2940" w:type="dxa"/>
            <w:gridSpan w:val="8"/>
            <w:tcBorders>
              <w:left w:val="single" w:sz="6" w:space="0" w:color="000000"/>
            </w:tcBorders>
            <w:shd w:fill="0171B9" w:val="clear"/>
            <w:tcMar>
              <w:left w:w="160" w:type="dxa"/>
            </w:tcMar>
            <w:vAlign w:val="center"/>
          </w:tcPr>
          <w:p>
            <w:pPr>
              <w:pStyle w:val="TableContents"/>
              <w:bidi w:val="0"/>
              <w:spacing w:before="0" w:after="0"/>
              <w:jc w:val="left"/>
              <w:rPr>
                <w:rFonts w:ascii="arial" w:hAnsi="arial"/>
                <w:b/>
                <w:color w:val="FFFFFF"/>
                <w:sz w:val="16"/>
              </w:rPr>
            </w:pPr>
            <w:r>
              <w:rPr>
                <w:rFonts w:ascii="arial" w:hAnsi="arial"/>
                <w:b/>
                <w:color w:val="FFFFFF"/>
                <w:sz w:val="16"/>
              </w:rPr>
              <w:t>Deliver Annual Priorities</w:t>
            </w:r>
          </w:p>
        </w:tc>
        <w:tc>
          <w:tcPr>
            <w:tcW w:w="60" w:type="dxa"/>
            <w:tcBorders/>
            <w:shd w:fill="0171B9" w:val="clear"/>
            <w:vAlign w:val="center"/>
          </w:tcPr>
          <w:p>
            <w:pPr>
              <w:pStyle w:val="TableContents"/>
              <w:bidi w:val="0"/>
              <w:spacing w:before="0" w:after="0"/>
              <w:jc w:val="left"/>
              <w:rPr>
                <w:color w:val="FFFFFF"/>
              </w:rPr>
            </w:pPr>
            <w:r>
              <w:rPr>
                <w:color w:val="FFFFFF"/>
              </w:rPr>
              <w:t> </w:t>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color w:val="FFFFFF"/>
              </w:rPr>
            </w:pPr>
            <w:r>
              <w:rPr>
                <w:color w:val="FFFFFF"/>
              </w:rPr>
              <w:t> </w:t>
            </w:r>
          </w:p>
        </w:tc>
        <w:tc>
          <w:tcPr>
            <w:tcW w:w="800" w:type="dxa"/>
            <w:tcBorders/>
            <w:shd w:fill="0171B9" w:val="clear"/>
            <w:vAlign w:val="center"/>
          </w:tcPr>
          <w:p>
            <w:pPr>
              <w:pStyle w:val="TableContents"/>
              <w:bidi w:val="0"/>
              <w:spacing w:before="0" w:after="283"/>
              <w:jc w:val="right"/>
              <w:rPr>
                <w:b/>
                <w:color w:val="FFFFFF"/>
                <w:sz w:val="16"/>
              </w:rPr>
            </w:pPr>
            <w:r>
              <w:rPr>
                <w:b/>
                <w:color w:val="FFFFFF"/>
                <w:sz w:val="16"/>
              </w:rPr>
              <w:t>21.2%</w:t>
            </w:r>
          </w:p>
        </w:tc>
        <w:tc>
          <w:tcPr>
            <w:tcW w:w="60" w:type="dxa"/>
            <w:tcBorders>
              <w:right w:val="single" w:sz="6" w:space="0" w:color="000000"/>
            </w:tcBorders>
            <w:shd w:fill="0171B9" w:val="clear"/>
            <w:tcMar>
              <w:right w:w="28" w:type="dxa"/>
            </w:tcMar>
            <w:vAlign w:val="center"/>
          </w:tcPr>
          <w:p>
            <w:pPr>
              <w:pStyle w:val="TableContents"/>
              <w:bidi w:val="0"/>
              <w:spacing w:before="0" w:after="283"/>
              <w:jc w:val="left"/>
              <w:rPr>
                <w:color w:val="FFFFFF"/>
              </w:rPr>
            </w:pPr>
            <w:r>
              <w:rPr>
                <w:color w:val="FFFFFF"/>
              </w:rPr>
              <w:t> </w:t>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7215" w:type="dxa"/>
            <w:vMerge w:val="continue"/>
            <w:tcBorders/>
            <w:vAlign w:val="center"/>
          </w:tcPr>
          <w:p>
            <w:pPr>
              <w:pStyle w:val="Normal"/>
              <w:bidi w:val="0"/>
              <w:jc w:val="left"/>
              <w:rPr/>
            </w:pPr>
            <w:r>
              <w:rPr/>
            </w:r>
          </w:p>
        </w:tc>
      </w:tr>
      <w:tr>
        <w:trPr/>
        <w:tc>
          <w:tcPr>
            <w:tcW w:w="1115" w:type="dxa"/>
            <w:tcBorders>
              <w:top w:val="single" w:sz="6" w:space="0" w:color="000000"/>
              <w:left w:val="single" w:sz="6" w:space="0" w:color="000000"/>
            </w:tcBorders>
            <w:shd w:fill="CCE2F1" w:val="clear"/>
            <w:tcMar>
              <w:top w:w="28" w:type="dxa"/>
              <w:left w:w="160" w:type="dxa"/>
            </w:tcMar>
            <w:vAlign w:val="center"/>
          </w:tcPr>
          <w:p>
            <w:pPr>
              <w:pStyle w:val="TableContents"/>
              <w:bidi w:val="0"/>
              <w:spacing w:before="0" w:after="0"/>
              <w:jc w:val="left"/>
              <w:rPr>
                <w:rFonts w:ascii="arial" w:hAnsi="arial"/>
                <w:sz w:val="16"/>
              </w:rPr>
            </w:pPr>
            <w:r>
              <w:rPr>
                <w:rFonts w:ascii="arial" w:hAnsi="arial"/>
                <w:sz w:val="16"/>
              </w:rPr>
              <w:t>Environmental, Social, and Governance</w:t>
            </w:r>
          </w:p>
        </w:tc>
        <w:tc>
          <w:tcPr>
            <w:tcW w:w="60" w:type="dxa"/>
            <w:tcBorders>
              <w:top w:val="single" w:sz="6" w:space="0" w:color="000000"/>
            </w:tcBorders>
            <w:shd w:fill="CCE2F1" w:val="clear"/>
            <w:tcMar>
              <w:top w:w="28" w:type="dxa"/>
            </w:tcMar>
            <w:vAlign w:val="center"/>
          </w:tcPr>
          <w:p>
            <w:pPr>
              <w:pStyle w:val="TableContents"/>
              <w:bidi w:val="0"/>
              <w:spacing w:before="0" w:after="283"/>
              <w:jc w:val="left"/>
              <w:rPr/>
            </w:pPr>
            <w:r>
              <w:rPr/>
              <w:t> </w:t>
            </w:r>
          </w:p>
        </w:tc>
        <w:tc>
          <w:tcPr>
            <w:tcW w:w="60" w:type="dxa"/>
            <w:tcBorders>
              <w:top w:val="single" w:sz="6" w:space="0" w:color="000000"/>
            </w:tcBorders>
            <w:shd w:fill="CCE2F1" w:val="clear"/>
            <w:tcMar>
              <w:top w:w="28" w:type="dxa"/>
            </w:tcMar>
            <w:vAlign w:val="center"/>
          </w:tcPr>
          <w:p>
            <w:pPr>
              <w:pStyle w:val="TableContents"/>
              <w:bidi w:val="0"/>
              <w:spacing w:before="0" w:after="283"/>
              <w:jc w:val="left"/>
              <w:rPr/>
            </w:pPr>
            <w:r>
              <w:rPr/>
              <w:t> </w:t>
            </w:r>
          </w:p>
        </w:tc>
        <w:tc>
          <w:tcPr>
            <w:tcW w:w="770" w:type="dxa"/>
            <w:tcBorders>
              <w:top w:val="single" w:sz="6" w:space="0" w:color="000000"/>
            </w:tcBorders>
            <w:shd w:fill="CCE2F1" w:val="clear"/>
            <w:tcMar>
              <w:top w:w="28" w:type="dxa"/>
            </w:tcMar>
            <w:vAlign w:val="center"/>
          </w:tcPr>
          <w:p>
            <w:pPr>
              <w:pStyle w:val="TableContents"/>
              <w:bidi w:val="0"/>
              <w:spacing w:before="0" w:after="283"/>
              <w:jc w:val="right"/>
              <w:rPr>
                <w:sz w:val="16"/>
              </w:rPr>
            </w:pPr>
            <w:r>
              <w:rPr>
                <w:sz w:val="16"/>
              </w:rPr>
              <w:t>5%</w:t>
            </w:r>
          </w:p>
        </w:tc>
        <w:tc>
          <w:tcPr>
            <w:tcW w:w="60" w:type="dxa"/>
            <w:tcBorders>
              <w:top w:val="single" w:sz="6" w:space="0" w:color="000000"/>
            </w:tcBorders>
            <w:shd w:fill="CCE2F1" w:val="clear"/>
            <w:tcMar>
              <w:top w:w="28" w:type="dxa"/>
            </w:tcMar>
            <w:vAlign w:val="center"/>
          </w:tcPr>
          <w:p>
            <w:pPr>
              <w:pStyle w:val="TableContents"/>
              <w:bidi w:val="0"/>
              <w:spacing w:before="0" w:after="283"/>
              <w:jc w:val="left"/>
              <w:rPr/>
            </w:pPr>
            <w:r>
              <w:rPr/>
              <w:t> </w:t>
            </w:r>
          </w:p>
        </w:tc>
        <w:tc>
          <w:tcPr>
            <w:tcW w:w="60" w:type="dxa"/>
            <w:tcBorders>
              <w:top w:val="single" w:sz="6" w:space="0" w:color="000000"/>
            </w:tcBorders>
            <w:shd w:fill="CCE2F1" w:val="clear"/>
            <w:tcMar>
              <w:top w:w="28" w:type="dxa"/>
            </w:tcMar>
            <w:vAlign w:val="center"/>
          </w:tcPr>
          <w:p>
            <w:pPr>
              <w:pStyle w:val="TableContents"/>
              <w:bidi w:val="0"/>
              <w:spacing w:before="0" w:after="283"/>
              <w:jc w:val="left"/>
              <w:rPr/>
            </w:pPr>
            <w:r>
              <w:rPr/>
              <w:t> </w:t>
            </w:r>
          </w:p>
        </w:tc>
        <w:tc>
          <w:tcPr>
            <w:tcW w:w="60" w:type="dxa"/>
            <w:tcBorders>
              <w:top w:val="single" w:sz="6" w:space="0" w:color="000000"/>
            </w:tcBorders>
            <w:shd w:fill="CCE2F1" w:val="clear"/>
            <w:tcMar>
              <w:top w:w="28" w:type="dxa"/>
            </w:tcMar>
            <w:vAlign w:val="center"/>
          </w:tcPr>
          <w:p>
            <w:pPr>
              <w:pStyle w:val="TableContents"/>
              <w:bidi w:val="0"/>
              <w:spacing w:before="0" w:after="283"/>
              <w:jc w:val="left"/>
              <w:rPr/>
            </w:pPr>
            <w:r>
              <w:rPr/>
              <w:t> </w:t>
            </w:r>
          </w:p>
        </w:tc>
        <w:tc>
          <w:tcPr>
            <w:tcW w:w="755" w:type="dxa"/>
            <w:tcBorders>
              <w:top w:val="single" w:sz="6" w:space="0" w:color="000000"/>
            </w:tcBorders>
            <w:shd w:fill="CCE2F1" w:val="clear"/>
            <w:tcMar>
              <w:top w:w="28" w:type="dxa"/>
            </w:tcMar>
            <w:vAlign w:val="center"/>
          </w:tcPr>
          <w:p>
            <w:pPr>
              <w:pStyle w:val="TableContents"/>
              <w:bidi w:val="0"/>
              <w:spacing w:before="0" w:after="283"/>
              <w:jc w:val="right"/>
              <w:rPr>
                <w:sz w:val="16"/>
              </w:rPr>
            </w:pPr>
            <w:r>
              <w:rPr>
                <w:sz w:val="16"/>
              </w:rPr>
              <w:t>197.3%</w:t>
            </w:r>
          </w:p>
        </w:tc>
        <w:tc>
          <w:tcPr>
            <w:tcW w:w="60" w:type="dxa"/>
            <w:tcBorders>
              <w:top w:val="single" w:sz="6" w:space="0" w:color="000000"/>
            </w:tcBorders>
            <w:shd w:fill="CCE2F1" w:val="clear"/>
            <w:tcMar>
              <w:top w:w="28" w:type="dxa"/>
            </w:tcMar>
            <w:vAlign w:val="center"/>
          </w:tcPr>
          <w:p>
            <w:pPr>
              <w:pStyle w:val="TableContents"/>
              <w:bidi w:val="0"/>
              <w:spacing w:before="0" w:after="283"/>
              <w:jc w:val="left"/>
              <w:rPr/>
            </w:pPr>
            <w:r>
              <w:rPr/>
              <w:t> </w:t>
            </w:r>
          </w:p>
        </w:tc>
        <w:tc>
          <w:tcPr>
            <w:tcW w:w="60" w:type="dxa"/>
            <w:tcBorders>
              <w:top w:val="single" w:sz="6" w:space="0" w:color="000000"/>
            </w:tcBorders>
            <w:shd w:fill="CCE2F1" w:val="clear"/>
            <w:tcMar>
              <w:top w:w="28" w:type="dxa"/>
            </w:tcMar>
            <w:vAlign w:val="center"/>
          </w:tcPr>
          <w:p>
            <w:pPr>
              <w:pStyle w:val="TableContents"/>
              <w:bidi w:val="0"/>
              <w:spacing w:before="0" w:after="283"/>
              <w:jc w:val="left"/>
              <w:rPr/>
            </w:pPr>
            <w:r>
              <w:rPr/>
              <w:t> </w:t>
            </w:r>
          </w:p>
        </w:tc>
        <w:tc>
          <w:tcPr>
            <w:tcW w:w="60" w:type="dxa"/>
            <w:tcBorders>
              <w:top w:val="single" w:sz="6" w:space="0" w:color="000000"/>
            </w:tcBorders>
            <w:shd w:fill="CCE2F1" w:val="clear"/>
            <w:tcMar>
              <w:top w:w="28" w:type="dxa"/>
            </w:tcMar>
            <w:vAlign w:val="center"/>
          </w:tcPr>
          <w:p>
            <w:pPr>
              <w:pStyle w:val="TableContents"/>
              <w:bidi w:val="0"/>
              <w:spacing w:before="0" w:after="283"/>
              <w:jc w:val="left"/>
              <w:rPr/>
            </w:pPr>
            <w:r>
              <w:rPr/>
              <w:t> </w:t>
            </w:r>
          </w:p>
        </w:tc>
        <w:tc>
          <w:tcPr>
            <w:tcW w:w="800" w:type="dxa"/>
            <w:tcBorders>
              <w:top w:val="single" w:sz="6" w:space="0" w:color="000000"/>
            </w:tcBorders>
            <w:shd w:fill="CCE2F1" w:val="clear"/>
            <w:tcMar>
              <w:top w:w="28" w:type="dxa"/>
            </w:tcMar>
            <w:vAlign w:val="center"/>
          </w:tcPr>
          <w:p>
            <w:pPr>
              <w:pStyle w:val="TableContents"/>
              <w:bidi w:val="0"/>
              <w:spacing w:before="0" w:after="283"/>
              <w:jc w:val="right"/>
              <w:rPr>
                <w:sz w:val="16"/>
              </w:rPr>
            </w:pPr>
            <w:r>
              <w:rPr>
                <w:sz w:val="16"/>
              </w:rPr>
              <w:t>9.9%</w:t>
            </w:r>
          </w:p>
        </w:tc>
        <w:tc>
          <w:tcPr>
            <w:tcW w:w="60" w:type="dxa"/>
            <w:tcBorders>
              <w:top w:val="single" w:sz="6" w:space="0" w:color="000000"/>
              <w:right w:val="single" w:sz="6" w:space="0" w:color="000000"/>
            </w:tcBorders>
            <w:shd w:fill="CCE2F1" w:val="clear"/>
            <w:tcMar>
              <w:top w:w="28" w:type="dxa"/>
              <w:right w:w="28" w:type="dxa"/>
            </w:tcMar>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7215" w:type="dxa"/>
            <w:vMerge w:val="continue"/>
            <w:tcBorders/>
            <w:vAlign w:val="center"/>
          </w:tcPr>
          <w:p>
            <w:pPr>
              <w:pStyle w:val="Normal"/>
              <w:bidi w:val="0"/>
              <w:jc w:val="left"/>
              <w:rPr/>
            </w:pPr>
            <w:r>
              <w:rPr/>
            </w:r>
          </w:p>
        </w:tc>
      </w:tr>
      <w:tr>
        <w:trPr/>
        <w:tc>
          <w:tcPr>
            <w:tcW w:w="1115" w:type="dxa"/>
            <w:tcBorders>
              <w:left w:val="single" w:sz="6" w:space="0" w:color="000000"/>
            </w:tcBorders>
            <w:tcMar>
              <w:left w:w="160" w:type="dxa"/>
            </w:tcMar>
            <w:vAlign w:val="center"/>
          </w:tcPr>
          <w:p>
            <w:pPr>
              <w:pStyle w:val="TableContents"/>
              <w:bidi w:val="0"/>
              <w:spacing w:before="0" w:after="0"/>
              <w:jc w:val="left"/>
              <w:rPr>
                <w:rFonts w:ascii="arial" w:hAnsi="arial"/>
                <w:sz w:val="16"/>
              </w:rPr>
            </w:pPr>
            <w:r>
              <w:rPr>
                <w:rFonts w:ascii="arial" w:hAnsi="arial"/>
                <w:sz w:val="16"/>
              </w:rPr>
              <w:t>Successful Integrations and Collaborations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sz w:val="16"/>
              </w:rPr>
            </w:pPr>
            <w:r>
              <w:rPr>
                <w:sz w:val="16"/>
              </w:rPr>
              <w:t>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sz w:val="16"/>
              </w:rPr>
            </w:pPr>
            <w:r>
              <w:rPr>
                <w:sz w:val="16"/>
              </w:rPr>
              <w:t>225.0%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sz w:val="16"/>
              </w:rPr>
            </w:pPr>
            <w:r>
              <w:rPr>
                <w:sz w:val="16"/>
              </w:rPr>
              <w:t>11.3%</w:t>
            </w:r>
          </w:p>
        </w:tc>
        <w:tc>
          <w:tcPr>
            <w:tcW w:w="60" w:type="dxa"/>
            <w:tcBorders>
              <w:right w:val="single" w:sz="6" w:space="0" w:color="000000"/>
            </w:tcBorders>
            <w:tcMar>
              <w:right w:w="28" w:type="dxa"/>
            </w:tcMar>
            <w:vAlign w:val="center"/>
          </w:tcPr>
          <w:p>
            <w:pPr>
              <w:pStyle w:val="TableContents"/>
              <w:bidi w:val="0"/>
              <w:spacing w:before="0" w:after="283"/>
              <w:jc w:val="left"/>
              <w:rPr>
                <w:sz w:val="4"/>
                <w:szCs w:val="4"/>
              </w:rPr>
            </w:pPr>
            <w:r>
              <w:rPr>
                <w:sz w:val="4"/>
                <w:szCs w:val="4"/>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7215" w:type="dxa"/>
            <w:vMerge w:val="continue"/>
            <w:tcBorders/>
            <w:vAlign w:val="center"/>
          </w:tcPr>
          <w:p>
            <w:pPr>
              <w:pStyle w:val="Normal"/>
              <w:bidi w:val="0"/>
              <w:jc w:val="left"/>
              <w:rPr/>
            </w:pPr>
            <w:r>
              <w:rPr/>
            </w:r>
          </w:p>
        </w:tc>
      </w:tr>
      <w:tr>
        <w:trPr/>
        <w:tc>
          <w:tcPr>
            <w:tcW w:w="1115" w:type="dxa"/>
            <w:tcBorders>
              <w:top w:val="single" w:sz="6" w:space="0" w:color="000000"/>
              <w:left w:val="single" w:sz="6" w:space="0" w:color="000000"/>
              <w:bottom w:val="single" w:sz="6" w:space="0" w:color="000000"/>
            </w:tcBorders>
            <w:shd w:fill="0171B9" w:val="clear"/>
            <w:tcMar>
              <w:top w:w="28" w:type="dxa"/>
              <w:left w:w="160" w:type="dxa"/>
              <w:bottom w:w="28" w:type="dxa"/>
            </w:tcMar>
            <w:vAlign w:val="center"/>
          </w:tcPr>
          <w:p>
            <w:pPr>
              <w:pStyle w:val="TableContents"/>
              <w:bidi w:val="0"/>
              <w:spacing w:before="0" w:after="0"/>
              <w:jc w:val="left"/>
              <w:rPr>
                <w:rFonts w:ascii="arial" w:hAnsi="arial"/>
                <w:b/>
                <w:color w:val="FFFFFF"/>
                <w:sz w:val="16"/>
              </w:rPr>
            </w:pPr>
            <w:r>
              <w:rPr>
                <w:rFonts w:ascii="arial" w:hAnsi="arial"/>
                <w:b/>
                <w:color w:val="FFFFFF"/>
                <w:sz w:val="16"/>
              </w:rPr>
              <w:t>Final Score</w:t>
            </w:r>
          </w:p>
        </w:tc>
        <w:tc>
          <w:tcPr>
            <w:tcW w:w="60" w:type="dxa"/>
            <w:tcBorders>
              <w:top w:val="single" w:sz="6" w:space="0" w:color="000000"/>
              <w:bottom w:val="single" w:sz="6" w:space="0" w:color="000000"/>
            </w:tcBorders>
            <w:shd w:fill="0171B9"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0171B9" w:val="clear"/>
            <w:tcMar>
              <w:top w:w="28" w:type="dxa"/>
              <w:bottom w:w="28" w:type="dxa"/>
            </w:tcMar>
            <w:vAlign w:val="center"/>
          </w:tcPr>
          <w:p>
            <w:pPr>
              <w:pStyle w:val="TableContents"/>
              <w:bidi w:val="0"/>
              <w:spacing w:before="0" w:after="283"/>
              <w:jc w:val="right"/>
              <w:rPr>
                <w:color w:val="FFFFFF"/>
              </w:rPr>
            </w:pPr>
            <w:r>
              <w:rPr>
                <w:color w:val="FFFFFF"/>
              </w:rPr>
              <w:t> </w:t>
            </w:r>
          </w:p>
        </w:tc>
        <w:tc>
          <w:tcPr>
            <w:tcW w:w="2685" w:type="dxa"/>
            <w:gridSpan w:val="9"/>
            <w:tcBorders>
              <w:top w:val="single" w:sz="6" w:space="0" w:color="000000"/>
              <w:bottom w:val="single" w:sz="6" w:space="0" w:color="000000"/>
            </w:tcBorders>
            <w:shd w:fill="0171B9" w:val="clear"/>
            <w:tcMar>
              <w:top w:w="28" w:type="dxa"/>
              <w:bottom w:w="28" w:type="dxa"/>
            </w:tcMar>
            <w:vAlign w:val="center"/>
          </w:tcPr>
          <w:p>
            <w:pPr>
              <w:pStyle w:val="TableContents"/>
              <w:bidi w:val="0"/>
              <w:spacing w:before="0" w:after="283"/>
              <w:jc w:val="right"/>
              <w:rPr>
                <w:b/>
                <w:color w:val="FFFFFF"/>
                <w:sz w:val="16"/>
              </w:rPr>
            </w:pPr>
            <w:r>
              <w:rPr>
                <w:b/>
                <w:color w:val="FFFFFF"/>
                <w:sz w:val="16"/>
              </w:rPr>
              <w:t>159.3%</w:t>
            </w:r>
          </w:p>
        </w:tc>
        <w:tc>
          <w:tcPr>
            <w:tcW w:w="60" w:type="dxa"/>
            <w:tcBorders>
              <w:top w:val="single" w:sz="6" w:space="0" w:color="000000"/>
              <w:bottom w:val="single" w:sz="6" w:space="0" w:color="000000"/>
              <w:right w:val="single" w:sz="6" w:space="0" w:color="000000"/>
            </w:tcBorders>
            <w:shd w:fill="0171B9" w:val="clear"/>
            <w:tcMar>
              <w:top w:w="28" w:type="dxa"/>
              <w:bottom w:w="28" w:type="dxa"/>
              <w:right w:w="28" w:type="dxa"/>
            </w:tcMar>
            <w:vAlign w:val="center"/>
          </w:tcPr>
          <w:p>
            <w:pPr>
              <w:pStyle w:val="TableContents"/>
              <w:bidi w:val="0"/>
              <w:spacing w:before="0" w:after="283"/>
              <w:jc w:val="left"/>
              <w:rPr>
                <w:color w:val="FFFFFF"/>
              </w:rPr>
            </w:pPr>
            <w:r>
              <w:rPr>
                <w:color w:val="FFFFFF"/>
              </w:rPr>
              <w:t> </w:t>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7215" w:type="dxa"/>
            <w:vMerge w:val="continue"/>
            <w:tcBorders/>
            <w:vAlign w:val="center"/>
          </w:tcPr>
          <w:p>
            <w:pPr>
              <w:pStyle w:val="Normal"/>
              <w:bidi w:val="0"/>
              <w:jc w:val="left"/>
              <w:rPr/>
            </w:pPr>
            <w:r>
              <w:rPr/>
            </w:r>
          </w:p>
        </w:tc>
      </w:tr>
    </w:tbl>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(1)</w:t>
            </w:r>
          </w:p>
        </w:tc>
        <w:tc>
          <w:tcPr>
            <w:tcW w:w="9927" w:type="dxa"/>
            <w:tcBorders/>
            <w:vAlign w:val="center"/>
          </w:tcPr>
          <w:p>
            <w:pPr>
              <w:pStyle w:val="TableContents"/>
              <w:bidi w:val="0"/>
              <w:spacing w:before="0" w:after="0"/>
              <w:jc w:val="both"/>
              <w:rPr>
                <w:rFonts w:ascii="arial" w:hAnsi="arial"/>
                <w:sz w:val="16"/>
              </w:rPr>
            </w:pPr>
            <w:r>
              <w:rPr>
                <w:rFonts w:ascii="arial" w:hAnsi="arial"/>
                <w:sz w:val="16"/>
              </w:rPr>
              <w:t xml:space="preserve">Non-Generally Accepted Accounting Principles (non-GAAP) net income for purposes of the 2023 Company performance goals of our annual cash incentive plan is reported and reconciled in </w:t>
            </w:r>
            <w:r>
              <w:rPr>
                <w:rFonts w:ascii="arial" w:hAnsi="arial"/>
                <w:b/>
                <w:sz w:val="16"/>
              </w:rPr>
              <w:t>Appendix B</w:t>
            </w:r>
            <w:r>
              <w:rPr>
                <w:rFonts w:ascii="arial" w:hAnsi="arial"/>
                <w:sz w:val="16"/>
              </w:rPr>
              <w:t xml:space="preserve">.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(2) </w:t>
            </w:r>
          </w:p>
        </w:tc>
        <w:tc>
          <w:tcPr>
            <w:tcW w:w="9952" w:type="dxa"/>
            <w:tcBorders/>
            <w:vAlign w:val="center"/>
          </w:tcPr>
          <w:p>
            <w:pPr>
              <w:pStyle w:val="TableContents"/>
              <w:bidi w:val="0"/>
              <w:spacing w:before="0" w:after="0"/>
              <w:jc w:val="both"/>
              <w:rPr>
                <w:rFonts w:ascii="arial" w:hAnsi="arial"/>
                <w:sz w:val="16"/>
              </w:rPr>
            </w:pPr>
            <w:r>
              <w:rPr>
                <w:rFonts w:ascii="arial" w:hAnsi="arial"/>
                <w:sz w:val="16"/>
              </w:rPr>
              <w:t xml:space="preserve">The non-GAAP operating measures (EPS growth and return on invested capital, or ROIC) with respect to the 2021–2023 performance period are as reported and reconciled in </w:t>
            </w:r>
            <w:r>
              <w:rPr>
                <w:rFonts w:ascii="arial" w:hAnsi="arial"/>
                <w:b/>
                <w:sz w:val="16"/>
              </w:rPr>
              <w:t>Appendix B</w:t>
            </w:r>
            <w:r>
              <w:rPr>
                <w:rFonts w:ascii="arial" w:hAnsi="arial"/>
                <w:sz w:val="16"/>
              </w:rPr>
              <w:t xml:space="preserve">, except that operating measures for 2023 performance were further adjusted to exclude the impact of direct on-going revenues and expenses, including interest expense from acquisition-related debt, from the acquisitions of TeneoBio, Inc., ChemoCentryx, Inc. and Horizon Therapeutics plc, as prescribed by the 2021-2023 performance goals document when it was established in March 2021. For this purpose, non-GAAP net income was increased by $96 million, or $0.18 per share, and ROIC was decreased by 0.5%. </w:t>
            </w:r>
          </w:p>
        </w:tc>
      </w:tr>
    </w:tbl>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2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2" descr=""/>
                    <pic:cNvPicPr>
                      <a:picLocks noChangeAspect="1" noChangeArrowheads="1"/>
                    </pic:cNvPicPr>
                  </pic:nvPicPr>
                  <pic:blipFill>
                    <a:blip r:embed="rId23"/>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5</w:t>
      </w:r>
      <w:r>
        <w:rPr>
          <w:rFonts w:ascii="arial" w:hAnsi="arial"/>
          <w:b/>
          <w:sz w:val="22"/>
        </w:rPr>
        <w:t xml:space="preserve"> </w:t>
      </w:r>
      <w:r>
        <w:br w:type="page"/>
      </w:r>
    </w:p>
    <w:p>
      <w:pPr>
        <w:pStyle w:val="HorizontalLine"/>
        <w:bidi w:val="0"/>
        <w:jc w:val="left"/>
        <w:rPr/>
      </w:pPr>
      <w:r>
        <w:rPr/>
      </w:r>
    </w:p>
    <w:tbl>
      <w:tblPr>
        <w:tblW w:w="354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306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6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306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Proxy Statement Summary</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171B9"/>
          <w:sz w:val="28"/>
        </w:rPr>
      </w:pPr>
      <w:r>
        <w:rPr>
          <w:rFonts w:ascii="arial" w:hAnsi="arial"/>
          <w:b/>
          <w:color w:val="0171B9"/>
          <w:sz w:val="28"/>
        </w:rPr>
        <w:t xml:space="preserve">We Have Implemented Compensation Best Practices </w:t>
      </w:r>
    </w:p>
    <w:p>
      <w:pPr>
        <w:pStyle w:val="TextBody"/>
        <w:pBdr>
          <w:bottom w:val="single" w:sz="2" w:space="1" w:color="666666"/>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50">
                <wp:simplePos x="0" y="0"/>
                <wp:positionH relativeFrom="column">
                  <wp:align>left</wp:align>
                </wp:positionH>
                <wp:positionV relativeFrom="line">
                  <wp:posOffset>635</wp:posOffset>
                </wp:positionV>
                <wp:extent cx="3110230" cy="6173470"/>
                <wp:effectExtent l="0" t="0" r="0" b="0"/>
                <wp:wrapSquare wrapText="right"/>
                <wp:docPr id="27" name="Frame5"/>
                <a:graphic xmlns:a="http://schemas.openxmlformats.org/drawingml/2006/main">
                  <a:graphicData uri="http://schemas.microsoft.com/office/word/2010/wordprocessingShape">
                    <wps:wsp>
                      <wps:cNvSpPr txBox="1"/>
                      <wps:spPr>
                        <a:xfrm>
                          <a:off x="0" y="0"/>
                          <a:ext cx="3110230" cy="6173470"/>
                        </a:xfrm>
                        <a:prstGeom prst="rect"/>
                        <a:solidFill>
                          <a:srgbClr val="FFFFFF"/>
                        </a:solidFill>
                      </wps:spPr>
                      <wps:txbx>
                        <w:txbxContent>
                          <w:tbl>
                            <w:tblPr>
                              <w:tblW w:w="1280" w:type="dxa"/>
                              <w:jc w:val="left"/>
                              <w:tblInd w:w="0" w:type="dxa"/>
                              <w:tblLayout w:type="fixed"/>
                              <w:tblCellMar>
                                <w:top w:w="0" w:type="dxa"/>
                                <w:left w:w="0" w:type="dxa"/>
                                <w:bottom w:w="0" w:type="dxa"/>
                                <w:right w:w="0" w:type="dxa"/>
                              </w:tblCellMar>
                            </w:tblPr>
                            <w:tblGrid>
                              <w:gridCol w:w="1280"/>
                            </w:tblGrid>
                            <w:tr>
                              <w:trPr/>
                              <w:tc>
                                <w:tcPr>
                                  <w:tcW w:w="1280" w:type="dxa"/>
                                  <w:tcBorders/>
                                  <w:vAlign w:val="center"/>
                                </w:tcPr>
                                <w:p>
                                  <w:pPr>
                                    <w:pStyle w:val="TableContents"/>
                                    <w:bidi w:val="0"/>
                                    <w:spacing w:before="0" w:after="283"/>
                                    <w:jc w:val="left"/>
                                    <w:rPr>
                                      <w:sz w:val="4"/>
                                      <w:szCs w:val="4"/>
                                    </w:rPr>
                                  </w:pPr>
                                  <w:r>
                                    <w:rPr>
                                      <w:sz w:val="4"/>
                                      <w:szCs w:val="4"/>
                                    </w:rPr>
                                  </w:r>
                                </w:p>
                              </w:tc>
                            </w:tr>
                            <w:tr>
                              <w:trPr/>
                              <w:tc>
                                <w:tcPr>
                                  <w:tcW w:w="1280" w:type="dxa"/>
                                  <w:tcBorders>
                                    <w:top w:val="single" w:sz="6" w:space="0" w:color="000000"/>
                                  </w:tcBorders>
                                  <w:shd w:fill="0171B9" w:val="clear"/>
                                  <w:tcMar>
                                    <w:top w:w="28" w:type="dxa"/>
                                  </w:tcMar>
                                  <w:vAlign w:val="center"/>
                                </w:tcPr>
                                <w:p>
                                  <w:pPr>
                                    <w:pStyle w:val="TableContents"/>
                                    <w:bidi w:val="0"/>
                                    <w:spacing w:before="0" w:after="283"/>
                                    <w:jc w:val="left"/>
                                    <w:rPr/>
                                  </w:pPr>
                                  <w:r>
                                    <w:rPr/>
                                    <w:t> </w:t>
                                  </w:r>
                                </w:p>
                              </w:tc>
                            </w:tr>
                            <w:tr>
                              <w:trPr/>
                              <w:tc>
                                <w:tcPr>
                                  <w:tcW w:w="1280" w:type="dxa"/>
                                  <w:tcBorders>
                                    <w:bottom w:val="single" w:sz="6" w:space="0" w:color="000000"/>
                                  </w:tcBorders>
                                  <w:shd w:fill="0171B9" w:val="clear"/>
                                  <w:tcMar>
                                    <w:bottom w:w="28" w:type="dxa"/>
                                  </w:tcMar>
                                  <w:vAlign w:val="center"/>
                                </w:tcPr>
                                <w:p>
                                  <w:pPr>
                                    <w:pStyle w:val="TableContents"/>
                                    <w:bidi w:val="0"/>
                                    <w:spacing w:before="0" w:after="0"/>
                                    <w:jc w:val="center"/>
                                    <w:rPr>
                                      <w:rFonts w:ascii="arial" w:hAnsi="arial"/>
                                      <w:b/>
                                      <w:color w:val="FFFFFF"/>
                                      <w:sz w:val="22"/>
                                    </w:rPr>
                                  </w:pPr>
                                  <w:r>
                                    <w:rPr>
                                      <w:rFonts w:ascii="arial" w:hAnsi="arial"/>
                                      <w:b/>
                                      <w:color w:val="FFFFFF"/>
                                      <w:sz w:val="22"/>
                                    </w:rPr>
                                    <w:t>What we do</w:t>
                                  </w:r>
                                </w:p>
                                <w:p>
                                  <w:pPr>
                                    <w:pStyle w:val="TableContents"/>
                                    <w:bidi w:val="0"/>
                                    <w:spacing w:before="0" w:after="20"/>
                                    <w:jc w:val="left"/>
                                    <w:rPr/>
                                  </w:pPr>
                                  <w:r>
                                    <w:rPr/>
                                    <w:t> </w:t>
                                  </w:r>
                                </w:p>
                              </w:tc>
                            </w:tr>
                          </w:tbl>
                          <w:p>
                            <w:pPr>
                              <w:pStyle w:val="TextBody"/>
                              <w:bidi w:val="0"/>
                              <w:spacing w:before="0" w:after="0"/>
                              <w:jc w:val="left"/>
                              <w:rPr/>
                            </w:pPr>
                            <w:r>
                              <w:rPr/>
                              <w:t> </w:t>
                            </w:r>
                          </w:p>
                          <w:tbl>
                            <w:tblPr>
                              <w:tblW w:w="7180" w:type="dxa"/>
                              <w:jc w:val="left"/>
                              <w:tblInd w:w="0" w:type="dxa"/>
                              <w:tblLayout w:type="fixed"/>
                              <w:tblCellMar>
                                <w:top w:w="0" w:type="dxa"/>
                                <w:left w:w="0" w:type="dxa"/>
                                <w:bottom w:w="0" w:type="dxa"/>
                                <w:right w:w="0" w:type="dxa"/>
                              </w:tblCellMar>
                            </w:tblPr>
                            <w:tblGrid>
                              <w:gridCol w:w="245"/>
                              <w:gridCol w:w="60"/>
                              <w:gridCol w:w="6875"/>
                            </w:tblGrid>
                            <w:tr>
                              <w:trPr/>
                              <w:tc>
                                <w:tcPr>
                                  <w:tcW w:w="24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6875" w:type="dxa"/>
                                  <w:tcBorders/>
                                  <w:vAlign w:val="center"/>
                                </w:tcPr>
                                <w:p>
                                  <w:pPr>
                                    <w:pStyle w:val="TableContents"/>
                                    <w:bidi w:val="0"/>
                                    <w:spacing w:before="0" w:after="0"/>
                                    <w:jc w:val="both"/>
                                    <w:rPr>
                                      <w:rFonts w:ascii="arial" w:hAnsi="arial"/>
                                      <w:sz w:val="19"/>
                                    </w:rPr>
                                  </w:pPr>
                                  <w:r>
                                    <w:rPr>
                                      <w:rFonts w:ascii="arial" w:hAnsi="arial"/>
                                      <w:sz w:val="19"/>
                                    </w:rPr>
                                    <w:t xml:space="preserve">A substantial majority of NEO compensation is performance-based and at risk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60"/>
                              <w:gridCol w:w="9900"/>
                            </w:tblGrid>
                            <w:tr>
                              <w:trPr/>
                              <w:tc>
                                <w:tcPr>
                                  <w:tcW w:w="24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19"/>
                                    </w:rPr>
                                  </w:pPr>
                                  <w:r>
                                    <w:rPr>
                                      <w:rFonts w:ascii="arial" w:hAnsi="arial"/>
                                      <w:sz w:val="19"/>
                                    </w:rPr>
                                    <w:t xml:space="preserve">Long-term performance-based equity awards (80% of total target equity, of which 50% are three-year performance unit awards and 30% are stock options)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60"/>
                              <w:gridCol w:w="9900"/>
                            </w:tblGrid>
                            <w:tr>
                              <w:trPr/>
                              <w:tc>
                                <w:tcPr>
                                  <w:tcW w:w="24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19"/>
                                    </w:rPr>
                                  </w:pPr>
                                  <w:r>
                                    <w:rPr>
                                      <w:rFonts w:ascii="arial" w:hAnsi="arial"/>
                                      <w:sz w:val="19"/>
                                    </w:rPr>
                                    <w:t xml:space="preserve">Minimum vesting periods of one year, with most equity grants vesting over four years (with no vesting in the first year and vesting in three approximately equal installments thereafter) </w:t>
                                  </w:r>
                                </w:p>
                              </w:tc>
                            </w:tr>
                          </w:tbl>
                          <w:p>
                            <w:pPr>
                              <w:pStyle w:val="TextBody"/>
                              <w:bidi w:val="0"/>
                              <w:spacing w:before="0" w:after="0"/>
                              <w:jc w:val="left"/>
                              <w:rPr/>
                            </w:pPr>
                            <w:r>
                              <w:rPr/>
                              <w:t> </w:t>
                            </w:r>
                          </w:p>
                          <w:tbl>
                            <w:tblPr>
                              <w:tblW w:w="8425" w:type="dxa"/>
                              <w:jc w:val="left"/>
                              <w:tblInd w:w="0" w:type="dxa"/>
                              <w:tblLayout w:type="fixed"/>
                              <w:tblCellMar>
                                <w:top w:w="0" w:type="dxa"/>
                                <w:left w:w="0" w:type="dxa"/>
                                <w:bottom w:w="0" w:type="dxa"/>
                                <w:right w:w="0" w:type="dxa"/>
                              </w:tblCellMar>
                            </w:tblPr>
                            <w:tblGrid>
                              <w:gridCol w:w="245"/>
                              <w:gridCol w:w="60"/>
                              <w:gridCol w:w="8120"/>
                            </w:tblGrid>
                            <w:tr>
                              <w:trPr/>
                              <w:tc>
                                <w:tcPr>
                                  <w:tcW w:w="24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8120" w:type="dxa"/>
                                  <w:tcBorders/>
                                  <w:vAlign w:val="center"/>
                                </w:tcPr>
                                <w:p>
                                  <w:pPr>
                                    <w:pStyle w:val="TableContents"/>
                                    <w:bidi w:val="0"/>
                                    <w:spacing w:before="0" w:after="0"/>
                                    <w:jc w:val="both"/>
                                    <w:rPr>
                                      <w:rFonts w:ascii="arial" w:hAnsi="arial"/>
                                      <w:sz w:val="19"/>
                                    </w:rPr>
                                  </w:pPr>
                                  <w:r>
                                    <w:rPr>
                                      <w:rFonts w:ascii="arial" w:hAnsi="arial"/>
                                      <w:sz w:val="19"/>
                                    </w:rPr>
                                    <w:t xml:space="preserve">Robust stock ownership (6x base salary for Chief Executive Officer) and retention guidelines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60"/>
                              <w:gridCol w:w="9900"/>
                            </w:tblGrid>
                            <w:tr>
                              <w:trPr/>
                              <w:tc>
                                <w:tcPr>
                                  <w:tcW w:w="24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19"/>
                                    </w:rPr>
                                  </w:pPr>
                                  <w:r>
                                    <w:rPr>
                                      <w:rFonts w:ascii="arial" w:hAnsi="arial"/>
                                      <w:sz w:val="19"/>
                                    </w:rPr>
                                    <w:t xml:space="preserve">Clawback policy providing for the mandatory recovery from our Section 16 officers, including our NEOs, of erroneously awarded incentive-based compensation including past cash bonuses and performance unit payouts granted, earned, or vested wholly or in part upon the attainment of any financial reporting measure that is the subject of a financial restatement(1)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60"/>
                              <w:gridCol w:w="9900"/>
                            </w:tblGrid>
                            <w:tr>
                              <w:trPr/>
                              <w:tc>
                                <w:tcPr>
                                  <w:tcW w:w="24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19"/>
                                    </w:rPr>
                                  </w:pPr>
                                  <w:r>
                                    <w:rPr>
                                      <w:rFonts w:ascii="arial" w:hAnsi="arial"/>
                                      <w:sz w:val="19"/>
                                    </w:rPr>
                                    <w:t xml:space="preserve">Recoupment provisions for misconduct that causes serious financial or reputational damage include forfeiture and cancellation of unvested or unexercised(2) equity awards and annual cash incentive awards being deemed not earned in full or part </w:t>
                                  </w:r>
                                </w:p>
                              </w:tc>
                            </w:tr>
                          </w:tbl>
                          <w:p>
                            <w:pPr>
                              <w:pStyle w:val="TextBody"/>
                              <w:bidi w:val="0"/>
                              <w:spacing w:before="0" w:after="0"/>
                              <w:jc w:val="left"/>
                              <w:rPr/>
                            </w:pPr>
                            <w:r>
                              <w:rPr/>
                              <w:t> </w:t>
                            </w:r>
                          </w:p>
                          <w:tbl>
                            <w:tblPr>
                              <w:tblW w:w="9715" w:type="dxa"/>
                              <w:jc w:val="left"/>
                              <w:tblInd w:w="0" w:type="dxa"/>
                              <w:tblLayout w:type="fixed"/>
                              <w:tblCellMar>
                                <w:top w:w="0" w:type="dxa"/>
                                <w:left w:w="0" w:type="dxa"/>
                                <w:bottom w:w="0" w:type="dxa"/>
                                <w:right w:w="0" w:type="dxa"/>
                              </w:tblCellMar>
                            </w:tblPr>
                            <w:tblGrid>
                              <w:gridCol w:w="245"/>
                              <w:gridCol w:w="60"/>
                              <w:gridCol w:w="9410"/>
                            </w:tblGrid>
                            <w:tr>
                              <w:trPr/>
                              <w:tc>
                                <w:tcPr>
                                  <w:tcW w:w="24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0"/>
                                    <w:jc w:val="both"/>
                                    <w:rPr>
                                      <w:rFonts w:ascii="arial" w:hAnsi="arial"/>
                                      <w:sz w:val="19"/>
                                    </w:rPr>
                                  </w:pPr>
                                  <w:r>
                                    <w:rPr>
                                      <w:rFonts w:ascii="arial" w:hAnsi="arial"/>
                                      <w:sz w:val="19"/>
                                    </w:rPr>
                                    <w:t xml:space="preserve">We use market median values as the reference point for compensation at all job levels, including our NEOs </w:t>
                                  </w:r>
                                </w:p>
                              </w:tc>
                            </w:tr>
                          </w:tbl>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245"/>
                              <w:gridCol w:w="60"/>
                              <w:gridCol w:w="3395"/>
                            </w:tblGrid>
                            <w:tr>
                              <w:trPr/>
                              <w:tc>
                                <w:tcPr>
                                  <w:tcW w:w="24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0"/>
                                    <w:jc w:val="both"/>
                                    <w:rPr>
                                      <w:rFonts w:ascii="arial" w:hAnsi="arial"/>
                                      <w:sz w:val="19"/>
                                    </w:rPr>
                                  </w:pPr>
                                  <w:r>
                                    <w:rPr>
                                      <w:rFonts w:ascii="arial" w:hAnsi="arial"/>
                                      <w:sz w:val="19"/>
                                    </w:rPr>
                                    <w:t xml:space="preserve">Independent compensation consultant </w:t>
                                  </w:r>
                                </w:p>
                              </w:tc>
                            </w:tr>
                          </w:tbl>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245"/>
                              <w:gridCol w:w="60"/>
                              <w:gridCol w:w="4055"/>
                            </w:tblGrid>
                            <w:tr>
                              <w:trPr/>
                              <w:tc>
                                <w:tcPr>
                                  <w:tcW w:w="24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0"/>
                                    <w:jc w:val="both"/>
                                    <w:rPr>
                                      <w:rFonts w:ascii="arial" w:hAnsi="arial"/>
                                      <w:sz w:val="19"/>
                                    </w:rPr>
                                  </w:pPr>
                                  <w:r>
                                    <w:rPr>
                                      <w:rFonts w:ascii="arial" w:hAnsi="arial"/>
                                      <w:sz w:val="19"/>
                                    </w:rPr>
                                    <w:t xml:space="preserve">Amgen Values overlay our performance goals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86.1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280" w:type="dxa"/>
                        <w:jc w:val="left"/>
                        <w:tblInd w:w="0" w:type="dxa"/>
                        <w:tblLayout w:type="fixed"/>
                        <w:tblCellMar>
                          <w:top w:w="0" w:type="dxa"/>
                          <w:left w:w="0" w:type="dxa"/>
                          <w:bottom w:w="0" w:type="dxa"/>
                          <w:right w:w="0" w:type="dxa"/>
                        </w:tblCellMar>
                      </w:tblPr>
                      <w:tblGrid>
                        <w:gridCol w:w="1280"/>
                      </w:tblGrid>
                      <w:tr>
                        <w:trPr/>
                        <w:tc>
                          <w:tcPr>
                            <w:tcW w:w="1280" w:type="dxa"/>
                            <w:tcBorders/>
                            <w:vAlign w:val="center"/>
                          </w:tcPr>
                          <w:p>
                            <w:pPr>
                              <w:pStyle w:val="TableContents"/>
                              <w:bidi w:val="0"/>
                              <w:spacing w:before="0" w:after="283"/>
                              <w:jc w:val="left"/>
                              <w:rPr>
                                <w:sz w:val="4"/>
                                <w:szCs w:val="4"/>
                              </w:rPr>
                            </w:pPr>
                            <w:r>
                              <w:rPr>
                                <w:sz w:val="4"/>
                                <w:szCs w:val="4"/>
                              </w:rPr>
                            </w:r>
                          </w:p>
                        </w:tc>
                      </w:tr>
                      <w:tr>
                        <w:trPr/>
                        <w:tc>
                          <w:tcPr>
                            <w:tcW w:w="1280" w:type="dxa"/>
                            <w:tcBorders>
                              <w:top w:val="single" w:sz="6" w:space="0" w:color="000000"/>
                            </w:tcBorders>
                            <w:shd w:fill="0171B9" w:val="clear"/>
                            <w:tcMar>
                              <w:top w:w="28" w:type="dxa"/>
                            </w:tcMar>
                            <w:vAlign w:val="center"/>
                          </w:tcPr>
                          <w:p>
                            <w:pPr>
                              <w:pStyle w:val="TableContents"/>
                              <w:bidi w:val="0"/>
                              <w:spacing w:before="0" w:after="283"/>
                              <w:jc w:val="left"/>
                              <w:rPr/>
                            </w:pPr>
                            <w:r>
                              <w:rPr/>
                              <w:t> </w:t>
                            </w:r>
                          </w:p>
                        </w:tc>
                      </w:tr>
                      <w:tr>
                        <w:trPr/>
                        <w:tc>
                          <w:tcPr>
                            <w:tcW w:w="1280" w:type="dxa"/>
                            <w:tcBorders>
                              <w:bottom w:val="single" w:sz="6" w:space="0" w:color="000000"/>
                            </w:tcBorders>
                            <w:shd w:fill="0171B9" w:val="clear"/>
                            <w:tcMar>
                              <w:bottom w:w="28" w:type="dxa"/>
                            </w:tcMar>
                            <w:vAlign w:val="center"/>
                          </w:tcPr>
                          <w:p>
                            <w:pPr>
                              <w:pStyle w:val="TableContents"/>
                              <w:bidi w:val="0"/>
                              <w:spacing w:before="0" w:after="0"/>
                              <w:jc w:val="center"/>
                              <w:rPr>
                                <w:rFonts w:ascii="arial" w:hAnsi="arial"/>
                                <w:b/>
                                <w:color w:val="FFFFFF"/>
                                <w:sz w:val="22"/>
                              </w:rPr>
                            </w:pPr>
                            <w:r>
                              <w:rPr>
                                <w:rFonts w:ascii="arial" w:hAnsi="arial"/>
                                <w:b/>
                                <w:color w:val="FFFFFF"/>
                                <w:sz w:val="22"/>
                              </w:rPr>
                              <w:t>What we do</w:t>
                            </w:r>
                          </w:p>
                          <w:p>
                            <w:pPr>
                              <w:pStyle w:val="TableContents"/>
                              <w:bidi w:val="0"/>
                              <w:spacing w:before="0" w:after="20"/>
                              <w:jc w:val="left"/>
                              <w:rPr/>
                            </w:pPr>
                            <w:r>
                              <w:rPr/>
                              <w:t> </w:t>
                            </w:r>
                          </w:p>
                        </w:tc>
                      </w:tr>
                    </w:tbl>
                    <w:p>
                      <w:pPr>
                        <w:pStyle w:val="TextBody"/>
                        <w:bidi w:val="0"/>
                        <w:spacing w:before="0" w:after="0"/>
                        <w:jc w:val="left"/>
                        <w:rPr/>
                      </w:pPr>
                      <w:r>
                        <w:rPr/>
                        <w:t> </w:t>
                      </w:r>
                    </w:p>
                    <w:tbl>
                      <w:tblPr>
                        <w:tblW w:w="7180" w:type="dxa"/>
                        <w:jc w:val="left"/>
                        <w:tblInd w:w="0" w:type="dxa"/>
                        <w:tblLayout w:type="fixed"/>
                        <w:tblCellMar>
                          <w:top w:w="0" w:type="dxa"/>
                          <w:left w:w="0" w:type="dxa"/>
                          <w:bottom w:w="0" w:type="dxa"/>
                          <w:right w:w="0" w:type="dxa"/>
                        </w:tblCellMar>
                      </w:tblPr>
                      <w:tblGrid>
                        <w:gridCol w:w="245"/>
                        <w:gridCol w:w="60"/>
                        <w:gridCol w:w="6875"/>
                      </w:tblGrid>
                      <w:tr>
                        <w:trPr/>
                        <w:tc>
                          <w:tcPr>
                            <w:tcW w:w="24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6875" w:type="dxa"/>
                            <w:tcBorders/>
                            <w:vAlign w:val="center"/>
                          </w:tcPr>
                          <w:p>
                            <w:pPr>
                              <w:pStyle w:val="TableContents"/>
                              <w:bidi w:val="0"/>
                              <w:spacing w:before="0" w:after="0"/>
                              <w:jc w:val="both"/>
                              <w:rPr>
                                <w:rFonts w:ascii="arial" w:hAnsi="arial"/>
                                <w:sz w:val="19"/>
                              </w:rPr>
                            </w:pPr>
                            <w:r>
                              <w:rPr>
                                <w:rFonts w:ascii="arial" w:hAnsi="arial"/>
                                <w:sz w:val="19"/>
                              </w:rPr>
                              <w:t xml:space="preserve">A substantial majority of NEO compensation is performance-based and at risk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60"/>
                        <w:gridCol w:w="9900"/>
                      </w:tblGrid>
                      <w:tr>
                        <w:trPr/>
                        <w:tc>
                          <w:tcPr>
                            <w:tcW w:w="24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19"/>
                              </w:rPr>
                            </w:pPr>
                            <w:r>
                              <w:rPr>
                                <w:rFonts w:ascii="arial" w:hAnsi="arial"/>
                                <w:sz w:val="19"/>
                              </w:rPr>
                              <w:t xml:space="preserve">Long-term performance-based equity awards (80% of total target equity, of which 50% are three-year performance unit awards and 30% are stock options)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60"/>
                        <w:gridCol w:w="9900"/>
                      </w:tblGrid>
                      <w:tr>
                        <w:trPr/>
                        <w:tc>
                          <w:tcPr>
                            <w:tcW w:w="24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19"/>
                              </w:rPr>
                            </w:pPr>
                            <w:r>
                              <w:rPr>
                                <w:rFonts w:ascii="arial" w:hAnsi="arial"/>
                                <w:sz w:val="19"/>
                              </w:rPr>
                              <w:t xml:space="preserve">Minimum vesting periods of one year, with most equity grants vesting over four years (with no vesting in the first year and vesting in three approximately equal installments thereafter) </w:t>
                            </w:r>
                          </w:p>
                        </w:tc>
                      </w:tr>
                    </w:tbl>
                    <w:p>
                      <w:pPr>
                        <w:pStyle w:val="TextBody"/>
                        <w:bidi w:val="0"/>
                        <w:spacing w:before="0" w:after="0"/>
                        <w:jc w:val="left"/>
                        <w:rPr/>
                      </w:pPr>
                      <w:r>
                        <w:rPr/>
                        <w:t> </w:t>
                      </w:r>
                    </w:p>
                    <w:tbl>
                      <w:tblPr>
                        <w:tblW w:w="8425" w:type="dxa"/>
                        <w:jc w:val="left"/>
                        <w:tblInd w:w="0" w:type="dxa"/>
                        <w:tblLayout w:type="fixed"/>
                        <w:tblCellMar>
                          <w:top w:w="0" w:type="dxa"/>
                          <w:left w:w="0" w:type="dxa"/>
                          <w:bottom w:w="0" w:type="dxa"/>
                          <w:right w:w="0" w:type="dxa"/>
                        </w:tblCellMar>
                      </w:tblPr>
                      <w:tblGrid>
                        <w:gridCol w:w="245"/>
                        <w:gridCol w:w="60"/>
                        <w:gridCol w:w="8120"/>
                      </w:tblGrid>
                      <w:tr>
                        <w:trPr/>
                        <w:tc>
                          <w:tcPr>
                            <w:tcW w:w="24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8120" w:type="dxa"/>
                            <w:tcBorders/>
                            <w:vAlign w:val="center"/>
                          </w:tcPr>
                          <w:p>
                            <w:pPr>
                              <w:pStyle w:val="TableContents"/>
                              <w:bidi w:val="0"/>
                              <w:spacing w:before="0" w:after="0"/>
                              <w:jc w:val="both"/>
                              <w:rPr>
                                <w:rFonts w:ascii="arial" w:hAnsi="arial"/>
                                <w:sz w:val="19"/>
                              </w:rPr>
                            </w:pPr>
                            <w:r>
                              <w:rPr>
                                <w:rFonts w:ascii="arial" w:hAnsi="arial"/>
                                <w:sz w:val="19"/>
                              </w:rPr>
                              <w:t xml:space="preserve">Robust stock ownership (6x base salary for Chief Executive Officer) and retention guidelines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60"/>
                        <w:gridCol w:w="9900"/>
                      </w:tblGrid>
                      <w:tr>
                        <w:trPr/>
                        <w:tc>
                          <w:tcPr>
                            <w:tcW w:w="24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19"/>
                              </w:rPr>
                            </w:pPr>
                            <w:r>
                              <w:rPr>
                                <w:rFonts w:ascii="arial" w:hAnsi="arial"/>
                                <w:sz w:val="19"/>
                              </w:rPr>
                              <w:t xml:space="preserve">Clawback policy providing for the mandatory recovery from our Section 16 officers, including our NEOs, of erroneously awarded incentive-based compensation including past cash bonuses and performance unit payouts granted, earned, or vested wholly or in part upon the attainment of any financial reporting measure that is the subject of a financial restatement(1)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60"/>
                        <w:gridCol w:w="9900"/>
                      </w:tblGrid>
                      <w:tr>
                        <w:trPr/>
                        <w:tc>
                          <w:tcPr>
                            <w:tcW w:w="24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19"/>
                              </w:rPr>
                            </w:pPr>
                            <w:r>
                              <w:rPr>
                                <w:rFonts w:ascii="arial" w:hAnsi="arial"/>
                                <w:sz w:val="19"/>
                              </w:rPr>
                              <w:t xml:space="preserve">Recoupment provisions for misconduct that causes serious financial or reputational damage include forfeiture and cancellation of unvested or unexercised(2) equity awards and annual cash incentive awards being deemed not earned in full or part </w:t>
                            </w:r>
                          </w:p>
                        </w:tc>
                      </w:tr>
                    </w:tbl>
                    <w:p>
                      <w:pPr>
                        <w:pStyle w:val="TextBody"/>
                        <w:bidi w:val="0"/>
                        <w:spacing w:before="0" w:after="0"/>
                        <w:jc w:val="left"/>
                        <w:rPr/>
                      </w:pPr>
                      <w:r>
                        <w:rPr/>
                        <w:t> </w:t>
                      </w:r>
                    </w:p>
                    <w:tbl>
                      <w:tblPr>
                        <w:tblW w:w="9715" w:type="dxa"/>
                        <w:jc w:val="left"/>
                        <w:tblInd w:w="0" w:type="dxa"/>
                        <w:tblLayout w:type="fixed"/>
                        <w:tblCellMar>
                          <w:top w:w="0" w:type="dxa"/>
                          <w:left w:w="0" w:type="dxa"/>
                          <w:bottom w:w="0" w:type="dxa"/>
                          <w:right w:w="0" w:type="dxa"/>
                        </w:tblCellMar>
                      </w:tblPr>
                      <w:tblGrid>
                        <w:gridCol w:w="245"/>
                        <w:gridCol w:w="60"/>
                        <w:gridCol w:w="9410"/>
                      </w:tblGrid>
                      <w:tr>
                        <w:trPr/>
                        <w:tc>
                          <w:tcPr>
                            <w:tcW w:w="24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0"/>
                              <w:jc w:val="both"/>
                              <w:rPr>
                                <w:rFonts w:ascii="arial" w:hAnsi="arial"/>
                                <w:sz w:val="19"/>
                              </w:rPr>
                            </w:pPr>
                            <w:r>
                              <w:rPr>
                                <w:rFonts w:ascii="arial" w:hAnsi="arial"/>
                                <w:sz w:val="19"/>
                              </w:rPr>
                              <w:t xml:space="preserve">We use market median values as the reference point for compensation at all job levels, including our NEOs </w:t>
                            </w:r>
                          </w:p>
                        </w:tc>
                      </w:tr>
                    </w:tbl>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245"/>
                        <w:gridCol w:w="60"/>
                        <w:gridCol w:w="3395"/>
                      </w:tblGrid>
                      <w:tr>
                        <w:trPr/>
                        <w:tc>
                          <w:tcPr>
                            <w:tcW w:w="24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0"/>
                              <w:jc w:val="both"/>
                              <w:rPr>
                                <w:rFonts w:ascii="arial" w:hAnsi="arial"/>
                                <w:sz w:val="19"/>
                              </w:rPr>
                            </w:pPr>
                            <w:r>
                              <w:rPr>
                                <w:rFonts w:ascii="arial" w:hAnsi="arial"/>
                                <w:sz w:val="19"/>
                              </w:rPr>
                              <w:t xml:space="preserve">Independent compensation consultant </w:t>
                            </w:r>
                          </w:p>
                        </w:tc>
                      </w:tr>
                    </w:tbl>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245"/>
                        <w:gridCol w:w="60"/>
                        <w:gridCol w:w="4055"/>
                      </w:tblGrid>
                      <w:tr>
                        <w:trPr/>
                        <w:tc>
                          <w:tcPr>
                            <w:tcW w:w="24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0"/>
                              <w:jc w:val="both"/>
                              <w:rPr>
                                <w:rFonts w:ascii="arial" w:hAnsi="arial"/>
                                <w:sz w:val="19"/>
                              </w:rPr>
                            </w:pPr>
                            <w:r>
                              <w:rPr>
                                <w:rFonts w:ascii="arial" w:hAnsi="arial"/>
                                <w:sz w:val="19"/>
                              </w:rPr>
                              <w:t xml:space="preserve">Amgen Values overlay our performance goals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51">
                <wp:simplePos x="0" y="0"/>
                <wp:positionH relativeFrom="column">
                  <wp:align>left</wp:align>
                </wp:positionH>
                <wp:positionV relativeFrom="line">
                  <wp:posOffset>635</wp:posOffset>
                </wp:positionV>
                <wp:extent cx="3175000" cy="6177280"/>
                <wp:effectExtent l="0" t="0" r="0" b="0"/>
                <wp:wrapSquare wrapText="right"/>
                <wp:docPr id="28" name="Frame6"/>
                <a:graphic xmlns:a="http://schemas.openxmlformats.org/drawingml/2006/main">
                  <a:graphicData uri="http://schemas.microsoft.com/office/word/2010/wordprocessingShape">
                    <wps:wsp>
                      <wps:cNvSpPr txBox="1"/>
                      <wps:spPr>
                        <a:xfrm>
                          <a:off x="0" y="0"/>
                          <a:ext cx="3175000" cy="6177280"/>
                        </a:xfrm>
                        <a:prstGeom prst="rect"/>
                        <a:solidFill>
                          <a:srgbClr val="FFFFFF"/>
                        </a:solidFill>
                      </wps:spPr>
                      <wps:txbx>
                        <w:txbxContent>
                          <w:tbl>
                            <w:tblPr>
                              <w:tblW w:w="1880" w:type="dxa"/>
                              <w:jc w:val="left"/>
                              <w:tblInd w:w="0" w:type="dxa"/>
                              <w:tblLayout w:type="fixed"/>
                              <w:tblCellMar>
                                <w:top w:w="0" w:type="dxa"/>
                                <w:left w:w="0" w:type="dxa"/>
                                <w:bottom w:w="0" w:type="dxa"/>
                                <w:right w:w="0" w:type="dxa"/>
                              </w:tblCellMar>
                            </w:tblPr>
                            <w:tblGrid>
                              <w:gridCol w:w="1880"/>
                            </w:tblGrid>
                            <w:tr>
                              <w:trPr/>
                              <w:tc>
                                <w:tcPr>
                                  <w:tcW w:w="1880" w:type="dxa"/>
                                  <w:tcBorders/>
                                  <w:vAlign w:val="center"/>
                                </w:tcPr>
                                <w:p>
                                  <w:pPr>
                                    <w:pStyle w:val="TableContents"/>
                                    <w:bidi w:val="0"/>
                                    <w:spacing w:before="0" w:after="283"/>
                                    <w:jc w:val="left"/>
                                    <w:rPr>
                                      <w:sz w:val="4"/>
                                      <w:szCs w:val="4"/>
                                    </w:rPr>
                                  </w:pPr>
                                  <w:r>
                                    <w:rPr>
                                      <w:sz w:val="4"/>
                                      <w:szCs w:val="4"/>
                                    </w:rPr>
                                  </w:r>
                                </w:p>
                              </w:tc>
                            </w:tr>
                            <w:tr>
                              <w:trPr/>
                              <w:tc>
                                <w:tcPr>
                                  <w:tcW w:w="1880" w:type="dxa"/>
                                  <w:tcBorders>
                                    <w:top w:val="single" w:sz="6" w:space="0" w:color="000000"/>
                                  </w:tcBorders>
                                  <w:shd w:fill="0171B9" w:val="clear"/>
                                  <w:tcMar>
                                    <w:top w:w="28" w:type="dxa"/>
                                  </w:tcMar>
                                  <w:vAlign w:val="center"/>
                                </w:tcPr>
                                <w:p>
                                  <w:pPr>
                                    <w:pStyle w:val="TableContents"/>
                                    <w:bidi w:val="0"/>
                                    <w:spacing w:before="0" w:after="283"/>
                                    <w:jc w:val="left"/>
                                    <w:rPr/>
                                  </w:pPr>
                                  <w:r>
                                    <w:rPr/>
                                    <w:t> </w:t>
                                  </w:r>
                                </w:p>
                              </w:tc>
                            </w:tr>
                            <w:tr>
                              <w:trPr/>
                              <w:tc>
                                <w:tcPr>
                                  <w:tcW w:w="1880" w:type="dxa"/>
                                  <w:tcBorders>
                                    <w:bottom w:val="single" w:sz="6" w:space="0" w:color="000000"/>
                                  </w:tcBorders>
                                  <w:shd w:fill="0171B9" w:val="clear"/>
                                  <w:tcMar>
                                    <w:bottom w:w="28" w:type="dxa"/>
                                  </w:tcMar>
                                  <w:vAlign w:val="center"/>
                                </w:tcPr>
                                <w:p>
                                  <w:pPr>
                                    <w:pStyle w:val="TableContents"/>
                                    <w:bidi w:val="0"/>
                                    <w:spacing w:before="0" w:after="0"/>
                                    <w:jc w:val="center"/>
                                    <w:rPr>
                                      <w:rFonts w:ascii="arial" w:hAnsi="arial"/>
                                      <w:b/>
                                      <w:color w:val="FFFFFF"/>
                                      <w:sz w:val="22"/>
                                    </w:rPr>
                                  </w:pPr>
                                  <w:r>
                                    <w:rPr>
                                      <w:rFonts w:ascii="arial" w:hAnsi="arial"/>
                                      <w:b/>
                                      <w:color w:val="FFFFFF"/>
                                      <w:sz w:val="22"/>
                                    </w:rPr>
                                    <w:t>What we don’t do</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b/>
                                      <w:color w:val="0171B9"/>
                                      <w:sz w:val="28"/>
                                    </w:rPr>
                                  </w:pPr>
                                  <w:r>
                                    <w:rPr>
                                      <w:b/>
                                      <w:color w:val="0171B9"/>
                                      <w:sz w:val="28"/>
                                    </w:rPr>
                                    <w:t>×</w:t>
                                  </w:r>
                                </w:p>
                              </w:tc>
                              <w:tc>
                                <w:tcPr>
                                  <w:tcW w:w="10005" w:type="dxa"/>
                                  <w:tcBorders/>
                                  <w:vAlign w:val="center"/>
                                </w:tcPr>
                                <w:p>
                                  <w:pPr>
                                    <w:pStyle w:val="TableContents"/>
                                    <w:bidi w:val="0"/>
                                    <w:spacing w:before="0" w:after="0"/>
                                    <w:jc w:val="both"/>
                                    <w:rPr>
                                      <w:rFonts w:ascii="arial" w:hAnsi="arial"/>
                                      <w:sz w:val="19"/>
                                    </w:rPr>
                                  </w:pPr>
                                  <w:r>
                                    <w:rPr>
                                      <w:rFonts w:ascii="arial" w:hAnsi="arial"/>
                                      <w:sz w:val="19"/>
                                    </w:rPr>
                                    <w:t xml:space="preserve">No alterations to our established goals to respond to changing business conditions (for example, we did not made any changes to established goals in response to the occurrence or challenges of the pandemic) </w:t>
                                  </w:r>
                                </w:p>
                              </w:tc>
                            </w:tr>
                          </w:tbl>
                          <w:p>
                            <w:pPr>
                              <w:pStyle w:val="TextBody"/>
                              <w:bidi w:val="0"/>
                              <w:spacing w:before="0" w:after="0"/>
                              <w:jc w:val="left"/>
                              <w:rPr/>
                            </w:pPr>
                            <w:r>
                              <w:rPr/>
                              <w:t> </w:t>
                            </w:r>
                          </w:p>
                          <w:tbl>
                            <w:tblPr>
                              <w:tblW w:w="2275" w:type="dxa"/>
                              <w:jc w:val="left"/>
                              <w:tblInd w:w="0" w:type="dxa"/>
                              <w:tblLayout w:type="fixed"/>
                              <w:tblCellMar>
                                <w:top w:w="0" w:type="dxa"/>
                                <w:left w:w="0" w:type="dxa"/>
                                <w:bottom w:w="0" w:type="dxa"/>
                                <w:right w:w="0" w:type="dxa"/>
                              </w:tblCellMar>
                            </w:tblPr>
                            <w:tblGrid>
                              <w:gridCol w:w="200"/>
                              <w:gridCol w:w="2075"/>
                            </w:tblGrid>
                            <w:tr>
                              <w:trPr/>
                              <w:tc>
                                <w:tcPr>
                                  <w:tcW w:w="200" w:type="dxa"/>
                                  <w:tcBorders/>
                                  <w:vAlign w:val="center"/>
                                </w:tcPr>
                                <w:p>
                                  <w:pPr>
                                    <w:pStyle w:val="TableContents"/>
                                    <w:bidi w:val="0"/>
                                    <w:spacing w:before="0" w:after="283"/>
                                    <w:jc w:val="left"/>
                                    <w:rPr>
                                      <w:b/>
                                      <w:color w:val="0171B9"/>
                                      <w:sz w:val="28"/>
                                    </w:rPr>
                                  </w:pPr>
                                  <w:r>
                                    <w:rPr>
                                      <w:b/>
                                      <w:color w:val="0171B9"/>
                                      <w:sz w:val="28"/>
                                    </w:rPr>
                                    <w:t>×</w:t>
                                  </w:r>
                                </w:p>
                              </w:tc>
                              <w:tc>
                                <w:tcPr>
                                  <w:tcW w:w="2075" w:type="dxa"/>
                                  <w:tcBorders/>
                                  <w:vAlign w:val="center"/>
                                </w:tcPr>
                                <w:p>
                                  <w:pPr>
                                    <w:pStyle w:val="TableContents"/>
                                    <w:bidi w:val="0"/>
                                    <w:spacing w:before="0" w:after="0"/>
                                    <w:jc w:val="both"/>
                                    <w:rPr>
                                      <w:rFonts w:ascii="arial" w:hAnsi="arial"/>
                                      <w:sz w:val="19"/>
                                    </w:rPr>
                                  </w:pPr>
                                  <w:r>
                                    <w:rPr>
                                      <w:rFonts w:ascii="arial" w:hAnsi="arial"/>
                                      <w:sz w:val="19"/>
                                    </w:rPr>
                                    <w:t xml:space="preserve">No hedging or pledging </w:t>
                                  </w:r>
                                </w:p>
                              </w:tc>
                            </w:tr>
                          </w:tbl>
                          <w:p>
                            <w:pPr>
                              <w:pStyle w:val="TextBody"/>
                              <w:bidi w:val="0"/>
                              <w:spacing w:before="0" w:after="0"/>
                              <w:jc w:val="left"/>
                              <w:rPr/>
                            </w:pPr>
                            <w:r>
                              <w:rPr/>
                              <w:t> </w:t>
                            </w:r>
                          </w:p>
                          <w:tbl>
                            <w:tblPr>
                              <w:tblW w:w="2620" w:type="dxa"/>
                              <w:jc w:val="left"/>
                              <w:tblInd w:w="0" w:type="dxa"/>
                              <w:tblLayout w:type="fixed"/>
                              <w:tblCellMar>
                                <w:top w:w="0" w:type="dxa"/>
                                <w:left w:w="0" w:type="dxa"/>
                                <w:bottom w:w="0" w:type="dxa"/>
                                <w:right w:w="0" w:type="dxa"/>
                              </w:tblCellMar>
                            </w:tblPr>
                            <w:tblGrid>
                              <w:gridCol w:w="200"/>
                              <w:gridCol w:w="2420"/>
                            </w:tblGrid>
                            <w:tr>
                              <w:trPr/>
                              <w:tc>
                                <w:tcPr>
                                  <w:tcW w:w="200" w:type="dxa"/>
                                  <w:tcBorders/>
                                  <w:vAlign w:val="center"/>
                                </w:tcPr>
                                <w:p>
                                  <w:pPr>
                                    <w:pStyle w:val="TableContents"/>
                                    <w:bidi w:val="0"/>
                                    <w:spacing w:before="0" w:after="283"/>
                                    <w:jc w:val="left"/>
                                    <w:rPr>
                                      <w:b/>
                                      <w:color w:val="0171B9"/>
                                      <w:sz w:val="28"/>
                                    </w:rPr>
                                  </w:pPr>
                                  <w:r>
                                    <w:rPr>
                                      <w:b/>
                                      <w:color w:val="0171B9"/>
                                      <w:sz w:val="28"/>
                                    </w:rPr>
                                    <w:t>×</w:t>
                                  </w:r>
                                </w:p>
                              </w:tc>
                              <w:tc>
                                <w:tcPr>
                                  <w:tcW w:w="2420" w:type="dxa"/>
                                  <w:tcBorders/>
                                  <w:vAlign w:val="center"/>
                                </w:tcPr>
                                <w:p>
                                  <w:pPr>
                                    <w:pStyle w:val="TableContents"/>
                                    <w:bidi w:val="0"/>
                                    <w:spacing w:before="0" w:after="0"/>
                                    <w:jc w:val="both"/>
                                    <w:rPr>
                                      <w:rFonts w:ascii="arial" w:hAnsi="arial"/>
                                      <w:sz w:val="19"/>
                                    </w:rPr>
                                  </w:pPr>
                                  <w:r>
                                    <w:rPr>
                                      <w:rFonts w:ascii="arial" w:hAnsi="arial"/>
                                      <w:sz w:val="19"/>
                                    </w:rPr>
                                    <w:t xml:space="preserve">No re-pricing or backdating </w:t>
                                  </w:r>
                                </w:p>
                              </w:tc>
                            </w:tr>
                          </w:tbl>
                          <w:p>
                            <w:pPr>
                              <w:pStyle w:val="TextBody"/>
                              <w:bidi w:val="0"/>
                              <w:spacing w:before="0" w:after="0"/>
                              <w:jc w:val="left"/>
                              <w:rPr/>
                            </w:pPr>
                            <w:r>
                              <w:rPr/>
                              <w:t> </w:t>
                            </w:r>
                          </w:p>
                          <w:tbl>
                            <w:tblPr>
                              <w:tblW w:w="5065" w:type="dxa"/>
                              <w:jc w:val="left"/>
                              <w:tblInd w:w="0" w:type="dxa"/>
                              <w:tblLayout w:type="fixed"/>
                              <w:tblCellMar>
                                <w:top w:w="0" w:type="dxa"/>
                                <w:left w:w="0" w:type="dxa"/>
                                <w:bottom w:w="0" w:type="dxa"/>
                                <w:right w:w="0" w:type="dxa"/>
                              </w:tblCellMar>
                            </w:tblPr>
                            <w:tblGrid>
                              <w:gridCol w:w="200"/>
                              <w:gridCol w:w="4865"/>
                            </w:tblGrid>
                            <w:tr>
                              <w:trPr/>
                              <w:tc>
                                <w:tcPr>
                                  <w:tcW w:w="200" w:type="dxa"/>
                                  <w:tcBorders/>
                                  <w:vAlign w:val="center"/>
                                </w:tcPr>
                                <w:p>
                                  <w:pPr>
                                    <w:pStyle w:val="TableContents"/>
                                    <w:bidi w:val="0"/>
                                    <w:spacing w:before="0" w:after="283"/>
                                    <w:jc w:val="left"/>
                                    <w:rPr>
                                      <w:b/>
                                      <w:color w:val="0171B9"/>
                                      <w:sz w:val="28"/>
                                    </w:rPr>
                                  </w:pPr>
                                  <w:r>
                                    <w:rPr>
                                      <w:b/>
                                      <w:color w:val="0171B9"/>
                                      <w:sz w:val="28"/>
                                    </w:rPr>
                                    <w:t>×</w:t>
                                  </w:r>
                                </w:p>
                              </w:tc>
                              <w:tc>
                                <w:tcPr>
                                  <w:tcW w:w="4865" w:type="dxa"/>
                                  <w:tcBorders/>
                                  <w:vAlign w:val="center"/>
                                </w:tcPr>
                                <w:p>
                                  <w:pPr>
                                    <w:pStyle w:val="TableContents"/>
                                    <w:bidi w:val="0"/>
                                    <w:spacing w:before="0" w:after="0"/>
                                    <w:jc w:val="both"/>
                                    <w:rPr>
                                      <w:rFonts w:ascii="arial" w:hAnsi="arial"/>
                                      <w:sz w:val="19"/>
                                    </w:rPr>
                                  </w:pPr>
                                  <w:r>
                                    <w:rPr>
                                      <w:rFonts w:ascii="arial" w:hAnsi="arial"/>
                                      <w:sz w:val="19"/>
                                    </w:rPr>
                                    <w:t xml:space="preserve">No tax gross-ups (except in connection with relocation) </w:t>
                                  </w:r>
                                </w:p>
                              </w:tc>
                            </w:tr>
                          </w:tbl>
                          <w:p>
                            <w:pPr>
                              <w:pStyle w:val="TextBody"/>
                              <w:bidi w:val="0"/>
                              <w:spacing w:before="0" w:after="0"/>
                              <w:jc w:val="left"/>
                              <w:rPr/>
                            </w:pPr>
                            <w:r>
                              <w:rPr/>
                              <w:t> </w:t>
                            </w:r>
                          </w:p>
                          <w:tbl>
                            <w:tblPr>
                              <w:tblW w:w="8515" w:type="dxa"/>
                              <w:jc w:val="left"/>
                              <w:tblInd w:w="0" w:type="dxa"/>
                              <w:tblLayout w:type="fixed"/>
                              <w:tblCellMar>
                                <w:top w:w="0" w:type="dxa"/>
                                <w:left w:w="0" w:type="dxa"/>
                                <w:bottom w:w="0" w:type="dxa"/>
                                <w:right w:w="0" w:type="dxa"/>
                              </w:tblCellMar>
                            </w:tblPr>
                            <w:tblGrid>
                              <w:gridCol w:w="200"/>
                              <w:gridCol w:w="8315"/>
                            </w:tblGrid>
                            <w:tr>
                              <w:trPr/>
                              <w:tc>
                                <w:tcPr>
                                  <w:tcW w:w="200" w:type="dxa"/>
                                  <w:tcBorders/>
                                  <w:vAlign w:val="center"/>
                                </w:tcPr>
                                <w:p>
                                  <w:pPr>
                                    <w:pStyle w:val="TableContents"/>
                                    <w:bidi w:val="0"/>
                                    <w:spacing w:before="0" w:after="283"/>
                                    <w:jc w:val="left"/>
                                    <w:rPr>
                                      <w:b/>
                                      <w:color w:val="0171B9"/>
                                      <w:sz w:val="28"/>
                                    </w:rPr>
                                  </w:pPr>
                                  <w:r>
                                    <w:rPr>
                                      <w:b/>
                                      <w:color w:val="0171B9"/>
                                      <w:sz w:val="28"/>
                                    </w:rPr>
                                    <w:t>×</w:t>
                                  </w:r>
                                </w:p>
                              </w:tc>
                              <w:tc>
                                <w:tcPr>
                                  <w:tcW w:w="8315" w:type="dxa"/>
                                  <w:tcBorders/>
                                  <w:vAlign w:val="center"/>
                                </w:tcPr>
                                <w:p>
                                  <w:pPr>
                                    <w:pStyle w:val="TableContents"/>
                                    <w:bidi w:val="0"/>
                                    <w:spacing w:before="0" w:after="0"/>
                                    <w:jc w:val="both"/>
                                    <w:rPr>
                                      <w:rFonts w:ascii="arial" w:hAnsi="arial"/>
                                      <w:sz w:val="19"/>
                                    </w:rPr>
                                  </w:pPr>
                                  <w:r>
                                    <w:rPr>
                                      <w:rFonts w:ascii="arial" w:hAnsi="arial"/>
                                      <w:sz w:val="19"/>
                                    </w:rPr>
                                    <w:t xml:space="preserve">No single-trigger for stock options and restricted stock units in the event of a change of control </w:t>
                                  </w:r>
                                </w:p>
                              </w:tc>
                            </w:tr>
                          </w:tbl>
                          <w:p>
                            <w:pPr>
                              <w:pStyle w:val="TextBody"/>
                              <w:bidi w:val="0"/>
                              <w:spacing w:before="0" w:after="0"/>
                              <w:jc w:val="left"/>
                              <w:rPr/>
                            </w:pPr>
                            <w:r>
                              <w:rPr/>
                              <w:t> </w:t>
                            </w:r>
                          </w:p>
                          <w:tbl>
                            <w:tblPr>
                              <w:tblW w:w="2020" w:type="dxa"/>
                              <w:jc w:val="left"/>
                              <w:tblInd w:w="0" w:type="dxa"/>
                              <w:tblLayout w:type="fixed"/>
                              <w:tblCellMar>
                                <w:top w:w="0" w:type="dxa"/>
                                <w:left w:w="0" w:type="dxa"/>
                                <w:bottom w:w="0" w:type="dxa"/>
                                <w:right w:w="0" w:type="dxa"/>
                              </w:tblCellMar>
                            </w:tblPr>
                            <w:tblGrid>
                              <w:gridCol w:w="200"/>
                              <w:gridCol w:w="1820"/>
                            </w:tblGrid>
                            <w:tr>
                              <w:trPr/>
                              <w:tc>
                                <w:tcPr>
                                  <w:tcW w:w="200" w:type="dxa"/>
                                  <w:tcBorders/>
                                  <w:vAlign w:val="center"/>
                                </w:tcPr>
                                <w:p>
                                  <w:pPr>
                                    <w:pStyle w:val="TableContents"/>
                                    <w:bidi w:val="0"/>
                                    <w:spacing w:before="0" w:after="283"/>
                                    <w:jc w:val="left"/>
                                    <w:rPr>
                                      <w:b/>
                                      <w:color w:val="0171B9"/>
                                      <w:sz w:val="28"/>
                                    </w:rPr>
                                  </w:pPr>
                                  <w:r>
                                    <w:rPr>
                                      <w:b/>
                                      <w:color w:val="0171B9"/>
                                      <w:sz w:val="28"/>
                                    </w:rPr>
                                    <w:t>×</w:t>
                                  </w:r>
                                </w:p>
                              </w:tc>
                              <w:tc>
                                <w:tcPr>
                                  <w:tcW w:w="1820" w:type="dxa"/>
                                  <w:tcBorders/>
                                  <w:vAlign w:val="center"/>
                                </w:tcPr>
                                <w:p>
                                  <w:pPr>
                                    <w:pStyle w:val="TableContents"/>
                                    <w:bidi w:val="0"/>
                                    <w:spacing w:before="0" w:after="0"/>
                                    <w:jc w:val="both"/>
                                    <w:rPr>
                                      <w:rFonts w:ascii="arial" w:hAnsi="arial"/>
                                      <w:sz w:val="19"/>
                                    </w:rPr>
                                  </w:pPr>
                                  <w:r>
                                    <w:rPr>
                                      <w:rFonts w:ascii="arial" w:hAnsi="arial"/>
                                      <w:sz w:val="19"/>
                                    </w:rPr>
                                    <w:t xml:space="preserve">No excessive perks </w:t>
                                  </w:r>
                                </w:p>
                              </w:tc>
                            </w:tr>
                          </w:tbl>
                          <w:p>
                            <w:pPr>
                              <w:pStyle w:val="TextBody"/>
                              <w:bidi w:val="0"/>
                              <w:spacing w:before="0" w:after="0"/>
                              <w:jc w:val="left"/>
                              <w:rPr/>
                            </w:pPr>
                            <w:r>
                              <w:rPr/>
                              <w:t> </w:t>
                            </w:r>
                          </w:p>
                          <w:tbl>
                            <w:tblPr>
                              <w:tblW w:w="2740" w:type="dxa"/>
                              <w:jc w:val="left"/>
                              <w:tblInd w:w="0" w:type="dxa"/>
                              <w:tblLayout w:type="fixed"/>
                              <w:tblCellMar>
                                <w:top w:w="0" w:type="dxa"/>
                                <w:left w:w="0" w:type="dxa"/>
                                <w:bottom w:w="0" w:type="dxa"/>
                                <w:right w:w="0" w:type="dxa"/>
                              </w:tblCellMar>
                            </w:tblPr>
                            <w:tblGrid>
                              <w:gridCol w:w="200"/>
                              <w:gridCol w:w="2540"/>
                            </w:tblGrid>
                            <w:tr>
                              <w:trPr/>
                              <w:tc>
                                <w:tcPr>
                                  <w:tcW w:w="200" w:type="dxa"/>
                                  <w:tcBorders/>
                                  <w:vAlign w:val="center"/>
                                </w:tcPr>
                                <w:p>
                                  <w:pPr>
                                    <w:pStyle w:val="TableContents"/>
                                    <w:bidi w:val="0"/>
                                    <w:spacing w:before="0" w:after="283"/>
                                    <w:jc w:val="left"/>
                                    <w:rPr>
                                      <w:b/>
                                      <w:color w:val="0171B9"/>
                                      <w:sz w:val="28"/>
                                    </w:rPr>
                                  </w:pPr>
                                  <w:r>
                                    <w:rPr>
                                      <w:b/>
                                      <w:color w:val="0171B9"/>
                                      <w:sz w:val="28"/>
                                    </w:rPr>
                                    <w:t>×</w:t>
                                  </w:r>
                                </w:p>
                              </w:tc>
                              <w:tc>
                                <w:tcPr>
                                  <w:tcW w:w="2540" w:type="dxa"/>
                                  <w:tcBorders/>
                                  <w:vAlign w:val="center"/>
                                </w:tcPr>
                                <w:p>
                                  <w:pPr>
                                    <w:pStyle w:val="TableContents"/>
                                    <w:bidi w:val="0"/>
                                    <w:spacing w:before="0" w:after="0"/>
                                    <w:jc w:val="both"/>
                                    <w:rPr>
                                      <w:rFonts w:ascii="arial" w:hAnsi="arial"/>
                                      <w:sz w:val="19"/>
                                    </w:rPr>
                                  </w:pPr>
                                  <w:r>
                                    <w:rPr>
                                      <w:rFonts w:ascii="arial" w:hAnsi="arial"/>
                                      <w:sz w:val="19"/>
                                    </w:rPr>
                                    <w:t xml:space="preserve">No employment agreements </w:t>
                                  </w:r>
                                </w:p>
                              </w:tc>
                            </w:tr>
                          </w:tbl>
                          <w:p>
                            <w:pPr>
                              <w:pStyle w:val="TextBody"/>
                              <w:bidi w:val="0"/>
                              <w:spacing w:before="0" w:after="0"/>
                              <w:jc w:val="left"/>
                              <w:rPr/>
                            </w:pPr>
                            <w:r>
                              <w:rPr/>
                              <w:t> </w:t>
                            </w:r>
                          </w:p>
                          <w:tbl>
                            <w:tblPr>
                              <w:tblW w:w="3550" w:type="dxa"/>
                              <w:jc w:val="left"/>
                              <w:tblInd w:w="0" w:type="dxa"/>
                              <w:tblLayout w:type="fixed"/>
                              <w:tblCellMar>
                                <w:top w:w="0" w:type="dxa"/>
                                <w:left w:w="0" w:type="dxa"/>
                                <w:bottom w:w="0" w:type="dxa"/>
                                <w:right w:w="0" w:type="dxa"/>
                              </w:tblCellMar>
                            </w:tblPr>
                            <w:tblGrid>
                              <w:gridCol w:w="200"/>
                              <w:gridCol w:w="3350"/>
                            </w:tblGrid>
                            <w:tr>
                              <w:trPr/>
                              <w:tc>
                                <w:tcPr>
                                  <w:tcW w:w="200" w:type="dxa"/>
                                  <w:tcBorders/>
                                  <w:vAlign w:val="center"/>
                                </w:tcPr>
                                <w:p>
                                  <w:pPr>
                                    <w:pStyle w:val="TableContents"/>
                                    <w:bidi w:val="0"/>
                                    <w:spacing w:before="0" w:after="283"/>
                                    <w:jc w:val="left"/>
                                    <w:rPr>
                                      <w:b/>
                                      <w:color w:val="0171B9"/>
                                      <w:sz w:val="28"/>
                                    </w:rPr>
                                  </w:pPr>
                                  <w:r>
                                    <w:rPr>
                                      <w:b/>
                                      <w:color w:val="0171B9"/>
                                      <w:sz w:val="28"/>
                                    </w:rPr>
                                    <w:t>×</w:t>
                                  </w:r>
                                </w:p>
                              </w:tc>
                              <w:tc>
                                <w:tcPr>
                                  <w:tcW w:w="3350" w:type="dxa"/>
                                  <w:tcBorders/>
                                  <w:vAlign w:val="center"/>
                                </w:tcPr>
                                <w:p>
                                  <w:pPr>
                                    <w:pStyle w:val="TableContents"/>
                                    <w:bidi w:val="0"/>
                                    <w:spacing w:before="0" w:after="0"/>
                                    <w:jc w:val="both"/>
                                    <w:rPr>
                                      <w:rFonts w:ascii="arial" w:hAnsi="arial"/>
                                      <w:sz w:val="19"/>
                                    </w:rPr>
                                  </w:pPr>
                                  <w:r>
                                    <w:rPr>
                                      <w:rFonts w:ascii="arial" w:hAnsi="arial"/>
                                      <w:sz w:val="19"/>
                                    </w:rPr>
                                    <w:t xml:space="preserve">No dividends paid on unvested equity </w:t>
                                  </w:r>
                                </w:p>
                              </w:tc>
                            </w:tr>
                          </w:tbl>
                          <w:p>
                            <w:pPr>
                              <w:pStyle w:val="TextBody"/>
                              <w:bidi w:val="0"/>
                              <w:spacing w:before="0" w:after="0"/>
                              <w:jc w:val="left"/>
                              <w:rPr/>
                            </w:pPr>
                            <w:r>
                              <w:rPr/>
                              <w:t> </w:t>
                            </w:r>
                          </w:p>
                          <w:tbl>
                            <w:tblPr>
                              <w:tblW w:w="7765" w:type="dxa"/>
                              <w:jc w:val="left"/>
                              <w:tblInd w:w="0" w:type="dxa"/>
                              <w:tblLayout w:type="fixed"/>
                              <w:tblCellMar>
                                <w:top w:w="0" w:type="dxa"/>
                                <w:left w:w="0" w:type="dxa"/>
                                <w:bottom w:w="0" w:type="dxa"/>
                                <w:right w:w="0" w:type="dxa"/>
                              </w:tblCellMar>
                            </w:tblPr>
                            <w:tblGrid>
                              <w:gridCol w:w="200"/>
                              <w:gridCol w:w="7565"/>
                            </w:tblGrid>
                            <w:tr>
                              <w:trPr/>
                              <w:tc>
                                <w:tcPr>
                                  <w:tcW w:w="200" w:type="dxa"/>
                                  <w:tcBorders/>
                                  <w:vAlign w:val="center"/>
                                </w:tcPr>
                                <w:p>
                                  <w:pPr>
                                    <w:pStyle w:val="TableContents"/>
                                    <w:bidi w:val="0"/>
                                    <w:spacing w:before="0" w:after="283"/>
                                    <w:jc w:val="left"/>
                                    <w:rPr>
                                      <w:b/>
                                      <w:color w:val="0171B9"/>
                                      <w:sz w:val="28"/>
                                    </w:rPr>
                                  </w:pPr>
                                  <w:r>
                                    <w:rPr>
                                      <w:b/>
                                      <w:color w:val="0171B9"/>
                                      <w:sz w:val="28"/>
                                    </w:rPr>
                                    <w:t>×</w:t>
                                  </w:r>
                                </w:p>
                              </w:tc>
                              <w:tc>
                                <w:tcPr>
                                  <w:tcW w:w="7565" w:type="dxa"/>
                                  <w:tcBorders/>
                                  <w:vAlign w:val="center"/>
                                </w:tcPr>
                                <w:p>
                                  <w:pPr>
                                    <w:pStyle w:val="TableContents"/>
                                    <w:bidi w:val="0"/>
                                    <w:spacing w:before="0" w:after="0"/>
                                    <w:jc w:val="both"/>
                                    <w:rPr>
                                      <w:rFonts w:ascii="arial" w:hAnsi="arial"/>
                                      <w:sz w:val="19"/>
                                    </w:rPr>
                                  </w:pPr>
                                  <w:r>
                                    <w:rPr>
                                      <w:rFonts w:ascii="arial" w:hAnsi="arial"/>
                                      <w:sz w:val="19"/>
                                    </w:rPr>
                                    <w:t xml:space="preserve">No defined benefit pension or supplemental executive retirement plan (SERP) benefits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86.4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1880" w:type="dxa"/>
                        <w:jc w:val="left"/>
                        <w:tblInd w:w="0" w:type="dxa"/>
                        <w:tblLayout w:type="fixed"/>
                        <w:tblCellMar>
                          <w:top w:w="0" w:type="dxa"/>
                          <w:left w:w="0" w:type="dxa"/>
                          <w:bottom w:w="0" w:type="dxa"/>
                          <w:right w:w="0" w:type="dxa"/>
                        </w:tblCellMar>
                      </w:tblPr>
                      <w:tblGrid>
                        <w:gridCol w:w="1880"/>
                      </w:tblGrid>
                      <w:tr>
                        <w:trPr/>
                        <w:tc>
                          <w:tcPr>
                            <w:tcW w:w="1880" w:type="dxa"/>
                            <w:tcBorders/>
                            <w:vAlign w:val="center"/>
                          </w:tcPr>
                          <w:p>
                            <w:pPr>
                              <w:pStyle w:val="TableContents"/>
                              <w:bidi w:val="0"/>
                              <w:spacing w:before="0" w:after="283"/>
                              <w:jc w:val="left"/>
                              <w:rPr>
                                <w:sz w:val="4"/>
                                <w:szCs w:val="4"/>
                              </w:rPr>
                            </w:pPr>
                            <w:r>
                              <w:rPr>
                                <w:sz w:val="4"/>
                                <w:szCs w:val="4"/>
                              </w:rPr>
                            </w:r>
                          </w:p>
                        </w:tc>
                      </w:tr>
                      <w:tr>
                        <w:trPr/>
                        <w:tc>
                          <w:tcPr>
                            <w:tcW w:w="1880" w:type="dxa"/>
                            <w:tcBorders>
                              <w:top w:val="single" w:sz="6" w:space="0" w:color="000000"/>
                            </w:tcBorders>
                            <w:shd w:fill="0171B9" w:val="clear"/>
                            <w:tcMar>
                              <w:top w:w="28" w:type="dxa"/>
                            </w:tcMar>
                            <w:vAlign w:val="center"/>
                          </w:tcPr>
                          <w:p>
                            <w:pPr>
                              <w:pStyle w:val="TableContents"/>
                              <w:bidi w:val="0"/>
                              <w:spacing w:before="0" w:after="283"/>
                              <w:jc w:val="left"/>
                              <w:rPr/>
                            </w:pPr>
                            <w:r>
                              <w:rPr/>
                              <w:t> </w:t>
                            </w:r>
                          </w:p>
                        </w:tc>
                      </w:tr>
                      <w:tr>
                        <w:trPr/>
                        <w:tc>
                          <w:tcPr>
                            <w:tcW w:w="1880" w:type="dxa"/>
                            <w:tcBorders>
                              <w:bottom w:val="single" w:sz="6" w:space="0" w:color="000000"/>
                            </w:tcBorders>
                            <w:shd w:fill="0171B9" w:val="clear"/>
                            <w:tcMar>
                              <w:bottom w:w="28" w:type="dxa"/>
                            </w:tcMar>
                            <w:vAlign w:val="center"/>
                          </w:tcPr>
                          <w:p>
                            <w:pPr>
                              <w:pStyle w:val="TableContents"/>
                              <w:bidi w:val="0"/>
                              <w:spacing w:before="0" w:after="0"/>
                              <w:jc w:val="center"/>
                              <w:rPr>
                                <w:rFonts w:ascii="arial" w:hAnsi="arial"/>
                                <w:b/>
                                <w:color w:val="FFFFFF"/>
                                <w:sz w:val="22"/>
                              </w:rPr>
                            </w:pPr>
                            <w:r>
                              <w:rPr>
                                <w:rFonts w:ascii="arial" w:hAnsi="arial"/>
                                <w:b/>
                                <w:color w:val="FFFFFF"/>
                                <w:sz w:val="22"/>
                              </w:rPr>
                              <w:t>What we don’t do</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b/>
                                <w:color w:val="0171B9"/>
                                <w:sz w:val="28"/>
                              </w:rPr>
                            </w:pPr>
                            <w:r>
                              <w:rPr>
                                <w:b/>
                                <w:color w:val="0171B9"/>
                                <w:sz w:val="28"/>
                              </w:rPr>
                              <w:t>×</w:t>
                            </w:r>
                          </w:p>
                        </w:tc>
                        <w:tc>
                          <w:tcPr>
                            <w:tcW w:w="10005" w:type="dxa"/>
                            <w:tcBorders/>
                            <w:vAlign w:val="center"/>
                          </w:tcPr>
                          <w:p>
                            <w:pPr>
                              <w:pStyle w:val="TableContents"/>
                              <w:bidi w:val="0"/>
                              <w:spacing w:before="0" w:after="0"/>
                              <w:jc w:val="both"/>
                              <w:rPr>
                                <w:rFonts w:ascii="arial" w:hAnsi="arial"/>
                                <w:sz w:val="19"/>
                              </w:rPr>
                            </w:pPr>
                            <w:r>
                              <w:rPr>
                                <w:rFonts w:ascii="arial" w:hAnsi="arial"/>
                                <w:sz w:val="19"/>
                              </w:rPr>
                              <w:t xml:space="preserve">No alterations to our established goals to respond to changing business conditions (for example, we did not made any changes to established goals in response to the occurrence or challenges of the pandemic) </w:t>
                            </w:r>
                          </w:p>
                        </w:tc>
                      </w:tr>
                    </w:tbl>
                    <w:p>
                      <w:pPr>
                        <w:pStyle w:val="TextBody"/>
                        <w:bidi w:val="0"/>
                        <w:spacing w:before="0" w:after="0"/>
                        <w:jc w:val="left"/>
                        <w:rPr/>
                      </w:pPr>
                      <w:r>
                        <w:rPr/>
                        <w:t> </w:t>
                      </w:r>
                    </w:p>
                    <w:tbl>
                      <w:tblPr>
                        <w:tblW w:w="2275" w:type="dxa"/>
                        <w:jc w:val="left"/>
                        <w:tblInd w:w="0" w:type="dxa"/>
                        <w:tblLayout w:type="fixed"/>
                        <w:tblCellMar>
                          <w:top w:w="0" w:type="dxa"/>
                          <w:left w:w="0" w:type="dxa"/>
                          <w:bottom w:w="0" w:type="dxa"/>
                          <w:right w:w="0" w:type="dxa"/>
                        </w:tblCellMar>
                      </w:tblPr>
                      <w:tblGrid>
                        <w:gridCol w:w="200"/>
                        <w:gridCol w:w="2075"/>
                      </w:tblGrid>
                      <w:tr>
                        <w:trPr/>
                        <w:tc>
                          <w:tcPr>
                            <w:tcW w:w="200" w:type="dxa"/>
                            <w:tcBorders/>
                            <w:vAlign w:val="center"/>
                          </w:tcPr>
                          <w:p>
                            <w:pPr>
                              <w:pStyle w:val="TableContents"/>
                              <w:bidi w:val="0"/>
                              <w:spacing w:before="0" w:after="283"/>
                              <w:jc w:val="left"/>
                              <w:rPr>
                                <w:b/>
                                <w:color w:val="0171B9"/>
                                <w:sz w:val="28"/>
                              </w:rPr>
                            </w:pPr>
                            <w:r>
                              <w:rPr>
                                <w:b/>
                                <w:color w:val="0171B9"/>
                                <w:sz w:val="28"/>
                              </w:rPr>
                              <w:t>×</w:t>
                            </w:r>
                          </w:p>
                        </w:tc>
                        <w:tc>
                          <w:tcPr>
                            <w:tcW w:w="2075" w:type="dxa"/>
                            <w:tcBorders/>
                            <w:vAlign w:val="center"/>
                          </w:tcPr>
                          <w:p>
                            <w:pPr>
                              <w:pStyle w:val="TableContents"/>
                              <w:bidi w:val="0"/>
                              <w:spacing w:before="0" w:after="0"/>
                              <w:jc w:val="both"/>
                              <w:rPr>
                                <w:rFonts w:ascii="arial" w:hAnsi="arial"/>
                                <w:sz w:val="19"/>
                              </w:rPr>
                            </w:pPr>
                            <w:r>
                              <w:rPr>
                                <w:rFonts w:ascii="arial" w:hAnsi="arial"/>
                                <w:sz w:val="19"/>
                              </w:rPr>
                              <w:t xml:space="preserve">No hedging or pledging </w:t>
                            </w:r>
                          </w:p>
                        </w:tc>
                      </w:tr>
                    </w:tbl>
                    <w:p>
                      <w:pPr>
                        <w:pStyle w:val="TextBody"/>
                        <w:bidi w:val="0"/>
                        <w:spacing w:before="0" w:after="0"/>
                        <w:jc w:val="left"/>
                        <w:rPr/>
                      </w:pPr>
                      <w:r>
                        <w:rPr/>
                        <w:t> </w:t>
                      </w:r>
                    </w:p>
                    <w:tbl>
                      <w:tblPr>
                        <w:tblW w:w="2620" w:type="dxa"/>
                        <w:jc w:val="left"/>
                        <w:tblInd w:w="0" w:type="dxa"/>
                        <w:tblLayout w:type="fixed"/>
                        <w:tblCellMar>
                          <w:top w:w="0" w:type="dxa"/>
                          <w:left w:w="0" w:type="dxa"/>
                          <w:bottom w:w="0" w:type="dxa"/>
                          <w:right w:w="0" w:type="dxa"/>
                        </w:tblCellMar>
                      </w:tblPr>
                      <w:tblGrid>
                        <w:gridCol w:w="200"/>
                        <w:gridCol w:w="2420"/>
                      </w:tblGrid>
                      <w:tr>
                        <w:trPr/>
                        <w:tc>
                          <w:tcPr>
                            <w:tcW w:w="200" w:type="dxa"/>
                            <w:tcBorders/>
                            <w:vAlign w:val="center"/>
                          </w:tcPr>
                          <w:p>
                            <w:pPr>
                              <w:pStyle w:val="TableContents"/>
                              <w:bidi w:val="0"/>
                              <w:spacing w:before="0" w:after="283"/>
                              <w:jc w:val="left"/>
                              <w:rPr>
                                <w:b/>
                                <w:color w:val="0171B9"/>
                                <w:sz w:val="28"/>
                              </w:rPr>
                            </w:pPr>
                            <w:r>
                              <w:rPr>
                                <w:b/>
                                <w:color w:val="0171B9"/>
                                <w:sz w:val="28"/>
                              </w:rPr>
                              <w:t>×</w:t>
                            </w:r>
                          </w:p>
                        </w:tc>
                        <w:tc>
                          <w:tcPr>
                            <w:tcW w:w="2420" w:type="dxa"/>
                            <w:tcBorders/>
                            <w:vAlign w:val="center"/>
                          </w:tcPr>
                          <w:p>
                            <w:pPr>
                              <w:pStyle w:val="TableContents"/>
                              <w:bidi w:val="0"/>
                              <w:spacing w:before="0" w:after="0"/>
                              <w:jc w:val="both"/>
                              <w:rPr>
                                <w:rFonts w:ascii="arial" w:hAnsi="arial"/>
                                <w:sz w:val="19"/>
                              </w:rPr>
                            </w:pPr>
                            <w:r>
                              <w:rPr>
                                <w:rFonts w:ascii="arial" w:hAnsi="arial"/>
                                <w:sz w:val="19"/>
                              </w:rPr>
                              <w:t xml:space="preserve">No re-pricing or backdating </w:t>
                            </w:r>
                          </w:p>
                        </w:tc>
                      </w:tr>
                    </w:tbl>
                    <w:p>
                      <w:pPr>
                        <w:pStyle w:val="TextBody"/>
                        <w:bidi w:val="0"/>
                        <w:spacing w:before="0" w:after="0"/>
                        <w:jc w:val="left"/>
                        <w:rPr/>
                      </w:pPr>
                      <w:r>
                        <w:rPr/>
                        <w:t> </w:t>
                      </w:r>
                    </w:p>
                    <w:tbl>
                      <w:tblPr>
                        <w:tblW w:w="5065" w:type="dxa"/>
                        <w:jc w:val="left"/>
                        <w:tblInd w:w="0" w:type="dxa"/>
                        <w:tblLayout w:type="fixed"/>
                        <w:tblCellMar>
                          <w:top w:w="0" w:type="dxa"/>
                          <w:left w:w="0" w:type="dxa"/>
                          <w:bottom w:w="0" w:type="dxa"/>
                          <w:right w:w="0" w:type="dxa"/>
                        </w:tblCellMar>
                      </w:tblPr>
                      <w:tblGrid>
                        <w:gridCol w:w="200"/>
                        <w:gridCol w:w="4865"/>
                      </w:tblGrid>
                      <w:tr>
                        <w:trPr/>
                        <w:tc>
                          <w:tcPr>
                            <w:tcW w:w="200" w:type="dxa"/>
                            <w:tcBorders/>
                            <w:vAlign w:val="center"/>
                          </w:tcPr>
                          <w:p>
                            <w:pPr>
                              <w:pStyle w:val="TableContents"/>
                              <w:bidi w:val="0"/>
                              <w:spacing w:before="0" w:after="283"/>
                              <w:jc w:val="left"/>
                              <w:rPr>
                                <w:b/>
                                <w:color w:val="0171B9"/>
                                <w:sz w:val="28"/>
                              </w:rPr>
                            </w:pPr>
                            <w:r>
                              <w:rPr>
                                <w:b/>
                                <w:color w:val="0171B9"/>
                                <w:sz w:val="28"/>
                              </w:rPr>
                              <w:t>×</w:t>
                            </w:r>
                          </w:p>
                        </w:tc>
                        <w:tc>
                          <w:tcPr>
                            <w:tcW w:w="4865" w:type="dxa"/>
                            <w:tcBorders/>
                            <w:vAlign w:val="center"/>
                          </w:tcPr>
                          <w:p>
                            <w:pPr>
                              <w:pStyle w:val="TableContents"/>
                              <w:bidi w:val="0"/>
                              <w:spacing w:before="0" w:after="0"/>
                              <w:jc w:val="both"/>
                              <w:rPr>
                                <w:rFonts w:ascii="arial" w:hAnsi="arial"/>
                                <w:sz w:val="19"/>
                              </w:rPr>
                            </w:pPr>
                            <w:r>
                              <w:rPr>
                                <w:rFonts w:ascii="arial" w:hAnsi="arial"/>
                                <w:sz w:val="19"/>
                              </w:rPr>
                              <w:t xml:space="preserve">No tax gross-ups (except in connection with relocation) </w:t>
                            </w:r>
                          </w:p>
                        </w:tc>
                      </w:tr>
                    </w:tbl>
                    <w:p>
                      <w:pPr>
                        <w:pStyle w:val="TextBody"/>
                        <w:bidi w:val="0"/>
                        <w:spacing w:before="0" w:after="0"/>
                        <w:jc w:val="left"/>
                        <w:rPr/>
                      </w:pPr>
                      <w:r>
                        <w:rPr/>
                        <w:t> </w:t>
                      </w:r>
                    </w:p>
                    <w:tbl>
                      <w:tblPr>
                        <w:tblW w:w="8515" w:type="dxa"/>
                        <w:jc w:val="left"/>
                        <w:tblInd w:w="0" w:type="dxa"/>
                        <w:tblLayout w:type="fixed"/>
                        <w:tblCellMar>
                          <w:top w:w="0" w:type="dxa"/>
                          <w:left w:w="0" w:type="dxa"/>
                          <w:bottom w:w="0" w:type="dxa"/>
                          <w:right w:w="0" w:type="dxa"/>
                        </w:tblCellMar>
                      </w:tblPr>
                      <w:tblGrid>
                        <w:gridCol w:w="200"/>
                        <w:gridCol w:w="8315"/>
                      </w:tblGrid>
                      <w:tr>
                        <w:trPr/>
                        <w:tc>
                          <w:tcPr>
                            <w:tcW w:w="200" w:type="dxa"/>
                            <w:tcBorders/>
                            <w:vAlign w:val="center"/>
                          </w:tcPr>
                          <w:p>
                            <w:pPr>
                              <w:pStyle w:val="TableContents"/>
                              <w:bidi w:val="0"/>
                              <w:spacing w:before="0" w:after="283"/>
                              <w:jc w:val="left"/>
                              <w:rPr>
                                <w:b/>
                                <w:color w:val="0171B9"/>
                                <w:sz w:val="28"/>
                              </w:rPr>
                            </w:pPr>
                            <w:r>
                              <w:rPr>
                                <w:b/>
                                <w:color w:val="0171B9"/>
                                <w:sz w:val="28"/>
                              </w:rPr>
                              <w:t>×</w:t>
                            </w:r>
                          </w:p>
                        </w:tc>
                        <w:tc>
                          <w:tcPr>
                            <w:tcW w:w="8315" w:type="dxa"/>
                            <w:tcBorders/>
                            <w:vAlign w:val="center"/>
                          </w:tcPr>
                          <w:p>
                            <w:pPr>
                              <w:pStyle w:val="TableContents"/>
                              <w:bidi w:val="0"/>
                              <w:spacing w:before="0" w:after="0"/>
                              <w:jc w:val="both"/>
                              <w:rPr>
                                <w:rFonts w:ascii="arial" w:hAnsi="arial"/>
                                <w:sz w:val="19"/>
                              </w:rPr>
                            </w:pPr>
                            <w:r>
                              <w:rPr>
                                <w:rFonts w:ascii="arial" w:hAnsi="arial"/>
                                <w:sz w:val="19"/>
                              </w:rPr>
                              <w:t xml:space="preserve">No single-trigger for stock options and restricted stock units in the event of a change of control </w:t>
                            </w:r>
                          </w:p>
                        </w:tc>
                      </w:tr>
                    </w:tbl>
                    <w:p>
                      <w:pPr>
                        <w:pStyle w:val="TextBody"/>
                        <w:bidi w:val="0"/>
                        <w:spacing w:before="0" w:after="0"/>
                        <w:jc w:val="left"/>
                        <w:rPr/>
                      </w:pPr>
                      <w:r>
                        <w:rPr/>
                        <w:t> </w:t>
                      </w:r>
                    </w:p>
                    <w:tbl>
                      <w:tblPr>
                        <w:tblW w:w="2020" w:type="dxa"/>
                        <w:jc w:val="left"/>
                        <w:tblInd w:w="0" w:type="dxa"/>
                        <w:tblLayout w:type="fixed"/>
                        <w:tblCellMar>
                          <w:top w:w="0" w:type="dxa"/>
                          <w:left w:w="0" w:type="dxa"/>
                          <w:bottom w:w="0" w:type="dxa"/>
                          <w:right w:w="0" w:type="dxa"/>
                        </w:tblCellMar>
                      </w:tblPr>
                      <w:tblGrid>
                        <w:gridCol w:w="200"/>
                        <w:gridCol w:w="1820"/>
                      </w:tblGrid>
                      <w:tr>
                        <w:trPr/>
                        <w:tc>
                          <w:tcPr>
                            <w:tcW w:w="200" w:type="dxa"/>
                            <w:tcBorders/>
                            <w:vAlign w:val="center"/>
                          </w:tcPr>
                          <w:p>
                            <w:pPr>
                              <w:pStyle w:val="TableContents"/>
                              <w:bidi w:val="0"/>
                              <w:spacing w:before="0" w:after="283"/>
                              <w:jc w:val="left"/>
                              <w:rPr>
                                <w:b/>
                                <w:color w:val="0171B9"/>
                                <w:sz w:val="28"/>
                              </w:rPr>
                            </w:pPr>
                            <w:r>
                              <w:rPr>
                                <w:b/>
                                <w:color w:val="0171B9"/>
                                <w:sz w:val="28"/>
                              </w:rPr>
                              <w:t>×</w:t>
                            </w:r>
                          </w:p>
                        </w:tc>
                        <w:tc>
                          <w:tcPr>
                            <w:tcW w:w="1820" w:type="dxa"/>
                            <w:tcBorders/>
                            <w:vAlign w:val="center"/>
                          </w:tcPr>
                          <w:p>
                            <w:pPr>
                              <w:pStyle w:val="TableContents"/>
                              <w:bidi w:val="0"/>
                              <w:spacing w:before="0" w:after="0"/>
                              <w:jc w:val="both"/>
                              <w:rPr>
                                <w:rFonts w:ascii="arial" w:hAnsi="arial"/>
                                <w:sz w:val="19"/>
                              </w:rPr>
                            </w:pPr>
                            <w:r>
                              <w:rPr>
                                <w:rFonts w:ascii="arial" w:hAnsi="arial"/>
                                <w:sz w:val="19"/>
                              </w:rPr>
                              <w:t xml:space="preserve">No excessive perks </w:t>
                            </w:r>
                          </w:p>
                        </w:tc>
                      </w:tr>
                    </w:tbl>
                    <w:p>
                      <w:pPr>
                        <w:pStyle w:val="TextBody"/>
                        <w:bidi w:val="0"/>
                        <w:spacing w:before="0" w:after="0"/>
                        <w:jc w:val="left"/>
                        <w:rPr/>
                      </w:pPr>
                      <w:r>
                        <w:rPr/>
                        <w:t> </w:t>
                      </w:r>
                    </w:p>
                    <w:tbl>
                      <w:tblPr>
                        <w:tblW w:w="2740" w:type="dxa"/>
                        <w:jc w:val="left"/>
                        <w:tblInd w:w="0" w:type="dxa"/>
                        <w:tblLayout w:type="fixed"/>
                        <w:tblCellMar>
                          <w:top w:w="0" w:type="dxa"/>
                          <w:left w:w="0" w:type="dxa"/>
                          <w:bottom w:w="0" w:type="dxa"/>
                          <w:right w:w="0" w:type="dxa"/>
                        </w:tblCellMar>
                      </w:tblPr>
                      <w:tblGrid>
                        <w:gridCol w:w="200"/>
                        <w:gridCol w:w="2540"/>
                      </w:tblGrid>
                      <w:tr>
                        <w:trPr/>
                        <w:tc>
                          <w:tcPr>
                            <w:tcW w:w="200" w:type="dxa"/>
                            <w:tcBorders/>
                            <w:vAlign w:val="center"/>
                          </w:tcPr>
                          <w:p>
                            <w:pPr>
                              <w:pStyle w:val="TableContents"/>
                              <w:bidi w:val="0"/>
                              <w:spacing w:before="0" w:after="283"/>
                              <w:jc w:val="left"/>
                              <w:rPr>
                                <w:b/>
                                <w:color w:val="0171B9"/>
                                <w:sz w:val="28"/>
                              </w:rPr>
                            </w:pPr>
                            <w:r>
                              <w:rPr>
                                <w:b/>
                                <w:color w:val="0171B9"/>
                                <w:sz w:val="28"/>
                              </w:rPr>
                              <w:t>×</w:t>
                            </w:r>
                          </w:p>
                        </w:tc>
                        <w:tc>
                          <w:tcPr>
                            <w:tcW w:w="2540" w:type="dxa"/>
                            <w:tcBorders/>
                            <w:vAlign w:val="center"/>
                          </w:tcPr>
                          <w:p>
                            <w:pPr>
                              <w:pStyle w:val="TableContents"/>
                              <w:bidi w:val="0"/>
                              <w:spacing w:before="0" w:after="0"/>
                              <w:jc w:val="both"/>
                              <w:rPr>
                                <w:rFonts w:ascii="arial" w:hAnsi="arial"/>
                                <w:sz w:val="19"/>
                              </w:rPr>
                            </w:pPr>
                            <w:r>
                              <w:rPr>
                                <w:rFonts w:ascii="arial" w:hAnsi="arial"/>
                                <w:sz w:val="19"/>
                              </w:rPr>
                              <w:t xml:space="preserve">No employment agreements </w:t>
                            </w:r>
                          </w:p>
                        </w:tc>
                      </w:tr>
                    </w:tbl>
                    <w:p>
                      <w:pPr>
                        <w:pStyle w:val="TextBody"/>
                        <w:bidi w:val="0"/>
                        <w:spacing w:before="0" w:after="0"/>
                        <w:jc w:val="left"/>
                        <w:rPr/>
                      </w:pPr>
                      <w:r>
                        <w:rPr/>
                        <w:t> </w:t>
                      </w:r>
                    </w:p>
                    <w:tbl>
                      <w:tblPr>
                        <w:tblW w:w="3550" w:type="dxa"/>
                        <w:jc w:val="left"/>
                        <w:tblInd w:w="0" w:type="dxa"/>
                        <w:tblLayout w:type="fixed"/>
                        <w:tblCellMar>
                          <w:top w:w="0" w:type="dxa"/>
                          <w:left w:w="0" w:type="dxa"/>
                          <w:bottom w:w="0" w:type="dxa"/>
                          <w:right w:w="0" w:type="dxa"/>
                        </w:tblCellMar>
                      </w:tblPr>
                      <w:tblGrid>
                        <w:gridCol w:w="200"/>
                        <w:gridCol w:w="3350"/>
                      </w:tblGrid>
                      <w:tr>
                        <w:trPr/>
                        <w:tc>
                          <w:tcPr>
                            <w:tcW w:w="200" w:type="dxa"/>
                            <w:tcBorders/>
                            <w:vAlign w:val="center"/>
                          </w:tcPr>
                          <w:p>
                            <w:pPr>
                              <w:pStyle w:val="TableContents"/>
                              <w:bidi w:val="0"/>
                              <w:spacing w:before="0" w:after="283"/>
                              <w:jc w:val="left"/>
                              <w:rPr>
                                <w:b/>
                                <w:color w:val="0171B9"/>
                                <w:sz w:val="28"/>
                              </w:rPr>
                            </w:pPr>
                            <w:r>
                              <w:rPr>
                                <w:b/>
                                <w:color w:val="0171B9"/>
                                <w:sz w:val="28"/>
                              </w:rPr>
                              <w:t>×</w:t>
                            </w:r>
                          </w:p>
                        </w:tc>
                        <w:tc>
                          <w:tcPr>
                            <w:tcW w:w="3350" w:type="dxa"/>
                            <w:tcBorders/>
                            <w:vAlign w:val="center"/>
                          </w:tcPr>
                          <w:p>
                            <w:pPr>
                              <w:pStyle w:val="TableContents"/>
                              <w:bidi w:val="0"/>
                              <w:spacing w:before="0" w:after="0"/>
                              <w:jc w:val="both"/>
                              <w:rPr>
                                <w:rFonts w:ascii="arial" w:hAnsi="arial"/>
                                <w:sz w:val="19"/>
                              </w:rPr>
                            </w:pPr>
                            <w:r>
                              <w:rPr>
                                <w:rFonts w:ascii="arial" w:hAnsi="arial"/>
                                <w:sz w:val="19"/>
                              </w:rPr>
                              <w:t xml:space="preserve">No dividends paid on unvested equity </w:t>
                            </w:r>
                          </w:p>
                        </w:tc>
                      </w:tr>
                    </w:tbl>
                    <w:p>
                      <w:pPr>
                        <w:pStyle w:val="TextBody"/>
                        <w:bidi w:val="0"/>
                        <w:spacing w:before="0" w:after="0"/>
                        <w:jc w:val="left"/>
                        <w:rPr/>
                      </w:pPr>
                      <w:r>
                        <w:rPr/>
                        <w:t> </w:t>
                      </w:r>
                    </w:p>
                    <w:tbl>
                      <w:tblPr>
                        <w:tblW w:w="7765" w:type="dxa"/>
                        <w:jc w:val="left"/>
                        <w:tblInd w:w="0" w:type="dxa"/>
                        <w:tblLayout w:type="fixed"/>
                        <w:tblCellMar>
                          <w:top w:w="0" w:type="dxa"/>
                          <w:left w:w="0" w:type="dxa"/>
                          <w:bottom w:w="0" w:type="dxa"/>
                          <w:right w:w="0" w:type="dxa"/>
                        </w:tblCellMar>
                      </w:tblPr>
                      <w:tblGrid>
                        <w:gridCol w:w="200"/>
                        <w:gridCol w:w="7565"/>
                      </w:tblGrid>
                      <w:tr>
                        <w:trPr/>
                        <w:tc>
                          <w:tcPr>
                            <w:tcW w:w="200" w:type="dxa"/>
                            <w:tcBorders/>
                            <w:vAlign w:val="center"/>
                          </w:tcPr>
                          <w:p>
                            <w:pPr>
                              <w:pStyle w:val="TableContents"/>
                              <w:bidi w:val="0"/>
                              <w:spacing w:before="0" w:after="283"/>
                              <w:jc w:val="left"/>
                              <w:rPr>
                                <w:b/>
                                <w:color w:val="0171B9"/>
                                <w:sz w:val="28"/>
                              </w:rPr>
                            </w:pPr>
                            <w:r>
                              <w:rPr>
                                <w:b/>
                                <w:color w:val="0171B9"/>
                                <w:sz w:val="28"/>
                              </w:rPr>
                              <w:t>×</w:t>
                            </w:r>
                          </w:p>
                        </w:tc>
                        <w:tc>
                          <w:tcPr>
                            <w:tcW w:w="7565" w:type="dxa"/>
                            <w:tcBorders/>
                            <w:vAlign w:val="center"/>
                          </w:tcPr>
                          <w:p>
                            <w:pPr>
                              <w:pStyle w:val="TableContents"/>
                              <w:bidi w:val="0"/>
                              <w:spacing w:before="0" w:after="0"/>
                              <w:jc w:val="both"/>
                              <w:rPr>
                                <w:rFonts w:ascii="arial" w:hAnsi="arial"/>
                                <w:sz w:val="19"/>
                              </w:rPr>
                            </w:pPr>
                            <w:r>
                              <w:rPr>
                                <w:rFonts w:ascii="arial" w:hAnsi="arial"/>
                                <w:sz w:val="19"/>
                              </w:rPr>
                              <w:t xml:space="preserve">No defined benefit pension or supplemental executive retirement plan (SERP) benefits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60"/>
        <w:gridCol w:w="9949"/>
        <w:gridCol w:w="12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top w:val="single" w:sz="8" w:space="0" w:color="0171B9"/>
              <w:bottom w:val="single" w:sz="8" w:space="0" w:color="0171B9"/>
            </w:tcBorders>
            <w:tcMar>
              <w:top w:w="28" w:type="dxa"/>
              <w:bottom w:w="28" w:type="dxa"/>
            </w:tcMar>
            <w:vAlign w:val="center"/>
          </w:tcPr>
          <w:p>
            <w:pPr>
              <w:pStyle w:val="TableContents"/>
              <w:bidi w:val="0"/>
              <w:spacing w:before="0" w:after="283"/>
              <w:jc w:val="left"/>
              <w:rPr/>
            </w:pPr>
            <w:r>
              <w:rPr/>
              <w:t> </w:t>
            </w:r>
          </w:p>
        </w:tc>
        <w:tc>
          <w:tcPr>
            <w:tcW w:w="9949" w:type="dxa"/>
            <w:tcBorders>
              <w:top w:val="single" w:sz="8" w:space="0" w:color="0171B9"/>
              <w:bottom w:val="single" w:sz="8" w:space="0" w:color="0171B9"/>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i/>
                <w:color w:val="0171B9"/>
                <w:sz w:val="23"/>
              </w:rPr>
            </w:pPr>
            <w:r>
              <w:rPr>
                <w:rFonts w:ascii="arial" w:hAnsi="arial"/>
                <w:b/>
                <w:i/>
                <w:color w:val="0171B9"/>
                <w:sz w:val="23"/>
              </w:rPr>
              <w:t>THE BOARD OF DIRECTORS RECOMMENDS A VOTE “FOR” THE APPROVAL OF THE ADVISORY RESOLUTION TO APPROVE THE COMPENSATION OF THE</w:t>
            </w:r>
          </w:p>
          <w:p>
            <w:pPr>
              <w:pStyle w:val="TableContents"/>
              <w:bidi w:val="0"/>
              <w:spacing w:before="0" w:after="0"/>
              <w:jc w:val="center"/>
              <w:rPr>
                <w:rFonts w:ascii="arial" w:hAnsi="arial"/>
                <w:b/>
                <w:i/>
                <w:color w:val="0171B9"/>
                <w:sz w:val="23"/>
              </w:rPr>
            </w:pPr>
            <w:r>
              <w:rPr>
                <w:rFonts w:ascii="arial" w:hAnsi="arial"/>
                <w:b/>
                <w:i/>
                <w:color w:val="0171B9"/>
                <w:sz w:val="23"/>
              </w:rPr>
              <w:t>COMPANY’S NAMED EXECUTIVE OFFICERS.</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(1) </w:t>
            </w:r>
          </w:p>
        </w:tc>
        <w:tc>
          <w:tcPr>
            <w:tcW w:w="9949" w:type="dxa"/>
            <w:tcBorders/>
            <w:vAlign w:val="center"/>
          </w:tcPr>
          <w:p>
            <w:pPr>
              <w:pStyle w:val="TableContents"/>
              <w:bidi w:val="0"/>
              <w:spacing w:before="0" w:after="0"/>
              <w:jc w:val="both"/>
              <w:rPr>
                <w:rFonts w:ascii="arial" w:hAnsi="arial"/>
                <w:sz w:val="16"/>
              </w:rPr>
            </w:pPr>
            <w:r>
              <w:rPr>
                <w:rFonts w:ascii="arial" w:hAnsi="arial"/>
                <w:sz w:val="16"/>
              </w:rPr>
              <w:t xml:space="preserve">Our clawback policy is available on our website at </w:t>
            </w:r>
            <w:r>
              <w:rPr>
                <w:rFonts w:ascii="arial" w:hAnsi="arial"/>
                <w:i/>
                <w:color w:val="0171B9"/>
                <w:sz w:val="16"/>
              </w:rPr>
              <w:t>https://wwwext.amgen.com/about/how-we-operate/corporate-governance/amgen-policy-on-recovery-of-erroneously-awarded-compensation</w:t>
            </w:r>
            <w:r>
              <w:rPr>
                <w:rFonts w:ascii="arial" w:hAnsi="arial"/>
                <w:sz w:val="16"/>
              </w:rPr>
              <w:t xml:space="preserve"> and filed in our Form 10-K for the year ended December 31, 2023. Reference to our website is not intended to function as a hyperlink and the information contained on our website is not intended to be part of this proxy statement. </w:t>
            </w:r>
          </w:p>
        </w:tc>
      </w:tr>
    </w:tbl>
    <w:tbl>
      <w:tblPr>
        <w:tblW w:w="9835" w:type="dxa"/>
        <w:jc w:val="left"/>
        <w:tblInd w:w="0" w:type="dxa"/>
        <w:tblLayout w:type="fixed"/>
        <w:tblCellMar>
          <w:top w:w="0" w:type="dxa"/>
          <w:left w:w="0" w:type="dxa"/>
          <w:bottom w:w="0" w:type="dxa"/>
          <w:right w:w="0" w:type="dxa"/>
        </w:tblCellMar>
      </w:tblPr>
      <w:tblGrid>
        <w:gridCol w:w="365"/>
        <w:gridCol w:w="9470"/>
      </w:tblGrid>
      <w:tr>
        <w:trPr/>
        <w:tc>
          <w:tcPr>
            <w:tcW w:w="365" w:type="dxa"/>
            <w:tcBorders/>
            <w:vAlign w:val="center"/>
          </w:tcPr>
          <w:p>
            <w:pPr>
              <w:pStyle w:val="TableContents"/>
              <w:bidi w:val="0"/>
              <w:spacing w:before="0" w:after="283"/>
              <w:jc w:val="left"/>
              <w:rPr/>
            </w:pPr>
            <w:r>
              <w:rPr/>
              <w:t>(2) </w:t>
            </w:r>
          </w:p>
        </w:tc>
        <w:tc>
          <w:tcPr>
            <w:tcW w:w="9470" w:type="dxa"/>
            <w:tcBorders/>
            <w:vAlign w:val="center"/>
          </w:tcPr>
          <w:p>
            <w:pPr>
              <w:pStyle w:val="TableContents"/>
              <w:bidi w:val="0"/>
              <w:spacing w:before="0" w:after="0"/>
              <w:jc w:val="both"/>
              <w:rPr>
                <w:rFonts w:ascii="arial" w:hAnsi="arial"/>
                <w:sz w:val="16"/>
              </w:rPr>
            </w:pPr>
            <w:r>
              <w:rPr>
                <w:rFonts w:ascii="arial" w:hAnsi="arial"/>
                <w:sz w:val="16"/>
              </w:rPr>
              <w:t xml:space="preserve">Forfeiture and cancellation applies to any unvested or unexercised portion of any stock options granted after December 31, 2020. </w:t>
            </w:r>
          </w:p>
        </w:tc>
      </w:tr>
    </w:tbl>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6  </w:t>
      </w:r>
      <w:r>
        <w:rPr>
          <w:rFonts w:ascii="arial" w:hAnsi="arial"/>
          <w:b/>
          <w:color w:val="474747"/>
          <w:sz w:val="22"/>
        </w:rPr>
        <w:drawing>
          <wp:inline distT="0" distB="0" distL="0" distR="0">
            <wp:extent cx="64770" cy="15240"/>
            <wp:effectExtent l="0" t="0" r="0" b="0"/>
            <wp:docPr id="2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3" descr=""/>
                    <pic:cNvPicPr>
                      <a:picLocks noChangeAspect="1" noChangeArrowheads="1"/>
                    </pic:cNvPicPr>
                  </pic:nvPicPr>
                  <pic:blipFill>
                    <a:blip r:embed="rId24"/>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354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306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6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306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Proxy Statement Summary</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171B9"/>
          <w:sz w:val="40"/>
        </w:rPr>
      </w:pPr>
      <w:r>
        <w:rPr>
          <w:rFonts w:ascii="arial" w:hAnsi="arial"/>
          <w:b/>
          <w:color w:val="0171B9"/>
          <w:sz w:val="40"/>
        </w:rPr>
        <w:t xml:space="preserve">Item 3: Approval of Amgen Inc. Second Amended and Restated 2009 Equity Incentive Plan (Page 108) </w:t>
      </w:r>
    </w:p>
    <w:p>
      <w:pPr>
        <w:pStyle w:val="TextBody"/>
        <w:pBdr>
          <w:bottom w:val="single" w:sz="2" w:space="1" w:color="666666"/>
        </w:pBdr>
        <w:bidi w:val="0"/>
        <w:spacing w:lineRule="atLeast" w:line="142" w:before="0" w:after="4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Stockholders are being asked to approve the Amgen Inc. Second Amended and Restated 2009 Equity Incentive Plan, or the Amended Plan. Our Board of Directors has approved the Amended Plan, subject to stockholder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Maintaining a long-term equity incentive plan, such as the Amended Plan, with an adequate reserve of shares, will enable the Company to implement long-term incentive compensation programs to retain our key employees, compensate our employees based on the performance of the Company, align the goals and objectives of our employees with the interests of our stockholders, and promote a focus on long-term value creation.</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The Amended Plan amends and restates the Amgen Inc. Amended and Restated 2009 Equity Incentive Plan and increases the number of shares of our Common Stock available for issuance by 31,297,000 shares. We do not have any other equity incentive plans pursuant to which equity awards can be granted.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60"/>
        <w:gridCol w:w="9949"/>
        <w:gridCol w:w="12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top w:val="single" w:sz="8" w:space="0" w:color="0171B9"/>
              <w:bottom w:val="single" w:sz="8" w:space="0" w:color="0171B9"/>
            </w:tcBorders>
            <w:tcMar>
              <w:top w:w="28" w:type="dxa"/>
              <w:bottom w:w="28" w:type="dxa"/>
            </w:tcMar>
            <w:vAlign w:val="center"/>
          </w:tcPr>
          <w:p>
            <w:pPr>
              <w:pStyle w:val="TableContents"/>
              <w:bidi w:val="0"/>
              <w:spacing w:before="0" w:after="283"/>
              <w:jc w:val="left"/>
              <w:rPr/>
            </w:pPr>
            <w:r>
              <w:rPr/>
              <w:t> </w:t>
            </w:r>
          </w:p>
        </w:tc>
        <w:tc>
          <w:tcPr>
            <w:tcW w:w="9949" w:type="dxa"/>
            <w:tcBorders>
              <w:top w:val="single" w:sz="8" w:space="0" w:color="0171B9"/>
              <w:bottom w:val="single" w:sz="8" w:space="0" w:color="0171B9"/>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i/>
                <w:color w:val="0171B9"/>
                <w:sz w:val="23"/>
              </w:rPr>
            </w:pPr>
            <w:r>
              <w:rPr>
                <w:rFonts w:ascii="arial" w:hAnsi="arial"/>
                <w:b/>
                <w:i/>
                <w:color w:val="0171B9"/>
                <w:sz w:val="23"/>
              </w:rPr>
              <w:t>THE BOARD OF DIRECTORS RECOMMENDS A VOTE “FOR” THE APPROVAL OF THE AMGEN INC. SECOND AMENDED AND RESTATED 2009 EQUITY INCENTIVE PLAN.</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arial" w:hAnsi="arial"/>
          <w:b/>
          <w:color w:val="0171B9"/>
          <w:sz w:val="40"/>
        </w:rPr>
      </w:pPr>
      <w:r>
        <w:rPr>
          <w:rFonts w:ascii="arial" w:hAnsi="arial"/>
          <w:b/>
          <w:color w:val="0171B9"/>
          <w:sz w:val="40"/>
        </w:rPr>
        <w:t xml:space="preserve">Item 4: Ratification of Selection of Independent Registered Public Accountants (Page 123) </w:t>
      </w:r>
    </w:p>
    <w:p>
      <w:pPr>
        <w:pStyle w:val="TextBody"/>
        <w:pBdr>
          <w:bottom w:val="single" w:sz="2" w:space="1" w:color="666666"/>
        </w:pBdr>
        <w:bidi w:val="0"/>
        <w:spacing w:lineRule="atLeast" w:line="142" w:before="0" w:after="4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Each year, the Audit Committee evaluates the qualifications and performance of the Company’s independent registered public accountants and determines whether to re-engage the current independent registered public accountants.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Based on this evaluation, the Audit Committee believes that the continued retention of Ernst &amp; Young LLP, or EY, is in the best interests of the Company and its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The Audit Committee of the Board has selected EY as our independent registered public accountants for the fiscal year ending December 31,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60"/>
        <w:gridCol w:w="9949"/>
        <w:gridCol w:w="12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top w:val="single" w:sz="8" w:space="0" w:color="0171B9"/>
              <w:bottom w:val="single" w:sz="8" w:space="0" w:color="0171B9"/>
            </w:tcBorders>
            <w:tcMar>
              <w:top w:w="28" w:type="dxa"/>
              <w:bottom w:w="28" w:type="dxa"/>
            </w:tcMar>
            <w:vAlign w:val="center"/>
          </w:tcPr>
          <w:p>
            <w:pPr>
              <w:pStyle w:val="TableContents"/>
              <w:bidi w:val="0"/>
              <w:spacing w:before="0" w:after="283"/>
              <w:jc w:val="left"/>
              <w:rPr/>
            </w:pPr>
            <w:r>
              <w:rPr/>
              <w:t> </w:t>
            </w:r>
          </w:p>
        </w:tc>
        <w:tc>
          <w:tcPr>
            <w:tcW w:w="9949" w:type="dxa"/>
            <w:tcBorders>
              <w:top w:val="single" w:sz="8" w:space="0" w:color="0171B9"/>
              <w:bottom w:val="single" w:sz="8" w:space="0" w:color="0171B9"/>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i/>
                <w:color w:val="0171B9"/>
                <w:sz w:val="23"/>
              </w:rPr>
            </w:pPr>
            <w:r>
              <w:rPr>
                <w:rFonts w:ascii="arial" w:hAnsi="arial"/>
                <w:b/>
                <w:i/>
                <w:color w:val="0171B9"/>
                <w:sz w:val="23"/>
              </w:rPr>
              <w:t>THE BOARD OF DIRECTORS RECOMMENDS A VOTE “FOR” RATIFICATION OF OUR INDEPENDENT REGISTERED PUBLIC ACCOUNTANTS.</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3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4" descr=""/>
                    <pic:cNvPicPr>
                      <a:picLocks noChangeAspect="1" noChangeArrowheads="1"/>
                    </pic:cNvPicPr>
                  </pic:nvPicPr>
                  <pic:blipFill>
                    <a:blip r:embed="rId25"/>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7</w:t>
      </w:r>
      <w:r>
        <w:rPr>
          <w:rFonts w:ascii="arial" w:hAnsi="arial"/>
          <w:b/>
          <w:sz w:val="22"/>
        </w:rPr>
        <w:t xml:space="preserve"> </w:t>
      </w:r>
      <w:r>
        <w:br w:type="page"/>
      </w:r>
    </w:p>
    <w:p>
      <w:pPr>
        <w:pStyle w:val="HorizontalLine"/>
        <w:bidi w:val="0"/>
        <w:jc w:val="left"/>
        <w:rPr/>
      </w:pPr>
      <w:r>
        <w:rPr/>
      </w:r>
    </w:p>
    <w:tbl>
      <w:tblPr>
        <w:tblW w:w="383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335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335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Item 1 — Election of Directors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171B9"/>
          <w:sz w:val="44"/>
        </w:rPr>
      </w:pPr>
      <w:bookmarkStart w:id="4" w:name="toc445034_2"/>
      <w:bookmarkEnd w:id="4"/>
      <w:r>
        <w:rPr>
          <w:rFonts w:ascii="arial" w:hAnsi="arial"/>
          <w:b/>
          <w:color w:val="0171B9"/>
          <w:sz w:val="44"/>
        </w:rPr>
        <w:t xml:space="preserve">Item 1 </w:t>
      </w:r>
    </w:p>
    <w:p>
      <w:pPr>
        <w:pStyle w:val="TextBody"/>
        <w:bidi w:val="0"/>
        <w:spacing w:before="100" w:after="0"/>
        <w:jc w:val="left"/>
        <w:rPr>
          <w:rFonts w:ascii="arial" w:hAnsi="arial"/>
          <w:b/>
          <w:color w:val="0171B9"/>
          <w:sz w:val="44"/>
        </w:rPr>
      </w:pPr>
      <w:r>
        <w:rPr>
          <w:rFonts w:ascii="arial" w:hAnsi="arial"/>
          <w:b/>
          <w:color w:val="0171B9"/>
          <w:sz w:val="44"/>
        </w:rPr>
        <w:t xml:space="preserve">Election of Directors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52">
                <wp:simplePos x="0" y="0"/>
                <wp:positionH relativeFrom="column">
                  <wp:align>left</wp:align>
                </wp:positionH>
                <wp:positionV relativeFrom="line">
                  <wp:posOffset>635</wp:posOffset>
                </wp:positionV>
                <wp:extent cx="3110230" cy="3398520"/>
                <wp:effectExtent l="0" t="0" r="0" b="0"/>
                <wp:wrapSquare wrapText="right"/>
                <wp:docPr id="31" name="Frame7"/>
                <a:graphic xmlns:a="http://schemas.openxmlformats.org/drawingml/2006/main">
                  <a:graphicData uri="http://schemas.microsoft.com/office/word/2010/wordprocessingShape">
                    <wps:wsp>
                      <wps:cNvSpPr txBox="1"/>
                      <wps:spPr>
                        <a:xfrm>
                          <a:off x="0" y="0"/>
                          <a:ext cx="3110230" cy="339852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Under our governance documents, the Board of Directors, or Board, has the power to set the number of directors from time to time by resolution. The Board has fixed the authorized number of directors at 13 and we currently have 13 directors serving on our Board. Our Board is composed of directors with a wide range of relevant experiences and backgrounds and considers a number of attributes when seeking new candidates for the Board as discussed more fully below and in the section “Corporate Governance—Process for Selecting Directors, Director Qualifications, and Board Diversity.” Based upon the recommendation of our Governance and Nominating Committee, or Governance Committee, the Board has nominated each of the director nominees set forth below to stand for election as a director, in each case for a one-year term expiring at our 2025 annual meeting of stockholders and until his or her successor is elected and qualified, or until his or her earlier retirement, resignation, disqualification, removal, or death. </w:t>
                            </w:r>
                          </w:p>
                          <w:p>
                            <w:pPr>
                              <w:pStyle w:val="TextBody"/>
                              <w:bidi w:val="0"/>
                              <w:spacing w:before="120" w:after="0"/>
                              <w:jc w:val="both"/>
                              <w:rPr>
                                <w:rFonts w:ascii="arial" w:hAnsi="arial"/>
                                <w:sz w:val="19"/>
                              </w:rPr>
                            </w:pPr>
                            <w:r>
                              <w:rPr>
                                <w:rFonts w:ascii="arial" w:hAnsi="arial"/>
                                <w:sz w:val="19"/>
                              </w:rPr>
                              <w:t xml:space="preserve">The Board has fixed the authorized number of directors at 12 to be effective as of the election of directors at the 2024 Annual Meeting of Stockholders, or Annual Meeting. Each nominee has agreed to serve if elected and the Board has no reason to believe that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67.6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Under our governance documents, the Board of Directors, or Board, has the power to set the number of directors from time to time by resolution. The Board has fixed the authorized number of directors at 13 and we currently have 13 directors serving on our Board. Our Board is composed of directors with a wide range of relevant experiences and backgrounds and considers a number of attributes when seeking new candidates for the Board as discussed more fully below and in the section “Corporate Governance—Process for Selecting Directors, Director Qualifications, and Board Diversity.” Based upon the recommendation of our Governance and Nominating Committee, or Governance Committee, the Board has nominated each of the director nominees set forth below to stand for election as a director, in each case for a one-year term expiring at our 2025 annual meeting of stockholders and until his or her successor is elected and qualified, or until his or her earlier retirement, resignation, disqualification, removal, or death. </w:t>
                      </w:r>
                    </w:p>
                    <w:p>
                      <w:pPr>
                        <w:pStyle w:val="TextBody"/>
                        <w:bidi w:val="0"/>
                        <w:spacing w:before="120" w:after="0"/>
                        <w:jc w:val="both"/>
                        <w:rPr>
                          <w:rFonts w:ascii="arial" w:hAnsi="arial"/>
                          <w:sz w:val="19"/>
                        </w:rPr>
                      </w:pPr>
                      <w:r>
                        <w:rPr>
                          <w:rFonts w:ascii="arial" w:hAnsi="arial"/>
                          <w:sz w:val="19"/>
                        </w:rPr>
                        <w:t xml:space="preserve">The Board has fixed the authorized number of directors at 12 to be effective as of the election of directors at the 2024 Annual Meeting of Stockholders, or Annual Meeting. Each nominee has agreed to serve if elected and the Board has no reason to believe that </w:t>
                      </w:r>
                    </w:p>
                  </w:txbxContent>
                </v:textbox>
                <w10:wrap type="square" side="right"/>
              </v:rect>
            </w:pict>
          </mc:Fallback>
        </mc:AlternateContent>
      </w:r>
      <w:r>
        <mc:AlternateContent>
          <mc:Choice Requires="wps">
            <w:drawing>
              <wp:anchor behindDoc="0" distT="0" distB="0" distL="0" distR="0" simplePos="0" locked="0" layoutInCell="1" allowOverlap="1" relativeHeight="253">
                <wp:simplePos x="0" y="0"/>
                <wp:positionH relativeFrom="column">
                  <wp:align>left</wp:align>
                </wp:positionH>
                <wp:positionV relativeFrom="line">
                  <wp:posOffset>635</wp:posOffset>
                </wp:positionV>
                <wp:extent cx="3175000" cy="2983230"/>
                <wp:effectExtent l="0" t="0" r="0" b="0"/>
                <wp:wrapSquare wrapText="right"/>
                <wp:docPr id="32" name="Frame8"/>
                <a:graphic xmlns:a="http://schemas.openxmlformats.org/drawingml/2006/main">
                  <a:graphicData uri="http://schemas.microsoft.com/office/word/2010/wordprocessingShape">
                    <wps:wsp>
                      <wps:cNvSpPr txBox="1"/>
                      <wps:spPr>
                        <a:xfrm>
                          <a:off x="0" y="0"/>
                          <a:ext cx="3175000" cy="298323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any nominee will be unable to serve. However, if any nominee should become unavailable for election prior to the Annual Meeting, proxies will be voted in favor of the election of a substitute nominee or nominees proposed by the Board or, alternatively, the number of directors may be reduced accordingly by the Board. Vacancies on the Board (including any vacancy created by an increase in the size of the Board) may be filled only by a majority of the directors remaining in office, even if less than a quorum of the Board. A director elected by the Board to fill a vacancy (including a vacancy created by an increase in the size of the Board) will serve until the next annual meeting of stockholders and until such director’s successor is elected and qualified, or until such director’s earlier retirement, resignation, disqualification, removal, or death. </w:t>
                            </w:r>
                          </w:p>
                          <w:p>
                            <w:pPr>
                              <w:pStyle w:val="TextBody"/>
                              <w:bidi w:val="0"/>
                              <w:spacing w:before="120" w:after="0"/>
                              <w:jc w:val="both"/>
                              <w:rPr>
                                <w:rFonts w:ascii="arial" w:hAnsi="arial"/>
                                <w:sz w:val="19"/>
                              </w:rPr>
                            </w:pPr>
                            <w:r>
                              <w:rPr>
                                <w:rFonts w:ascii="arial" w:hAnsi="arial"/>
                                <w:sz w:val="19"/>
                              </w:rPr>
                              <w:t xml:space="preserve">The independent members of the Board have elected Robert A. Eckert to serve as our lead independent director, subject to his re-election to the Board by our stockholders at the Annual Meeting. As lead independent director, Mr. Eckert will continue to have the specific and significant duties as discussed under “Corporate Governance.”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34.9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any nominee will be unable to serve. However, if any nominee should become unavailable for election prior to the Annual Meeting, proxies will be voted in favor of the election of a substitute nominee or nominees proposed by the Board or, alternatively, the number of directors may be reduced accordingly by the Board. Vacancies on the Board (including any vacancy created by an increase in the size of the Board) may be filled only by a majority of the directors remaining in office, even if less than a quorum of the Board. A director elected by the Board to fill a vacancy (including a vacancy created by an increase in the size of the Board) will serve until the next annual meeting of stockholders and until such director’s successor is elected and qualified, or until such director’s earlier retirement, resignation, disqualification, removal, or death. </w:t>
                      </w:r>
                    </w:p>
                    <w:p>
                      <w:pPr>
                        <w:pStyle w:val="TextBody"/>
                        <w:bidi w:val="0"/>
                        <w:spacing w:before="120" w:after="0"/>
                        <w:jc w:val="both"/>
                        <w:rPr>
                          <w:rFonts w:ascii="arial" w:hAnsi="arial"/>
                          <w:sz w:val="19"/>
                        </w:rPr>
                      </w:pPr>
                      <w:r>
                        <w:rPr>
                          <w:rFonts w:ascii="arial" w:hAnsi="arial"/>
                          <w:sz w:val="19"/>
                        </w:rPr>
                        <w:t xml:space="preserve">The independent members of the Board have elected Robert A. Eckert to serve as our lead independent director, subject to his re-election to the Board by our stockholders at the Annual Meeting. As lead independent director, Mr. Eckert will continue to have the specific and significant duties as discussed under “Corporate Governance.”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b/>
          <w:color w:val="0171B9"/>
          <w:sz w:val="28"/>
        </w:rPr>
      </w:pPr>
      <w:r>
        <w:rPr>
          <w:rFonts w:ascii="arial" w:hAnsi="arial"/>
          <w:b/>
          <w:color w:val="0171B9"/>
          <w:sz w:val="28"/>
        </w:rPr>
        <w:t xml:space="preserve">Nominees to the Board </w:t>
      </w:r>
    </w:p>
    <w:p>
      <w:pPr>
        <w:pStyle w:val="TextBody"/>
        <w:pBdr>
          <w:bottom w:val="single" w:sz="2" w:space="1" w:color="000000"/>
        </w:pBdr>
        <w:bidi w:val="0"/>
        <w:spacing w:before="0" w:after="40"/>
        <w:jc w:val="left"/>
        <w:rPr/>
      </w:pPr>
      <w:r>
        <w:rPr/>
        <w:t> </w:t>
      </w:r>
    </w:p>
    <w:p>
      <w:pPr>
        <w:pStyle w:val="TextBody"/>
        <w:bidi w:val="0"/>
        <w:spacing w:before="0" w:after="0"/>
        <w:jc w:val="left"/>
        <w:rPr/>
      </w:pPr>
      <w:r>
        <w:rPr/>
        <w:t> </w:t>
      </w:r>
    </w:p>
    <w:tbl>
      <w:tblPr>
        <w:tblW w:w="11390" w:type="dxa"/>
        <w:jc w:val="left"/>
        <w:tblInd w:w="0" w:type="dxa"/>
        <w:tblLayout w:type="fixed"/>
        <w:tblCellMar>
          <w:top w:w="0" w:type="dxa"/>
          <w:left w:w="0" w:type="dxa"/>
          <w:bottom w:w="0" w:type="dxa"/>
          <w:right w:w="0" w:type="dxa"/>
        </w:tblCellMar>
      </w:tblPr>
      <w:tblGrid>
        <w:gridCol w:w="75"/>
        <w:gridCol w:w="60"/>
        <w:gridCol w:w="785"/>
        <w:gridCol w:w="60"/>
        <w:gridCol w:w="60"/>
        <w:gridCol w:w="1310"/>
        <w:gridCol w:w="60"/>
        <w:gridCol w:w="60"/>
        <w:gridCol w:w="60"/>
        <w:gridCol w:w="425"/>
        <w:gridCol w:w="60"/>
        <w:gridCol w:w="60"/>
        <w:gridCol w:w="60"/>
        <w:gridCol w:w="875"/>
        <w:gridCol w:w="60"/>
        <w:gridCol w:w="60"/>
        <w:gridCol w:w="60"/>
        <w:gridCol w:w="605"/>
        <w:gridCol w:w="60"/>
        <w:gridCol w:w="60"/>
        <w:gridCol w:w="60"/>
        <w:gridCol w:w="1250"/>
        <w:gridCol w:w="60"/>
        <w:gridCol w:w="60"/>
        <w:gridCol w:w="60"/>
        <w:gridCol w:w="1010"/>
        <w:gridCol w:w="60"/>
        <w:gridCol w:w="60"/>
        <w:gridCol w:w="60"/>
        <w:gridCol w:w="1490"/>
        <w:gridCol w:w="60"/>
        <w:gridCol w:w="60"/>
        <w:gridCol w:w="60"/>
        <w:gridCol w:w="710"/>
        <w:gridCol w:w="60"/>
        <w:gridCol w:w="60"/>
        <w:gridCol w:w="60"/>
        <w:gridCol w:w="1160"/>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bottom w:val="single" w:sz="8" w:space="0" w:color="FFFFFF"/>
            </w:tcBorders>
            <w:shd w:fill="0171B9"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785" w:type="dxa"/>
            <w:tcBorders>
              <w:bottom w:val="single" w:sz="8" w:space="0" w:color="FFFFFF"/>
            </w:tcBorders>
            <w:shd w:fill="0171B9" w:val="clear"/>
            <w:tcMar>
              <w:bottom w:w="60" w:type="dxa"/>
            </w:tcMar>
            <w:vAlign w:val="center"/>
          </w:tcPr>
          <w:p>
            <w:pPr>
              <w:pStyle w:val="TableContents"/>
              <w:bidi w:val="0"/>
              <w:spacing w:before="0" w:after="0"/>
              <w:jc w:val="left"/>
              <w:rPr>
                <w:rFonts w:ascii="arial" w:hAnsi="arial"/>
                <w:b/>
                <w:color w:val="FFFFFF"/>
                <w:sz w:val="18"/>
              </w:rPr>
            </w:pPr>
            <w:r>
              <w:rPr>
                <w:rFonts w:ascii="arial" w:hAnsi="arial"/>
                <w:b/>
                <w:color w:val="FFFFFF"/>
                <w:sz w:val="18"/>
              </w:rPr>
              <w:t>Nominee</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60" w:type="dxa"/>
            </w:tcMar>
            <w:vAlign w:val="center"/>
          </w:tcPr>
          <w:p>
            <w:pPr>
              <w:pStyle w:val="TableContents"/>
              <w:bidi w:val="0"/>
              <w:spacing w:before="0" w:after="283"/>
              <w:jc w:val="left"/>
              <w:rPr>
                <w:color w:val="FFFFFF"/>
              </w:rPr>
            </w:pPr>
            <w:r>
              <w:rPr>
                <w:color w:val="FFFFFF"/>
              </w:rPr>
              <w:t> </w:t>
            </w:r>
          </w:p>
        </w:tc>
        <w:tc>
          <w:tcPr>
            <w:tcW w:w="1310" w:type="dxa"/>
            <w:tcBorders>
              <w:bottom w:val="single" w:sz="8" w:space="0" w:color="FFFFFF"/>
            </w:tcBorders>
            <w:shd w:fill="0171B9" w:val="clear"/>
            <w:tcMar>
              <w:bottom w:w="60" w:type="dxa"/>
            </w:tcMar>
            <w:vAlign w:val="center"/>
          </w:tcPr>
          <w:p>
            <w:pPr>
              <w:pStyle w:val="TableContents"/>
              <w:bidi w:val="0"/>
              <w:spacing w:before="0" w:after="283"/>
              <w:jc w:val="left"/>
              <w:rPr>
                <w:b/>
                <w:color w:val="FFFFFF"/>
              </w:rPr>
            </w:pPr>
            <w:r>
              <w:rPr>
                <w:b/>
                <w:color w:val="FFFFFF"/>
              </w:rPr>
              <w:t>Independent</w:t>
            </w:r>
          </w:p>
        </w:tc>
        <w:tc>
          <w:tcPr>
            <w:tcW w:w="60" w:type="dxa"/>
            <w:tcBorders>
              <w:bottom w:val="single" w:sz="8" w:space="0" w:color="FFFFFF"/>
            </w:tcBorders>
            <w:shd w:fill="0171B9" w:val="clear"/>
            <w:tcMar>
              <w:bottom w:w="60" w:type="dxa"/>
            </w:tcMar>
            <w:vAlign w:val="center"/>
          </w:tcPr>
          <w:p>
            <w:pPr>
              <w:pStyle w:val="TableContents"/>
              <w:bidi w:val="0"/>
              <w:spacing w:before="0" w:after="283"/>
              <w:jc w:val="left"/>
              <w:rPr>
                <w:color w:val="FFFFFF"/>
              </w:rPr>
            </w:pPr>
            <w:r>
              <w:rPr>
                <w:color w:val="FFFFFF"/>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60" w:type="dxa"/>
            </w:tcMar>
            <w:vAlign w:val="center"/>
          </w:tcPr>
          <w:p>
            <w:pPr>
              <w:pStyle w:val="TableContents"/>
              <w:bidi w:val="0"/>
              <w:spacing w:before="0" w:after="283"/>
              <w:jc w:val="left"/>
              <w:rPr>
                <w:color w:val="FFFFFF"/>
              </w:rPr>
            </w:pPr>
            <w:r>
              <w:rPr>
                <w:color w:val="FFFFFF"/>
              </w:rPr>
              <w:t> </w:t>
            </w:r>
          </w:p>
        </w:tc>
        <w:tc>
          <w:tcPr>
            <w:tcW w:w="425" w:type="dxa"/>
            <w:tcBorders>
              <w:bottom w:val="single" w:sz="8" w:space="0" w:color="FFFFFF"/>
            </w:tcBorders>
            <w:shd w:fill="0171B9" w:val="clear"/>
            <w:tcMar>
              <w:bottom w:w="60" w:type="dxa"/>
            </w:tcMar>
            <w:vAlign w:val="center"/>
          </w:tcPr>
          <w:p>
            <w:pPr>
              <w:pStyle w:val="TableContents"/>
              <w:bidi w:val="0"/>
              <w:spacing w:before="0" w:after="283"/>
              <w:jc w:val="right"/>
              <w:rPr>
                <w:b/>
                <w:color w:val="FFFFFF"/>
              </w:rPr>
            </w:pPr>
            <w:r>
              <w:rPr>
                <w:b/>
                <w:color w:val="FFFFFF"/>
              </w:rPr>
              <w:t>Age</w:t>
            </w:r>
          </w:p>
        </w:tc>
        <w:tc>
          <w:tcPr>
            <w:tcW w:w="60" w:type="dxa"/>
            <w:tcBorders>
              <w:bottom w:val="single" w:sz="8" w:space="0" w:color="FFFFFF"/>
            </w:tcBorders>
            <w:shd w:fill="0171B9" w:val="clear"/>
            <w:tcMar>
              <w:bottom w:w="60" w:type="dxa"/>
            </w:tcMar>
            <w:vAlign w:val="center"/>
          </w:tcPr>
          <w:p>
            <w:pPr>
              <w:pStyle w:val="TableContents"/>
              <w:bidi w:val="0"/>
              <w:spacing w:before="0" w:after="283"/>
              <w:jc w:val="left"/>
              <w:rPr>
                <w:color w:val="FFFFFF"/>
              </w:rPr>
            </w:pPr>
            <w:r>
              <w:rPr>
                <w:color w:val="FFFFFF"/>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60" w:type="dxa"/>
            </w:tcMar>
            <w:vAlign w:val="center"/>
          </w:tcPr>
          <w:p>
            <w:pPr>
              <w:pStyle w:val="TableContents"/>
              <w:bidi w:val="0"/>
              <w:spacing w:before="0" w:after="283"/>
              <w:jc w:val="left"/>
              <w:rPr>
                <w:color w:val="FFFFFF"/>
              </w:rPr>
            </w:pPr>
            <w:r>
              <w:rPr>
                <w:color w:val="FFFFFF"/>
              </w:rPr>
              <w:t> </w:t>
            </w:r>
          </w:p>
        </w:tc>
        <w:tc>
          <w:tcPr>
            <w:tcW w:w="875" w:type="dxa"/>
            <w:tcBorders>
              <w:bottom w:val="single" w:sz="8" w:space="0" w:color="FFFFFF"/>
            </w:tcBorders>
            <w:shd w:fill="0171B9" w:val="clear"/>
            <w:tcMar>
              <w:bottom w:w="60" w:type="dxa"/>
            </w:tcMar>
            <w:vAlign w:val="center"/>
          </w:tcPr>
          <w:p>
            <w:pPr>
              <w:pStyle w:val="TableContents"/>
              <w:bidi w:val="0"/>
              <w:jc w:val="right"/>
              <w:rPr>
                <w:b/>
                <w:color w:val="FFFFFF"/>
              </w:rPr>
            </w:pPr>
            <w:r>
              <w:rPr>
                <w:b/>
                <w:color w:val="FFFFFF"/>
              </w:rPr>
              <w:t>Director</w:t>
            </w:r>
          </w:p>
          <w:p>
            <w:pPr>
              <w:pStyle w:val="TableContents"/>
              <w:bidi w:val="0"/>
              <w:spacing w:before="0" w:after="20"/>
              <w:jc w:val="right"/>
              <w:rPr>
                <w:rFonts w:ascii="arial" w:hAnsi="arial"/>
                <w:b/>
                <w:color w:val="FFFFFF"/>
                <w:sz w:val="17"/>
              </w:rPr>
            </w:pPr>
            <w:r>
              <w:rPr>
                <w:rFonts w:ascii="arial" w:hAnsi="arial"/>
                <w:b/>
                <w:color w:val="FFFFFF"/>
                <w:sz w:val="17"/>
              </w:rPr>
              <w:t>Since</w:t>
            </w:r>
          </w:p>
        </w:tc>
        <w:tc>
          <w:tcPr>
            <w:tcW w:w="60" w:type="dxa"/>
            <w:tcBorders>
              <w:bottom w:val="single" w:sz="8" w:space="0" w:color="FFFFFF"/>
            </w:tcBorders>
            <w:shd w:fill="0171B9" w:val="clear"/>
            <w:tcMar>
              <w:bottom w:w="60" w:type="dxa"/>
            </w:tcMar>
            <w:vAlign w:val="center"/>
          </w:tcPr>
          <w:p>
            <w:pPr>
              <w:pStyle w:val="TableContents"/>
              <w:bidi w:val="0"/>
              <w:jc w:val="left"/>
              <w:rPr>
                <w:color w:val="FFFFFF"/>
              </w:rPr>
            </w:pPr>
            <w:r>
              <w:rPr>
                <w:color w:val="FFFFFF"/>
              </w:rPr>
              <w:t> </w:t>
            </w:r>
          </w:p>
          <w:p>
            <w:pPr>
              <w:pStyle w:val="TableContents"/>
              <w:bidi w:val="0"/>
              <w:spacing w:before="0" w:after="20"/>
              <w:jc w:val="left"/>
              <w:rPr>
                <w:color w:val="FFFFFF"/>
              </w:rPr>
            </w:pPr>
            <w:r>
              <w:rPr>
                <w:color w:val="FFFFFF"/>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60" w:type="dxa"/>
            </w:tcMar>
            <w:vAlign w:val="center"/>
          </w:tcPr>
          <w:p>
            <w:pPr>
              <w:pStyle w:val="TableContents"/>
              <w:bidi w:val="0"/>
              <w:spacing w:before="0" w:after="283"/>
              <w:jc w:val="left"/>
              <w:rPr>
                <w:color w:val="FFFFFF"/>
              </w:rPr>
            </w:pPr>
            <w:r>
              <w:rPr>
                <w:color w:val="FFFFFF"/>
              </w:rPr>
              <w:t> </w:t>
            </w:r>
          </w:p>
        </w:tc>
        <w:tc>
          <w:tcPr>
            <w:tcW w:w="605" w:type="dxa"/>
            <w:tcBorders>
              <w:bottom w:val="single" w:sz="8" w:space="0" w:color="FFFFFF"/>
            </w:tcBorders>
            <w:shd w:fill="0171B9" w:val="clear"/>
            <w:tcMar>
              <w:bottom w:w="60" w:type="dxa"/>
            </w:tcMar>
            <w:vAlign w:val="center"/>
          </w:tcPr>
          <w:p>
            <w:pPr>
              <w:pStyle w:val="TableContents"/>
              <w:bidi w:val="0"/>
              <w:spacing w:before="0" w:after="283"/>
              <w:jc w:val="right"/>
              <w:rPr>
                <w:b/>
                <w:color w:val="FFFFFF"/>
              </w:rPr>
            </w:pPr>
            <w:r>
              <w:rPr>
                <w:b/>
                <w:color w:val="FFFFFF"/>
              </w:rPr>
              <w:t>Audit</w:t>
            </w:r>
          </w:p>
        </w:tc>
        <w:tc>
          <w:tcPr>
            <w:tcW w:w="60" w:type="dxa"/>
            <w:tcBorders>
              <w:bottom w:val="single" w:sz="8" w:space="0" w:color="FFFFFF"/>
            </w:tcBorders>
            <w:shd w:fill="0171B9" w:val="clear"/>
            <w:tcMar>
              <w:bottom w:w="60" w:type="dxa"/>
            </w:tcMar>
            <w:vAlign w:val="center"/>
          </w:tcPr>
          <w:p>
            <w:pPr>
              <w:pStyle w:val="TableContents"/>
              <w:bidi w:val="0"/>
              <w:spacing w:before="0" w:after="283"/>
              <w:jc w:val="left"/>
              <w:rPr>
                <w:color w:val="FFFFFF"/>
              </w:rPr>
            </w:pPr>
            <w:r>
              <w:rPr>
                <w:color w:val="FFFFFF"/>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60" w:type="dxa"/>
            </w:tcMar>
            <w:vAlign w:val="center"/>
          </w:tcPr>
          <w:p>
            <w:pPr>
              <w:pStyle w:val="TableContents"/>
              <w:bidi w:val="0"/>
              <w:spacing w:before="0" w:after="283"/>
              <w:jc w:val="left"/>
              <w:rPr>
                <w:color w:val="FFFFFF"/>
              </w:rPr>
            </w:pPr>
            <w:r>
              <w:rPr>
                <w:color w:val="FFFFFF"/>
              </w:rPr>
              <w:t> </w:t>
            </w:r>
          </w:p>
        </w:tc>
        <w:tc>
          <w:tcPr>
            <w:tcW w:w="1250" w:type="dxa"/>
            <w:tcBorders>
              <w:bottom w:val="single" w:sz="8" w:space="0" w:color="FFFFFF"/>
            </w:tcBorders>
            <w:shd w:fill="0171B9" w:val="clear"/>
            <w:tcMar>
              <w:bottom w:w="60" w:type="dxa"/>
            </w:tcMar>
            <w:vAlign w:val="center"/>
          </w:tcPr>
          <w:p>
            <w:pPr>
              <w:pStyle w:val="TableContents"/>
              <w:bidi w:val="0"/>
              <w:jc w:val="right"/>
              <w:rPr>
                <w:b/>
                <w:color w:val="FFFFFF"/>
              </w:rPr>
            </w:pPr>
            <w:r>
              <w:rPr>
                <w:b/>
                <w:color w:val="FFFFFF"/>
              </w:rPr>
              <w:t>Governance</w:t>
            </w:r>
          </w:p>
          <w:p>
            <w:pPr>
              <w:pStyle w:val="TableContents"/>
              <w:bidi w:val="0"/>
              <w:spacing w:before="0" w:after="0"/>
              <w:jc w:val="right"/>
              <w:rPr>
                <w:rFonts w:ascii="arial" w:hAnsi="arial"/>
                <w:b/>
                <w:color w:val="FFFFFF"/>
                <w:sz w:val="17"/>
              </w:rPr>
            </w:pPr>
            <w:r>
              <w:rPr>
                <w:rFonts w:ascii="arial" w:hAnsi="arial"/>
                <w:b/>
                <w:color w:val="FFFFFF"/>
                <w:sz w:val="17"/>
              </w:rPr>
              <w:t>and</w:t>
            </w:r>
          </w:p>
          <w:p>
            <w:pPr>
              <w:pStyle w:val="TableContents"/>
              <w:bidi w:val="0"/>
              <w:spacing w:before="0" w:after="20"/>
              <w:jc w:val="right"/>
              <w:rPr>
                <w:rFonts w:ascii="arial" w:hAnsi="arial"/>
                <w:b/>
                <w:color w:val="FFFFFF"/>
                <w:sz w:val="17"/>
              </w:rPr>
            </w:pPr>
            <w:r>
              <w:rPr>
                <w:rFonts w:ascii="arial" w:hAnsi="arial"/>
                <w:b/>
                <w:color w:val="FFFFFF"/>
                <w:sz w:val="17"/>
              </w:rPr>
              <w:t>Nominating</w:t>
            </w:r>
          </w:p>
        </w:tc>
        <w:tc>
          <w:tcPr>
            <w:tcW w:w="60" w:type="dxa"/>
            <w:tcBorders>
              <w:bottom w:val="single" w:sz="8" w:space="0" w:color="FFFFFF"/>
            </w:tcBorders>
            <w:shd w:fill="0171B9" w:val="clear"/>
            <w:tcMar>
              <w:bottom w:w="60" w:type="dxa"/>
            </w:tcMar>
            <w:vAlign w:val="center"/>
          </w:tcPr>
          <w:p>
            <w:pPr>
              <w:pStyle w:val="TableContents"/>
              <w:bidi w:val="0"/>
              <w:jc w:val="left"/>
              <w:rPr>
                <w:color w:val="FFFFFF"/>
              </w:rPr>
            </w:pPr>
            <w:r>
              <w:rPr>
                <w:color w:val="FFFFFF"/>
              </w:rPr>
              <w:t> </w:t>
            </w:r>
          </w:p>
          <w:p>
            <w:pPr>
              <w:pStyle w:val="TableContents"/>
              <w:bidi w:val="0"/>
              <w:spacing w:before="0" w:after="0"/>
              <w:jc w:val="left"/>
              <w:rPr>
                <w:color w:val="FFFFFF"/>
              </w:rPr>
            </w:pPr>
            <w:r>
              <w:rPr>
                <w:color w:val="FFFFFF"/>
              </w:rPr>
              <w:t> </w:t>
            </w:r>
          </w:p>
          <w:p>
            <w:pPr>
              <w:pStyle w:val="TableContents"/>
              <w:bidi w:val="0"/>
              <w:spacing w:before="0" w:after="20"/>
              <w:jc w:val="left"/>
              <w:rPr>
                <w:color w:val="FFFFFF"/>
              </w:rPr>
            </w:pPr>
            <w:r>
              <w:rPr>
                <w:color w:val="FFFFFF"/>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60" w:type="dxa"/>
            </w:tcMar>
            <w:vAlign w:val="center"/>
          </w:tcPr>
          <w:p>
            <w:pPr>
              <w:pStyle w:val="TableContents"/>
              <w:bidi w:val="0"/>
              <w:spacing w:before="0" w:after="283"/>
              <w:jc w:val="left"/>
              <w:rPr>
                <w:color w:val="FFFFFF"/>
              </w:rPr>
            </w:pPr>
            <w:r>
              <w:rPr>
                <w:color w:val="FFFFFF"/>
              </w:rPr>
              <w:t> </w:t>
            </w:r>
          </w:p>
        </w:tc>
        <w:tc>
          <w:tcPr>
            <w:tcW w:w="1010" w:type="dxa"/>
            <w:tcBorders>
              <w:bottom w:val="single" w:sz="8" w:space="0" w:color="FFFFFF"/>
            </w:tcBorders>
            <w:shd w:fill="0171B9" w:val="clear"/>
            <w:tcMar>
              <w:bottom w:w="60" w:type="dxa"/>
            </w:tcMar>
            <w:vAlign w:val="center"/>
          </w:tcPr>
          <w:p>
            <w:pPr>
              <w:pStyle w:val="TableContents"/>
              <w:bidi w:val="0"/>
              <w:spacing w:before="0" w:after="283"/>
              <w:jc w:val="right"/>
              <w:rPr>
                <w:b/>
                <w:color w:val="FFFFFF"/>
              </w:rPr>
            </w:pPr>
            <w:r>
              <w:rPr>
                <w:b/>
                <w:color w:val="FFFFFF"/>
              </w:rPr>
              <w:t>Executive</w:t>
            </w:r>
          </w:p>
        </w:tc>
        <w:tc>
          <w:tcPr>
            <w:tcW w:w="60" w:type="dxa"/>
            <w:tcBorders>
              <w:bottom w:val="single" w:sz="8" w:space="0" w:color="FFFFFF"/>
            </w:tcBorders>
            <w:shd w:fill="0171B9" w:val="clear"/>
            <w:tcMar>
              <w:bottom w:w="60" w:type="dxa"/>
            </w:tcMar>
            <w:vAlign w:val="center"/>
          </w:tcPr>
          <w:p>
            <w:pPr>
              <w:pStyle w:val="TableContents"/>
              <w:bidi w:val="0"/>
              <w:spacing w:before="0" w:after="283"/>
              <w:jc w:val="left"/>
              <w:rPr>
                <w:color w:val="FFFFFF"/>
              </w:rPr>
            </w:pPr>
            <w:r>
              <w:rPr>
                <w:color w:val="FFFFFF"/>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60" w:type="dxa"/>
            </w:tcMar>
            <w:vAlign w:val="center"/>
          </w:tcPr>
          <w:p>
            <w:pPr>
              <w:pStyle w:val="TableContents"/>
              <w:bidi w:val="0"/>
              <w:spacing w:before="0" w:after="283"/>
              <w:jc w:val="left"/>
              <w:rPr>
                <w:color w:val="FFFFFF"/>
              </w:rPr>
            </w:pPr>
            <w:r>
              <w:rPr>
                <w:color w:val="FFFFFF"/>
              </w:rPr>
              <w:t> </w:t>
            </w:r>
          </w:p>
        </w:tc>
        <w:tc>
          <w:tcPr>
            <w:tcW w:w="1490" w:type="dxa"/>
            <w:tcBorders>
              <w:bottom w:val="single" w:sz="8" w:space="0" w:color="FFFFFF"/>
            </w:tcBorders>
            <w:shd w:fill="0171B9" w:val="clear"/>
            <w:tcMar>
              <w:bottom w:w="60" w:type="dxa"/>
            </w:tcMar>
            <w:vAlign w:val="center"/>
          </w:tcPr>
          <w:p>
            <w:pPr>
              <w:pStyle w:val="TableContents"/>
              <w:bidi w:val="0"/>
              <w:jc w:val="right"/>
              <w:rPr>
                <w:b/>
                <w:color w:val="FFFFFF"/>
              </w:rPr>
            </w:pPr>
            <w:r>
              <w:rPr>
                <w:b/>
                <w:color w:val="FFFFFF"/>
              </w:rPr>
              <w:t>Compensation</w:t>
            </w:r>
          </w:p>
          <w:p>
            <w:pPr>
              <w:pStyle w:val="TableContents"/>
              <w:bidi w:val="0"/>
              <w:spacing w:before="0" w:after="0"/>
              <w:jc w:val="right"/>
              <w:rPr>
                <w:rFonts w:ascii="arial" w:hAnsi="arial"/>
                <w:b/>
                <w:color w:val="FFFFFF"/>
                <w:sz w:val="17"/>
              </w:rPr>
            </w:pPr>
            <w:r>
              <w:rPr>
                <w:rFonts w:ascii="arial" w:hAnsi="arial"/>
                <w:b/>
                <w:color w:val="FFFFFF"/>
                <w:sz w:val="17"/>
              </w:rPr>
              <w:t>and</w:t>
            </w:r>
          </w:p>
          <w:p>
            <w:pPr>
              <w:pStyle w:val="TableContents"/>
              <w:bidi w:val="0"/>
              <w:spacing w:before="0" w:after="0"/>
              <w:jc w:val="right"/>
              <w:rPr>
                <w:rFonts w:ascii="arial" w:hAnsi="arial"/>
                <w:b/>
                <w:color w:val="FFFFFF"/>
                <w:sz w:val="17"/>
              </w:rPr>
            </w:pPr>
            <w:r>
              <w:rPr>
                <w:rFonts w:ascii="arial" w:hAnsi="arial"/>
                <w:b/>
                <w:color w:val="FFFFFF"/>
                <w:sz w:val="17"/>
              </w:rPr>
              <w:t>Management</w:t>
            </w:r>
          </w:p>
          <w:p>
            <w:pPr>
              <w:pStyle w:val="TableContents"/>
              <w:bidi w:val="0"/>
              <w:spacing w:before="0" w:after="20"/>
              <w:jc w:val="right"/>
              <w:rPr>
                <w:rFonts w:ascii="arial" w:hAnsi="arial"/>
                <w:b/>
                <w:color w:val="FFFFFF"/>
                <w:sz w:val="17"/>
              </w:rPr>
            </w:pPr>
            <w:r>
              <w:rPr>
                <w:rFonts w:ascii="arial" w:hAnsi="arial"/>
                <w:b/>
                <w:color w:val="FFFFFF"/>
                <w:sz w:val="17"/>
              </w:rPr>
              <w:t>Development</w:t>
            </w:r>
          </w:p>
        </w:tc>
        <w:tc>
          <w:tcPr>
            <w:tcW w:w="60" w:type="dxa"/>
            <w:tcBorders>
              <w:bottom w:val="single" w:sz="8" w:space="0" w:color="FFFFFF"/>
            </w:tcBorders>
            <w:shd w:fill="0171B9" w:val="clear"/>
            <w:tcMar>
              <w:bottom w:w="60" w:type="dxa"/>
            </w:tcMar>
            <w:vAlign w:val="center"/>
          </w:tcPr>
          <w:p>
            <w:pPr>
              <w:pStyle w:val="TableContents"/>
              <w:bidi w:val="0"/>
              <w:jc w:val="left"/>
              <w:rPr>
                <w:color w:val="FFFFFF"/>
              </w:rPr>
            </w:pPr>
            <w:r>
              <w:rPr>
                <w:color w:val="FFFFFF"/>
              </w:rPr>
              <w:t> </w:t>
            </w:r>
          </w:p>
          <w:p>
            <w:pPr>
              <w:pStyle w:val="TableContents"/>
              <w:bidi w:val="0"/>
              <w:spacing w:before="0" w:after="0"/>
              <w:jc w:val="left"/>
              <w:rPr>
                <w:color w:val="FFFFFF"/>
              </w:rPr>
            </w:pPr>
            <w:r>
              <w:rPr>
                <w:color w:val="FFFFFF"/>
              </w:rPr>
              <w:t> </w:t>
            </w:r>
          </w:p>
          <w:p>
            <w:pPr>
              <w:pStyle w:val="TableContents"/>
              <w:bidi w:val="0"/>
              <w:spacing w:before="0" w:after="0"/>
              <w:jc w:val="left"/>
              <w:rPr>
                <w:color w:val="FFFFFF"/>
              </w:rPr>
            </w:pPr>
            <w:r>
              <w:rPr>
                <w:color w:val="FFFFFF"/>
              </w:rPr>
              <w:t> </w:t>
            </w:r>
          </w:p>
          <w:p>
            <w:pPr>
              <w:pStyle w:val="TableContents"/>
              <w:bidi w:val="0"/>
              <w:spacing w:before="0" w:after="20"/>
              <w:jc w:val="left"/>
              <w:rPr>
                <w:color w:val="FFFFFF"/>
              </w:rPr>
            </w:pPr>
            <w:r>
              <w:rPr>
                <w:color w:val="FFFFFF"/>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60" w:type="dxa"/>
            </w:tcMar>
            <w:vAlign w:val="center"/>
          </w:tcPr>
          <w:p>
            <w:pPr>
              <w:pStyle w:val="TableContents"/>
              <w:bidi w:val="0"/>
              <w:spacing w:before="0" w:after="283"/>
              <w:jc w:val="left"/>
              <w:rPr>
                <w:color w:val="FFFFFF"/>
              </w:rPr>
            </w:pPr>
            <w:r>
              <w:rPr>
                <w:color w:val="FFFFFF"/>
              </w:rPr>
              <w:t> </w:t>
            </w:r>
          </w:p>
        </w:tc>
        <w:tc>
          <w:tcPr>
            <w:tcW w:w="710" w:type="dxa"/>
            <w:tcBorders>
              <w:bottom w:val="single" w:sz="8" w:space="0" w:color="FFFFFF"/>
            </w:tcBorders>
            <w:shd w:fill="0171B9" w:val="clear"/>
            <w:tcMar>
              <w:bottom w:w="60" w:type="dxa"/>
            </w:tcMar>
            <w:vAlign w:val="center"/>
          </w:tcPr>
          <w:p>
            <w:pPr>
              <w:pStyle w:val="TableContents"/>
              <w:bidi w:val="0"/>
              <w:jc w:val="center"/>
              <w:rPr>
                <w:b/>
                <w:color w:val="FFFFFF"/>
              </w:rPr>
            </w:pPr>
            <w:r>
              <w:rPr>
                <w:b/>
                <w:color w:val="FFFFFF"/>
              </w:rPr>
              <w:t>Equity</w:t>
            </w:r>
          </w:p>
          <w:p>
            <w:pPr>
              <w:pStyle w:val="TableContents"/>
              <w:bidi w:val="0"/>
              <w:spacing w:before="0" w:after="20"/>
              <w:jc w:val="right"/>
              <w:rPr>
                <w:rFonts w:ascii="arial" w:hAnsi="arial"/>
                <w:b/>
                <w:color w:val="FFFFFF"/>
                <w:sz w:val="17"/>
              </w:rPr>
            </w:pPr>
            <w:r>
              <w:rPr>
                <w:rFonts w:ascii="arial" w:hAnsi="arial"/>
                <w:b/>
                <w:color w:val="FFFFFF"/>
                <w:sz w:val="17"/>
              </w:rPr>
              <w:t>Award</w:t>
            </w:r>
          </w:p>
        </w:tc>
        <w:tc>
          <w:tcPr>
            <w:tcW w:w="60" w:type="dxa"/>
            <w:tcBorders>
              <w:bottom w:val="single" w:sz="8" w:space="0" w:color="FFFFFF"/>
            </w:tcBorders>
            <w:shd w:fill="0171B9" w:val="clear"/>
            <w:tcMar>
              <w:bottom w:w="60" w:type="dxa"/>
            </w:tcMar>
            <w:vAlign w:val="center"/>
          </w:tcPr>
          <w:p>
            <w:pPr>
              <w:pStyle w:val="TableContents"/>
              <w:bidi w:val="0"/>
              <w:jc w:val="left"/>
              <w:rPr>
                <w:color w:val="FFFFFF"/>
              </w:rPr>
            </w:pPr>
            <w:r>
              <w:rPr>
                <w:color w:val="FFFFFF"/>
              </w:rPr>
              <w:t> </w:t>
            </w:r>
          </w:p>
          <w:p>
            <w:pPr>
              <w:pStyle w:val="TableContents"/>
              <w:bidi w:val="0"/>
              <w:spacing w:before="0" w:after="20"/>
              <w:jc w:val="left"/>
              <w:rPr>
                <w:color w:val="FFFFFF"/>
              </w:rPr>
            </w:pPr>
            <w:r>
              <w:rPr>
                <w:color w:val="FFFFFF"/>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60" w:type="dxa"/>
            </w:tcMar>
            <w:vAlign w:val="center"/>
          </w:tcPr>
          <w:p>
            <w:pPr>
              <w:pStyle w:val="TableContents"/>
              <w:bidi w:val="0"/>
              <w:spacing w:before="0" w:after="283"/>
              <w:jc w:val="left"/>
              <w:rPr>
                <w:color w:val="FFFFFF"/>
              </w:rPr>
            </w:pPr>
            <w:r>
              <w:rPr>
                <w:color w:val="FFFFFF"/>
              </w:rPr>
              <w:t> </w:t>
            </w:r>
          </w:p>
        </w:tc>
        <w:tc>
          <w:tcPr>
            <w:tcW w:w="1160" w:type="dxa"/>
            <w:tcBorders>
              <w:bottom w:val="single" w:sz="8" w:space="0" w:color="FFFFFF"/>
            </w:tcBorders>
            <w:shd w:fill="0171B9" w:val="clear"/>
            <w:tcMar>
              <w:bottom w:w="60" w:type="dxa"/>
            </w:tcMar>
            <w:vAlign w:val="center"/>
          </w:tcPr>
          <w:p>
            <w:pPr>
              <w:pStyle w:val="TableContents"/>
              <w:bidi w:val="0"/>
              <w:jc w:val="right"/>
              <w:rPr>
                <w:b/>
                <w:color w:val="FFFFFF"/>
              </w:rPr>
            </w:pPr>
            <w:r>
              <w:rPr>
                <w:b/>
                <w:color w:val="FFFFFF"/>
              </w:rPr>
              <w:t>Corporate </w:t>
            </w:r>
          </w:p>
          <w:p>
            <w:pPr>
              <w:pStyle w:val="TableContents"/>
              <w:bidi w:val="0"/>
              <w:spacing w:before="0" w:after="0"/>
              <w:jc w:val="right"/>
              <w:rPr>
                <w:rFonts w:ascii="arial" w:hAnsi="arial"/>
                <w:b/>
                <w:color w:val="FFFFFF"/>
                <w:sz w:val="17"/>
              </w:rPr>
            </w:pPr>
            <w:r>
              <w:rPr>
                <w:rFonts w:ascii="arial" w:hAnsi="arial"/>
                <w:b/>
                <w:color w:val="FFFFFF"/>
                <w:sz w:val="17"/>
              </w:rPr>
              <w:t>Responsibility </w:t>
            </w:r>
          </w:p>
          <w:p>
            <w:pPr>
              <w:pStyle w:val="TableContents"/>
              <w:bidi w:val="0"/>
              <w:spacing w:before="0" w:after="0"/>
              <w:jc w:val="right"/>
              <w:rPr>
                <w:rFonts w:ascii="arial" w:hAnsi="arial"/>
                <w:b/>
                <w:color w:val="FFFFFF"/>
                <w:sz w:val="17"/>
              </w:rPr>
            </w:pPr>
            <w:r>
              <w:rPr>
                <w:rFonts w:ascii="arial" w:hAnsi="arial"/>
                <w:b/>
                <w:color w:val="FFFFFF"/>
                <w:sz w:val="17"/>
              </w:rPr>
              <w:t>and </w:t>
            </w:r>
          </w:p>
          <w:p>
            <w:pPr>
              <w:pStyle w:val="TableContents"/>
              <w:bidi w:val="0"/>
              <w:spacing w:before="0" w:after="20"/>
              <w:jc w:val="right"/>
              <w:rPr>
                <w:rFonts w:ascii="arial" w:hAnsi="arial"/>
                <w:b/>
                <w:color w:val="FFFFFF"/>
                <w:sz w:val="17"/>
              </w:rPr>
            </w:pPr>
            <w:r>
              <w:rPr>
                <w:rFonts w:ascii="arial" w:hAnsi="arial"/>
                <w:b/>
                <w:color w:val="FFFFFF"/>
                <w:sz w:val="17"/>
              </w:rPr>
              <w:t>Compliance </w:t>
            </w:r>
          </w:p>
        </w:tc>
        <w:tc>
          <w:tcPr>
            <w:tcW w:w="75" w:type="dxa"/>
            <w:tcBorders>
              <w:bottom w:val="single" w:sz="8" w:space="0" w:color="FFFFFF"/>
            </w:tcBorders>
            <w:shd w:fill="0171B9" w:val="clear"/>
            <w:tcMar>
              <w:bottom w:w="60" w:type="dxa"/>
            </w:tcMar>
            <w:vAlign w:val="center"/>
          </w:tcPr>
          <w:p>
            <w:pPr>
              <w:pStyle w:val="TableContents"/>
              <w:bidi w:val="0"/>
              <w:spacing w:before="0" w:after="283"/>
              <w:jc w:val="left"/>
              <w:rPr/>
            </w:pPr>
            <w:r>
              <w:rPr/>
            </w:r>
          </w:p>
        </w:tc>
      </w:tr>
      <w:tr>
        <w:trPr/>
        <w:tc>
          <w:tcPr>
            <w:tcW w:w="75" w:type="dxa"/>
            <w:tcBorders/>
            <w:shd w:fill="CCE2F1" w:val="clear"/>
            <w:vAlign w:val="center"/>
          </w:tcPr>
          <w:p>
            <w:pPr>
              <w:pStyle w:val="TableContents"/>
              <w:bidi w:val="0"/>
              <w:spacing w:before="0" w:after="283"/>
              <w:jc w:val="left"/>
              <w:rPr>
                <w:sz w:val="4"/>
                <w:szCs w:val="4"/>
              </w:rPr>
            </w:pPr>
            <w:r>
              <w:rPr>
                <w:sz w:val="4"/>
                <w:szCs w:val="4"/>
              </w:rPr>
            </w:r>
          </w:p>
        </w:tc>
        <w:tc>
          <w:tcPr>
            <w:tcW w:w="845" w:type="dxa"/>
            <w:gridSpan w:val="2"/>
            <w:tcBorders/>
            <w:shd w:fill="CCE2F1" w:val="clear"/>
            <w:vAlign w:val="center"/>
          </w:tcPr>
          <w:p>
            <w:pPr>
              <w:pStyle w:val="TableContents"/>
              <w:bidi w:val="0"/>
              <w:spacing w:before="0" w:after="283"/>
              <w:jc w:val="left"/>
              <w:rPr>
                <w:sz w:val="4"/>
                <w:szCs w:val="4"/>
              </w:rPr>
            </w:pPr>
            <w:r>
              <w:rPr>
                <w:sz w:val="4"/>
                <w:szCs w:val="4"/>
              </w:rPr>
            </w:r>
          </w:p>
        </w:tc>
        <w:tc>
          <w:tcPr>
            <w:tcW w:w="1490" w:type="dxa"/>
            <w:gridSpan w:val="4"/>
            <w:tcBorders/>
            <w:shd w:fill="CCE2F1" w:val="clear"/>
            <w:vAlign w:val="center"/>
          </w:tcPr>
          <w:p>
            <w:pPr>
              <w:pStyle w:val="TableContents"/>
              <w:bidi w:val="0"/>
              <w:spacing w:before="0" w:after="283"/>
              <w:jc w:val="left"/>
              <w:rPr>
                <w:sz w:val="4"/>
                <w:szCs w:val="4"/>
              </w:rPr>
            </w:pPr>
            <w:r>
              <w:rPr>
                <w:sz w:val="4"/>
                <w:szCs w:val="4"/>
              </w:rPr>
            </w:r>
          </w:p>
        </w:tc>
        <w:tc>
          <w:tcPr>
            <w:tcW w:w="605" w:type="dxa"/>
            <w:gridSpan w:val="4"/>
            <w:tcBorders/>
            <w:shd w:fill="CCE2F1" w:val="clear"/>
            <w:vAlign w:val="center"/>
          </w:tcPr>
          <w:p>
            <w:pPr>
              <w:pStyle w:val="TableContents"/>
              <w:bidi w:val="0"/>
              <w:spacing w:before="0" w:after="283"/>
              <w:jc w:val="left"/>
              <w:rPr>
                <w:sz w:val="4"/>
                <w:szCs w:val="4"/>
              </w:rPr>
            </w:pPr>
            <w:r>
              <w:rPr>
                <w:sz w:val="4"/>
                <w:szCs w:val="4"/>
              </w:rPr>
            </w:r>
          </w:p>
        </w:tc>
        <w:tc>
          <w:tcPr>
            <w:tcW w:w="1055" w:type="dxa"/>
            <w:gridSpan w:val="4"/>
            <w:tcBorders/>
            <w:shd w:fill="CCE2F1" w:val="clear"/>
            <w:vAlign w:val="center"/>
          </w:tcPr>
          <w:p>
            <w:pPr>
              <w:pStyle w:val="TableContents"/>
              <w:bidi w:val="0"/>
              <w:spacing w:before="0" w:after="283"/>
              <w:jc w:val="left"/>
              <w:rPr>
                <w:sz w:val="4"/>
                <w:szCs w:val="4"/>
              </w:rPr>
            </w:pPr>
            <w:r>
              <w:rPr>
                <w:sz w:val="4"/>
                <w:szCs w:val="4"/>
              </w:rPr>
            </w:r>
          </w:p>
        </w:tc>
        <w:tc>
          <w:tcPr>
            <w:tcW w:w="785" w:type="dxa"/>
            <w:gridSpan w:val="4"/>
            <w:tcBorders/>
            <w:shd w:fill="CCE2F1" w:val="clear"/>
            <w:vAlign w:val="center"/>
          </w:tcPr>
          <w:p>
            <w:pPr>
              <w:pStyle w:val="TableContents"/>
              <w:bidi w:val="0"/>
              <w:spacing w:before="0" w:after="283"/>
              <w:jc w:val="left"/>
              <w:rPr>
                <w:sz w:val="4"/>
                <w:szCs w:val="4"/>
              </w:rPr>
            </w:pPr>
            <w:r>
              <w:rPr>
                <w:sz w:val="4"/>
                <w:szCs w:val="4"/>
              </w:rPr>
            </w:r>
          </w:p>
        </w:tc>
        <w:tc>
          <w:tcPr>
            <w:tcW w:w="1430" w:type="dxa"/>
            <w:gridSpan w:val="4"/>
            <w:tcBorders/>
            <w:shd w:fill="CCE2F1" w:val="clear"/>
            <w:vAlign w:val="center"/>
          </w:tcPr>
          <w:p>
            <w:pPr>
              <w:pStyle w:val="TableContents"/>
              <w:bidi w:val="0"/>
              <w:spacing w:before="0" w:after="283"/>
              <w:jc w:val="left"/>
              <w:rPr>
                <w:sz w:val="4"/>
                <w:szCs w:val="4"/>
              </w:rPr>
            </w:pPr>
            <w:r>
              <w:rPr>
                <w:sz w:val="4"/>
                <w:szCs w:val="4"/>
              </w:rPr>
            </w:r>
          </w:p>
        </w:tc>
        <w:tc>
          <w:tcPr>
            <w:tcW w:w="1190" w:type="dxa"/>
            <w:gridSpan w:val="4"/>
            <w:tcBorders/>
            <w:shd w:fill="CCE2F1" w:val="clear"/>
            <w:vAlign w:val="center"/>
          </w:tcPr>
          <w:p>
            <w:pPr>
              <w:pStyle w:val="TableContents"/>
              <w:bidi w:val="0"/>
              <w:spacing w:before="0" w:after="283"/>
              <w:jc w:val="left"/>
              <w:rPr>
                <w:sz w:val="4"/>
                <w:szCs w:val="4"/>
              </w:rPr>
            </w:pPr>
            <w:r>
              <w:rPr>
                <w:sz w:val="4"/>
                <w:szCs w:val="4"/>
              </w:rPr>
            </w:r>
          </w:p>
        </w:tc>
        <w:tc>
          <w:tcPr>
            <w:tcW w:w="1670" w:type="dxa"/>
            <w:gridSpan w:val="4"/>
            <w:tcBorders/>
            <w:shd w:fill="CCE2F1" w:val="clear"/>
            <w:vAlign w:val="center"/>
          </w:tcPr>
          <w:p>
            <w:pPr>
              <w:pStyle w:val="TableContents"/>
              <w:bidi w:val="0"/>
              <w:spacing w:before="0" w:after="283"/>
              <w:jc w:val="left"/>
              <w:rPr>
                <w:sz w:val="4"/>
                <w:szCs w:val="4"/>
              </w:rPr>
            </w:pPr>
            <w:r>
              <w:rPr>
                <w:sz w:val="4"/>
                <w:szCs w:val="4"/>
              </w:rPr>
            </w:r>
          </w:p>
        </w:tc>
        <w:tc>
          <w:tcPr>
            <w:tcW w:w="890" w:type="dxa"/>
            <w:gridSpan w:val="4"/>
            <w:tcBorders/>
            <w:shd w:fill="CCE2F1" w:val="clear"/>
            <w:vAlign w:val="center"/>
          </w:tcPr>
          <w:p>
            <w:pPr>
              <w:pStyle w:val="TableContents"/>
              <w:bidi w:val="0"/>
              <w:spacing w:before="0" w:after="283"/>
              <w:jc w:val="left"/>
              <w:rPr>
                <w:sz w:val="4"/>
                <w:szCs w:val="4"/>
              </w:rPr>
            </w:pPr>
            <w:r>
              <w:rPr>
                <w:sz w:val="4"/>
                <w:szCs w:val="4"/>
              </w:rPr>
            </w:r>
          </w:p>
        </w:tc>
        <w:tc>
          <w:tcPr>
            <w:tcW w:w="1355"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7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785" w:type="dxa"/>
            <w:tcBorders/>
            <w:shd w:fill="CCE2F1" w:val="clear"/>
            <w:vAlign w:val="center"/>
          </w:tcPr>
          <w:p>
            <w:pPr>
              <w:pStyle w:val="TableContents"/>
              <w:bidi w:val="0"/>
              <w:spacing w:lineRule="atLeast" w:line="300" w:before="0" w:after="0"/>
              <w:jc w:val="left"/>
              <w:rPr>
                <w:rFonts w:ascii="arial" w:hAnsi="arial"/>
                <w:sz w:val="16"/>
              </w:rPr>
            </w:pPr>
            <w:r>
              <w:rPr>
                <w:rFonts w:ascii="arial" w:hAnsi="arial"/>
                <w:sz w:val="16"/>
              </w:rPr>
              <w:t>Wanda M. Austin</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lineRule="atLeast" w:line="300" w:before="0" w:after="0"/>
              <w:jc w:val="left"/>
              <w:rPr/>
            </w:pPr>
            <w:r>
              <w:rPr/>
              <w:t> </w:t>
            </w:r>
          </w:p>
        </w:tc>
        <w:tc>
          <w:tcPr>
            <w:tcW w:w="1310" w:type="dxa"/>
            <w:tcBorders/>
            <w:shd w:fill="CCE2F1" w:val="clear"/>
            <w:vAlign w:val="center"/>
          </w:tcPr>
          <w:p>
            <w:pPr>
              <w:pStyle w:val="TableContents"/>
              <w:bidi w:val="0"/>
              <w:spacing w:lineRule="atLeast" w:line="300" w:before="0" w:after="0"/>
              <w:jc w:val="right"/>
              <w:rPr>
                <w:color w:val="0171B9"/>
              </w:rPr>
            </w:pPr>
            <w:r>
              <w:rPr>
                <w:color w:val="0171B9"/>
              </w:rPr>
              <w:t>✓</w:t>
            </w:r>
          </w:p>
        </w:tc>
        <w:tc>
          <w:tcPr>
            <w:tcW w:w="60" w:type="dxa"/>
            <w:tcBorders/>
            <w:shd w:fill="CCE2F1" w:val="clear"/>
            <w:vAlign w:val="center"/>
          </w:tcPr>
          <w:p>
            <w:pPr>
              <w:pStyle w:val="TableContents"/>
              <w:bidi w:val="0"/>
              <w:spacing w:lineRule="atLeast" w:line="300" w:before="0" w:after="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lineRule="atLeast" w:line="300" w:before="0" w:after="0"/>
              <w:jc w:val="left"/>
              <w:rPr/>
            </w:pPr>
            <w:r>
              <w:rPr/>
              <w:t> </w:t>
            </w:r>
          </w:p>
        </w:tc>
        <w:tc>
          <w:tcPr>
            <w:tcW w:w="425" w:type="dxa"/>
            <w:tcBorders/>
            <w:shd w:fill="CCE2F1" w:val="clear"/>
            <w:vAlign w:val="center"/>
          </w:tcPr>
          <w:p>
            <w:pPr>
              <w:pStyle w:val="TableContents"/>
              <w:bidi w:val="0"/>
              <w:spacing w:lineRule="atLeast" w:line="300" w:before="0" w:after="0"/>
              <w:jc w:val="right"/>
              <w:rPr>
                <w:rFonts w:ascii="arial" w:hAnsi="arial"/>
                <w:sz w:val="16"/>
              </w:rPr>
            </w:pPr>
            <w:r>
              <w:rPr>
                <w:rFonts w:ascii="arial" w:hAnsi="arial"/>
                <w:sz w:val="16"/>
              </w:rPr>
              <w:t>69</w:t>
            </w:r>
          </w:p>
        </w:tc>
        <w:tc>
          <w:tcPr>
            <w:tcW w:w="60" w:type="dxa"/>
            <w:tcBorders/>
            <w:shd w:fill="CCE2F1" w:val="clear"/>
            <w:vAlign w:val="center"/>
          </w:tcPr>
          <w:p>
            <w:pPr>
              <w:pStyle w:val="TableContents"/>
              <w:bidi w:val="0"/>
              <w:spacing w:lineRule="atLeast" w:line="300" w:before="0" w:after="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lineRule="atLeast" w:line="300" w:before="0" w:after="0"/>
              <w:jc w:val="left"/>
              <w:rPr/>
            </w:pPr>
            <w:r>
              <w:rPr/>
              <w:t> </w:t>
            </w:r>
          </w:p>
        </w:tc>
        <w:tc>
          <w:tcPr>
            <w:tcW w:w="875" w:type="dxa"/>
            <w:tcBorders/>
            <w:shd w:fill="CCE2F1" w:val="clear"/>
            <w:vAlign w:val="center"/>
          </w:tcPr>
          <w:p>
            <w:pPr>
              <w:pStyle w:val="TableContents"/>
              <w:bidi w:val="0"/>
              <w:spacing w:lineRule="atLeast" w:line="300" w:before="0" w:after="0"/>
              <w:jc w:val="center"/>
              <w:rPr>
                <w:rFonts w:ascii="arial" w:hAnsi="arial"/>
                <w:sz w:val="16"/>
              </w:rPr>
            </w:pPr>
            <w:r>
              <w:rPr>
                <w:rFonts w:ascii="arial" w:hAnsi="arial"/>
                <w:sz w:val="16"/>
              </w:rPr>
              <w:t>2017</w:t>
            </w:r>
          </w:p>
        </w:tc>
        <w:tc>
          <w:tcPr>
            <w:tcW w:w="60" w:type="dxa"/>
            <w:tcBorders/>
            <w:shd w:fill="CCE2F1" w:val="clear"/>
            <w:vAlign w:val="center"/>
          </w:tcPr>
          <w:p>
            <w:pPr>
              <w:pStyle w:val="TableContents"/>
              <w:bidi w:val="0"/>
              <w:spacing w:lineRule="atLeast" w:line="300" w:before="0" w:after="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lineRule="atLeast" w:line="300" w:before="0" w:after="0"/>
              <w:jc w:val="left"/>
              <w:rPr/>
            </w:pPr>
            <w:r>
              <w:rPr/>
              <w:t> </w:t>
            </w:r>
          </w:p>
        </w:tc>
        <w:tc>
          <w:tcPr>
            <w:tcW w:w="605" w:type="dxa"/>
            <w:tcBorders/>
            <w:shd w:fill="CCE2F1" w:val="clear"/>
            <w:vAlign w:val="center"/>
          </w:tcPr>
          <w:p>
            <w:pPr>
              <w:pStyle w:val="TableContents"/>
              <w:bidi w:val="0"/>
              <w:spacing w:lineRule="atLeast" w:line="300" w:before="0" w:after="0"/>
              <w:jc w:val="center"/>
              <w:rPr>
                <w:rFonts w:ascii="arial" w:hAnsi="arial"/>
                <w:sz w:val="16"/>
              </w:rPr>
            </w:pPr>
            <w:r>
              <w:rPr>
                <w:rFonts w:ascii="arial" w:hAnsi="arial"/>
                <w:sz w:val="16"/>
              </w:rPr>
              <w:t>M</w:t>
            </w:r>
          </w:p>
        </w:tc>
        <w:tc>
          <w:tcPr>
            <w:tcW w:w="60" w:type="dxa"/>
            <w:tcBorders/>
            <w:shd w:fill="CCE2F1" w:val="clear"/>
            <w:vAlign w:val="center"/>
          </w:tcPr>
          <w:p>
            <w:pPr>
              <w:pStyle w:val="TableContents"/>
              <w:bidi w:val="0"/>
              <w:spacing w:lineRule="atLeast" w:line="300" w:before="0" w:after="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125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101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lineRule="atLeast" w:line="300" w:before="0" w:after="0"/>
              <w:jc w:val="left"/>
              <w:rPr/>
            </w:pPr>
            <w:r>
              <w:rPr/>
              <w:t> </w:t>
            </w:r>
          </w:p>
        </w:tc>
        <w:tc>
          <w:tcPr>
            <w:tcW w:w="1490" w:type="dxa"/>
            <w:tcBorders/>
            <w:shd w:fill="CCE2F1" w:val="clear"/>
            <w:vAlign w:val="center"/>
          </w:tcPr>
          <w:p>
            <w:pPr>
              <w:pStyle w:val="TableContents"/>
              <w:bidi w:val="0"/>
              <w:spacing w:lineRule="atLeast" w:line="300" w:before="0" w:after="0"/>
              <w:jc w:val="center"/>
              <w:rPr>
                <w:rFonts w:ascii="arial" w:hAnsi="arial"/>
                <w:sz w:val="16"/>
              </w:rPr>
            </w:pPr>
            <w:r>
              <w:rPr>
                <w:rFonts w:ascii="arial" w:hAnsi="arial"/>
                <w:sz w:val="16"/>
              </w:rPr>
              <w:t>M</w:t>
            </w:r>
          </w:p>
        </w:tc>
        <w:tc>
          <w:tcPr>
            <w:tcW w:w="60" w:type="dxa"/>
            <w:tcBorders/>
            <w:shd w:fill="CCE2F1" w:val="clear"/>
            <w:vAlign w:val="center"/>
          </w:tcPr>
          <w:p>
            <w:pPr>
              <w:pStyle w:val="TableContents"/>
              <w:bidi w:val="0"/>
              <w:spacing w:lineRule="atLeast" w:line="300" w:before="0" w:after="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71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1160" w:type="dxa"/>
            <w:tcBorders/>
            <w:shd w:fill="CCE2F1" w:val="clear"/>
            <w:vAlign w:val="center"/>
          </w:tcPr>
          <w:p>
            <w:pPr>
              <w:pStyle w:val="TableContents"/>
              <w:bidi w:val="0"/>
              <w:spacing w:before="0" w:after="283"/>
              <w:jc w:val="left"/>
              <w:rPr>
                <w:sz w:val="4"/>
                <w:szCs w:val="4"/>
              </w:rPr>
            </w:pPr>
            <w:r>
              <w:rPr>
                <w:sz w:val="4"/>
                <w:szCs w:val="4"/>
              </w:rPr>
            </w:r>
          </w:p>
        </w:tc>
        <w:tc>
          <w:tcPr>
            <w:tcW w:w="75" w:type="dxa"/>
            <w:tcBorders/>
            <w:shd w:fill="CCE2F1" w:val="cle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845" w:type="dxa"/>
            <w:gridSpan w:val="2"/>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60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lineRule="atLeast" w:line="300" w:before="0" w:after="0"/>
              <w:jc w:val="left"/>
              <w:rPr>
                <w:rFonts w:ascii="arial" w:hAnsi="arial"/>
                <w:sz w:val="16"/>
              </w:rPr>
            </w:pPr>
            <w:r>
              <w:rPr>
                <w:rFonts w:ascii="arial" w:hAnsi="arial"/>
                <w:sz w:val="16"/>
              </w:rPr>
              <w:t>Robert A. Bradway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300" w:before="0" w:after="0"/>
              <w:jc w:val="left"/>
              <w:rPr/>
            </w:pPr>
            <w:r>
              <w:rPr/>
              <w:t> </w:t>
            </w:r>
          </w:p>
        </w:tc>
        <w:tc>
          <w:tcPr>
            <w:tcW w:w="425" w:type="dxa"/>
            <w:tcBorders/>
            <w:vAlign w:val="center"/>
          </w:tcPr>
          <w:p>
            <w:pPr>
              <w:pStyle w:val="TableContents"/>
              <w:bidi w:val="0"/>
              <w:spacing w:lineRule="atLeast" w:line="300" w:before="0" w:after="0"/>
              <w:jc w:val="right"/>
              <w:rPr>
                <w:rFonts w:ascii="arial" w:hAnsi="arial"/>
                <w:sz w:val="16"/>
              </w:rPr>
            </w:pPr>
            <w:r>
              <w:rPr>
                <w:rFonts w:ascii="arial" w:hAnsi="arial"/>
                <w:sz w:val="16"/>
              </w:rPr>
              <w:t>61</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300" w:before="0" w:after="0"/>
              <w:jc w:val="left"/>
              <w:rPr/>
            </w:pPr>
            <w:r>
              <w:rPr/>
              <w:t> </w:t>
            </w:r>
          </w:p>
        </w:tc>
        <w:tc>
          <w:tcPr>
            <w:tcW w:w="875" w:type="dxa"/>
            <w:tcBorders/>
            <w:vAlign w:val="center"/>
          </w:tcPr>
          <w:p>
            <w:pPr>
              <w:pStyle w:val="TableContents"/>
              <w:bidi w:val="0"/>
              <w:spacing w:lineRule="atLeast" w:line="300" w:before="0" w:after="0"/>
              <w:jc w:val="center"/>
              <w:rPr>
                <w:rFonts w:ascii="arial" w:hAnsi="arial"/>
                <w:sz w:val="16"/>
              </w:rPr>
            </w:pPr>
            <w:r>
              <w:rPr>
                <w:rFonts w:ascii="arial" w:hAnsi="arial"/>
                <w:sz w:val="16"/>
              </w:rPr>
              <w:t>2011</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300" w:before="0" w:after="0"/>
              <w:jc w:val="left"/>
              <w:rPr/>
            </w:pPr>
            <w:r>
              <w:rPr/>
              <w:t> </w:t>
            </w:r>
          </w:p>
        </w:tc>
        <w:tc>
          <w:tcPr>
            <w:tcW w:w="1010" w:type="dxa"/>
            <w:tcBorders/>
            <w:vAlign w:val="center"/>
          </w:tcPr>
          <w:p>
            <w:pPr>
              <w:pStyle w:val="TableContents"/>
              <w:bidi w:val="0"/>
              <w:spacing w:lineRule="atLeast" w:line="300" w:before="0" w:after="0"/>
              <w:jc w:val="center"/>
              <w:rPr>
                <w:rFonts w:ascii="arial" w:hAnsi="arial"/>
                <w:sz w:val="16"/>
              </w:rPr>
            </w:pPr>
            <w:r>
              <w:rPr>
                <w:rFonts w:ascii="arial" w:hAnsi="arial"/>
                <w:sz w:val="16"/>
              </w:rPr>
              <w:t>C</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300" w:before="0" w:after="0"/>
              <w:jc w:val="left"/>
              <w:rPr/>
            </w:pPr>
            <w:r>
              <w:rPr/>
              <w:t> </w:t>
            </w:r>
          </w:p>
        </w:tc>
        <w:tc>
          <w:tcPr>
            <w:tcW w:w="710" w:type="dxa"/>
            <w:tcBorders/>
            <w:vAlign w:val="center"/>
          </w:tcPr>
          <w:p>
            <w:pPr>
              <w:pStyle w:val="TableContents"/>
              <w:bidi w:val="0"/>
              <w:spacing w:lineRule="atLeast" w:line="300" w:before="0" w:after="0"/>
              <w:jc w:val="center"/>
              <w:rPr>
                <w:rFonts w:ascii="arial" w:hAnsi="arial"/>
                <w:sz w:val="16"/>
              </w:rPr>
            </w:pPr>
            <w:r>
              <w:rPr>
                <w:rFonts w:ascii="arial" w:hAnsi="arial"/>
                <w:sz w:val="16"/>
              </w:rPr>
              <w:t>M</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shd w:fill="CCE2F1" w:val="clear"/>
            <w:vAlign w:val="center"/>
          </w:tcPr>
          <w:p>
            <w:pPr>
              <w:pStyle w:val="TableContents"/>
              <w:bidi w:val="0"/>
              <w:spacing w:before="0" w:after="283"/>
              <w:jc w:val="left"/>
              <w:rPr>
                <w:sz w:val="4"/>
                <w:szCs w:val="4"/>
              </w:rPr>
            </w:pPr>
            <w:r>
              <w:rPr>
                <w:sz w:val="4"/>
                <w:szCs w:val="4"/>
              </w:rPr>
            </w:r>
          </w:p>
        </w:tc>
        <w:tc>
          <w:tcPr>
            <w:tcW w:w="845" w:type="dxa"/>
            <w:gridSpan w:val="2"/>
            <w:tcBorders/>
            <w:shd w:fill="CCE2F1" w:val="clear"/>
            <w:vAlign w:val="center"/>
          </w:tcPr>
          <w:p>
            <w:pPr>
              <w:pStyle w:val="TableContents"/>
              <w:bidi w:val="0"/>
              <w:spacing w:before="0" w:after="283"/>
              <w:jc w:val="left"/>
              <w:rPr>
                <w:sz w:val="4"/>
                <w:szCs w:val="4"/>
              </w:rPr>
            </w:pPr>
            <w:r>
              <w:rPr>
                <w:sz w:val="4"/>
                <w:szCs w:val="4"/>
              </w:rPr>
            </w:r>
          </w:p>
        </w:tc>
        <w:tc>
          <w:tcPr>
            <w:tcW w:w="1490" w:type="dxa"/>
            <w:gridSpan w:val="4"/>
            <w:tcBorders/>
            <w:shd w:fill="CCE2F1" w:val="clear"/>
            <w:vAlign w:val="center"/>
          </w:tcPr>
          <w:p>
            <w:pPr>
              <w:pStyle w:val="TableContents"/>
              <w:bidi w:val="0"/>
              <w:spacing w:before="0" w:after="283"/>
              <w:jc w:val="left"/>
              <w:rPr>
                <w:sz w:val="4"/>
                <w:szCs w:val="4"/>
              </w:rPr>
            </w:pPr>
            <w:r>
              <w:rPr>
                <w:sz w:val="4"/>
                <w:szCs w:val="4"/>
              </w:rPr>
            </w:r>
          </w:p>
        </w:tc>
        <w:tc>
          <w:tcPr>
            <w:tcW w:w="605" w:type="dxa"/>
            <w:gridSpan w:val="4"/>
            <w:tcBorders/>
            <w:shd w:fill="CCE2F1" w:val="clear"/>
            <w:vAlign w:val="center"/>
          </w:tcPr>
          <w:p>
            <w:pPr>
              <w:pStyle w:val="TableContents"/>
              <w:bidi w:val="0"/>
              <w:spacing w:before="0" w:after="283"/>
              <w:jc w:val="left"/>
              <w:rPr>
                <w:sz w:val="4"/>
                <w:szCs w:val="4"/>
              </w:rPr>
            </w:pPr>
            <w:r>
              <w:rPr>
                <w:sz w:val="4"/>
                <w:szCs w:val="4"/>
              </w:rPr>
            </w:r>
          </w:p>
        </w:tc>
        <w:tc>
          <w:tcPr>
            <w:tcW w:w="1055" w:type="dxa"/>
            <w:gridSpan w:val="4"/>
            <w:tcBorders/>
            <w:shd w:fill="CCE2F1" w:val="clear"/>
            <w:vAlign w:val="center"/>
          </w:tcPr>
          <w:p>
            <w:pPr>
              <w:pStyle w:val="TableContents"/>
              <w:bidi w:val="0"/>
              <w:spacing w:before="0" w:after="283"/>
              <w:jc w:val="left"/>
              <w:rPr>
                <w:sz w:val="4"/>
                <w:szCs w:val="4"/>
              </w:rPr>
            </w:pPr>
            <w:r>
              <w:rPr>
                <w:sz w:val="4"/>
                <w:szCs w:val="4"/>
              </w:rPr>
            </w:r>
          </w:p>
        </w:tc>
        <w:tc>
          <w:tcPr>
            <w:tcW w:w="785" w:type="dxa"/>
            <w:gridSpan w:val="4"/>
            <w:tcBorders/>
            <w:shd w:fill="CCE2F1" w:val="clear"/>
            <w:vAlign w:val="center"/>
          </w:tcPr>
          <w:p>
            <w:pPr>
              <w:pStyle w:val="TableContents"/>
              <w:bidi w:val="0"/>
              <w:spacing w:before="0" w:after="283"/>
              <w:jc w:val="left"/>
              <w:rPr>
                <w:sz w:val="4"/>
                <w:szCs w:val="4"/>
              </w:rPr>
            </w:pPr>
            <w:r>
              <w:rPr>
                <w:sz w:val="4"/>
                <w:szCs w:val="4"/>
              </w:rPr>
            </w:r>
          </w:p>
        </w:tc>
        <w:tc>
          <w:tcPr>
            <w:tcW w:w="1430" w:type="dxa"/>
            <w:gridSpan w:val="4"/>
            <w:tcBorders/>
            <w:shd w:fill="CCE2F1" w:val="clear"/>
            <w:vAlign w:val="center"/>
          </w:tcPr>
          <w:p>
            <w:pPr>
              <w:pStyle w:val="TableContents"/>
              <w:bidi w:val="0"/>
              <w:spacing w:before="0" w:after="283"/>
              <w:jc w:val="left"/>
              <w:rPr>
                <w:sz w:val="4"/>
                <w:szCs w:val="4"/>
              </w:rPr>
            </w:pPr>
            <w:r>
              <w:rPr>
                <w:sz w:val="4"/>
                <w:szCs w:val="4"/>
              </w:rPr>
            </w:r>
          </w:p>
        </w:tc>
        <w:tc>
          <w:tcPr>
            <w:tcW w:w="1190" w:type="dxa"/>
            <w:gridSpan w:val="4"/>
            <w:tcBorders/>
            <w:shd w:fill="CCE2F1" w:val="clear"/>
            <w:vAlign w:val="center"/>
          </w:tcPr>
          <w:p>
            <w:pPr>
              <w:pStyle w:val="TableContents"/>
              <w:bidi w:val="0"/>
              <w:spacing w:before="0" w:after="283"/>
              <w:jc w:val="left"/>
              <w:rPr>
                <w:sz w:val="4"/>
                <w:szCs w:val="4"/>
              </w:rPr>
            </w:pPr>
            <w:r>
              <w:rPr>
                <w:sz w:val="4"/>
                <w:szCs w:val="4"/>
              </w:rPr>
            </w:r>
          </w:p>
        </w:tc>
        <w:tc>
          <w:tcPr>
            <w:tcW w:w="1670" w:type="dxa"/>
            <w:gridSpan w:val="4"/>
            <w:tcBorders/>
            <w:shd w:fill="CCE2F1" w:val="clear"/>
            <w:vAlign w:val="center"/>
          </w:tcPr>
          <w:p>
            <w:pPr>
              <w:pStyle w:val="TableContents"/>
              <w:bidi w:val="0"/>
              <w:spacing w:before="0" w:after="283"/>
              <w:jc w:val="left"/>
              <w:rPr>
                <w:sz w:val="4"/>
                <w:szCs w:val="4"/>
              </w:rPr>
            </w:pPr>
            <w:r>
              <w:rPr>
                <w:sz w:val="4"/>
                <w:szCs w:val="4"/>
              </w:rPr>
            </w:r>
          </w:p>
        </w:tc>
        <w:tc>
          <w:tcPr>
            <w:tcW w:w="890" w:type="dxa"/>
            <w:gridSpan w:val="4"/>
            <w:tcBorders/>
            <w:shd w:fill="CCE2F1" w:val="clear"/>
            <w:vAlign w:val="center"/>
          </w:tcPr>
          <w:p>
            <w:pPr>
              <w:pStyle w:val="TableContents"/>
              <w:bidi w:val="0"/>
              <w:spacing w:before="0" w:after="283"/>
              <w:jc w:val="left"/>
              <w:rPr>
                <w:sz w:val="4"/>
                <w:szCs w:val="4"/>
              </w:rPr>
            </w:pPr>
            <w:r>
              <w:rPr>
                <w:sz w:val="4"/>
                <w:szCs w:val="4"/>
              </w:rPr>
            </w:r>
          </w:p>
        </w:tc>
        <w:tc>
          <w:tcPr>
            <w:tcW w:w="1355"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7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785" w:type="dxa"/>
            <w:tcBorders/>
            <w:shd w:fill="CCE2F1" w:val="clear"/>
            <w:vAlign w:val="center"/>
          </w:tcPr>
          <w:p>
            <w:pPr>
              <w:pStyle w:val="TableContents"/>
              <w:bidi w:val="0"/>
              <w:spacing w:lineRule="atLeast" w:line="300" w:before="0" w:after="0"/>
              <w:jc w:val="left"/>
              <w:rPr>
                <w:rFonts w:ascii="arial" w:hAnsi="arial"/>
                <w:sz w:val="16"/>
              </w:rPr>
            </w:pPr>
            <w:r>
              <w:rPr>
                <w:rFonts w:ascii="arial" w:hAnsi="arial"/>
                <w:sz w:val="16"/>
              </w:rPr>
              <w:t>Michael V. Drake</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lineRule="atLeast" w:line="300" w:before="0" w:after="0"/>
              <w:jc w:val="left"/>
              <w:rPr/>
            </w:pPr>
            <w:r>
              <w:rPr/>
              <w:t> </w:t>
            </w:r>
          </w:p>
        </w:tc>
        <w:tc>
          <w:tcPr>
            <w:tcW w:w="1310" w:type="dxa"/>
            <w:tcBorders/>
            <w:shd w:fill="CCE2F1" w:val="clear"/>
            <w:vAlign w:val="center"/>
          </w:tcPr>
          <w:p>
            <w:pPr>
              <w:pStyle w:val="TableContents"/>
              <w:bidi w:val="0"/>
              <w:spacing w:lineRule="atLeast" w:line="300" w:before="0" w:after="0"/>
              <w:jc w:val="right"/>
              <w:rPr>
                <w:color w:val="0171B9"/>
              </w:rPr>
            </w:pPr>
            <w:r>
              <w:rPr>
                <w:color w:val="0171B9"/>
              </w:rPr>
              <w:t>✓</w:t>
            </w:r>
          </w:p>
        </w:tc>
        <w:tc>
          <w:tcPr>
            <w:tcW w:w="60" w:type="dxa"/>
            <w:tcBorders/>
            <w:shd w:fill="CCE2F1" w:val="clear"/>
            <w:vAlign w:val="center"/>
          </w:tcPr>
          <w:p>
            <w:pPr>
              <w:pStyle w:val="TableContents"/>
              <w:bidi w:val="0"/>
              <w:spacing w:lineRule="atLeast" w:line="300" w:before="0" w:after="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lineRule="atLeast" w:line="300" w:before="0" w:after="0"/>
              <w:jc w:val="left"/>
              <w:rPr/>
            </w:pPr>
            <w:r>
              <w:rPr/>
              <w:t> </w:t>
            </w:r>
          </w:p>
        </w:tc>
        <w:tc>
          <w:tcPr>
            <w:tcW w:w="425" w:type="dxa"/>
            <w:tcBorders/>
            <w:shd w:fill="CCE2F1" w:val="clear"/>
            <w:vAlign w:val="center"/>
          </w:tcPr>
          <w:p>
            <w:pPr>
              <w:pStyle w:val="TableContents"/>
              <w:bidi w:val="0"/>
              <w:spacing w:lineRule="atLeast" w:line="300" w:before="0" w:after="0"/>
              <w:jc w:val="right"/>
              <w:rPr>
                <w:rFonts w:ascii="arial" w:hAnsi="arial"/>
                <w:sz w:val="16"/>
              </w:rPr>
            </w:pPr>
            <w:r>
              <w:rPr>
                <w:rFonts w:ascii="arial" w:hAnsi="arial"/>
                <w:sz w:val="16"/>
              </w:rPr>
              <w:t>73</w:t>
            </w:r>
          </w:p>
        </w:tc>
        <w:tc>
          <w:tcPr>
            <w:tcW w:w="60" w:type="dxa"/>
            <w:tcBorders/>
            <w:shd w:fill="CCE2F1" w:val="clear"/>
            <w:vAlign w:val="center"/>
          </w:tcPr>
          <w:p>
            <w:pPr>
              <w:pStyle w:val="TableContents"/>
              <w:bidi w:val="0"/>
              <w:spacing w:lineRule="atLeast" w:line="300" w:before="0" w:after="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lineRule="atLeast" w:line="300" w:before="0" w:after="0"/>
              <w:jc w:val="left"/>
              <w:rPr/>
            </w:pPr>
            <w:r>
              <w:rPr/>
              <w:t> </w:t>
            </w:r>
          </w:p>
        </w:tc>
        <w:tc>
          <w:tcPr>
            <w:tcW w:w="875" w:type="dxa"/>
            <w:tcBorders/>
            <w:shd w:fill="CCE2F1" w:val="clear"/>
            <w:vAlign w:val="center"/>
          </w:tcPr>
          <w:p>
            <w:pPr>
              <w:pStyle w:val="TableContents"/>
              <w:bidi w:val="0"/>
              <w:spacing w:lineRule="atLeast" w:line="300" w:before="0" w:after="0"/>
              <w:jc w:val="center"/>
              <w:rPr>
                <w:rFonts w:ascii="arial" w:hAnsi="arial"/>
                <w:sz w:val="16"/>
              </w:rPr>
            </w:pPr>
            <w:r>
              <w:rPr>
                <w:rFonts w:ascii="arial" w:hAnsi="arial"/>
                <w:sz w:val="16"/>
              </w:rPr>
              <w:t>2022</w:t>
            </w:r>
          </w:p>
        </w:tc>
        <w:tc>
          <w:tcPr>
            <w:tcW w:w="60" w:type="dxa"/>
            <w:tcBorders/>
            <w:shd w:fill="CCE2F1" w:val="clear"/>
            <w:vAlign w:val="center"/>
          </w:tcPr>
          <w:p>
            <w:pPr>
              <w:pStyle w:val="TableContents"/>
              <w:bidi w:val="0"/>
              <w:spacing w:lineRule="atLeast" w:line="300" w:before="0" w:after="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lineRule="atLeast" w:line="300" w:before="0" w:after="0"/>
              <w:jc w:val="left"/>
              <w:rPr/>
            </w:pPr>
            <w:r>
              <w:rPr/>
              <w:t> </w:t>
            </w:r>
          </w:p>
        </w:tc>
        <w:tc>
          <w:tcPr>
            <w:tcW w:w="1250" w:type="dxa"/>
            <w:tcBorders/>
            <w:shd w:fill="CCE2F1" w:val="clear"/>
            <w:vAlign w:val="center"/>
          </w:tcPr>
          <w:p>
            <w:pPr>
              <w:pStyle w:val="TableContents"/>
              <w:bidi w:val="0"/>
              <w:spacing w:lineRule="atLeast" w:line="300" w:before="0" w:after="0"/>
              <w:jc w:val="center"/>
              <w:rPr>
                <w:rFonts w:ascii="arial" w:hAnsi="arial"/>
                <w:sz w:val="16"/>
              </w:rPr>
            </w:pPr>
            <w:r>
              <w:rPr>
                <w:rFonts w:ascii="arial" w:hAnsi="arial"/>
                <w:sz w:val="16"/>
              </w:rPr>
              <w:t>M</w:t>
            </w:r>
          </w:p>
        </w:tc>
        <w:tc>
          <w:tcPr>
            <w:tcW w:w="60" w:type="dxa"/>
            <w:tcBorders/>
            <w:shd w:fill="CCE2F1" w:val="clear"/>
            <w:vAlign w:val="center"/>
          </w:tcPr>
          <w:p>
            <w:pPr>
              <w:pStyle w:val="TableContents"/>
              <w:bidi w:val="0"/>
              <w:spacing w:lineRule="atLeast" w:line="300" w:before="0" w:after="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101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149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71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lineRule="atLeast" w:line="300" w:before="0" w:after="0"/>
              <w:jc w:val="left"/>
              <w:rPr/>
            </w:pPr>
            <w:r>
              <w:rPr/>
              <w:t> </w:t>
            </w:r>
          </w:p>
        </w:tc>
        <w:tc>
          <w:tcPr>
            <w:tcW w:w="1160" w:type="dxa"/>
            <w:tcBorders/>
            <w:shd w:fill="CCE2F1" w:val="clear"/>
            <w:vAlign w:val="center"/>
          </w:tcPr>
          <w:p>
            <w:pPr>
              <w:pStyle w:val="TableContents"/>
              <w:bidi w:val="0"/>
              <w:spacing w:lineRule="atLeast" w:line="300" w:before="0" w:after="0"/>
              <w:jc w:val="center"/>
              <w:rPr>
                <w:rFonts w:ascii="arial" w:hAnsi="arial"/>
                <w:sz w:val="16"/>
              </w:rPr>
            </w:pPr>
            <w:r>
              <w:rPr>
                <w:rFonts w:ascii="arial" w:hAnsi="arial"/>
                <w:sz w:val="16"/>
              </w:rPr>
              <w:t>M</w:t>
            </w:r>
          </w:p>
        </w:tc>
        <w:tc>
          <w:tcPr>
            <w:tcW w:w="75" w:type="dxa"/>
            <w:tcBorders/>
            <w:shd w:fill="CCE2F1" w:val="clear"/>
            <w:vAlign w:val="center"/>
          </w:tcPr>
          <w:p>
            <w:pPr>
              <w:pStyle w:val="TableContents"/>
              <w:bidi w:val="0"/>
              <w:spacing w:lineRule="atLeast" w:line="300" w:before="0" w:after="0"/>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845" w:type="dxa"/>
            <w:gridSpan w:val="2"/>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60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lineRule="atLeast" w:line="300" w:before="0" w:after="0"/>
              <w:jc w:val="left"/>
              <w:rPr>
                <w:rFonts w:ascii="arial" w:hAnsi="arial"/>
                <w:sz w:val="16"/>
              </w:rPr>
            </w:pPr>
            <w:r>
              <w:rPr>
                <w:rFonts w:ascii="arial" w:hAnsi="arial"/>
                <w:sz w:val="16"/>
              </w:rPr>
              <w:t>Brian J. Druker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300" w:before="0" w:after="0"/>
              <w:jc w:val="left"/>
              <w:rPr/>
            </w:pPr>
            <w:r>
              <w:rPr/>
              <w:t> </w:t>
            </w:r>
          </w:p>
        </w:tc>
        <w:tc>
          <w:tcPr>
            <w:tcW w:w="1310" w:type="dxa"/>
            <w:tcBorders/>
            <w:vAlign w:val="center"/>
          </w:tcPr>
          <w:p>
            <w:pPr>
              <w:pStyle w:val="TableContents"/>
              <w:bidi w:val="0"/>
              <w:spacing w:lineRule="atLeast" w:line="300" w:before="0" w:after="0"/>
              <w:jc w:val="right"/>
              <w:rPr>
                <w:color w:val="0171B9"/>
              </w:rPr>
            </w:pPr>
            <w:r>
              <w:rPr>
                <w:color w:val="0171B9"/>
              </w:rPr>
              <w:t>✓</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300" w:before="0" w:after="0"/>
              <w:jc w:val="left"/>
              <w:rPr/>
            </w:pPr>
            <w:r>
              <w:rPr/>
              <w:t> </w:t>
            </w:r>
          </w:p>
        </w:tc>
        <w:tc>
          <w:tcPr>
            <w:tcW w:w="425" w:type="dxa"/>
            <w:tcBorders/>
            <w:vAlign w:val="center"/>
          </w:tcPr>
          <w:p>
            <w:pPr>
              <w:pStyle w:val="TableContents"/>
              <w:bidi w:val="0"/>
              <w:spacing w:lineRule="atLeast" w:line="300" w:before="0" w:after="0"/>
              <w:jc w:val="right"/>
              <w:rPr>
                <w:rFonts w:ascii="arial" w:hAnsi="arial"/>
                <w:sz w:val="16"/>
              </w:rPr>
            </w:pPr>
            <w:r>
              <w:rPr>
                <w:rFonts w:ascii="arial" w:hAnsi="arial"/>
                <w:sz w:val="16"/>
              </w:rPr>
              <w:t>68</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300" w:before="0" w:after="0"/>
              <w:jc w:val="left"/>
              <w:rPr/>
            </w:pPr>
            <w:r>
              <w:rPr/>
              <w:t> </w:t>
            </w:r>
          </w:p>
        </w:tc>
        <w:tc>
          <w:tcPr>
            <w:tcW w:w="875" w:type="dxa"/>
            <w:tcBorders/>
            <w:vAlign w:val="center"/>
          </w:tcPr>
          <w:p>
            <w:pPr>
              <w:pStyle w:val="TableContents"/>
              <w:bidi w:val="0"/>
              <w:spacing w:lineRule="atLeast" w:line="300" w:before="0" w:after="0"/>
              <w:jc w:val="center"/>
              <w:rPr>
                <w:rFonts w:ascii="arial" w:hAnsi="arial"/>
                <w:sz w:val="16"/>
              </w:rPr>
            </w:pPr>
            <w:r>
              <w:rPr>
                <w:rFonts w:ascii="arial" w:hAnsi="arial"/>
                <w:sz w:val="16"/>
              </w:rPr>
              <w:t>2018</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300" w:before="0" w:after="0"/>
              <w:jc w:val="left"/>
              <w:rPr/>
            </w:pPr>
            <w:r>
              <w:rPr/>
              <w:t> </w:t>
            </w:r>
          </w:p>
        </w:tc>
        <w:tc>
          <w:tcPr>
            <w:tcW w:w="1490" w:type="dxa"/>
            <w:tcBorders/>
            <w:vAlign w:val="center"/>
          </w:tcPr>
          <w:p>
            <w:pPr>
              <w:pStyle w:val="TableContents"/>
              <w:bidi w:val="0"/>
              <w:spacing w:lineRule="atLeast" w:line="300" w:before="0" w:after="0"/>
              <w:jc w:val="center"/>
              <w:rPr>
                <w:rFonts w:ascii="arial" w:hAnsi="arial"/>
                <w:sz w:val="16"/>
              </w:rPr>
            </w:pPr>
            <w:r>
              <w:rPr>
                <w:rFonts w:ascii="arial" w:hAnsi="arial"/>
                <w:sz w:val="16"/>
              </w:rPr>
              <w:t>M</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300" w:before="0" w:after="0"/>
              <w:jc w:val="left"/>
              <w:rPr/>
            </w:pPr>
            <w:r>
              <w:rPr/>
              <w:t> </w:t>
            </w:r>
          </w:p>
        </w:tc>
        <w:tc>
          <w:tcPr>
            <w:tcW w:w="1160" w:type="dxa"/>
            <w:tcBorders/>
            <w:vAlign w:val="center"/>
          </w:tcPr>
          <w:p>
            <w:pPr>
              <w:pStyle w:val="TableContents"/>
              <w:bidi w:val="0"/>
              <w:spacing w:lineRule="atLeast" w:line="300" w:before="0" w:after="0"/>
              <w:jc w:val="center"/>
              <w:rPr>
                <w:rFonts w:ascii="arial" w:hAnsi="arial"/>
                <w:sz w:val="16"/>
              </w:rPr>
            </w:pPr>
            <w:r>
              <w:rPr>
                <w:rFonts w:ascii="arial" w:hAnsi="arial"/>
                <w:sz w:val="16"/>
              </w:rPr>
              <w:t>M</w:t>
            </w:r>
          </w:p>
        </w:tc>
        <w:tc>
          <w:tcPr>
            <w:tcW w:w="75" w:type="dxa"/>
            <w:tcBorders/>
            <w:vAlign w:val="center"/>
          </w:tcPr>
          <w:p>
            <w:pPr>
              <w:pStyle w:val="TableContents"/>
              <w:bidi w:val="0"/>
              <w:spacing w:lineRule="atLeast" w:line="300" w:before="0" w:after="0"/>
              <w:jc w:val="left"/>
              <w:rPr/>
            </w:pPr>
            <w:r>
              <w:rPr/>
              <w:t> </w:t>
            </w:r>
          </w:p>
        </w:tc>
      </w:tr>
      <w:tr>
        <w:trPr/>
        <w:tc>
          <w:tcPr>
            <w:tcW w:w="75" w:type="dxa"/>
            <w:tcBorders/>
            <w:shd w:fill="CCE2F1" w:val="clear"/>
            <w:vAlign w:val="center"/>
          </w:tcPr>
          <w:p>
            <w:pPr>
              <w:pStyle w:val="TableContents"/>
              <w:bidi w:val="0"/>
              <w:spacing w:before="0" w:after="283"/>
              <w:jc w:val="left"/>
              <w:rPr>
                <w:sz w:val="4"/>
                <w:szCs w:val="4"/>
              </w:rPr>
            </w:pPr>
            <w:r>
              <w:rPr>
                <w:sz w:val="4"/>
                <w:szCs w:val="4"/>
              </w:rPr>
            </w:r>
          </w:p>
        </w:tc>
        <w:tc>
          <w:tcPr>
            <w:tcW w:w="845" w:type="dxa"/>
            <w:gridSpan w:val="2"/>
            <w:tcBorders/>
            <w:shd w:fill="CCE2F1" w:val="clear"/>
            <w:vAlign w:val="center"/>
          </w:tcPr>
          <w:p>
            <w:pPr>
              <w:pStyle w:val="TableContents"/>
              <w:bidi w:val="0"/>
              <w:spacing w:before="0" w:after="283"/>
              <w:jc w:val="left"/>
              <w:rPr>
                <w:sz w:val="4"/>
                <w:szCs w:val="4"/>
              </w:rPr>
            </w:pPr>
            <w:r>
              <w:rPr>
                <w:sz w:val="4"/>
                <w:szCs w:val="4"/>
              </w:rPr>
            </w:r>
          </w:p>
        </w:tc>
        <w:tc>
          <w:tcPr>
            <w:tcW w:w="1490" w:type="dxa"/>
            <w:gridSpan w:val="4"/>
            <w:tcBorders/>
            <w:shd w:fill="CCE2F1" w:val="clear"/>
            <w:vAlign w:val="center"/>
          </w:tcPr>
          <w:p>
            <w:pPr>
              <w:pStyle w:val="TableContents"/>
              <w:bidi w:val="0"/>
              <w:spacing w:before="0" w:after="283"/>
              <w:jc w:val="left"/>
              <w:rPr>
                <w:sz w:val="4"/>
                <w:szCs w:val="4"/>
              </w:rPr>
            </w:pPr>
            <w:r>
              <w:rPr>
                <w:sz w:val="4"/>
                <w:szCs w:val="4"/>
              </w:rPr>
            </w:r>
          </w:p>
        </w:tc>
        <w:tc>
          <w:tcPr>
            <w:tcW w:w="605" w:type="dxa"/>
            <w:gridSpan w:val="4"/>
            <w:tcBorders/>
            <w:shd w:fill="CCE2F1" w:val="clear"/>
            <w:vAlign w:val="center"/>
          </w:tcPr>
          <w:p>
            <w:pPr>
              <w:pStyle w:val="TableContents"/>
              <w:bidi w:val="0"/>
              <w:spacing w:before="0" w:after="283"/>
              <w:jc w:val="left"/>
              <w:rPr>
                <w:sz w:val="4"/>
                <w:szCs w:val="4"/>
              </w:rPr>
            </w:pPr>
            <w:r>
              <w:rPr>
                <w:sz w:val="4"/>
                <w:szCs w:val="4"/>
              </w:rPr>
            </w:r>
          </w:p>
        </w:tc>
        <w:tc>
          <w:tcPr>
            <w:tcW w:w="1055" w:type="dxa"/>
            <w:gridSpan w:val="4"/>
            <w:tcBorders/>
            <w:shd w:fill="CCE2F1" w:val="clear"/>
            <w:vAlign w:val="center"/>
          </w:tcPr>
          <w:p>
            <w:pPr>
              <w:pStyle w:val="TableContents"/>
              <w:bidi w:val="0"/>
              <w:spacing w:before="0" w:after="283"/>
              <w:jc w:val="left"/>
              <w:rPr>
                <w:sz w:val="4"/>
                <w:szCs w:val="4"/>
              </w:rPr>
            </w:pPr>
            <w:r>
              <w:rPr>
                <w:sz w:val="4"/>
                <w:szCs w:val="4"/>
              </w:rPr>
            </w:r>
          </w:p>
        </w:tc>
        <w:tc>
          <w:tcPr>
            <w:tcW w:w="785" w:type="dxa"/>
            <w:gridSpan w:val="4"/>
            <w:tcBorders/>
            <w:shd w:fill="CCE2F1" w:val="clear"/>
            <w:vAlign w:val="center"/>
          </w:tcPr>
          <w:p>
            <w:pPr>
              <w:pStyle w:val="TableContents"/>
              <w:bidi w:val="0"/>
              <w:spacing w:before="0" w:after="283"/>
              <w:jc w:val="left"/>
              <w:rPr>
                <w:sz w:val="4"/>
                <w:szCs w:val="4"/>
              </w:rPr>
            </w:pPr>
            <w:r>
              <w:rPr>
                <w:sz w:val="4"/>
                <w:szCs w:val="4"/>
              </w:rPr>
            </w:r>
          </w:p>
        </w:tc>
        <w:tc>
          <w:tcPr>
            <w:tcW w:w="1430" w:type="dxa"/>
            <w:gridSpan w:val="4"/>
            <w:tcBorders/>
            <w:shd w:fill="CCE2F1" w:val="clear"/>
            <w:vAlign w:val="center"/>
          </w:tcPr>
          <w:p>
            <w:pPr>
              <w:pStyle w:val="TableContents"/>
              <w:bidi w:val="0"/>
              <w:spacing w:before="0" w:after="283"/>
              <w:jc w:val="left"/>
              <w:rPr>
                <w:sz w:val="4"/>
                <w:szCs w:val="4"/>
              </w:rPr>
            </w:pPr>
            <w:r>
              <w:rPr>
                <w:sz w:val="4"/>
                <w:szCs w:val="4"/>
              </w:rPr>
            </w:r>
          </w:p>
        </w:tc>
        <w:tc>
          <w:tcPr>
            <w:tcW w:w="1190" w:type="dxa"/>
            <w:gridSpan w:val="4"/>
            <w:tcBorders/>
            <w:shd w:fill="CCE2F1" w:val="clear"/>
            <w:vAlign w:val="center"/>
          </w:tcPr>
          <w:p>
            <w:pPr>
              <w:pStyle w:val="TableContents"/>
              <w:bidi w:val="0"/>
              <w:spacing w:before="0" w:after="283"/>
              <w:jc w:val="left"/>
              <w:rPr>
                <w:sz w:val="4"/>
                <w:szCs w:val="4"/>
              </w:rPr>
            </w:pPr>
            <w:r>
              <w:rPr>
                <w:sz w:val="4"/>
                <w:szCs w:val="4"/>
              </w:rPr>
            </w:r>
          </w:p>
        </w:tc>
        <w:tc>
          <w:tcPr>
            <w:tcW w:w="1670" w:type="dxa"/>
            <w:gridSpan w:val="4"/>
            <w:tcBorders/>
            <w:shd w:fill="CCE2F1" w:val="clear"/>
            <w:vAlign w:val="center"/>
          </w:tcPr>
          <w:p>
            <w:pPr>
              <w:pStyle w:val="TableContents"/>
              <w:bidi w:val="0"/>
              <w:spacing w:before="0" w:after="283"/>
              <w:jc w:val="left"/>
              <w:rPr>
                <w:sz w:val="4"/>
                <w:szCs w:val="4"/>
              </w:rPr>
            </w:pPr>
            <w:r>
              <w:rPr>
                <w:sz w:val="4"/>
                <w:szCs w:val="4"/>
              </w:rPr>
            </w:r>
          </w:p>
        </w:tc>
        <w:tc>
          <w:tcPr>
            <w:tcW w:w="890" w:type="dxa"/>
            <w:gridSpan w:val="4"/>
            <w:tcBorders/>
            <w:shd w:fill="CCE2F1" w:val="clear"/>
            <w:vAlign w:val="center"/>
          </w:tcPr>
          <w:p>
            <w:pPr>
              <w:pStyle w:val="TableContents"/>
              <w:bidi w:val="0"/>
              <w:spacing w:before="0" w:after="283"/>
              <w:jc w:val="left"/>
              <w:rPr>
                <w:sz w:val="4"/>
                <w:szCs w:val="4"/>
              </w:rPr>
            </w:pPr>
            <w:r>
              <w:rPr>
                <w:sz w:val="4"/>
                <w:szCs w:val="4"/>
              </w:rPr>
            </w:r>
          </w:p>
        </w:tc>
        <w:tc>
          <w:tcPr>
            <w:tcW w:w="1355"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7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785" w:type="dxa"/>
            <w:tcBorders/>
            <w:shd w:fill="CCE2F1" w:val="clear"/>
            <w:vAlign w:val="center"/>
          </w:tcPr>
          <w:p>
            <w:pPr>
              <w:pStyle w:val="TableContents"/>
              <w:bidi w:val="0"/>
              <w:spacing w:lineRule="atLeast" w:line="300" w:before="0" w:after="0"/>
              <w:jc w:val="left"/>
              <w:rPr>
                <w:rFonts w:ascii="arial" w:hAnsi="arial"/>
                <w:sz w:val="16"/>
              </w:rPr>
            </w:pPr>
            <w:r>
              <w:rPr>
                <w:rFonts w:ascii="arial" w:hAnsi="arial"/>
                <w:sz w:val="16"/>
              </w:rPr>
              <w:t>Robert A. Eckert*</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lineRule="atLeast" w:line="300" w:before="0" w:after="0"/>
              <w:jc w:val="left"/>
              <w:rPr/>
            </w:pPr>
            <w:r>
              <w:rPr/>
              <w:t> </w:t>
            </w:r>
          </w:p>
        </w:tc>
        <w:tc>
          <w:tcPr>
            <w:tcW w:w="1310" w:type="dxa"/>
            <w:tcBorders/>
            <w:shd w:fill="CCE2F1" w:val="clear"/>
            <w:vAlign w:val="center"/>
          </w:tcPr>
          <w:p>
            <w:pPr>
              <w:pStyle w:val="TableContents"/>
              <w:bidi w:val="0"/>
              <w:spacing w:lineRule="atLeast" w:line="300" w:before="0" w:after="0"/>
              <w:jc w:val="right"/>
              <w:rPr>
                <w:color w:val="0171B9"/>
              </w:rPr>
            </w:pPr>
            <w:r>
              <w:rPr>
                <w:color w:val="0171B9"/>
              </w:rPr>
              <w:t>✓</w:t>
            </w:r>
          </w:p>
        </w:tc>
        <w:tc>
          <w:tcPr>
            <w:tcW w:w="60" w:type="dxa"/>
            <w:tcBorders/>
            <w:shd w:fill="CCE2F1" w:val="clear"/>
            <w:vAlign w:val="center"/>
          </w:tcPr>
          <w:p>
            <w:pPr>
              <w:pStyle w:val="TableContents"/>
              <w:bidi w:val="0"/>
              <w:spacing w:lineRule="atLeast" w:line="300" w:before="0" w:after="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lineRule="atLeast" w:line="300" w:before="0" w:after="0"/>
              <w:jc w:val="left"/>
              <w:rPr/>
            </w:pPr>
            <w:r>
              <w:rPr/>
              <w:t> </w:t>
            </w:r>
          </w:p>
        </w:tc>
        <w:tc>
          <w:tcPr>
            <w:tcW w:w="425" w:type="dxa"/>
            <w:tcBorders/>
            <w:shd w:fill="CCE2F1" w:val="clear"/>
            <w:vAlign w:val="center"/>
          </w:tcPr>
          <w:p>
            <w:pPr>
              <w:pStyle w:val="TableContents"/>
              <w:bidi w:val="0"/>
              <w:spacing w:lineRule="atLeast" w:line="300" w:before="0" w:after="0"/>
              <w:jc w:val="right"/>
              <w:rPr>
                <w:rFonts w:ascii="arial" w:hAnsi="arial"/>
                <w:sz w:val="16"/>
              </w:rPr>
            </w:pPr>
            <w:r>
              <w:rPr>
                <w:rFonts w:ascii="arial" w:hAnsi="arial"/>
                <w:sz w:val="16"/>
              </w:rPr>
              <w:t>69</w:t>
            </w:r>
          </w:p>
        </w:tc>
        <w:tc>
          <w:tcPr>
            <w:tcW w:w="60" w:type="dxa"/>
            <w:tcBorders/>
            <w:shd w:fill="CCE2F1" w:val="clear"/>
            <w:vAlign w:val="center"/>
          </w:tcPr>
          <w:p>
            <w:pPr>
              <w:pStyle w:val="TableContents"/>
              <w:bidi w:val="0"/>
              <w:spacing w:lineRule="atLeast" w:line="300" w:before="0" w:after="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lineRule="atLeast" w:line="300" w:before="0" w:after="0"/>
              <w:jc w:val="left"/>
              <w:rPr/>
            </w:pPr>
            <w:r>
              <w:rPr/>
              <w:t> </w:t>
            </w:r>
          </w:p>
        </w:tc>
        <w:tc>
          <w:tcPr>
            <w:tcW w:w="875" w:type="dxa"/>
            <w:tcBorders/>
            <w:shd w:fill="CCE2F1" w:val="clear"/>
            <w:vAlign w:val="center"/>
          </w:tcPr>
          <w:p>
            <w:pPr>
              <w:pStyle w:val="TableContents"/>
              <w:bidi w:val="0"/>
              <w:spacing w:lineRule="atLeast" w:line="300" w:before="0" w:after="0"/>
              <w:jc w:val="center"/>
              <w:rPr>
                <w:rFonts w:ascii="arial" w:hAnsi="arial"/>
                <w:sz w:val="16"/>
              </w:rPr>
            </w:pPr>
            <w:r>
              <w:rPr>
                <w:rFonts w:ascii="arial" w:hAnsi="arial"/>
                <w:sz w:val="16"/>
              </w:rPr>
              <w:t>2012</w:t>
            </w:r>
          </w:p>
        </w:tc>
        <w:tc>
          <w:tcPr>
            <w:tcW w:w="60" w:type="dxa"/>
            <w:tcBorders/>
            <w:shd w:fill="CCE2F1" w:val="clear"/>
            <w:vAlign w:val="center"/>
          </w:tcPr>
          <w:p>
            <w:pPr>
              <w:pStyle w:val="TableContents"/>
              <w:bidi w:val="0"/>
              <w:spacing w:lineRule="atLeast" w:line="300" w:before="0" w:after="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lineRule="atLeast" w:line="300" w:before="0" w:after="0"/>
              <w:jc w:val="left"/>
              <w:rPr/>
            </w:pPr>
            <w:r>
              <w:rPr/>
              <w:t> </w:t>
            </w:r>
          </w:p>
        </w:tc>
        <w:tc>
          <w:tcPr>
            <w:tcW w:w="1250" w:type="dxa"/>
            <w:tcBorders/>
            <w:shd w:fill="CCE2F1" w:val="clear"/>
            <w:vAlign w:val="center"/>
          </w:tcPr>
          <w:p>
            <w:pPr>
              <w:pStyle w:val="TableContents"/>
              <w:bidi w:val="0"/>
              <w:spacing w:lineRule="atLeast" w:line="300" w:before="0" w:after="0"/>
              <w:jc w:val="center"/>
              <w:rPr>
                <w:rFonts w:ascii="arial" w:hAnsi="arial"/>
                <w:sz w:val="16"/>
              </w:rPr>
            </w:pPr>
            <w:r>
              <w:rPr>
                <w:rFonts w:ascii="arial" w:hAnsi="arial"/>
                <w:sz w:val="16"/>
              </w:rPr>
              <w:t>M</w:t>
            </w:r>
          </w:p>
        </w:tc>
        <w:tc>
          <w:tcPr>
            <w:tcW w:w="60" w:type="dxa"/>
            <w:tcBorders/>
            <w:shd w:fill="CCE2F1" w:val="clear"/>
            <w:vAlign w:val="center"/>
          </w:tcPr>
          <w:p>
            <w:pPr>
              <w:pStyle w:val="TableContents"/>
              <w:bidi w:val="0"/>
              <w:spacing w:lineRule="atLeast" w:line="300" w:before="0" w:after="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lineRule="atLeast" w:line="300" w:before="0" w:after="0"/>
              <w:jc w:val="left"/>
              <w:rPr/>
            </w:pPr>
            <w:r>
              <w:rPr/>
              <w:t> </w:t>
            </w:r>
          </w:p>
        </w:tc>
        <w:tc>
          <w:tcPr>
            <w:tcW w:w="1010" w:type="dxa"/>
            <w:tcBorders/>
            <w:shd w:fill="CCE2F1" w:val="clear"/>
            <w:vAlign w:val="center"/>
          </w:tcPr>
          <w:p>
            <w:pPr>
              <w:pStyle w:val="TableContents"/>
              <w:bidi w:val="0"/>
              <w:spacing w:lineRule="atLeast" w:line="300" w:before="0" w:after="0"/>
              <w:jc w:val="center"/>
              <w:rPr>
                <w:rFonts w:ascii="arial" w:hAnsi="arial"/>
                <w:sz w:val="16"/>
              </w:rPr>
            </w:pPr>
            <w:r>
              <w:rPr>
                <w:rFonts w:ascii="arial" w:hAnsi="arial"/>
                <w:sz w:val="16"/>
              </w:rPr>
              <w:t>M</w:t>
            </w:r>
          </w:p>
        </w:tc>
        <w:tc>
          <w:tcPr>
            <w:tcW w:w="60" w:type="dxa"/>
            <w:tcBorders/>
            <w:shd w:fill="CCE2F1" w:val="clear"/>
            <w:vAlign w:val="center"/>
          </w:tcPr>
          <w:p>
            <w:pPr>
              <w:pStyle w:val="TableContents"/>
              <w:bidi w:val="0"/>
              <w:spacing w:lineRule="atLeast" w:line="300" w:before="0" w:after="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lineRule="atLeast" w:line="300" w:before="0" w:after="0"/>
              <w:jc w:val="left"/>
              <w:rPr/>
            </w:pPr>
            <w:r>
              <w:rPr/>
              <w:t> </w:t>
            </w:r>
          </w:p>
        </w:tc>
        <w:tc>
          <w:tcPr>
            <w:tcW w:w="1490" w:type="dxa"/>
            <w:tcBorders/>
            <w:shd w:fill="CCE2F1" w:val="clear"/>
            <w:vAlign w:val="center"/>
          </w:tcPr>
          <w:p>
            <w:pPr>
              <w:pStyle w:val="TableContents"/>
              <w:bidi w:val="0"/>
              <w:spacing w:lineRule="atLeast" w:line="300" w:before="0" w:after="0"/>
              <w:jc w:val="center"/>
              <w:rPr>
                <w:rFonts w:ascii="arial" w:hAnsi="arial"/>
                <w:sz w:val="16"/>
              </w:rPr>
            </w:pPr>
            <w:r>
              <w:rPr>
                <w:rFonts w:ascii="arial" w:hAnsi="arial"/>
                <w:sz w:val="16"/>
              </w:rPr>
              <w:t>C</w:t>
            </w:r>
          </w:p>
        </w:tc>
        <w:tc>
          <w:tcPr>
            <w:tcW w:w="60" w:type="dxa"/>
            <w:tcBorders/>
            <w:shd w:fill="CCE2F1" w:val="clear"/>
            <w:vAlign w:val="center"/>
          </w:tcPr>
          <w:p>
            <w:pPr>
              <w:pStyle w:val="TableContents"/>
              <w:bidi w:val="0"/>
              <w:spacing w:lineRule="atLeast" w:line="300" w:before="0" w:after="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71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1160" w:type="dxa"/>
            <w:tcBorders/>
            <w:shd w:fill="CCE2F1" w:val="clear"/>
            <w:vAlign w:val="center"/>
          </w:tcPr>
          <w:p>
            <w:pPr>
              <w:pStyle w:val="TableContents"/>
              <w:bidi w:val="0"/>
              <w:spacing w:before="0" w:after="283"/>
              <w:jc w:val="left"/>
              <w:rPr>
                <w:sz w:val="4"/>
                <w:szCs w:val="4"/>
              </w:rPr>
            </w:pPr>
            <w:r>
              <w:rPr>
                <w:sz w:val="4"/>
                <w:szCs w:val="4"/>
              </w:rPr>
            </w:r>
          </w:p>
        </w:tc>
        <w:tc>
          <w:tcPr>
            <w:tcW w:w="75" w:type="dxa"/>
            <w:tcBorders/>
            <w:shd w:fill="CCE2F1" w:val="cle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845" w:type="dxa"/>
            <w:gridSpan w:val="2"/>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60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lineRule="atLeast" w:line="300" w:before="0" w:after="0"/>
              <w:jc w:val="left"/>
              <w:rPr>
                <w:rFonts w:ascii="arial" w:hAnsi="arial"/>
                <w:sz w:val="16"/>
              </w:rPr>
            </w:pPr>
            <w:r>
              <w:rPr>
                <w:rFonts w:ascii="arial" w:hAnsi="arial"/>
                <w:sz w:val="16"/>
              </w:rPr>
              <w:t>Greg C. Garland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300" w:before="0" w:after="0"/>
              <w:jc w:val="left"/>
              <w:rPr/>
            </w:pPr>
            <w:r>
              <w:rPr/>
              <w:t> </w:t>
            </w:r>
          </w:p>
        </w:tc>
        <w:tc>
          <w:tcPr>
            <w:tcW w:w="1310" w:type="dxa"/>
            <w:tcBorders/>
            <w:vAlign w:val="center"/>
          </w:tcPr>
          <w:p>
            <w:pPr>
              <w:pStyle w:val="TableContents"/>
              <w:bidi w:val="0"/>
              <w:spacing w:lineRule="atLeast" w:line="300" w:before="0" w:after="0"/>
              <w:jc w:val="right"/>
              <w:rPr>
                <w:color w:val="0171B9"/>
              </w:rPr>
            </w:pPr>
            <w:r>
              <w:rPr>
                <w:color w:val="0171B9"/>
              </w:rPr>
              <w:t>✓</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300" w:before="0" w:after="0"/>
              <w:jc w:val="left"/>
              <w:rPr/>
            </w:pPr>
            <w:r>
              <w:rPr/>
              <w:t> </w:t>
            </w:r>
          </w:p>
        </w:tc>
        <w:tc>
          <w:tcPr>
            <w:tcW w:w="425" w:type="dxa"/>
            <w:tcBorders/>
            <w:vAlign w:val="center"/>
          </w:tcPr>
          <w:p>
            <w:pPr>
              <w:pStyle w:val="TableContents"/>
              <w:bidi w:val="0"/>
              <w:spacing w:lineRule="atLeast" w:line="300" w:before="0" w:after="0"/>
              <w:jc w:val="right"/>
              <w:rPr>
                <w:rFonts w:ascii="arial" w:hAnsi="arial"/>
                <w:sz w:val="16"/>
              </w:rPr>
            </w:pPr>
            <w:r>
              <w:rPr>
                <w:rFonts w:ascii="arial" w:hAnsi="arial"/>
                <w:sz w:val="16"/>
              </w:rPr>
              <w:t>66</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300" w:before="0" w:after="0"/>
              <w:jc w:val="left"/>
              <w:rPr/>
            </w:pPr>
            <w:r>
              <w:rPr/>
              <w:t> </w:t>
            </w:r>
          </w:p>
        </w:tc>
        <w:tc>
          <w:tcPr>
            <w:tcW w:w="875" w:type="dxa"/>
            <w:tcBorders/>
            <w:vAlign w:val="center"/>
          </w:tcPr>
          <w:p>
            <w:pPr>
              <w:pStyle w:val="TableContents"/>
              <w:bidi w:val="0"/>
              <w:spacing w:lineRule="atLeast" w:line="300" w:before="0" w:after="0"/>
              <w:jc w:val="center"/>
              <w:rPr>
                <w:rFonts w:ascii="arial" w:hAnsi="arial"/>
                <w:sz w:val="16"/>
              </w:rPr>
            </w:pPr>
            <w:r>
              <w:rPr>
                <w:rFonts w:ascii="arial" w:hAnsi="arial"/>
                <w:sz w:val="16"/>
              </w:rPr>
              <w:t>2013</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300" w:before="0" w:after="0"/>
              <w:jc w:val="left"/>
              <w:rPr/>
            </w:pPr>
            <w:r>
              <w:rPr/>
              <w:t> </w:t>
            </w:r>
          </w:p>
        </w:tc>
        <w:tc>
          <w:tcPr>
            <w:tcW w:w="1250" w:type="dxa"/>
            <w:tcBorders/>
            <w:vAlign w:val="center"/>
          </w:tcPr>
          <w:p>
            <w:pPr>
              <w:pStyle w:val="TableContents"/>
              <w:bidi w:val="0"/>
              <w:spacing w:lineRule="atLeast" w:line="300" w:before="0" w:after="0"/>
              <w:jc w:val="center"/>
              <w:rPr>
                <w:rFonts w:ascii="arial" w:hAnsi="arial"/>
                <w:sz w:val="16"/>
              </w:rPr>
            </w:pPr>
            <w:r>
              <w:rPr>
                <w:rFonts w:ascii="arial" w:hAnsi="arial"/>
                <w:sz w:val="16"/>
              </w:rPr>
              <w:t>C</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300" w:before="0" w:after="0"/>
              <w:jc w:val="left"/>
              <w:rPr/>
            </w:pPr>
            <w:r>
              <w:rPr/>
              <w:t> </w:t>
            </w:r>
          </w:p>
        </w:tc>
        <w:tc>
          <w:tcPr>
            <w:tcW w:w="1010" w:type="dxa"/>
            <w:tcBorders/>
            <w:vAlign w:val="center"/>
          </w:tcPr>
          <w:p>
            <w:pPr>
              <w:pStyle w:val="TableContents"/>
              <w:bidi w:val="0"/>
              <w:spacing w:lineRule="atLeast" w:line="300" w:before="0" w:after="0"/>
              <w:jc w:val="center"/>
              <w:rPr>
                <w:rFonts w:ascii="arial" w:hAnsi="arial"/>
                <w:sz w:val="16"/>
              </w:rPr>
            </w:pPr>
            <w:r>
              <w:rPr>
                <w:rFonts w:ascii="arial" w:hAnsi="arial"/>
                <w:sz w:val="16"/>
              </w:rPr>
              <w:t>M</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300" w:before="0" w:after="0"/>
              <w:jc w:val="left"/>
              <w:rPr/>
            </w:pPr>
            <w:r>
              <w:rPr/>
              <w:t> </w:t>
            </w:r>
          </w:p>
        </w:tc>
        <w:tc>
          <w:tcPr>
            <w:tcW w:w="1490" w:type="dxa"/>
            <w:tcBorders/>
            <w:vAlign w:val="center"/>
          </w:tcPr>
          <w:p>
            <w:pPr>
              <w:pStyle w:val="TableContents"/>
              <w:bidi w:val="0"/>
              <w:spacing w:lineRule="atLeast" w:line="300" w:before="0" w:after="0"/>
              <w:jc w:val="center"/>
              <w:rPr>
                <w:rFonts w:ascii="arial" w:hAnsi="arial"/>
                <w:sz w:val="16"/>
              </w:rPr>
            </w:pPr>
            <w:r>
              <w:rPr>
                <w:rFonts w:ascii="arial" w:hAnsi="arial"/>
                <w:sz w:val="16"/>
              </w:rPr>
              <w:t>M</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shd w:fill="CCE2F1" w:val="clear"/>
            <w:vAlign w:val="center"/>
          </w:tcPr>
          <w:p>
            <w:pPr>
              <w:pStyle w:val="TableContents"/>
              <w:bidi w:val="0"/>
              <w:spacing w:before="0" w:after="283"/>
              <w:jc w:val="left"/>
              <w:rPr>
                <w:sz w:val="4"/>
                <w:szCs w:val="4"/>
              </w:rPr>
            </w:pPr>
            <w:r>
              <w:rPr>
                <w:sz w:val="4"/>
                <w:szCs w:val="4"/>
              </w:rPr>
            </w:r>
          </w:p>
        </w:tc>
        <w:tc>
          <w:tcPr>
            <w:tcW w:w="845" w:type="dxa"/>
            <w:gridSpan w:val="2"/>
            <w:tcBorders/>
            <w:shd w:fill="CCE2F1" w:val="clear"/>
            <w:vAlign w:val="center"/>
          </w:tcPr>
          <w:p>
            <w:pPr>
              <w:pStyle w:val="TableContents"/>
              <w:bidi w:val="0"/>
              <w:spacing w:before="0" w:after="283"/>
              <w:jc w:val="left"/>
              <w:rPr>
                <w:sz w:val="4"/>
                <w:szCs w:val="4"/>
              </w:rPr>
            </w:pPr>
            <w:r>
              <w:rPr>
                <w:sz w:val="4"/>
                <w:szCs w:val="4"/>
              </w:rPr>
            </w:r>
          </w:p>
        </w:tc>
        <w:tc>
          <w:tcPr>
            <w:tcW w:w="1490" w:type="dxa"/>
            <w:gridSpan w:val="4"/>
            <w:tcBorders/>
            <w:shd w:fill="CCE2F1" w:val="clear"/>
            <w:vAlign w:val="center"/>
          </w:tcPr>
          <w:p>
            <w:pPr>
              <w:pStyle w:val="TableContents"/>
              <w:bidi w:val="0"/>
              <w:spacing w:before="0" w:after="283"/>
              <w:jc w:val="left"/>
              <w:rPr>
                <w:sz w:val="4"/>
                <w:szCs w:val="4"/>
              </w:rPr>
            </w:pPr>
            <w:r>
              <w:rPr>
                <w:sz w:val="4"/>
                <w:szCs w:val="4"/>
              </w:rPr>
            </w:r>
          </w:p>
        </w:tc>
        <w:tc>
          <w:tcPr>
            <w:tcW w:w="605" w:type="dxa"/>
            <w:gridSpan w:val="4"/>
            <w:tcBorders/>
            <w:shd w:fill="CCE2F1" w:val="clear"/>
            <w:vAlign w:val="center"/>
          </w:tcPr>
          <w:p>
            <w:pPr>
              <w:pStyle w:val="TableContents"/>
              <w:bidi w:val="0"/>
              <w:spacing w:before="0" w:after="283"/>
              <w:jc w:val="left"/>
              <w:rPr>
                <w:sz w:val="4"/>
                <w:szCs w:val="4"/>
              </w:rPr>
            </w:pPr>
            <w:r>
              <w:rPr>
                <w:sz w:val="4"/>
                <w:szCs w:val="4"/>
              </w:rPr>
            </w:r>
          </w:p>
        </w:tc>
        <w:tc>
          <w:tcPr>
            <w:tcW w:w="1055" w:type="dxa"/>
            <w:gridSpan w:val="4"/>
            <w:tcBorders/>
            <w:shd w:fill="CCE2F1" w:val="clear"/>
            <w:vAlign w:val="center"/>
          </w:tcPr>
          <w:p>
            <w:pPr>
              <w:pStyle w:val="TableContents"/>
              <w:bidi w:val="0"/>
              <w:spacing w:before="0" w:after="283"/>
              <w:jc w:val="left"/>
              <w:rPr>
                <w:sz w:val="4"/>
                <w:szCs w:val="4"/>
              </w:rPr>
            </w:pPr>
            <w:r>
              <w:rPr>
                <w:sz w:val="4"/>
                <w:szCs w:val="4"/>
              </w:rPr>
            </w:r>
          </w:p>
        </w:tc>
        <w:tc>
          <w:tcPr>
            <w:tcW w:w="785" w:type="dxa"/>
            <w:gridSpan w:val="4"/>
            <w:tcBorders/>
            <w:shd w:fill="CCE2F1" w:val="clear"/>
            <w:vAlign w:val="center"/>
          </w:tcPr>
          <w:p>
            <w:pPr>
              <w:pStyle w:val="TableContents"/>
              <w:bidi w:val="0"/>
              <w:spacing w:before="0" w:after="283"/>
              <w:jc w:val="left"/>
              <w:rPr>
                <w:sz w:val="4"/>
                <w:szCs w:val="4"/>
              </w:rPr>
            </w:pPr>
            <w:r>
              <w:rPr>
                <w:sz w:val="4"/>
                <w:szCs w:val="4"/>
              </w:rPr>
            </w:r>
          </w:p>
        </w:tc>
        <w:tc>
          <w:tcPr>
            <w:tcW w:w="1430" w:type="dxa"/>
            <w:gridSpan w:val="4"/>
            <w:tcBorders/>
            <w:shd w:fill="CCE2F1" w:val="clear"/>
            <w:vAlign w:val="center"/>
          </w:tcPr>
          <w:p>
            <w:pPr>
              <w:pStyle w:val="TableContents"/>
              <w:bidi w:val="0"/>
              <w:spacing w:before="0" w:after="283"/>
              <w:jc w:val="left"/>
              <w:rPr>
                <w:sz w:val="4"/>
                <w:szCs w:val="4"/>
              </w:rPr>
            </w:pPr>
            <w:r>
              <w:rPr>
                <w:sz w:val="4"/>
                <w:szCs w:val="4"/>
              </w:rPr>
            </w:r>
          </w:p>
        </w:tc>
        <w:tc>
          <w:tcPr>
            <w:tcW w:w="1190" w:type="dxa"/>
            <w:gridSpan w:val="4"/>
            <w:tcBorders/>
            <w:shd w:fill="CCE2F1" w:val="clear"/>
            <w:vAlign w:val="center"/>
          </w:tcPr>
          <w:p>
            <w:pPr>
              <w:pStyle w:val="TableContents"/>
              <w:bidi w:val="0"/>
              <w:spacing w:before="0" w:after="283"/>
              <w:jc w:val="left"/>
              <w:rPr>
                <w:sz w:val="4"/>
                <w:szCs w:val="4"/>
              </w:rPr>
            </w:pPr>
            <w:r>
              <w:rPr>
                <w:sz w:val="4"/>
                <w:szCs w:val="4"/>
              </w:rPr>
            </w:r>
          </w:p>
        </w:tc>
        <w:tc>
          <w:tcPr>
            <w:tcW w:w="1670" w:type="dxa"/>
            <w:gridSpan w:val="4"/>
            <w:tcBorders/>
            <w:shd w:fill="CCE2F1" w:val="clear"/>
            <w:vAlign w:val="center"/>
          </w:tcPr>
          <w:p>
            <w:pPr>
              <w:pStyle w:val="TableContents"/>
              <w:bidi w:val="0"/>
              <w:spacing w:before="0" w:after="283"/>
              <w:jc w:val="left"/>
              <w:rPr>
                <w:sz w:val="4"/>
                <w:szCs w:val="4"/>
              </w:rPr>
            </w:pPr>
            <w:r>
              <w:rPr>
                <w:sz w:val="4"/>
                <w:szCs w:val="4"/>
              </w:rPr>
            </w:r>
          </w:p>
        </w:tc>
        <w:tc>
          <w:tcPr>
            <w:tcW w:w="890" w:type="dxa"/>
            <w:gridSpan w:val="4"/>
            <w:tcBorders/>
            <w:shd w:fill="CCE2F1" w:val="clear"/>
            <w:vAlign w:val="center"/>
          </w:tcPr>
          <w:p>
            <w:pPr>
              <w:pStyle w:val="TableContents"/>
              <w:bidi w:val="0"/>
              <w:spacing w:before="0" w:after="283"/>
              <w:jc w:val="left"/>
              <w:rPr>
                <w:sz w:val="4"/>
                <w:szCs w:val="4"/>
              </w:rPr>
            </w:pPr>
            <w:r>
              <w:rPr>
                <w:sz w:val="4"/>
                <w:szCs w:val="4"/>
              </w:rPr>
            </w:r>
          </w:p>
        </w:tc>
        <w:tc>
          <w:tcPr>
            <w:tcW w:w="1355"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7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785" w:type="dxa"/>
            <w:tcBorders/>
            <w:shd w:fill="CCE2F1" w:val="clear"/>
            <w:vAlign w:val="center"/>
          </w:tcPr>
          <w:p>
            <w:pPr>
              <w:pStyle w:val="TableContents"/>
              <w:bidi w:val="0"/>
              <w:spacing w:lineRule="atLeast" w:line="300" w:before="0" w:after="0"/>
              <w:jc w:val="left"/>
              <w:rPr>
                <w:rFonts w:ascii="arial" w:hAnsi="arial"/>
                <w:sz w:val="16"/>
              </w:rPr>
            </w:pPr>
            <w:r>
              <w:rPr>
                <w:rFonts w:ascii="arial" w:hAnsi="arial"/>
                <w:sz w:val="16"/>
              </w:rPr>
              <w:t>Charles M. Holley, Jr.</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lineRule="atLeast" w:line="300" w:before="0" w:after="0"/>
              <w:jc w:val="left"/>
              <w:rPr/>
            </w:pPr>
            <w:r>
              <w:rPr/>
              <w:t> </w:t>
            </w:r>
          </w:p>
        </w:tc>
        <w:tc>
          <w:tcPr>
            <w:tcW w:w="1310" w:type="dxa"/>
            <w:tcBorders/>
            <w:shd w:fill="CCE2F1" w:val="clear"/>
            <w:vAlign w:val="center"/>
          </w:tcPr>
          <w:p>
            <w:pPr>
              <w:pStyle w:val="TableContents"/>
              <w:bidi w:val="0"/>
              <w:spacing w:lineRule="atLeast" w:line="300" w:before="0" w:after="0"/>
              <w:jc w:val="right"/>
              <w:rPr>
                <w:color w:val="0171B9"/>
              </w:rPr>
            </w:pPr>
            <w:r>
              <w:rPr>
                <w:color w:val="0171B9"/>
              </w:rPr>
              <w:t>✓</w:t>
            </w:r>
          </w:p>
        </w:tc>
        <w:tc>
          <w:tcPr>
            <w:tcW w:w="60" w:type="dxa"/>
            <w:tcBorders/>
            <w:shd w:fill="CCE2F1" w:val="clear"/>
            <w:vAlign w:val="center"/>
          </w:tcPr>
          <w:p>
            <w:pPr>
              <w:pStyle w:val="TableContents"/>
              <w:bidi w:val="0"/>
              <w:spacing w:lineRule="atLeast" w:line="300" w:before="0" w:after="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lineRule="atLeast" w:line="300" w:before="0" w:after="0"/>
              <w:jc w:val="left"/>
              <w:rPr/>
            </w:pPr>
            <w:r>
              <w:rPr/>
              <w:t> </w:t>
            </w:r>
          </w:p>
        </w:tc>
        <w:tc>
          <w:tcPr>
            <w:tcW w:w="425" w:type="dxa"/>
            <w:tcBorders/>
            <w:shd w:fill="CCE2F1" w:val="clear"/>
            <w:vAlign w:val="center"/>
          </w:tcPr>
          <w:p>
            <w:pPr>
              <w:pStyle w:val="TableContents"/>
              <w:bidi w:val="0"/>
              <w:spacing w:lineRule="atLeast" w:line="300" w:before="0" w:after="0"/>
              <w:jc w:val="right"/>
              <w:rPr>
                <w:rFonts w:ascii="arial" w:hAnsi="arial"/>
                <w:sz w:val="16"/>
              </w:rPr>
            </w:pPr>
            <w:r>
              <w:rPr>
                <w:rFonts w:ascii="arial" w:hAnsi="arial"/>
                <w:sz w:val="16"/>
              </w:rPr>
              <w:t>67</w:t>
            </w:r>
          </w:p>
        </w:tc>
        <w:tc>
          <w:tcPr>
            <w:tcW w:w="60" w:type="dxa"/>
            <w:tcBorders/>
            <w:shd w:fill="CCE2F1" w:val="clear"/>
            <w:vAlign w:val="center"/>
          </w:tcPr>
          <w:p>
            <w:pPr>
              <w:pStyle w:val="TableContents"/>
              <w:bidi w:val="0"/>
              <w:spacing w:lineRule="atLeast" w:line="300" w:before="0" w:after="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lineRule="atLeast" w:line="300" w:before="0" w:after="0"/>
              <w:jc w:val="left"/>
              <w:rPr/>
            </w:pPr>
            <w:r>
              <w:rPr/>
              <w:t> </w:t>
            </w:r>
          </w:p>
        </w:tc>
        <w:tc>
          <w:tcPr>
            <w:tcW w:w="875" w:type="dxa"/>
            <w:tcBorders/>
            <w:shd w:fill="CCE2F1" w:val="clear"/>
            <w:vAlign w:val="center"/>
          </w:tcPr>
          <w:p>
            <w:pPr>
              <w:pStyle w:val="TableContents"/>
              <w:bidi w:val="0"/>
              <w:spacing w:lineRule="atLeast" w:line="300" w:before="0" w:after="0"/>
              <w:jc w:val="center"/>
              <w:rPr>
                <w:rFonts w:ascii="arial" w:hAnsi="arial"/>
                <w:sz w:val="16"/>
              </w:rPr>
            </w:pPr>
            <w:r>
              <w:rPr>
                <w:rFonts w:ascii="arial" w:hAnsi="arial"/>
                <w:sz w:val="16"/>
              </w:rPr>
              <w:t>2017</w:t>
            </w:r>
          </w:p>
        </w:tc>
        <w:tc>
          <w:tcPr>
            <w:tcW w:w="60" w:type="dxa"/>
            <w:tcBorders/>
            <w:shd w:fill="CCE2F1" w:val="clear"/>
            <w:vAlign w:val="center"/>
          </w:tcPr>
          <w:p>
            <w:pPr>
              <w:pStyle w:val="TableContents"/>
              <w:bidi w:val="0"/>
              <w:spacing w:lineRule="atLeast" w:line="300" w:before="0" w:after="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lineRule="atLeast" w:line="300" w:before="0" w:after="0"/>
              <w:jc w:val="left"/>
              <w:rPr/>
            </w:pPr>
            <w:r>
              <w:rPr/>
              <w:t> </w:t>
            </w:r>
          </w:p>
        </w:tc>
        <w:tc>
          <w:tcPr>
            <w:tcW w:w="605" w:type="dxa"/>
            <w:tcBorders/>
            <w:shd w:fill="CCE2F1" w:val="clear"/>
            <w:vAlign w:val="center"/>
          </w:tcPr>
          <w:p>
            <w:pPr>
              <w:pStyle w:val="TableContents"/>
              <w:bidi w:val="0"/>
              <w:spacing w:lineRule="atLeast" w:line="300" w:before="0" w:after="0"/>
              <w:jc w:val="center"/>
              <w:rPr>
                <w:rFonts w:ascii="arial" w:hAnsi="arial"/>
                <w:sz w:val="16"/>
              </w:rPr>
            </w:pPr>
            <w:r>
              <w:rPr>
                <w:rFonts w:ascii="arial" w:hAnsi="arial"/>
                <w:sz w:val="16"/>
              </w:rPr>
              <w:t>C</w:t>
            </w:r>
          </w:p>
        </w:tc>
        <w:tc>
          <w:tcPr>
            <w:tcW w:w="60" w:type="dxa"/>
            <w:tcBorders/>
            <w:shd w:fill="CCE2F1" w:val="clear"/>
            <w:vAlign w:val="center"/>
          </w:tcPr>
          <w:p>
            <w:pPr>
              <w:pStyle w:val="TableContents"/>
              <w:bidi w:val="0"/>
              <w:spacing w:lineRule="atLeast" w:line="300" w:before="0" w:after="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lineRule="atLeast" w:line="300" w:before="0" w:after="0"/>
              <w:jc w:val="left"/>
              <w:rPr/>
            </w:pPr>
            <w:r>
              <w:rPr/>
              <w:t> </w:t>
            </w:r>
          </w:p>
        </w:tc>
        <w:tc>
          <w:tcPr>
            <w:tcW w:w="1250" w:type="dxa"/>
            <w:tcBorders/>
            <w:shd w:fill="CCE2F1" w:val="clear"/>
            <w:vAlign w:val="center"/>
          </w:tcPr>
          <w:p>
            <w:pPr>
              <w:pStyle w:val="TableContents"/>
              <w:bidi w:val="0"/>
              <w:spacing w:lineRule="atLeast" w:line="300" w:before="0" w:after="0"/>
              <w:jc w:val="center"/>
              <w:rPr>
                <w:rFonts w:ascii="arial" w:hAnsi="arial"/>
                <w:sz w:val="16"/>
              </w:rPr>
            </w:pPr>
            <w:r>
              <w:rPr>
                <w:rFonts w:ascii="arial" w:hAnsi="arial"/>
                <w:sz w:val="16"/>
              </w:rPr>
              <w:t>M</w:t>
            </w:r>
          </w:p>
        </w:tc>
        <w:tc>
          <w:tcPr>
            <w:tcW w:w="60" w:type="dxa"/>
            <w:tcBorders/>
            <w:shd w:fill="CCE2F1" w:val="clear"/>
            <w:vAlign w:val="center"/>
          </w:tcPr>
          <w:p>
            <w:pPr>
              <w:pStyle w:val="TableContents"/>
              <w:bidi w:val="0"/>
              <w:spacing w:lineRule="atLeast" w:line="300" w:before="0" w:after="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lineRule="atLeast" w:line="300" w:before="0" w:after="0"/>
              <w:jc w:val="left"/>
              <w:rPr/>
            </w:pPr>
            <w:r>
              <w:rPr/>
              <w:t> </w:t>
            </w:r>
          </w:p>
        </w:tc>
        <w:tc>
          <w:tcPr>
            <w:tcW w:w="1010" w:type="dxa"/>
            <w:tcBorders/>
            <w:shd w:fill="CCE2F1" w:val="clear"/>
            <w:vAlign w:val="center"/>
          </w:tcPr>
          <w:p>
            <w:pPr>
              <w:pStyle w:val="TableContents"/>
              <w:bidi w:val="0"/>
              <w:spacing w:lineRule="atLeast" w:line="300" w:before="0" w:after="0"/>
              <w:jc w:val="center"/>
              <w:rPr>
                <w:rFonts w:ascii="arial" w:hAnsi="arial"/>
                <w:sz w:val="16"/>
              </w:rPr>
            </w:pPr>
            <w:r>
              <w:rPr>
                <w:rFonts w:ascii="arial" w:hAnsi="arial"/>
                <w:sz w:val="16"/>
              </w:rPr>
              <w:t>M</w:t>
            </w:r>
          </w:p>
        </w:tc>
        <w:tc>
          <w:tcPr>
            <w:tcW w:w="60" w:type="dxa"/>
            <w:tcBorders/>
            <w:shd w:fill="CCE2F1" w:val="clear"/>
            <w:vAlign w:val="center"/>
          </w:tcPr>
          <w:p>
            <w:pPr>
              <w:pStyle w:val="TableContents"/>
              <w:bidi w:val="0"/>
              <w:spacing w:lineRule="atLeast" w:line="300" w:before="0" w:after="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149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71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1160" w:type="dxa"/>
            <w:tcBorders/>
            <w:shd w:fill="CCE2F1" w:val="clear"/>
            <w:vAlign w:val="center"/>
          </w:tcPr>
          <w:p>
            <w:pPr>
              <w:pStyle w:val="TableContents"/>
              <w:bidi w:val="0"/>
              <w:spacing w:before="0" w:after="283"/>
              <w:jc w:val="left"/>
              <w:rPr>
                <w:sz w:val="4"/>
                <w:szCs w:val="4"/>
              </w:rPr>
            </w:pPr>
            <w:r>
              <w:rPr>
                <w:sz w:val="4"/>
                <w:szCs w:val="4"/>
              </w:rPr>
            </w:r>
          </w:p>
        </w:tc>
        <w:tc>
          <w:tcPr>
            <w:tcW w:w="75" w:type="dxa"/>
            <w:tcBorders/>
            <w:shd w:fill="CCE2F1" w:val="cle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845" w:type="dxa"/>
            <w:gridSpan w:val="2"/>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60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lineRule="atLeast" w:line="300" w:before="0" w:after="0"/>
              <w:jc w:val="left"/>
              <w:rPr>
                <w:rFonts w:ascii="arial" w:hAnsi="arial"/>
                <w:sz w:val="16"/>
              </w:rPr>
            </w:pPr>
            <w:r>
              <w:rPr>
                <w:rFonts w:ascii="arial" w:hAnsi="arial"/>
                <w:sz w:val="16"/>
              </w:rPr>
              <w:t>S. Omar Ishrak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300" w:before="0" w:after="0"/>
              <w:jc w:val="left"/>
              <w:rPr/>
            </w:pPr>
            <w:r>
              <w:rPr/>
              <w:t> </w:t>
            </w:r>
          </w:p>
        </w:tc>
        <w:tc>
          <w:tcPr>
            <w:tcW w:w="1310" w:type="dxa"/>
            <w:tcBorders/>
            <w:vAlign w:val="center"/>
          </w:tcPr>
          <w:p>
            <w:pPr>
              <w:pStyle w:val="TableContents"/>
              <w:bidi w:val="0"/>
              <w:spacing w:lineRule="atLeast" w:line="300" w:before="0" w:after="0"/>
              <w:jc w:val="right"/>
              <w:rPr>
                <w:color w:val="0171B9"/>
              </w:rPr>
            </w:pPr>
            <w:r>
              <w:rPr>
                <w:color w:val="0171B9"/>
              </w:rPr>
              <w:t>✓</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300" w:before="0" w:after="0"/>
              <w:jc w:val="left"/>
              <w:rPr/>
            </w:pPr>
            <w:r>
              <w:rPr/>
              <w:t> </w:t>
            </w:r>
          </w:p>
        </w:tc>
        <w:tc>
          <w:tcPr>
            <w:tcW w:w="425" w:type="dxa"/>
            <w:tcBorders/>
            <w:vAlign w:val="center"/>
          </w:tcPr>
          <w:p>
            <w:pPr>
              <w:pStyle w:val="TableContents"/>
              <w:bidi w:val="0"/>
              <w:spacing w:lineRule="atLeast" w:line="300" w:before="0" w:after="0"/>
              <w:jc w:val="right"/>
              <w:rPr>
                <w:rFonts w:ascii="arial" w:hAnsi="arial"/>
                <w:sz w:val="16"/>
              </w:rPr>
            </w:pPr>
            <w:r>
              <w:rPr>
                <w:rFonts w:ascii="arial" w:hAnsi="arial"/>
                <w:sz w:val="16"/>
              </w:rPr>
              <w:t>68</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300" w:before="0" w:after="0"/>
              <w:jc w:val="left"/>
              <w:rPr/>
            </w:pPr>
            <w:r>
              <w:rPr/>
              <w:t> </w:t>
            </w:r>
          </w:p>
        </w:tc>
        <w:tc>
          <w:tcPr>
            <w:tcW w:w="875" w:type="dxa"/>
            <w:tcBorders/>
            <w:vAlign w:val="center"/>
          </w:tcPr>
          <w:p>
            <w:pPr>
              <w:pStyle w:val="TableContents"/>
              <w:bidi w:val="0"/>
              <w:spacing w:lineRule="atLeast" w:line="300" w:before="0" w:after="0"/>
              <w:jc w:val="center"/>
              <w:rPr>
                <w:rFonts w:ascii="arial" w:hAnsi="arial"/>
                <w:sz w:val="16"/>
              </w:rPr>
            </w:pPr>
            <w:r>
              <w:rPr>
                <w:rFonts w:ascii="arial" w:hAnsi="arial"/>
                <w:sz w:val="16"/>
              </w:rPr>
              <w:t>2021</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300" w:before="0" w:after="0"/>
              <w:jc w:val="left"/>
              <w:rPr/>
            </w:pPr>
            <w:r>
              <w:rPr/>
              <w:t> </w:t>
            </w:r>
          </w:p>
        </w:tc>
        <w:tc>
          <w:tcPr>
            <w:tcW w:w="1490" w:type="dxa"/>
            <w:tcBorders/>
            <w:vAlign w:val="center"/>
          </w:tcPr>
          <w:p>
            <w:pPr>
              <w:pStyle w:val="TableContents"/>
              <w:bidi w:val="0"/>
              <w:spacing w:lineRule="atLeast" w:line="300" w:before="0" w:after="0"/>
              <w:jc w:val="center"/>
              <w:rPr>
                <w:rFonts w:ascii="arial" w:hAnsi="arial"/>
                <w:sz w:val="16"/>
              </w:rPr>
            </w:pPr>
            <w:r>
              <w:rPr>
                <w:rFonts w:ascii="arial" w:hAnsi="arial"/>
                <w:sz w:val="16"/>
              </w:rPr>
              <w:t>M</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300" w:before="0" w:after="0"/>
              <w:jc w:val="left"/>
              <w:rPr/>
            </w:pPr>
            <w:r>
              <w:rPr/>
              <w:t> </w:t>
            </w:r>
          </w:p>
        </w:tc>
        <w:tc>
          <w:tcPr>
            <w:tcW w:w="1160" w:type="dxa"/>
            <w:tcBorders/>
            <w:vAlign w:val="center"/>
          </w:tcPr>
          <w:p>
            <w:pPr>
              <w:pStyle w:val="TableContents"/>
              <w:bidi w:val="0"/>
              <w:spacing w:lineRule="atLeast" w:line="300" w:before="0" w:after="0"/>
              <w:jc w:val="center"/>
              <w:rPr>
                <w:rFonts w:ascii="arial" w:hAnsi="arial"/>
                <w:sz w:val="16"/>
              </w:rPr>
            </w:pPr>
            <w:r>
              <w:rPr>
                <w:rFonts w:ascii="arial" w:hAnsi="arial"/>
                <w:sz w:val="16"/>
              </w:rPr>
              <w:t>M</w:t>
            </w:r>
          </w:p>
        </w:tc>
        <w:tc>
          <w:tcPr>
            <w:tcW w:w="75" w:type="dxa"/>
            <w:tcBorders/>
            <w:vAlign w:val="center"/>
          </w:tcPr>
          <w:p>
            <w:pPr>
              <w:pStyle w:val="TableContents"/>
              <w:bidi w:val="0"/>
              <w:spacing w:lineRule="atLeast" w:line="300" w:before="0" w:after="0"/>
              <w:jc w:val="left"/>
              <w:rPr/>
            </w:pPr>
            <w:r>
              <w:rPr/>
              <w:t> </w:t>
            </w:r>
          </w:p>
        </w:tc>
      </w:tr>
      <w:tr>
        <w:trPr/>
        <w:tc>
          <w:tcPr>
            <w:tcW w:w="75" w:type="dxa"/>
            <w:tcBorders/>
            <w:shd w:fill="CCE2F1" w:val="clear"/>
            <w:vAlign w:val="center"/>
          </w:tcPr>
          <w:p>
            <w:pPr>
              <w:pStyle w:val="TableContents"/>
              <w:bidi w:val="0"/>
              <w:spacing w:before="0" w:after="283"/>
              <w:jc w:val="left"/>
              <w:rPr>
                <w:sz w:val="4"/>
                <w:szCs w:val="4"/>
              </w:rPr>
            </w:pPr>
            <w:r>
              <w:rPr>
                <w:sz w:val="4"/>
                <w:szCs w:val="4"/>
              </w:rPr>
            </w:r>
          </w:p>
        </w:tc>
        <w:tc>
          <w:tcPr>
            <w:tcW w:w="845" w:type="dxa"/>
            <w:gridSpan w:val="2"/>
            <w:tcBorders/>
            <w:shd w:fill="CCE2F1" w:val="clear"/>
            <w:vAlign w:val="center"/>
          </w:tcPr>
          <w:p>
            <w:pPr>
              <w:pStyle w:val="TableContents"/>
              <w:bidi w:val="0"/>
              <w:spacing w:before="0" w:after="283"/>
              <w:jc w:val="left"/>
              <w:rPr>
                <w:sz w:val="4"/>
                <w:szCs w:val="4"/>
              </w:rPr>
            </w:pPr>
            <w:r>
              <w:rPr>
                <w:sz w:val="4"/>
                <w:szCs w:val="4"/>
              </w:rPr>
            </w:r>
          </w:p>
        </w:tc>
        <w:tc>
          <w:tcPr>
            <w:tcW w:w="1490" w:type="dxa"/>
            <w:gridSpan w:val="4"/>
            <w:tcBorders/>
            <w:shd w:fill="CCE2F1" w:val="clear"/>
            <w:vAlign w:val="center"/>
          </w:tcPr>
          <w:p>
            <w:pPr>
              <w:pStyle w:val="TableContents"/>
              <w:bidi w:val="0"/>
              <w:spacing w:before="0" w:after="283"/>
              <w:jc w:val="left"/>
              <w:rPr>
                <w:sz w:val="4"/>
                <w:szCs w:val="4"/>
              </w:rPr>
            </w:pPr>
            <w:r>
              <w:rPr>
                <w:sz w:val="4"/>
                <w:szCs w:val="4"/>
              </w:rPr>
            </w:r>
          </w:p>
        </w:tc>
        <w:tc>
          <w:tcPr>
            <w:tcW w:w="605" w:type="dxa"/>
            <w:gridSpan w:val="4"/>
            <w:tcBorders/>
            <w:shd w:fill="CCE2F1" w:val="clear"/>
            <w:vAlign w:val="center"/>
          </w:tcPr>
          <w:p>
            <w:pPr>
              <w:pStyle w:val="TableContents"/>
              <w:bidi w:val="0"/>
              <w:spacing w:before="0" w:after="283"/>
              <w:jc w:val="left"/>
              <w:rPr>
                <w:sz w:val="4"/>
                <w:szCs w:val="4"/>
              </w:rPr>
            </w:pPr>
            <w:r>
              <w:rPr>
                <w:sz w:val="4"/>
                <w:szCs w:val="4"/>
              </w:rPr>
            </w:r>
          </w:p>
        </w:tc>
        <w:tc>
          <w:tcPr>
            <w:tcW w:w="1055" w:type="dxa"/>
            <w:gridSpan w:val="4"/>
            <w:tcBorders/>
            <w:shd w:fill="CCE2F1" w:val="clear"/>
            <w:vAlign w:val="center"/>
          </w:tcPr>
          <w:p>
            <w:pPr>
              <w:pStyle w:val="TableContents"/>
              <w:bidi w:val="0"/>
              <w:spacing w:before="0" w:after="283"/>
              <w:jc w:val="left"/>
              <w:rPr>
                <w:sz w:val="4"/>
                <w:szCs w:val="4"/>
              </w:rPr>
            </w:pPr>
            <w:r>
              <w:rPr>
                <w:sz w:val="4"/>
                <w:szCs w:val="4"/>
              </w:rPr>
            </w:r>
          </w:p>
        </w:tc>
        <w:tc>
          <w:tcPr>
            <w:tcW w:w="785" w:type="dxa"/>
            <w:gridSpan w:val="4"/>
            <w:tcBorders/>
            <w:shd w:fill="CCE2F1" w:val="clear"/>
            <w:vAlign w:val="center"/>
          </w:tcPr>
          <w:p>
            <w:pPr>
              <w:pStyle w:val="TableContents"/>
              <w:bidi w:val="0"/>
              <w:spacing w:before="0" w:after="283"/>
              <w:jc w:val="left"/>
              <w:rPr>
                <w:sz w:val="4"/>
                <w:szCs w:val="4"/>
              </w:rPr>
            </w:pPr>
            <w:r>
              <w:rPr>
                <w:sz w:val="4"/>
                <w:szCs w:val="4"/>
              </w:rPr>
            </w:r>
          </w:p>
        </w:tc>
        <w:tc>
          <w:tcPr>
            <w:tcW w:w="1430" w:type="dxa"/>
            <w:gridSpan w:val="4"/>
            <w:tcBorders/>
            <w:shd w:fill="CCE2F1" w:val="clear"/>
            <w:vAlign w:val="center"/>
          </w:tcPr>
          <w:p>
            <w:pPr>
              <w:pStyle w:val="TableContents"/>
              <w:bidi w:val="0"/>
              <w:spacing w:before="0" w:after="283"/>
              <w:jc w:val="left"/>
              <w:rPr>
                <w:sz w:val="4"/>
                <w:szCs w:val="4"/>
              </w:rPr>
            </w:pPr>
            <w:r>
              <w:rPr>
                <w:sz w:val="4"/>
                <w:szCs w:val="4"/>
              </w:rPr>
            </w:r>
          </w:p>
        </w:tc>
        <w:tc>
          <w:tcPr>
            <w:tcW w:w="1190" w:type="dxa"/>
            <w:gridSpan w:val="4"/>
            <w:tcBorders/>
            <w:shd w:fill="CCE2F1" w:val="clear"/>
            <w:vAlign w:val="center"/>
          </w:tcPr>
          <w:p>
            <w:pPr>
              <w:pStyle w:val="TableContents"/>
              <w:bidi w:val="0"/>
              <w:spacing w:before="0" w:after="283"/>
              <w:jc w:val="left"/>
              <w:rPr>
                <w:sz w:val="4"/>
                <w:szCs w:val="4"/>
              </w:rPr>
            </w:pPr>
            <w:r>
              <w:rPr>
                <w:sz w:val="4"/>
                <w:szCs w:val="4"/>
              </w:rPr>
            </w:r>
          </w:p>
        </w:tc>
        <w:tc>
          <w:tcPr>
            <w:tcW w:w="1670" w:type="dxa"/>
            <w:gridSpan w:val="4"/>
            <w:tcBorders/>
            <w:shd w:fill="CCE2F1" w:val="clear"/>
            <w:vAlign w:val="center"/>
          </w:tcPr>
          <w:p>
            <w:pPr>
              <w:pStyle w:val="TableContents"/>
              <w:bidi w:val="0"/>
              <w:spacing w:before="0" w:after="283"/>
              <w:jc w:val="left"/>
              <w:rPr>
                <w:sz w:val="4"/>
                <w:szCs w:val="4"/>
              </w:rPr>
            </w:pPr>
            <w:r>
              <w:rPr>
                <w:sz w:val="4"/>
                <w:szCs w:val="4"/>
              </w:rPr>
            </w:r>
          </w:p>
        </w:tc>
        <w:tc>
          <w:tcPr>
            <w:tcW w:w="890" w:type="dxa"/>
            <w:gridSpan w:val="4"/>
            <w:tcBorders/>
            <w:shd w:fill="CCE2F1" w:val="clear"/>
            <w:vAlign w:val="center"/>
          </w:tcPr>
          <w:p>
            <w:pPr>
              <w:pStyle w:val="TableContents"/>
              <w:bidi w:val="0"/>
              <w:spacing w:before="0" w:after="283"/>
              <w:jc w:val="left"/>
              <w:rPr>
                <w:sz w:val="4"/>
                <w:szCs w:val="4"/>
              </w:rPr>
            </w:pPr>
            <w:r>
              <w:rPr>
                <w:sz w:val="4"/>
                <w:szCs w:val="4"/>
              </w:rPr>
            </w:r>
          </w:p>
        </w:tc>
        <w:tc>
          <w:tcPr>
            <w:tcW w:w="1355"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7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785" w:type="dxa"/>
            <w:tcBorders/>
            <w:shd w:fill="CCE2F1" w:val="clear"/>
            <w:vAlign w:val="center"/>
          </w:tcPr>
          <w:p>
            <w:pPr>
              <w:pStyle w:val="TableContents"/>
              <w:bidi w:val="0"/>
              <w:spacing w:lineRule="atLeast" w:line="300" w:before="0" w:after="0"/>
              <w:jc w:val="left"/>
              <w:rPr>
                <w:rFonts w:ascii="arial" w:hAnsi="arial"/>
                <w:sz w:val="16"/>
              </w:rPr>
            </w:pPr>
            <w:r>
              <w:rPr>
                <w:rFonts w:ascii="arial" w:hAnsi="arial"/>
                <w:sz w:val="16"/>
              </w:rPr>
              <w:t>Tyler Jacks</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lineRule="atLeast" w:line="300" w:before="0" w:after="0"/>
              <w:jc w:val="left"/>
              <w:rPr/>
            </w:pPr>
            <w:r>
              <w:rPr/>
              <w:t> </w:t>
            </w:r>
          </w:p>
        </w:tc>
        <w:tc>
          <w:tcPr>
            <w:tcW w:w="1310" w:type="dxa"/>
            <w:tcBorders/>
            <w:shd w:fill="CCE2F1" w:val="clear"/>
            <w:vAlign w:val="center"/>
          </w:tcPr>
          <w:p>
            <w:pPr>
              <w:pStyle w:val="TableContents"/>
              <w:bidi w:val="0"/>
              <w:spacing w:lineRule="atLeast" w:line="300" w:before="0" w:after="0"/>
              <w:jc w:val="right"/>
              <w:rPr>
                <w:color w:val="0171B9"/>
              </w:rPr>
            </w:pPr>
            <w:r>
              <w:rPr>
                <w:color w:val="0171B9"/>
              </w:rPr>
              <w:t>✓</w:t>
            </w:r>
          </w:p>
        </w:tc>
        <w:tc>
          <w:tcPr>
            <w:tcW w:w="60" w:type="dxa"/>
            <w:tcBorders/>
            <w:shd w:fill="CCE2F1" w:val="clear"/>
            <w:vAlign w:val="center"/>
          </w:tcPr>
          <w:p>
            <w:pPr>
              <w:pStyle w:val="TableContents"/>
              <w:bidi w:val="0"/>
              <w:spacing w:lineRule="atLeast" w:line="300" w:before="0" w:after="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lineRule="atLeast" w:line="300" w:before="0" w:after="0"/>
              <w:jc w:val="left"/>
              <w:rPr/>
            </w:pPr>
            <w:r>
              <w:rPr/>
              <w:t> </w:t>
            </w:r>
          </w:p>
        </w:tc>
        <w:tc>
          <w:tcPr>
            <w:tcW w:w="425" w:type="dxa"/>
            <w:tcBorders/>
            <w:shd w:fill="CCE2F1" w:val="clear"/>
            <w:vAlign w:val="center"/>
          </w:tcPr>
          <w:p>
            <w:pPr>
              <w:pStyle w:val="TableContents"/>
              <w:bidi w:val="0"/>
              <w:spacing w:lineRule="atLeast" w:line="300" w:before="0" w:after="0"/>
              <w:jc w:val="right"/>
              <w:rPr>
                <w:rFonts w:ascii="arial" w:hAnsi="arial"/>
                <w:sz w:val="16"/>
              </w:rPr>
            </w:pPr>
            <w:r>
              <w:rPr>
                <w:rFonts w:ascii="arial" w:hAnsi="arial"/>
                <w:sz w:val="16"/>
              </w:rPr>
              <w:t>63</w:t>
            </w:r>
          </w:p>
        </w:tc>
        <w:tc>
          <w:tcPr>
            <w:tcW w:w="60" w:type="dxa"/>
            <w:tcBorders/>
            <w:shd w:fill="CCE2F1" w:val="clear"/>
            <w:vAlign w:val="center"/>
          </w:tcPr>
          <w:p>
            <w:pPr>
              <w:pStyle w:val="TableContents"/>
              <w:bidi w:val="0"/>
              <w:spacing w:lineRule="atLeast" w:line="300" w:before="0" w:after="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lineRule="atLeast" w:line="300" w:before="0" w:after="0"/>
              <w:jc w:val="left"/>
              <w:rPr/>
            </w:pPr>
            <w:r>
              <w:rPr/>
              <w:t> </w:t>
            </w:r>
          </w:p>
        </w:tc>
        <w:tc>
          <w:tcPr>
            <w:tcW w:w="875" w:type="dxa"/>
            <w:tcBorders/>
            <w:shd w:fill="CCE2F1" w:val="clear"/>
            <w:vAlign w:val="center"/>
          </w:tcPr>
          <w:p>
            <w:pPr>
              <w:pStyle w:val="TableContents"/>
              <w:bidi w:val="0"/>
              <w:spacing w:lineRule="atLeast" w:line="300" w:before="0" w:after="0"/>
              <w:jc w:val="center"/>
              <w:rPr>
                <w:rFonts w:ascii="arial" w:hAnsi="arial"/>
                <w:sz w:val="16"/>
              </w:rPr>
            </w:pPr>
            <w:r>
              <w:rPr>
                <w:rFonts w:ascii="arial" w:hAnsi="arial"/>
                <w:sz w:val="16"/>
              </w:rPr>
              <w:t>2012</w:t>
            </w:r>
          </w:p>
        </w:tc>
        <w:tc>
          <w:tcPr>
            <w:tcW w:w="60" w:type="dxa"/>
            <w:tcBorders/>
            <w:shd w:fill="CCE2F1" w:val="clear"/>
            <w:vAlign w:val="center"/>
          </w:tcPr>
          <w:p>
            <w:pPr>
              <w:pStyle w:val="TableContents"/>
              <w:bidi w:val="0"/>
              <w:spacing w:lineRule="atLeast" w:line="300" w:before="0" w:after="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125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101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lineRule="atLeast" w:line="300" w:before="0" w:after="0"/>
              <w:jc w:val="left"/>
              <w:rPr/>
            </w:pPr>
            <w:r>
              <w:rPr/>
              <w:t> </w:t>
            </w:r>
          </w:p>
        </w:tc>
        <w:tc>
          <w:tcPr>
            <w:tcW w:w="1490" w:type="dxa"/>
            <w:tcBorders/>
            <w:shd w:fill="CCE2F1" w:val="clear"/>
            <w:vAlign w:val="center"/>
          </w:tcPr>
          <w:p>
            <w:pPr>
              <w:pStyle w:val="TableContents"/>
              <w:bidi w:val="0"/>
              <w:spacing w:lineRule="atLeast" w:line="300" w:before="0" w:after="0"/>
              <w:jc w:val="center"/>
              <w:rPr>
                <w:rFonts w:ascii="arial" w:hAnsi="arial"/>
                <w:sz w:val="16"/>
              </w:rPr>
            </w:pPr>
            <w:r>
              <w:rPr>
                <w:rFonts w:ascii="arial" w:hAnsi="arial"/>
                <w:sz w:val="16"/>
              </w:rPr>
              <w:t>M</w:t>
            </w:r>
          </w:p>
        </w:tc>
        <w:tc>
          <w:tcPr>
            <w:tcW w:w="60" w:type="dxa"/>
            <w:tcBorders/>
            <w:shd w:fill="CCE2F1" w:val="clear"/>
            <w:vAlign w:val="center"/>
          </w:tcPr>
          <w:p>
            <w:pPr>
              <w:pStyle w:val="TableContents"/>
              <w:bidi w:val="0"/>
              <w:spacing w:lineRule="atLeast" w:line="300" w:before="0" w:after="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71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lineRule="atLeast" w:line="300" w:before="0" w:after="0"/>
              <w:jc w:val="left"/>
              <w:rPr/>
            </w:pPr>
            <w:r>
              <w:rPr/>
              <w:t> </w:t>
            </w:r>
          </w:p>
        </w:tc>
        <w:tc>
          <w:tcPr>
            <w:tcW w:w="1160" w:type="dxa"/>
            <w:tcBorders/>
            <w:shd w:fill="CCE2F1" w:val="clear"/>
            <w:vAlign w:val="center"/>
          </w:tcPr>
          <w:p>
            <w:pPr>
              <w:pStyle w:val="TableContents"/>
              <w:bidi w:val="0"/>
              <w:spacing w:lineRule="atLeast" w:line="300" w:before="0" w:after="0"/>
              <w:jc w:val="center"/>
              <w:rPr>
                <w:rFonts w:ascii="arial" w:hAnsi="arial"/>
                <w:sz w:val="16"/>
              </w:rPr>
            </w:pPr>
            <w:r>
              <w:rPr>
                <w:rFonts w:ascii="arial" w:hAnsi="arial"/>
                <w:sz w:val="16"/>
              </w:rPr>
              <w:t>M</w:t>
            </w:r>
          </w:p>
        </w:tc>
        <w:tc>
          <w:tcPr>
            <w:tcW w:w="75" w:type="dxa"/>
            <w:tcBorders/>
            <w:shd w:fill="CCE2F1" w:val="clear"/>
            <w:vAlign w:val="center"/>
          </w:tcPr>
          <w:p>
            <w:pPr>
              <w:pStyle w:val="TableContents"/>
              <w:bidi w:val="0"/>
              <w:spacing w:lineRule="atLeast" w:line="300" w:before="0" w:after="0"/>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845" w:type="dxa"/>
            <w:gridSpan w:val="2"/>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60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lineRule="atLeast" w:line="300" w:before="0" w:after="0"/>
              <w:jc w:val="left"/>
              <w:rPr>
                <w:rFonts w:ascii="arial" w:hAnsi="arial"/>
                <w:sz w:val="16"/>
              </w:rPr>
            </w:pPr>
            <w:r>
              <w:rPr>
                <w:rFonts w:ascii="arial" w:hAnsi="arial"/>
                <w:sz w:val="16"/>
              </w:rPr>
              <w:t>Mary E. Klotman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300" w:before="0" w:after="0"/>
              <w:jc w:val="left"/>
              <w:rPr/>
            </w:pPr>
            <w:r>
              <w:rPr/>
              <w:t> </w:t>
            </w:r>
          </w:p>
        </w:tc>
        <w:tc>
          <w:tcPr>
            <w:tcW w:w="1310" w:type="dxa"/>
            <w:tcBorders/>
            <w:vAlign w:val="center"/>
          </w:tcPr>
          <w:p>
            <w:pPr>
              <w:pStyle w:val="TableContents"/>
              <w:bidi w:val="0"/>
              <w:spacing w:lineRule="atLeast" w:line="300" w:before="0" w:after="0"/>
              <w:jc w:val="right"/>
              <w:rPr>
                <w:color w:val="0171B9"/>
              </w:rPr>
            </w:pPr>
            <w:r>
              <w:rPr>
                <w:color w:val="0171B9"/>
              </w:rPr>
              <w:t>✓</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300" w:before="0" w:after="0"/>
              <w:jc w:val="left"/>
              <w:rPr/>
            </w:pPr>
            <w:r>
              <w:rPr/>
              <w:t> </w:t>
            </w:r>
          </w:p>
        </w:tc>
        <w:tc>
          <w:tcPr>
            <w:tcW w:w="425" w:type="dxa"/>
            <w:tcBorders/>
            <w:vAlign w:val="center"/>
          </w:tcPr>
          <w:p>
            <w:pPr>
              <w:pStyle w:val="TableContents"/>
              <w:bidi w:val="0"/>
              <w:spacing w:lineRule="atLeast" w:line="300" w:before="0" w:after="0"/>
              <w:jc w:val="right"/>
              <w:rPr>
                <w:rFonts w:ascii="arial" w:hAnsi="arial"/>
                <w:sz w:val="16"/>
              </w:rPr>
            </w:pPr>
            <w:r>
              <w:rPr>
                <w:rFonts w:ascii="arial" w:hAnsi="arial"/>
                <w:sz w:val="16"/>
              </w:rPr>
              <w:t>70</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300" w:before="0" w:after="0"/>
              <w:jc w:val="left"/>
              <w:rPr/>
            </w:pPr>
            <w:r>
              <w:rPr/>
              <w:t> </w:t>
            </w:r>
          </w:p>
        </w:tc>
        <w:tc>
          <w:tcPr>
            <w:tcW w:w="875" w:type="dxa"/>
            <w:tcBorders/>
            <w:vAlign w:val="center"/>
          </w:tcPr>
          <w:p>
            <w:pPr>
              <w:pStyle w:val="TableContents"/>
              <w:bidi w:val="0"/>
              <w:spacing w:lineRule="atLeast" w:line="300" w:before="0" w:after="0"/>
              <w:jc w:val="center"/>
              <w:rPr>
                <w:rFonts w:ascii="arial" w:hAnsi="arial"/>
                <w:sz w:val="10"/>
              </w:rPr>
            </w:pPr>
            <w:r>
              <w:rPr>
                <w:rFonts w:ascii="arial" w:hAnsi="arial"/>
                <w:sz w:val="10"/>
              </w:rPr>
              <w:t xml:space="preserve">(1) </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shd w:fill="CCE2F1" w:val="clear"/>
            <w:vAlign w:val="center"/>
          </w:tcPr>
          <w:p>
            <w:pPr>
              <w:pStyle w:val="TableContents"/>
              <w:bidi w:val="0"/>
              <w:spacing w:before="0" w:after="283"/>
              <w:jc w:val="left"/>
              <w:rPr>
                <w:sz w:val="4"/>
                <w:szCs w:val="4"/>
              </w:rPr>
            </w:pPr>
            <w:r>
              <w:rPr>
                <w:sz w:val="4"/>
                <w:szCs w:val="4"/>
              </w:rPr>
            </w:r>
          </w:p>
        </w:tc>
        <w:tc>
          <w:tcPr>
            <w:tcW w:w="845" w:type="dxa"/>
            <w:gridSpan w:val="2"/>
            <w:tcBorders/>
            <w:shd w:fill="CCE2F1" w:val="clear"/>
            <w:vAlign w:val="center"/>
          </w:tcPr>
          <w:p>
            <w:pPr>
              <w:pStyle w:val="TableContents"/>
              <w:bidi w:val="0"/>
              <w:spacing w:before="0" w:after="283"/>
              <w:jc w:val="left"/>
              <w:rPr>
                <w:sz w:val="4"/>
                <w:szCs w:val="4"/>
              </w:rPr>
            </w:pPr>
            <w:r>
              <w:rPr>
                <w:sz w:val="4"/>
                <w:szCs w:val="4"/>
              </w:rPr>
            </w:r>
          </w:p>
        </w:tc>
        <w:tc>
          <w:tcPr>
            <w:tcW w:w="1490" w:type="dxa"/>
            <w:gridSpan w:val="4"/>
            <w:tcBorders/>
            <w:shd w:fill="CCE2F1" w:val="clear"/>
            <w:vAlign w:val="center"/>
          </w:tcPr>
          <w:p>
            <w:pPr>
              <w:pStyle w:val="TableContents"/>
              <w:bidi w:val="0"/>
              <w:spacing w:before="0" w:after="283"/>
              <w:jc w:val="left"/>
              <w:rPr>
                <w:sz w:val="4"/>
                <w:szCs w:val="4"/>
              </w:rPr>
            </w:pPr>
            <w:r>
              <w:rPr>
                <w:sz w:val="4"/>
                <w:szCs w:val="4"/>
              </w:rPr>
            </w:r>
          </w:p>
        </w:tc>
        <w:tc>
          <w:tcPr>
            <w:tcW w:w="605" w:type="dxa"/>
            <w:gridSpan w:val="4"/>
            <w:tcBorders/>
            <w:shd w:fill="CCE2F1" w:val="clear"/>
            <w:vAlign w:val="center"/>
          </w:tcPr>
          <w:p>
            <w:pPr>
              <w:pStyle w:val="TableContents"/>
              <w:bidi w:val="0"/>
              <w:spacing w:before="0" w:after="283"/>
              <w:jc w:val="left"/>
              <w:rPr>
                <w:sz w:val="4"/>
                <w:szCs w:val="4"/>
              </w:rPr>
            </w:pPr>
            <w:r>
              <w:rPr>
                <w:sz w:val="4"/>
                <w:szCs w:val="4"/>
              </w:rPr>
            </w:r>
          </w:p>
        </w:tc>
        <w:tc>
          <w:tcPr>
            <w:tcW w:w="1055" w:type="dxa"/>
            <w:gridSpan w:val="4"/>
            <w:tcBorders/>
            <w:shd w:fill="CCE2F1" w:val="clear"/>
            <w:vAlign w:val="center"/>
          </w:tcPr>
          <w:p>
            <w:pPr>
              <w:pStyle w:val="TableContents"/>
              <w:bidi w:val="0"/>
              <w:spacing w:before="0" w:after="283"/>
              <w:jc w:val="left"/>
              <w:rPr>
                <w:sz w:val="4"/>
                <w:szCs w:val="4"/>
              </w:rPr>
            </w:pPr>
            <w:r>
              <w:rPr>
                <w:sz w:val="4"/>
                <w:szCs w:val="4"/>
              </w:rPr>
            </w:r>
          </w:p>
        </w:tc>
        <w:tc>
          <w:tcPr>
            <w:tcW w:w="785" w:type="dxa"/>
            <w:gridSpan w:val="4"/>
            <w:tcBorders/>
            <w:shd w:fill="CCE2F1" w:val="clear"/>
            <w:vAlign w:val="center"/>
          </w:tcPr>
          <w:p>
            <w:pPr>
              <w:pStyle w:val="TableContents"/>
              <w:bidi w:val="0"/>
              <w:spacing w:before="0" w:after="283"/>
              <w:jc w:val="left"/>
              <w:rPr>
                <w:sz w:val="4"/>
                <w:szCs w:val="4"/>
              </w:rPr>
            </w:pPr>
            <w:r>
              <w:rPr>
                <w:sz w:val="4"/>
                <w:szCs w:val="4"/>
              </w:rPr>
            </w:r>
          </w:p>
        </w:tc>
        <w:tc>
          <w:tcPr>
            <w:tcW w:w="1430" w:type="dxa"/>
            <w:gridSpan w:val="4"/>
            <w:tcBorders/>
            <w:shd w:fill="CCE2F1" w:val="clear"/>
            <w:vAlign w:val="center"/>
          </w:tcPr>
          <w:p>
            <w:pPr>
              <w:pStyle w:val="TableContents"/>
              <w:bidi w:val="0"/>
              <w:spacing w:before="0" w:after="283"/>
              <w:jc w:val="left"/>
              <w:rPr>
                <w:sz w:val="4"/>
                <w:szCs w:val="4"/>
              </w:rPr>
            </w:pPr>
            <w:r>
              <w:rPr>
                <w:sz w:val="4"/>
                <w:szCs w:val="4"/>
              </w:rPr>
            </w:r>
          </w:p>
        </w:tc>
        <w:tc>
          <w:tcPr>
            <w:tcW w:w="1190" w:type="dxa"/>
            <w:gridSpan w:val="4"/>
            <w:tcBorders/>
            <w:shd w:fill="CCE2F1" w:val="clear"/>
            <w:vAlign w:val="center"/>
          </w:tcPr>
          <w:p>
            <w:pPr>
              <w:pStyle w:val="TableContents"/>
              <w:bidi w:val="0"/>
              <w:spacing w:before="0" w:after="283"/>
              <w:jc w:val="left"/>
              <w:rPr>
                <w:sz w:val="4"/>
                <w:szCs w:val="4"/>
              </w:rPr>
            </w:pPr>
            <w:r>
              <w:rPr>
                <w:sz w:val="4"/>
                <w:szCs w:val="4"/>
              </w:rPr>
            </w:r>
          </w:p>
        </w:tc>
        <w:tc>
          <w:tcPr>
            <w:tcW w:w="1670" w:type="dxa"/>
            <w:gridSpan w:val="4"/>
            <w:tcBorders/>
            <w:shd w:fill="CCE2F1" w:val="clear"/>
            <w:vAlign w:val="center"/>
          </w:tcPr>
          <w:p>
            <w:pPr>
              <w:pStyle w:val="TableContents"/>
              <w:bidi w:val="0"/>
              <w:spacing w:before="0" w:after="283"/>
              <w:jc w:val="left"/>
              <w:rPr>
                <w:sz w:val="4"/>
                <w:szCs w:val="4"/>
              </w:rPr>
            </w:pPr>
            <w:r>
              <w:rPr>
                <w:sz w:val="4"/>
                <w:szCs w:val="4"/>
              </w:rPr>
            </w:r>
          </w:p>
        </w:tc>
        <w:tc>
          <w:tcPr>
            <w:tcW w:w="890" w:type="dxa"/>
            <w:gridSpan w:val="4"/>
            <w:tcBorders/>
            <w:shd w:fill="CCE2F1" w:val="clear"/>
            <w:vAlign w:val="center"/>
          </w:tcPr>
          <w:p>
            <w:pPr>
              <w:pStyle w:val="TableContents"/>
              <w:bidi w:val="0"/>
              <w:spacing w:before="0" w:after="283"/>
              <w:jc w:val="left"/>
              <w:rPr>
                <w:sz w:val="4"/>
                <w:szCs w:val="4"/>
              </w:rPr>
            </w:pPr>
            <w:r>
              <w:rPr>
                <w:sz w:val="4"/>
                <w:szCs w:val="4"/>
              </w:rPr>
            </w:r>
          </w:p>
        </w:tc>
        <w:tc>
          <w:tcPr>
            <w:tcW w:w="1355"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7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785" w:type="dxa"/>
            <w:tcBorders/>
            <w:shd w:fill="CCE2F1" w:val="clear"/>
            <w:vAlign w:val="center"/>
          </w:tcPr>
          <w:p>
            <w:pPr>
              <w:pStyle w:val="TableContents"/>
              <w:bidi w:val="0"/>
              <w:spacing w:lineRule="atLeast" w:line="300" w:before="0" w:after="0"/>
              <w:jc w:val="left"/>
              <w:rPr>
                <w:rFonts w:ascii="arial" w:hAnsi="arial"/>
                <w:sz w:val="16"/>
              </w:rPr>
            </w:pPr>
            <w:r>
              <w:rPr>
                <w:rFonts w:ascii="arial" w:hAnsi="arial"/>
                <w:sz w:val="16"/>
              </w:rPr>
              <w:t>Ellen J. Kullman</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lineRule="atLeast" w:line="300" w:before="0" w:after="0"/>
              <w:jc w:val="left"/>
              <w:rPr/>
            </w:pPr>
            <w:r>
              <w:rPr/>
              <w:t> </w:t>
            </w:r>
          </w:p>
        </w:tc>
        <w:tc>
          <w:tcPr>
            <w:tcW w:w="1310" w:type="dxa"/>
            <w:tcBorders/>
            <w:shd w:fill="CCE2F1" w:val="clear"/>
            <w:vAlign w:val="center"/>
          </w:tcPr>
          <w:p>
            <w:pPr>
              <w:pStyle w:val="TableContents"/>
              <w:bidi w:val="0"/>
              <w:spacing w:lineRule="atLeast" w:line="300" w:before="0" w:after="0"/>
              <w:jc w:val="right"/>
              <w:rPr>
                <w:color w:val="0171B9"/>
              </w:rPr>
            </w:pPr>
            <w:r>
              <w:rPr>
                <w:color w:val="0171B9"/>
              </w:rPr>
              <w:t>✓</w:t>
            </w:r>
          </w:p>
        </w:tc>
        <w:tc>
          <w:tcPr>
            <w:tcW w:w="60" w:type="dxa"/>
            <w:tcBorders/>
            <w:shd w:fill="CCE2F1" w:val="clear"/>
            <w:vAlign w:val="center"/>
          </w:tcPr>
          <w:p>
            <w:pPr>
              <w:pStyle w:val="TableContents"/>
              <w:bidi w:val="0"/>
              <w:spacing w:lineRule="atLeast" w:line="300" w:before="0" w:after="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lineRule="atLeast" w:line="300" w:before="0" w:after="0"/>
              <w:jc w:val="left"/>
              <w:rPr/>
            </w:pPr>
            <w:r>
              <w:rPr/>
              <w:t> </w:t>
            </w:r>
          </w:p>
        </w:tc>
        <w:tc>
          <w:tcPr>
            <w:tcW w:w="425" w:type="dxa"/>
            <w:tcBorders/>
            <w:shd w:fill="CCE2F1" w:val="clear"/>
            <w:vAlign w:val="center"/>
          </w:tcPr>
          <w:p>
            <w:pPr>
              <w:pStyle w:val="TableContents"/>
              <w:bidi w:val="0"/>
              <w:spacing w:lineRule="atLeast" w:line="300" w:before="0" w:after="0"/>
              <w:jc w:val="right"/>
              <w:rPr>
                <w:rFonts w:ascii="arial" w:hAnsi="arial"/>
                <w:sz w:val="16"/>
              </w:rPr>
            </w:pPr>
            <w:r>
              <w:rPr>
                <w:rFonts w:ascii="arial" w:hAnsi="arial"/>
                <w:sz w:val="16"/>
              </w:rPr>
              <w:t>68</w:t>
            </w:r>
          </w:p>
        </w:tc>
        <w:tc>
          <w:tcPr>
            <w:tcW w:w="60" w:type="dxa"/>
            <w:tcBorders/>
            <w:shd w:fill="CCE2F1" w:val="clear"/>
            <w:vAlign w:val="center"/>
          </w:tcPr>
          <w:p>
            <w:pPr>
              <w:pStyle w:val="TableContents"/>
              <w:bidi w:val="0"/>
              <w:spacing w:lineRule="atLeast" w:line="300" w:before="0" w:after="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lineRule="atLeast" w:line="300" w:before="0" w:after="0"/>
              <w:jc w:val="left"/>
              <w:rPr/>
            </w:pPr>
            <w:r>
              <w:rPr/>
              <w:t> </w:t>
            </w:r>
          </w:p>
        </w:tc>
        <w:tc>
          <w:tcPr>
            <w:tcW w:w="875" w:type="dxa"/>
            <w:tcBorders/>
            <w:shd w:fill="CCE2F1" w:val="clear"/>
            <w:vAlign w:val="center"/>
          </w:tcPr>
          <w:p>
            <w:pPr>
              <w:pStyle w:val="TableContents"/>
              <w:bidi w:val="0"/>
              <w:spacing w:lineRule="atLeast" w:line="300" w:before="0" w:after="0"/>
              <w:jc w:val="center"/>
              <w:rPr>
                <w:rFonts w:ascii="arial" w:hAnsi="arial"/>
                <w:sz w:val="16"/>
              </w:rPr>
            </w:pPr>
            <w:r>
              <w:rPr>
                <w:rFonts w:ascii="arial" w:hAnsi="arial"/>
                <w:sz w:val="16"/>
              </w:rPr>
              <w:t>2016</w:t>
            </w:r>
          </w:p>
        </w:tc>
        <w:tc>
          <w:tcPr>
            <w:tcW w:w="60" w:type="dxa"/>
            <w:tcBorders/>
            <w:shd w:fill="CCE2F1" w:val="clear"/>
            <w:vAlign w:val="center"/>
          </w:tcPr>
          <w:p>
            <w:pPr>
              <w:pStyle w:val="TableContents"/>
              <w:bidi w:val="0"/>
              <w:spacing w:lineRule="atLeast" w:line="300" w:before="0" w:after="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lineRule="atLeast" w:line="300" w:before="0" w:after="0"/>
              <w:jc w:val="left"/>
              <w:rPr/>
            </w:pPr>
            <w:r>
              <w:rPr/>
              <w:t> </w:t>
            </w:r>
          </w:p>
        </w:tc>
        <w:tc>
          <w:tcPr>
            <w:tcW w:w="605" w:type="dxa"/>
            <w:tcBorders/>
            <w:shd w:fill="CCE2F1" w:val="clear"/>
            <w:vAlign w:val="center"/>
          </w:tcPr>
          <w:p>
            <w:pPr>
              <w:pStyle w:val="TableContents"/>
              <w:bidi w:val="0"/>
              <w:spacing w:lineRule="atLeast" w:line="300" w:before="0" w:after="0"/>
              <w:jc w:val="center"/>
              <w:rPr>
                <w:rFonts w:ascii="arial" w:hAnsi="arial"/>
                <w:sz w:val="16"/>
              </w:rPr>
            </w:pPr>
            <w:r>
              <w:rPr>
                <w:rFonts w:ascii="arial" w:hAnsi="arial"/>
                <w:sz w:val="16"/>
              </w:rPr>
              <w:t>M</w:t>
            </w:r>
          </w:p>
        </w:tc>
        <w:tc>
          <w:tcPr>
            <w:tcW w:w="60" w:type="dxa"/>
            <w:tcBorders/>
            <w:shd w:fill="CCE2F1" w:val="clear"/>
            <w:vAlign w:val="center"/>
          </w:tcPr>
          <w:p>
            <w:pPr>
              <w:pStyle w:val="TableContents"/>
              <w:bidi w:val="0"/>
              <w:spacing w:lineRule="atLeast" w:line="300" w:before="0" w:after="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lineRule="atLeast" w:line="300" w:before="0" w:after="0"/>
              <w:jc w:val="left"/>
              <w:rPr/>
            </w:pPr>
            <w:r>
              <w:rPr/>
              <w:t> </w:t>
            </w:r>
          </w:p>
        </w:tc>
        <w:tc>
          <w:tcPr>
            <w:tcW w:w="1250" w:type="dxa"/>
            <w:tcBorders/>
            <w:shd w:fill="CCE2F1" w:val="clear"/>
            <w:vAlign w:val="center"/>
          </w:tcPr>
          <w:p>
            <w:pPr>
              <w:pStyle w:val="TableContents"/>
              <w:bidi w:val="0"/>
              <w:spacing w:lineRule="atLeast" w:line="300" w:before="0" w:after="0"/>
              <w:jc w:val="center"/>
              <w:rPr>
                <w:rFonts w:ascii="arial" w:hAnsi="arial"/>
                <w:sz w:val="16"/>
              </w:rPr>
            </w:pPr>
            <w:r>
              <w:rPr>
                <w:rFonts w:ascii="arial" w:hAnsi="arial"/>
                <w:sz w:val="16"/>
              </w:rPr>
              <w:t>M</w:t>
            </w:r>
          </w:p>
        </w:tc>
        <w:tc>
          <w:tcPr>
            <w:tcW w:w="60" w:type="dxa"/>
            <w:tcBorders/>
            <w:shd w:fill="CCE2F1" w:val="clear"/>
            <w:vAlign w:val="center"/>
          </w:tcPr>
          <w:p>
            <w:pPr>
              <w:pStyle w:val="TableContents"/>
              <w:bidi w:val="0"/>
              <w:spacing w:lineRule="atLeast" w:line="300" w:before="0" w:after="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101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149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71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lineRule="atLeast" w:line="300" w:before="0" w:after="0"/>
              <w:jc w:val="left"/>
              <w:rPr/>
            </w:pPr>
            <w:r>
              <w:rPr/>
              <w:t> </w:t>
            </w:r>
          </w:p>
        </w:tc>
        <w:tc>
          <w:tcPr>
            <w:tcW w:w="1160" w:type="dxa"/>
            <w:tcBorders/>
            <w:shd w:fill="CCE2F1" w:val="clear"/>
            <w:vAlign w:val="center"/>
          </w:tcPr>
          <w:p>
            <w:pPr>
              <w:pStyle w:val="TableContents"/>
              <w:bidi w:val="0"/>
              <w:spacing w:lineRule="atLeast" w:line="240" w:before="0" w:after="0"/>
              <w:jc w:val="center"/>
              <w:rPr>
                <w:rFonts w:ascii="arial" w:hAnsi="arial"/>
                <w:sz w:val="16"/>
              </w:rPr>
            </w:pPr>
            <w:r>
              <w:rPr>
                <w:rFonts w:ascii="arial" w:hAnsi="arial"/>
                <w:sz w:val="16"/>
              </w:rPr>
              <w:t>C(2)</w:t>
            </w:r>
          </w:p>
        </w:tc>
        <w:tc>
          <w:tcPr>
            <w:tcW w:w="75" w:type="dxa"/>
            <w:tcBorders/>
            <w:shd w:fill="CCE2F1" w:val="clear"/>
            <w:vAlign w:val="center"/>
          </w:tcPr>
          <w:p>
            <w:pPr>
              <w:pStyle w:val="TableContents"/>
              <w:bidi w:val="0"/>
              <w:spacing w:lineRule="atLeast" w:line="300" w:before="0" w:after="0"/>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845" w:type="dxa"/>
            <w:gridSpan w:val="2"/>
            <w:tcBorders/>
            <w:vAlign w:val="center"/>
          </w:tcPr>
          <w:p>
            <w:pPr>
              <w:pStyle w:val="TableContents"/>
              <w:bidi w:val="0"/>
              <w:spacing w:before="0" w:after="283"/>
              <w:jc w:val="left"/>
              <w:rPr>
                <w:sz w:val="4"/>
                <w:szCs w:val="4"/>
              </w:rPr>
            </w:pPr>
            <w:r>
              <w:rPr>
                <w:sz w:val="4"/>
                <w:szCs w:val="4"/>
              </w:rPr>
            </w:r>
          </w:p>
        </w:tc>
        <w:tc>
          <w:tcPr>
            <w:tcW w:w="1490" w:type="dxa"/>
            <w:gridSpan w:val="4"/>
            <w:tcBorders/>
            <w:vAlign w:val="center"/>
          </w:tcPr>
          <w:p>
            <w:pPr>
              <w:pStyle w:val="TableContents"/>
              <w:bidi w:val="0"/>
              <w:spacing w:before="0" w:after="283"/>
              <w:jc w:val="left"/>
              <w:rPr>
                <w:sz w:val="4"/>
                <w:szCs w:val="4"/>
              </w:rPr>
            </w:pPr>
            <w:r>
              <w:rPr>
                <w:sz w:val="4"/>
                <w:szCs w:val="4"/>
              </w:rPr>
            </w:r>
          </w:p>
        </w:tc>
        <w:tc>
          <w:tcPr>
            <w:tcW w:w="605"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785" w:type="dxa"/>
            <w:gridSpan w:val="4"/>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75" w:type="dxa"/>
            <w:tcBorders>
              <w:bottom w:val="single" w:sz="8" w:space="0" w:color="0171B9"/>
            </w:tcBorders>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785" w:type="dxa"/>
            <w:tcBorders>
              <w:bottom w:val="single" w:sz="8" w:space="0" w:color="0171B9"/>
            </w:tcBorders>
            <w:tcMar>
              <w:bottom w:w="100" w:type="dxa"/>
            </w:tcMar>
            <w:vAlign w:val="center"/>
          </w:tcPr>
          <w:p>
            <w:pPr>
              <w:pStyle w:val="TableContents"/>
              <w:bidi w:val="0"/>
              <w:spacing w:lineRule="atLeast" w:line="300" w:before="0" w:after="0"/>
              <w:jc w:val="left"/>
              <w:rPr>
                <w:rFonts w:ascii="arial" w:hAnsi="arial"/>
                <w:sz w:val="16"/>
              </w:rPr>
            </w:pPr>
            <w:r>
              <w:rPr>
                <w:rFonts w:ascii="arial" w:hAnsi="arial"/>
                <w:sz w:val="16"/>
              </w:rPr>
              <w:t>Amy E. Miles</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tcMar>
              <w:bottom w:w="100" w:type="dxa"/>
            </w:tcMar>
            <w:vAlign w:val="center"/>
          </w:tcPr>
          <w:p>
            <w:pPr>
              <w:pStyle w:val="TableContents"/>
              <w:bidi w:val="0"/>
              <w:spacing w:lineRule="atLeast" w:line="300" w:before="0" w:after="0"/>
              <w:jc w:val="left"/>
              <w:rPr/>
            </w:pPr>
            <w:r>
              <w:rPr/>
              <w:t> </w:t>
            </w:r>
          </w:p>
        </w:tc>
        <w:tc>
          <w:tcPr>
            <w:tcW w:w="1310" w:type="dxa"/>
            <w:tcBorders>
              <w:bottom w:val="single" w:sz="8" w:space="0" w:color="0171B9"/>
            </w:tcBorders>
            <w:tcMar>
              <w:bottom w:w="100" w:type="dxa"/>
            </w:tcMar>
            <w:vAlign w:val="center"/>
          </w:tcPr>
          <w:p>
            <w:pPr>
              <w:pStyle w:val="TableContents"/>
              <w:bidi w:val="0"/>
              <w:spacing w:lineRule="atLeast" w:line="300" w:before="0" w:after="0"/>
              <w:jc w:val="right"/>
              <w:rPr>
                <w:color w:val="0171B9"/>
              </w:rPr>
            </w:pPr>
            <w:r>
              <w:rPr>
                <w:color w:val="0171B9"/>
              </w:rPr>
              <w:t>✓</w:t>
            </w:r>
          </w:p>
        </w:tc>
        <w:tc>
          <w:tcPr>
            <w:tcW w:w="60" w:type="dxa"/>
            <w:tcBorders>
              <w:bottom w:val="single" w:sz="8" w:space="0" w:color="0171B9"/>
            </w:tcBorders>
            <w:tcMar>
              <w:bottom w:w="100" w:type="dxa"/>
            </w:tcMar>
            <w:vAlign w:val="center"/>
          </w:tcPr>
          <w:p>
            <w:pPr>
              <w:pStyle w:val="TableContents"/>
              <w:bidi w:val="0"/>
              <w:spacing w:lineRule="atLeast" w:line="300" w:before="0" w:after="0"/>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tcMar>
              <w:bottom w:w="100" w:type="dxa"/>
            </w:tcMar>
            <w:vAlign w:val="center"/>
          </w:tcPr>
          <w:p>
            <w:pPr>
              <w:pStyle w:val="TableContents"/>
              <w:bidi w:val="0"/>
              <w:spacing w:lineRule="atLeast" w:line="300" w:before="0" w:after="0"/>
              <w:jc w:val="left"/>
              <w:rPr/>
            </w:pPr>
            <w:r>
              <w:rPr/>
              <w:t> </w:t>
            </w:r>
          </w:p>
        </w:tc>
        <w:tc>
          <w:tcPr>
            <w:tcW w:w="425" w:type="dxa"/>
            <w:tcBorders>
              <w:bottom w:val="single" w:sz="8" w:space="0" w:color="0171B9"/>
            </w:tcBorders>
            <w:tcMar>
              <w:bottom w:w="100" w:type="dxa"/>
            </w:tcMar>
            <w:vAlign w:val="center"/>
          </w:tcPr>
          <w:p>
            <w:pPr>
              <w:pStyle w:val="TableContents"/>
              <w:bidi w:val="0"/>
              <w:spacing w:lineRule="atLeast" w:line="300" w:before="0" w:after="0"/>
              <w:jc w:val="right"/>
              <w:rPr>
                <w:rFonts w:ascii="arial" w:hAnsi="arial"/>
                <w:sz w:val="16"/>
              </w:rPr>
            </w:pPr>
            <w:r>
              <w:rPr>
                <w:rFonts w:ascii="arial" w:hAnsi="arial"/>
                <w:sz w:val="16"/>
              </w:rPr>
              <w:t>57</w:t>
            </w:r>
          </w:p>
        </w:tc>
        <w:tc>
          <w:tcPr>
            <w:tcW w:w="60" w:type="dxa"/>
            <w:tcBorders>
              <w:bottom w:val="single" w:sz="8" w:space="0" w:color="0171B9"/>
            </w:tcBorders>
            <w:tcMar>
              <w:bottom w:w="100" w:type="dxa"/>
            </w:tcMar>
            <w:vAlign w:val="center"/>
          </w:tcPr>
          <w:p>
            <w:pPr>
              <w:pStyle w:val="TableContents"/>
              <w:bidi w:val="0"/>
              <w:spacing w:lineRule="atLeast" w:line="300" w:before="0" w:after="0"/>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tcMar>
              <w:bottom w:w="100" w:type="dxa"/>
            </w:tcMar>
            <w:vAlign w:val="center"/>
          </w:tcPr>
          <w:p>
            <w:pPr>
              <w:pStyle w:val="TableContents"/>
              <w:bidi w:val="0"/>
              <w:spacing w:lineRule="atLeast" w:line="300" w:before="0" w:after="0"/>
              <w:jc w:val="left"/>
              <w:rPr/>
            </w:pPr>
            <w:r>
              <w:rPr/>
              <w:t> </w:t>
            </w:r>
          </w:p>
        </w:tc>
        <w:tc>
          <w:tcPr>
            <w:tcW w:w="875" w:type="dxa"/>
            <w:tcBorders>
              <w:bottom w:val="single" w:sz="8" w:space="0" w:color="0171B9"/>
            </w:tcBorders>
            <w:tcMar>
              <w:bottom w:w="100" w:type="dxa"/>
            </w:tcMar>
            <w:vAlign w:val="center"/>
          </w:tcPr>
          <w:p>
            <w:pPr>
              <w:pStyle w:val="TableContents"/>
              <w:bidi w:val="0"/>
              <w:spacing w:lineRule="atLeast" w:line="300" w:before="0" w:after="0"/>
              <w:jc w:val="center"/>
              <w:rPr>
                <w:rFonts w:ascii="arial" w:hAnsi="arial"/>
                <w:sz w:val="16"/>
              </w:rPr>
            </w:pPr>
            <w:r>
              <w:rPr>
                <w:rFonts w:ascii="arial" w:hAnsi="arial"/>
                <w:sz w:val="16"/>
              </w:rPr>
              <w:t>2020</w:t>
            </w:r>
          </w:p>
        </w:tc>
        <w:tc>
          <w:tcPr>
            <w:tcW w:w="60" w:type="dxa"/>
            <w:tcBorders>
              <w:bottom w:val="single" w:sz="8" w:space="0" w:color="0171B9"/>
            </w:tcBorders>
            <w:tcMar>
              <w:bottom w:w="100" w:type="dxa"/>
            </w:tcMar>
            <w:vAlign w:val="center"/>
          </w:tcPr>
          <w:p>
            <w:pPr>
              <w:pStyle w:val="TableContents"/>
              <w:bidi w:val="0"/>
              <w:spacing w:lineRule="atLeast" w:line="300" w:before="0" w:after="0"/>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tcMar>
              <w:bottom w:w="100" w:type="dxa"/>
            </w:tcMar>
            <w:vAlign w:val="center"/>
          </w:tcPr>
          <w:p>
            <w:pPr>
              <w:pStyle w:val="TableContents"/>
              <w:bidi w:val="0"/>
              <w:spacing w:lineRule="atLeast" w:line="300" w:before="0" w:after="0"/>
              <w:jc w:val="left"/>
              <w:rPr/>
            </w:pPr>
            <w:r>
              <w:rPr/>
              <w:t> </w:t>
            </w:r>
          </w:p>
        </w:tc>
        <w:tc>
          <w:tcPr>
            <w:tcW w:w="605" w:type="dxa"/>
            <w:tcBorders>
              <w:bottom w:val="single" w:sz="8" w:space="0" w:color="0171B9"/>
            </w:tcBorders>
            <w:tcMar>
              <w:bottom w:w="100" w:type="dxa"/>
            </w:tcMar>
            <w:vAlign w:val="center"/>
          </w:tcPr>
          <w:p>
            <w:pPr>
              <w:pStyle w:val="TableContents"/>
              <w:bidi w:val="0"/>
              <w:spacing w:lineRule="atLeast" w:line="300" w:before="0" w:after="0"/>
              <w:jc w:val="center"/>
              <w:rPr>
                <w:rFonts w:ascii="arial" w:hAnsi="arial"/>
                <w:sz w:val="16"/>
              </w:rPr>
            </w:pPr>
            <w:r>
              <w:rPr>
                <w:rFonts w:ascii="arial" w:hAnsi="arial"/>
                <w:sz w:val="16"/>
              </w:rPr>
              <w:t>M</w:t>
            </w:r>
          </w:p>
        </w:tc>
        <w:tc>
          <w:tcPr>
            <w:tcW w:w="60" w:type="dxa"/>
            <w:tcBorders>
              <w:bottom w:val="single" w:sz="8" w:space="0" w:color="0171B9"/>
            </w:tcBorders>
            <w:tcMar>
              <w:bottom w:w="100" w:type="dxa"/>
            </w:tcMar>
            <w:vAlign w:val="center"/>
          </w:tcPr>
          <w:p>
            <w:pPr>
              <w:pStyle w:val="TableContents"/>
              <w:bidi w:val="0"/>
              <w:spacing w:lineRule="atLeast" w:line="300" w:before="0" w:after="0"/>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tcMar>
              <w:bottom w:w="100" w:type="dxa"/>
            </w:tcMar>
            <w:vAlign w:val="center"/>
          </w:tcPr>
          <w:p>
            <w:pPr>
              <w:pStyle w:val="TableContents"/>
              <w:bidi w:val="0"/>
              <w:spacing w:lineRule="atLeast" w:line="300" w:before="0" w:after="0"/>
              <w:jc w:val="left"/>
              <w:rPr/>
            </w:pPr>
            <w:r>
              <w:rPr/>
              <w:t> </w:t>
            </w:r>
          </w:p>
        </w:tc>
        <w:tc>
          <w:tcPr>
            <w:tcW w:w="1250" w:type="dxa"/>
            <w:tcBorders>
              <w:bottom w:val="single" w:sz="8" w:space="0" w:color="0171B9"/>
            </w:tcBorders>
            <w:tcMar>
              <w:bottom w:w="100" w:type="dxa"/>
            </w:tcMar>
            <w:vAlign w:val="center"/>
          </w:tcPr>
          <w:p>
            <w:pPr>
              <w:pStyle w:val="TableContents"/>
              <w:bidi w:val="0"/>
              <w:spacing w:lineRule="atLeast" w:line="300" w:before="0" w:after="0"/>
              <w:jc w:val="center"/>
              <w:rPr>
                <w:rFonts w:ascii="arial" w:hAnsi="arial"/>
                <w:sz w:val="16"/>
              </w:rPr>
            </w:pPr>
            <w:r>
              <w:rPr>
                <w:rFonts w:ascii="arial" w:hAnsi="arial"/>
                <w:sz w:val="16"/>
              </w:rPr>
              <w:t>M</w:t>
            </w:r>
          </w:p>
        </w:tc>
        <w:tc>
          <w:tcPr>
            <w:tcW w:w="60" w:type="dxa"/>
            <w:tcBorders>
              <w:bottom w:val="single" w:sz="8" w:space="0" w:color="0171B9"/>
            </w:tcBorders>
            <w:tcMar>
              <w:bottom w:w="100" w:type="dxa"/>
            </w:tcMar>
            <w:vAlign w:val="center"/>
          </w:tcPr>
          <w:p>
            <w:pPr>
              <w:pStyle w:val="TableContents"/>
              <w:bidi w:val="0"/>
              <w:spacing w:lineRule="atLeast" w:line="300" w:before="0" w:after="0"/>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1010" w:type="dxa"/>
            <w:tcBorders>
              <w:bottom w:val="single" w:sz="8" w:space="0" w:color="0171B9"/>
            </w:tcBorders>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1490" w:type="dxa"/>
            <w:tcBorders>
              <w:bottom w:val="single" w:sz="8" w:space="0" w:color="0171B9"/>
            </w:tcBorders>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710" w:type="dxa"/>
            <w:tcBorders>
              <w:bottom w:val="single" w:sz="8" w:space="0" w:color="0171B9"/>
            </w:tcBorders>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1160" w:type="dxa"/>
            <w:tcBorders>
              <w:bottom w:val="single" w:sz="8" w:space="0" w:color="0171B9"/>
            </w:tcBorders>
            <w:tcMar>
              <w:bottom w:w="28" w:type="dxa"/>
            </w:tcMar>
            <w:vAlign w:val="center"/>
          </w:tcPr>
          <w:p>
            <w:pPr>
              <w:pStyle w:val="TableContents"/>
              <w:bidi w:val="0"/>
              <w:spacing w:before="0" w:after="283"/>
              <w:jc w:val="left"/>
              <w:rPr/>
            </w:pPr>
            <w:r>
              <w:rPr/>
              <w:t> </w:t>
            </w:r>
          </w:p>
        </w:tc>
        <w:tc>
          <w:tcPr>
            <w:tcW w:w="75" w:type="dxa"/>
            <w:tcBorders>
              <w:bottom w:val="single" w:sz="8" w:space="0" w:color="0171B9"/>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2215" w:type="dxa"/>
        <w:jc w:val="left"/>
        <w:tblInd w:w="0" w:type="dxa"/>
        <w:tblLayout w:type="fixed"/>
        <w:tblCellMar>
          <w:top w:w="0" w:type="dxa"/>
          <w:left w:w="0" w:type="dxa"/>
          <w:bottom w:w="0" w:type="dxa"/>
          <w:right w:w="0" w:type="dxa"/>
        </w:tblCellMar>
      </w:tblPr>
      <w:tblGrid>
        <w:gridCol w:w="155"/>
        <w:gridCol w:w="2060"/>
      </w:tblGrid>
      <w:tr>
        <w:trPr/>
        <w:tc>
          <w:tcPr>
            <w:tcW w:w="155" w:type="dxa"/>
            <w:tcBorders/>
            <w:vAlign w:val="center"/>
          </w:tcPr>
          <w:p>
            <w:pPr>
              <w:pStyle w:val="TableContents"/>
              <w:bidi w:val="0"/>
              <w:spacing w:before="0" w:after="283"/>
              <w:jc w:val="left"/>
              <w:rPr/>
            </w:pPr>
            <w:r>
              <w:rPr/>
              <w:t>*</w:t>
            </w:r>
          </w:p>
        </w:tc>
        <w:tc>
          <w:tcPr>
            <w:tcW w:w="2060" w:type="dxa"/>
            <w:tcBorders/>
            <w:vAlign w:val="center"/>
          </w:tcPr>
          <w:p>
            <w:pPr>
              <w:pStyle w:val="TableContents"/>
              <w:bidi w:val="0"/>
              <w:spacing w:before="0" w:after="0"/>
              <w:jc w:val="both"/>
              <w:rPr>
                <w:rFonts w:ascii="arial" w:hAnsi="arial"/>
                <w:sz w:val="16"/>
              </w:rPr>
            </w:pPr>
            <w:r>
              <w:rPr>
                <w:rFonts w:ascii="arial" w:hAnsi="arial"/>
                <w:sz w:val="16"/>
              </w:rPr>
              <w:t xml:space="preserve">Lead Independent Director. </w:t>
            </w:r>
          </w:p>
        </w:tc>
      </w:tr>
    </w:tbl>
    <w:tbl>
      <w:tblPr>
        <w:tblW w:w="5395" w:type="dxa"/>
        <w:jc w:val="left"/>
        <w:tblInd w:w="0" w:type="dxa"/>
        <w:tblLayout w:type="fixed"/>
        <w:tblCellMar>
          <w:top w:w="0" w:type="dxa"/>
          <w:left w:w="0" w:type="dxa"/>
          <w:bottom w:w="0" w:type="dxa"/>
          <w:right w:w="0" w:type="dxa"/>
        </w:tblCellMar>
      </w:tblPr>
      <w:tblGrid>
        <w:gridCol w:w="410"/>
        <w:gridCol w:w="4985"/>
      </w:tblGrid>
      <w:tr>
        <w:trPr/>
        <w:tc>
          <w:tcPr>
            <w:tcW w:w="410" w:type="dxa"/>
            <w:tcBorders/>
            <w:vAlign w:val="center"/>
          </w:tcPr>
          <w:p>
            <w:pPr>
              <w:pStyle w:val="TableContents"/>
              <w:bidi w:val="0"/>
              <w:spacing w:before="0" w:after="283"/>
              <w:jc w:val="left"/>
              <w:rPr/>
            </w:pPr>
            <w:r>
              <w:rPr/>
              <w:t>“</w:t>
            </w:r>
            <w:r>
              <w:rPr/>
              <w:t>C”</w:t>
            </w:r>
          </w:p>
        </w:tc>
        <w:tc>
          <w:tcPr>
            <w:tcW w:w="4985" w:type="dxa"/>
            <w:tcBorders/>
            <w:vAlign w:val="center"/>
          </w:tcPr>
          <w:p>
            <w:pPr>
              <w:pStyle w:val="TableContents"/>
              <w:bidi w:val="0"/>
              <w:spacing w:before="0" w:after="0"/>
              <w:jc w:val="both"/>
              <w:rPr>
                <w:rFonts w:ascii="arial" w:hAnsi="arial"/>
                <w:sz w:val="16"/>
              </w:rPr>
            </w:pPr>
            <w:r>
              <w:rPr>
                <w:rFonts w:ascii="arial" w:hAnsi="arial"/>
                <w:sz w:val="16"/>
              </w:rPr>
              <w:t xml:space="preserve">Indicates current Chair of the committee, except as provided below. </w:t>
            </w:r>
          </w:p>
        </w:tc>
      </w:tr>
    </w:tbl>
    <w:tbl>
      <w:tblPr>
        <w:tblW w:w="5740" w:type="dxa"/>
        <w:jc w:val="left"/>
        <w:tblInd w:w="0" w:type="dxa"/>
        <w:tblLayout w:type="fixed"/>
        <w:tblCellMar>
          <w:top w:w="0" w:type="dxa"/>
          <w:left w:w="0" w:type="dxa"/>
          <w:bottom w:w="0" w:type="dxa"/>
          <w:right w:w="0" w:type="dxa"/>
        </w:tblCellMar>
      </w:tblPr>
      <w:tblGrid>
        <w:gridCol w:w="455"/>
        <w:gridCol w:w="5285"/>
      </w:tblGrid>
      <w:tr>
        <w:trPr/>
        <w:tc>
          <w:tcPr>
            <w:tcW w:w="455" w:type="dxa"/>
            <w:tcBorders/>
            <w:vAlign w:val="center"/>
          </w:tcPr>
          <w:p>
            <w:pPr>
              <w:pStyle w:val="TableContents"/>
              <w:bidi w:val="0"/>
              <w:spacing w:before="0" w:after="283"/>
              <w:jc w:val="left"/>
              <w:rPr/>
            </w:pPr>
            <w:r>
              <w:rPr/>
              <w:t>“</w:t>
            </w:r>
            <w:r>
              <w:rPr/>
              <w:t>M”</w:t>
            </w:r>
          </w:p>
        </w:tc>
        <w:tc>
          <w:tcPr>
            <w:tcW w:w="5285" w:type="dxa"/>
            <w:tcBorders/>
            <w:vAlign w:val="center"/>
          </w:tcPr>
          <w:p>
            <w:pPr>
              <w:pStyle w:val="TableContents"/>
              <w:bidi w:val="0"/>
              <w:spacing w:before="0" w:after="0"/>
              <w:jc w:val="both"/>
              <w:rPr>
                <w:rFonts w:ascii="arial" w:hAnsi="arial"/>
                <w:sz w:val="16"/>
              </w:rPr>
            </w:pPr>
            <w:r>
              <w:rPr>
                <w:rFonts w:ascii="arial" w:hAnsi="arial"/>
                <w:sz w:val="16"/>
              </w:rPr>
              <w:t xml:space="preserve">Indicates current members of the committee, except as provided below. </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(1) </w:t>
            </w:r>
          </w:p>
        </w:tc>
        <w:tc>
          <w:tcPr>
            <w:tcW w:w="9923" w:type="dxa"/>
            <w:tcBorders/>
            <w:vAlign w:val="center"/>
          </w:tcPr>
          <w:p>
            <w:pPr>
              <w:pStyle w:val="TableContents"/>
              <w:bidi w:val="0"/>
              <w:spacing w:before="0" w:after="0"/>
              <w:jc w:val="both"/>
              <w:rPr>
                <w:rFonts w:ascii="arial" w:hAnsi="arial"/>
                <w:sz w:val="16"/>
              </w:rPr>
            </w:pPr>
            <w:r>
              <w:rPr>
                <w:rFonts w:ascii="arial" w:hAnsi="arial"/>
                <w:sz w:val="16"/>
              </w:rPr>
              <w:t xml:space="preserve">Dr. Klotman is standing for initial election to the Board. Subject to her election to the Board by our stockholders at the Annual Meeting, it is anticipated that Dr. Klotman will be appointed to the Corporate Responsibility and Compliance Committee and the Governance and Nominating Committee, effective as of the Annual Meeting. </w:t>
            </w:r>
          </w:p>
        </w:tc>
      </w:tr>
    </w:tbl>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jc w:val="left"/>
              <w:rPr/>
            </w:pPr>
            <w:r>
              <w:rPr/>
              <w:t>(2) </w:t>
            </w:r>
          </w:p>
        </w:tc>
        <w:tc>
          <w:tcPr>
            <w:tcW w:w="9886" w:type="dxa"/>
            <w:tcBorders/>
            <w:vAlign w:val="center"/>
          </w:tcPr>
          <w:p>
            <w:pPr>
              <w:pStyle w:val="TableContents"/>
              <w:bidi w:val="0"/>
              <w:spacing w:before="0" w:after="0"/>
              <w:jc w:val="both"/>
              <w:rPr>
                <w:rFonts w:ascii="arial" w:hAnsi="arial"/>
                <w:sz w:val="16"/>
              </w:rPr>
            </w:pPr>
            <w:r>
              <w:rPr>
                <w:rFonts w:ascii="arial" w:hAnsi="arial"/>
                <w:sz w:val="16"/>
              </w:rPr>
              <w:t xml:space="preserve">Subject to her re-election to the Board by our stockholders at the Annual Meeting, Ms. Kullman will serve as Chair of the Corporate Responsibility and Compliance Committee, effective June 1, 2024. </w:t>
            </w:r>
          </w:p>
        </w:tc>
      </w:tr>
    </w:tbl>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8  </w:t>
      </w:r>
      <w:r>
        <w:rPr>
          <w:rFonts w:ascii="arial" w:hAnsi="arial"/>
          <w:b/>
          <w:color w:val="474747"/>
          <w:sz w:val="22"/>
        </w:rPr>
        <w:drawing>
          <wp:inline distT="0" distB="0" distL="0" distR="0">
            <wp:extent cx="64770" cy="15240"/>
            <wp:effectExtent l="0" t="0" r="0" b="0"/>
            <wp:docPr id="3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5" descr=""/>
                    <pic:cNvPicPr>
                      <a:picLocks noChangeAspect="1" noChangeArrowheads="1"/>
                    </pic:cNvPicPr>
                  </pic:nvPicPr>
                  <pic:blipFill>
                    <a:blip r:embed="rId26"/>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383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335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335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Item 1 — Election of Directors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171B9"/>
          <w:sz w:val="28"/>
        </w:rPr>
      </w:pPr>
      <w:r>
        <w:rPr>
          <w:rFonts w:ascii="arial" w:hAnsi="arial"/>
          <w:b/>
          <w:color w:val="0171B9"/>
          <w:sz w:val="28"/>
        </w:rPr>
        <w:t xml:space="preserve">Summary of Director Nominee Core Experiences and Skills </w:t>
      </w:r>
    </w:p>
    <w:p>
      <w:pPr>
        <w:pStyle w:val="TextBody"/>
        <w:pBdr>
          <w:bottom w:val="single" w:sz="2" w:space="1" w:color="666666"/>
        </w:pBdr>
        <w:bidi w:val="0"/>
        <w:spacing w:lineRule="atLeast" w:line="142" w:before="0" w:after="40"/>
        <w:jc w:val="left"/>
        <w:rPr/>
      </w:pPr>
      <w:r>
        <w:rPr/>
        <w:t> </w:t>
      </w:r>
    </w:p>
    <w:p>
      <w:pPr>
        <w:pStyle w:val="TextBody"/>
        <w:bidi w:val="0"/>
        <w:spacing w:before="120" w:after="0"/>
        <w:jc w:val="both"/>
        <w:rPr>
          <w:rFonts w:ascii="arial" w:hAnsi="arial"/>
          <w:sz w:val="19"/>
        </w:rPr>
      </w:pPr>
      <w:r>
        <w:rPr>
          <w:rFonts w:ascii="arial" w:hAnsi="arial"/>
          <w:sz w:val="19"/>
        </w:rPr>
        <w:t xml:space="preserve">Our Board consists of a diverse group of highly qualified leaders in their respective fields. All of our director nominees have senior leadership experience at large organizations and have gained significant and wide-ranging management experience (including strategic and financial planning, public company financial reporting, compliance, risk management, and leadership development). Many of our director nominees also have public company experience (serving as chief executive officers or chief financial officers, on boards of directors and board committees), an understanding of corporate governance practices and trends, and bring unique perspectives to the Board. A number of our director nominees have extensive scientific and healthcare expertise relevant to our industry, including pioneering scientific research and experience leading important academic and healthcare institutions. The Board and the Governance Committee believe the skills, qualities, attributes, experience and diversity of our director nominees provide us with a wide range of perspectives to address our evolving needs and represent the best interests of our stockholders. </w:t>
      </w:r>
    </w:p>
    <w:p>
      <w:pPr>
        <w:pStyle w:val="TextBody"/>
        <w:bidi w:val="0"/>
        <w:spacing w:before="120" w:after="0"/>
        <w:jc w:val="both"/>
        <w:rPr>
          <w:rFonts w:ascii="arial" w:hAnsi="arial"/>
          <w:sz w:val="19"/>
        </w:rPr>
      </w:pPr>
      <w:r>
        <w:rPr>
          <w:rFonts w:ascii="arial" w:hAnsi="arial"/>
          <w:b/>
          <w:i/>
          <w:color w:val="0171B9"/>
          <w:sz w:val="19"/>
        </w:rPr>
        <w:t>Our Board possesses a deep and broad set of skills and experiences that facilitate strong oversight and strategic direction for a leading global innovator in biotechnology.</w:t>
      </w:r>
      <w:r>
        <w:rPr>
          <w:rFonts w:ascii="arial" w:hAnsi="arial"/>
          <w:sz w:val="19"/>
        </w:rPr>
        <w:t xml:space="preserve"> The following chart summarizes the competencies of each director nominee. The details of each nominee’s competencies are included in each nominee’s biography.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both"/>
        <w:rPr/>
      </w:pPr>
      <w:r>
        <w:rPr/>
        <w:drawing>
          <wp:inline distT="0" distB="0" distL="0" distR="0">
            <wp:extent cx="7810500" cy="2762250"/>
            <wp:effectExtent l="0" t="0" r="0" b="0"/>
            <wp:docPr id="3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6" descr=""/>
                    <pic:cNvPicPr>
                      <a:picLocks noChangeAspect="1" noChangeArrowheads="1"/>
                    </pic:cNvPicPr>
                  </pic:nvPicPr>
                  <pic:blipFill>
                    <a:blip r:embed="rId27"/>
                    <a:stretch>
                      <a:fillRect/>
                    </a:stretch>
                  </pic:blipFill>
                  <pic:spPr bwMode="auto">
                    <a:xfrm>
                      <a:off x="0" y="0"/>
                      <a:ext cx="7810500" cy="2762250"/>
                    </a:xfrm>
                    <a:prstGeom prst="rect">
                      <a:avLst/>
                    </a:prstGeom>
                  </pic:spPr>
                </pic:pic>
              </a:graphicData>
            </a:graphic>
          </wp:inline>
        </w:drawing>
      </w:r>
      <w:r>
        <w:rPr/>
        <w:t xml:space="preserve"> </w:t>
      </w:r>
    </w:p>
    <w:p>
      <w:pPr>
        <w:pStyle w:val="TextBody"/>
        <w:bidi w:val="0"/>
        <w:spacing w:before="240" w:after="0"/>
        <w:jc w:val="both"/>
        <w:rPr>
          <w:rFonts w:ascii="arial" w:hAnsi="arial"/>
          <w:sz w:val="19"/>
        </w:rPr>
      </w:pPr>
      <w:r>
        <w:rPr>
          <w:rFonts w:ascii="arial" w:hAnsi="arial"/>
          <w:sz w:val="19"/>
        </w:rPr>
        <w:t xml:space="preserve">The lack of a “✓” for a particular item does not mean that the director nominee does not possess that qualification, characteristic, skill, or experience. Each of our Board members have experience and/or skills in the enumerated areas, however, the ✓ is designed to indicate that a director nominee has a particular strength in that area. </w:t>
      </w:r>
    </w:p>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3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7" descr=""/>
                    <pic:cNvPicPr>
                      <a:picLocks noChangeAspect="1" noChangeArrowheads="1"/>
                    </pic:cNvPicPr>
                  </pic:nvPicPr>
                  <pic:blipFill>
                    <a:blip r:embed="rId28"/>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9</w:t>
      </w:r>
      <w:r>
        <w:rPr>
          <w:rFonts w:ascii="arial" w:hAnsi="arial"/>
          <w:b/>
          <w:sz w:val="22"/>
        </w:rPr>
        <w:t xml:space="preserve"> </w:t>
      </w:r>
      <w:r>
        <w:br w:type="page"/>
      </w:r>
    </w:p>
    <w:p>
      <w:pPr>
        <w:pStyle w:val="HorizontalLine"/>
        <w:bidi w:val="0"/>
        <w:jc w:val="left"/>
        <w:rPr/>
      </w:pPr>
      <w:r>
        <w:rPr/>
      </w:r>
    </w:p>
    <w:tbl>
      <w:tblPr>
        <w:tblW w:w="383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335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335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Item 1 — Election of Directors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both"/>
        <w:rPr>
          <w:rFonts w:ascii="arial" w:hAnsi="arial"/>
          <w:b/>
          <w:color w:val="0171B9"/>
          <w:sz w:val="19"/>
        </w:rPr>
      </w:pPr>
      <w:r>
        <w:rPr>
          <w:rFonts w:ascii="arial" w:hAnsi="arial"/>
          <w:b/>
          <w:color w:val="0171B9"/>
          <w:sz w:val="19"/>
        </w:rPr>
        <w:t xml:space="preserve">THE BOARD OF DIRECTORS RECOMMENDS A VOTE “FOR” EACH OF THE NAMED NOMINEES. PROXIES WILL BE VOTED “FOR” THE ELECTION OF THE NOMINEES UNLESS OTHERWISE SPECIFIED. </w:t>
      </w:r>
    </w:p>
    <w:p>
      <w:pPr>
        <w:pStyle w:val="TextBody"/>
        <w:bidi w:val="0"/>
        <w:spacing w:before="120" w:after="0"/>
        <w:jc w:val="both"/>
        <w:rPr>
          <w:rFonts w:ascii="arial" w:hAnsi="arial"/>
          <w:sz w:val="20"/>
        </w:rPr>
      </w:pPr>
      <w:r>
        <w:rPr>
          <w:rFonts w:ascii="arial" w:hAnsi="arial"/>
          <w:sz w:val="20"/>
        </w:rPr>
        <w:t xml:space="preserve">Set forth below is biographical information for each nominee and a summary of the specific qualifications, attributes, skills, and experiences which led our Board to conclude that each nominee should serve on the Board at this time. All of our director nominees meet the qualifications and skills of our Amgen Inc. Board of Directors Guidelines for Director Qualifications and Evaluations included in this proxy statement as </w:t>
      </w:r>
      <w:r>
        <w:rPr>
          <w:rFonts w:ascii="arial" w:hAnsi="arial"/>
          <w:b/>
          <w:sz w:val="20"/>
        </w:rPr>
        <w:t>Appendix A</w:t>
      </w:r>
      <w:r>
        <w:rPr>
          <w:rFonts w:ascii="arial" w:hAnsi="arial"/>
          <w:sz w:val="20"/>
        </w:rPr>
        <w:t xml:space="preserve">. There are no family relationships among any of our director nominees or among any of our director nominees and our executive officers.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54"/>
        <w:gridCol w:w="60"/>
        <w:gridCol w:w="60"/>
        <w:gridCol w:w="60"/>
        <w:gridCol w:w="8571"/>
      </w:tblGrid>
      <w:tr>
        <w:trPr/>
        <w:tc>
          <w:tcPr>
            <w:tcW w:w="1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71" w:type="dxa"/>
            <w:tcBorders/>
            <w:vAlign w:val="center"/>
          </w:tcPr>
          <w:p>
            <w:pPr>
              <w:pStyle w:val="TableContents"/>
              <w:bidi w:val="0"/>
              <w:spacing w:before="0" w:after="283"/>
              <w:jc w:val="left"/>
              <w:rPr>
                <w:sz w:val="4"/>
                <w:szCs w:val="4"/>
              </w:rPr>
            </w:pPr>
            <w:r>
              <w:rPr>
                <w:sz w:val="4"/>
                <w:szCs w:val="4"/>
              </w:rPr>
            </w:r>
          </w:p>
        </w:tc>
      </w:tr>
      <w:tr>
        <w:trPr/>
        <w:tc>
          <w:tcPr>
            <w:tcW w:w="1454" w:type="dxa"/>
            <w:tcBorders>
              <w:top w:val="single" w:sz="12" w:space="0" w:color="0171B9"/>
            </w:tcBorders>
            <w:shd w:fill="B2D4EA" w:val="clear"/>
            <w:tcMar>
              <w:top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i/>
                <w:color w:val="0171B9"/>
                <w:sz w:val="28"/>
              </w:rPr>
            </w:pPr>
            <w:r>
              <w:rPr>
                <w:rFonts w:ascii="arial" w:hAnsi="arial"/>
                <w:b/>
                <w:i/>
                <w:color w:val="0171B9"/>
                <w:sz w:val="28"/>
              </w:rPr>
              <w:t>Wanda M. Austin</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84455" cy="116205"/>
                  <wp:effectExtent l="0" t="0" r="0" b="0"/>
                  <wp:docPr id="3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8" descr=""/>
                          <pic:cNvPicPr>
                            <a:picLocks noChangeAspect="1" noChangeArrowheads="1"/>
                          </pic:cNvPicPr>
                        </pic:nvPicPr>
                        <pic:blipFill>
                          <a:blip r:embed="rId29"/>
                          <a:stretch>
                            <a:fillRect/>
                          </a:stretch>
                        </pic:blipFill>
                        <pic:spPr bwMode="auto">
                          <a:xfrm>
                            <a:off x="0" y="0"/>
                            <a:ext cx="84455" cy="11620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sz w:val="19"/>
              </w:rPr>
            </w:pPr>
            <w:r>
              <w:rPr>
                <w:rFonts w:ascii="arial" w:hAnsi="arial"/>
                <w:b/>
                <w:sz w:val="19"/>
              </w:rPr>
              <w:t>Director since:</w:t>
            </w:r>
            <w:r>
              <w:rPr>
                <w:rFonts w:ascii="arial" w:hAnsi="arial"/>
                <w:sz w:val="19"/>
              </w:rPr>
              <w:t xml:space="preserve"> 2017</w:t>
            </w:r>
          </w:p>
          <w:p>
            <w:pPr>
              <w:pStyle w:val="TableContents"/>
              <w:bidi w:val="0"/>
              <w:spacing w:before="0" w:after="0"/>
              <w:jc w:val="left"/>
              <w:rPr/>
            </w:pPr>
            <w:r>
              <w:rPr/>
              <w:t> </w:t>
            </w:r>
          </w:p>
          <w:p>
            <w:pPr>
              <w:pStyle w:val="TableContents"/>
              <w:bidi w:val="0"/>
              <w:spacing w:before="0" w:after="0"/>
              <w:jc w:val="left"/>
              <w:rPr>
                <w:rFonts w:ascii="arial" w:hAnsi="arial"/>
                <w:sz w:val="19"/>
              </w:rPr>
            </w:pPr>
            <w:r>
              <w:rPr>
                <w:rFonts w:ascii="arial" w:hAnsi="arial"/>
                <w:b/>
                <w:sz w:val="19"/>
              </w:rPr>
              <w:t>Age:</w:t>
            </w:r>
            <w:r>
              <w:rPr>
                <w:rFonts w:ascii="arial" w:hAnsi="arial"/>
                <w:sz w:val="19"/>
              </w:rPr>
              <w:t xml:space="preserve"> 69</w:t>
            </w:r>
          </w:p>
          <w:p>
            <w:pPr>
              <w:pStyle w:val="TableContents"/>
              <w:bidi w:val="0"/>
              <w:spacing w:before="0" w:after="0"/>
              <w:jc w:val="left"/>
              <w:rPr/>
            </w:pPr>
            <w:r>
              <w:rPr/>
              <w:t> </w:t>
            </w:r>
          </w:p>
          <w:p>
            <w:pPr>
              <w:pStyle w:val="TableContents"/>
              <w:bidi w:val="0"/>
              <w:spacing w:before="0" w:after="0"/>
              <w:jc w:val="left"/>
              <w:rPr>
                <w:rFonts w:ascii="arial" w:hAnsi="arial"/>
                <w:b/>
                <w:sz w:val="19"/>
              </w:rPr>
            </w:pPr>
            <w:r>
              <w:rPr>
                <w:rFonts w:ascii="arial" w:hAnsi="arial"/>
                <w:b/>
                <w:sz w:val="19"/>
              </w:rPr>
              <w:t>Committees:</w:t>
            </w:r>
          </w:p>
          <w:p>
            <w:pPr>
              <w:pStyle w:val="TableContents"/>
              <w:bidi w:val="0"/>
              <w:spacing w:before="0" w:after="0"/>
              <w:jc w:val="left"/>
              <w:rPr/>
            </w:pPr>
            <w:r>
              <w:rPr>
                <w:color w:val="0171B9"/>
              </w:rPr>
              <w:t>•</w:t>
            </w:r>
            <w:r>
              <w:rPr/>
              <w:t> </w:t>
            </w:r>
            <w:r>
              <w:rPr>
                <w:rFonts w:ascii="arial" w:hAnsi="arial"/>
                <w:sz w:val="19"/>
              </w:rPr>
              <w:t>Audit</w:t>
            </w:r>
          </w:p>
          <w:p>
            <w:pPr>
              <w:pStyle w:val="TableContents"/>
              <w:bidi w:val="0"/>
              <w:spacing w:before="0" w:after="0"/>
              <w:jc w:val="left"/>
              <w:rPr/>
            </w:pPr>
            <w:r>
              <w:rPr>
                <w:color w:val="0171B9"/>
              </w:rPr>
              <w:t>•</w:t>
            </w:r>
            <w:r>
              <w:rPr/>
              <w:t> </w:t>
            </w:r>
            <w:r>
              <w:rPr>
                <w:rFonts w:ascii="arial" w:hAnsi="arial"/>
                <w:sz w:val="19"/>
              </w:rPr>
              <w:t>Compensation and Management Development</w:t>
            </w:r>
          </w:p>
          <w:p>
            <w:pPr>
              <w:pStyle w:val="TableContents"/>
              <w:bidi w:val="0"/>
              <w:spacing w:before="0" w:after="0"/>
              <w:jc w:val="left"/>
              <w:rPr/>
            </w:pPr>
            <w:r>
              <w:rPr/>
              <w:t> </w:t>
            </w:r>
          </w:p>
          <w:p>
            <w:pPr>
              <w:pStyle w:val="TableContents"/>
              <w:bidi w:val="0"/>
              <w:spacing w:before="0" w:after="0"/>
              <w:jc w:val="left"/>
              <w:rPr>
                <w:rFonts w:ascii="arial" w:hAnsi="arial"/>
                <w:b/>
                <w:sz w:val="19"/>
              </w:rPr>
            </w:pPr>
            <w:r>
              <w:rPr>
                <w:rFonts w:ascii="arial" w:hAnsi="arial"/>
                <w:b/>
                <w:sz w:val="19"/>
              </w:rPr>
              <w:t>Other Public Company Boards:</w:t>
            </w:r>
          </w:p>
          <w:p>
            <w:pPr>
              <w:pStyle w:val="TableContents"/>
              <w:bidi w:val="0"/>
              <w:spacing w:before="0" w:after="0"/>
              <w:jc w:val="left"/>
              <w:rPr/>
            </w:pPr>
            <w:r>
              <w:rPr>
                <w:color w:val="0171B9"/>
              </w:rPr>
              <w:t>•</w:t>
            </w:r>
            <w:r>
              <w:rPr/>
              <w:t> </w:t>
            </w:r>
            <w:r>
              <w:rPr>
                <w:rFonts w:ascii="arial" w:hAnsi="arial"/>
                <w:sz w:val="19"/>
              </w:rPr>
              <w:t>Apple Inc.</w:t>
            </w:r>
          </w:p>
          <w:p>
            <w:pPr>
              <w:pStyle w:val="TableContents"/>
              <w:bidi w:val="0"/>
              <w:spacing w:before="0" w:after="0"/>
              <w:jc w:val="left"/>
              <w:rPr/>
            </w:pPr>
            <w:r>
              <w:rPr>
                <w:color w:val="0171B9"/>
              </w:rPr>
              <w:t>•</w:t>
            </w:r>
            <w:r>
              <w:rPr/>
              <w:t> </w:t>
            </w:r>
            <w:r>
              <w:rPr>
                <w:rFonts w:ascii="arial" w:hAnsi="arial"/>
                <w:sz w:val="19"/>
              </w:rPr>
              <w:t>Chevron Corporation</w:t>
            </w:r>
          </w:p>
          <w:p>
            <w:pPr>
              <w:pStyle w:val="TableContents"/>
              <w:bidi w:val="0"/>
              <w:spacing w:before="0" w:after="20"/>
              <w:jc w:val="left"/>
              <w:rPr/>
            </w:pPr>
            <w:r>
              <w:rPr/>
              <w:t> </w:t>
            </w:r>
          </w:p>
        </w:tc>
        <w:tc>
          <w:tcPr>
            <w:tcW w:w="60" w:type="dxa"/>
            <w:tcBorders>
              <w:top w:val="single" w:sz="12" w:space="0" w:color="0171B9"/>
            </w:tcBorders>
            <w:tcMar>
              <w:top w:w="28" w:type="dxa"/>
            </w:tcMar>
            <w:vAlign w:val="center"/>
          </w:tcPr>
          <w:p>
            <w:pPr>
              <w:pStyle w:val="TableContents"/>
              <w:bidi w:val="0"/>
              <w:spacing w:before="0" w:after="283"/>
              <w:jc w:val="left"/>
              <w:rPr/>
            </w:pPr>
            <w:r>
              <w:rPr/>
              <w:t> </w:t>
            </w:r>
          </w:p>
        </w:tc>
        <w:tc>
          <w:tcPr>
            <w:tcW w:w="60" w:type="dxa"/>
            <w:tcBorders>
              <w:top w:val="single" w:sz="12" w:space="0" w:color="0171B9"/>
            </w:tcBorders>
            <w:tcMar>
              <w:top w:w="28" w:type="dxa"/>
            </w:tcMar>
            <w:vAlign w:val="center"/>
          </w:tcPr>
          <w:p>
            <w:pPr>
              <w:pStyle w:val="TableContents"/>
              <w:bidi w:val="0"/>
              <w:spacing w:before="0" w:after="283"/>
              <w:jc w:val="left"/>
              <w:rPr/>
            </w:pPr>
            <w:r>
              <w:rPr/>
              <w:t> </w:t>
            </w:r>
          </w:p>
        </w:tc>
        <w:tc>
          <w:tcPr>
            <w:tcW w:w="60" w:type="dxa"/>
            <w:tcBorders>
              <w:top w:val="single" w:sz="12" w:space="0" w:color="0171B9"/>
            </w:tcBorders>
            <w:tcMar>
              <w:top w:w="28" w:type="dxa"/>
            </w:tcMar>
            <w:vAlign w:val="center"/>
          </w:tcPr>
          <w:p>
            <w:pPr>
              <w:pStyle w:val="TableContents"/>
              <w:bidi w:val="0"/>
              <w:spacing w:before="0" w:after="283"/>
              <w:jc w:val="left"/>
              <w:rPr/>
            </w:pPr>
            <w:r>
              <w:rPr/>
              <w:t> </w:t>
            </w:r>
          </w:p>
        </w:tc>
        <w:tc>
          <w:tcPr>
            <w:tcW w:w="8571" w:type="dxa"/>
            <w:tcBorders>
              <w:top w:val="single" w:sz="12" w:space="0" w:color="0171B9"/>
            </w:tcBorders>
            <w:tcMar>
              <w:top w:w="28" w:type="dxa"/>
            </w:tcMar>
            <w:vAlign w:val="center"/>
          </w:tcPr>
          <w:p>
            <w:pPr>
              <w:pStyle w:val="TableContents"/>
              <w:bidi w:val="0"/>
              <w:spacing w:before="0" w:after="0"/>
              <w:jc w:val="left"/>
              <w:rPr/>
            </w:pPr>
            <w:r>
              <w:rPr/>
              <w:t> </w:t>
            </w:r>
          </w:p>
          <w:p>
            <w:pPr>
              <w:pStyle w:val="TableContents"/>
              <w:bidi w:val="0"/>
              <w:spacing w:before="0" w:after="0"/>
              <w:jc w:val="both"/>
              <w:rPr>
                <w:rFonts w:ascii="arial" w:hAnsi="arial"/>
                <w:sz w:val="19"/>
              </w:rPr>
            </w:pPr>
            <w:r>
              <w:rPr>
                <w:rFonts w:ascii="arial" w:hAnsi="arial"/>
                <w:sz w:val="19"/>
              </w:rPr>
              <w:t>Wanda M. Austin is the retired President and Chief Executive Officer of The Aerospace Corporation, a leading architect of the United States’ national security space programs, where she served from 2008 until her retirement in 2016. From 2004 to 2007, Dr. Austin was Senior Vice President, National Systems Group of The Aerospace Corporation. Dr. Austin joined The Aerospace Corporation in 1979 and served in various positions from 1979 until 2004.</w:t>
            </w:r>
          </w:p>
          <w:p>
            <w:pPr>
              <w:pStyle w:val="TableContents"/>
              <w:bidi w:val="0"/>
              <w:spacing w:before="0" w:after="0"/>
              <w:jc w:val="left"/>
              <w:rPr/>
            </w:pPr>
            <w:r>
              <w:rPr/>
              <w:t> </w:t>
            </w:r>
          </w:p>
          <w:p>
            <w:pPr>
              <w:pStyle w:val="TableContents"/>
              <w:bidi w:val="0"/>
              <w:spacing w:before="0" w:after="0"/>
              <w:jc w:val="both"/>
              <w:rPr>
                <w:rFonts w:ascii="arial" w:hAnsi="arial"/>
                <w:sz w:val="19"/>
              </w:rPr>
            </w:pPr>
            <w:r>
              <w:rPr>
                <w:rFonts w:ascii="arial" w:hAnsi="arial"/>
                <w:sz w:val="19"/>
              </w:rPr>
              <w:t>Dr. Austin was the Interim President of the University of Southern California, or USC, from 2018 to 2019 and has served as an Adjunct Research Professor at USC’s Viterbi School of Engineering since 2007. She is the co-founder of MakingSpace, Inc., where she serves as a motivational speaker on science, technology, engineering, and mathematics (STEM) education. Dr Austin has been a director of Apple Inc. since February 2024, serving on its Audit and Finance Committee. Dr. Austin has been a director of Chevron Corporation, a petroleum, exploration, production and refining company, since 2016 and lead independent director since May 2022, serving as the Chair of the Board Nominating and Governance Committee and a member of the Management Compensation Committee. Dr. Austin served as a director of Virgin Galactic Holdings, Inc., a commercial space flight company, from 2019 until August 2023, serving as the Chair of the Compensation Committee and a member of the Safety Committee. Dr. Austin is a life trustee of USC, having served as a voting trustee from 2010 to 2021, and previously served on the boards of directors of the National Geographic Society and the Space Foundation. Dr. Austin received an undergraduate degree from Franklin &amp; Marshall College, a master’s degree from the University of Pittsburgh, and a doctorate from USC. She is a member of the National Academy of Engineering.</w:t>
            </w:r>
          </w:p>
          <w:p>
            <w:pPr>
              <w:pStyle w:val="TableContents"/>
              <w:bidi w:val="0"/>
              <w:spacing w:before="0" w:after="0"/>
              <w:jc w:val="left"/>
              <w:rPr/>
            </w:pPr>
            <w:r>
              <w:rPr/>
              <w:t> </w:t>
            </w:r>
          </w:p>
          <w:p>
            <w:pPr>
              <w:pStyle w:val="TableContents"/>
              <w:bidi w:val="0"/>
              <w:spacing w:before="0" w:after="0"/>
              <w:jc w:val="both"/>
              <w:rPr>
                <w:rFonts w:ascii="arial" w:hAnsi="arial"/>
                <w:b/>
                <w:color w:val="0171B9"/>
                <w:sz w:val="19"/>
              </w:rPr>
            </w:pPr>
            <w:r>
              <w:rPr>
                <w:rFonts w:ascii="arial" w:hAnsi="arial"/>
                <w:b/>
                <w:color w:val="0171B9"/>
                <w:sz w:val="19"/>
              </w:rPr>
              <w:t>Qualifications</w:t>
            </w:r>
          </w:p>
          <w:p>
            <w:pPr>
              <w:pStyle w:val="TableContents"/>
              <w:bidi w:val="0"/>
              <w:spacing w:before="0" w:after="0"/>
              <w:jc w:val="left"/>
              <w:rPr/>
            </w:pPr>
            <w:r>
              <w:rPr/>
              <w:t> </w:t>
            </w:r>
          </w:p>
          <w:p>
            <w:pPr>
              <w:pStyle w:val="TableContents"/>
              <w:bidi w:val="0"/>
              <w:spacing w:before="0" w:after="20"/>
              <w:jc w:val="both"/>
              <w:rPr>
                <w:rFonts w:ascii="arial" w:hAnsi="arial"/>
                <w:sz w:val="19"/>
              </w:rPr>
            </w:pPr>
            <w:r>
              <w:rPr>
                <w:rFonts w:ascii="arial" w:hAnsi="arial"/>
                <w:sz w:val="19"/>
              </w:rPr>
              <w:t>Our Board concluded that Dr. Austin should serve on our Board based on her leadership and management experience as a chief executive officer, her extensive background in science, technology, and government affairs in a highly regulated industry, and her board experience, including leadership roles at public company boards with global business operations.</w:t>
            </w:r>
          </w:p>
        </w:tc>
      </w:tr>
    </w:tbl>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10  </w:t>
      </w:r>
      <w:r>
        <w:rPr>
          <w:rFonts w:ascii="arial" w:hAnsi="arial"/>
          <w:b/>
          <w:color w:val="474747"/>
          <w:sz w:val="22"/>
        </w:rPr>
        <w:drawing>
          <wp:inline distT="0" distB="0" distL="0" distR="0">
            <wp:extent cx="64770" cy="15240"/>
            <wp:effectExtent l="0" t="0" r="0" b="0"/>
            <wp:docPr id="37"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9" descr=""/>
                    <pic:cNvPicPr>
                      <a:picLocks noChangeAspect="1" noChangeArrowheads="1"/>
                    </pic:cNvPicPr>
                  </pic:nvPicPr>
                  <pic:blipFill>
                    <a:blip r:embed="rId30"/>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383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335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335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Item 1 — Election of Directors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81"/>
        <w:gridCol w:w="60"/>
        <w:gridCol w:w="60"/>
        <w:gridCol w:w="60"/>
        <w:gridCol w:w="8244"/>
      </w:tblGrid>
      <w:tr>
        <w:trPr/>
        <w:tc>
          <w:tcPr>
            <w:tcW w:w="17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44" w:type="dxa"/>
            <w:tcBorders/>
            <w:vAlign w:val="center"/>
          </w:tcPr>
          <w:p>
            <w:pPr>
              <w:pStyle w:val="TableContents"/>
              <w:bidi w:val="0"/>
              <w:spacing w:before="0" w:after="283"/>
              <w:jc w:val="left"/>
              <w:rPr>
                <w:sz w:val="4"/>
                <w:szCs w:val="4"/>
              </w:rPr>
            </w:pPr>
            <w:r>
              <w:rPr>
                <w:sz w:val="4"/>
                <w:szCs w:val="4"/>
              </w:rPr>
            </w:r>
          </w:p>
        </w:tc>
      </w:tr>
      <w:tr>
        <w:trPr/>
        <w:tc>
          <w:tcPr>
            <w:tcW w:w="1781" w:type="dxa"/>
            <w:tcBorders>
              <w:top w:val="single" w:sz="12" w:space="0" w:color="0171B9"/>
            </w:tcBorders>
            <w:shd w:fill="B2D4EA" w:val="clear"/>
            <w:tcMar>
              <w:top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i/>
                <w:color w:val="0171B9"/>
                <w:sz w:val="28"/>
              </w:rPr>
            </w:pPr>
            <w:r>
              <w:rPr>
                <w:rFonts w:ascii="arial" w:hAnsi="arial"/>
                <w:b/>
                <w:i/>
                <w:color w:val="0171B9"/>
                <w:sz w:val="28"/>
              </w:rPr>
              <w:t>Robert A. Bradway</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85725" cy="116205"/>
                  <wp:effectExtent l="0" t="0" r="0" b="0"/>
                  <wp:docPr id="3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0" descr=""/>
                          <pic:cNvPicPr>
                            <a:picLocks noChangeAspect="1" noChangeArrowheads="1"/>
                          </pic:cNvPicPr>
                        </pic:nvPicPr>
                        <pic:blipFill>
                          <a:blip r:embed="rId31"/>
                          <a:stretch>
                            <a:fillRect/>
                          </a:stretch>
                        </pic:blipFill>
                        <pic:spPr bwMode="auto">
                          <a:xfrm>
                            <a:off x="0" y="0"/>
                            <a:ext cx="85725" cy="11620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sz w:val="19"/>
              </w:rPr>
            </w:pPr>
            <w:r>
              <w:rPr>
                <w:rFonts w:ascii="arial" w:hAnsi="arial"/>
                <w:b/>
                <w:sz w:val="19"/>
              </w:rPr>
              <w:t>Director since:</w:t>
            </w:r>
            <w:r>
              <w:rPr>
                <w:rFonts w:ascii="arial" w:hAnsi="arial"/>
                <w:sz w:val="19"/>
              </w:rPr>
              <w:t xml:space="preserve"> 2011</w:t>
            </w:r>
          </w:p>
          <w:p>
            <w:pPr>
              <w:pStyle w:val="TableContents"/>
              <w:bidi w:val="0"/>
              <w:spacing w:before="0" w:after="0"/>
              <w:jc w:val="left"/>
              <w:rPr/>
            </w:pPr>
            <w:r>
              <w:rPr/>
              <w:t> </w:t>
            </w:r>
          </w:p>
          <w:p>
            <w:pPr>
              <w:pStyle w:val="TableContents"/>
              <w:bidi w:val="0"/>
              <w:spacing w:before="0" w:after="0"/>
              <w:jc w:val="left"/>
              <w:rPr>
                <w:rFonts w:ascii="arial" w:hAnsi="arial"/>
                <w:sz w:val="19"/>
              </w:rPr>
            </w:pPr>
            <w:r>
              <w:rPr>
                <w:rFonts w:ascii="arial" w:hAnsi="arial"/>
                <w:b/>
                <w:sz w:val="19"/>
              </w:rPr>
              <w:t>Age:</w:t>
            </w:r>
            <w:r>
              <w:rPr>
                <w:rFonts w:ascii="arial" w:hAnsi="arial"/>
                <w:sz w:val="19"/>
              </w:rPr>
              <w:t xml:space="preserve"> 61</w:t>
            </w:r>
          </w:p>
          <w:p>
            <w:pPr>
              <w:pStyle w:val="TableContents"/>
              <w:bidi w:val="0"/>
              <w:spacing w:before="0" w:after="0"/>
              <w:jc w:val="left"/>
              <w:rPr/>
            </w:pPr>
            <w:r>
              <w:rPr/>
              <w:t> </w:t>
            </w:r>
          </w:p>
          <w:p>
            <w:pPr>
              <w:pStyle w:val="TableContents"/>
              <w:bidi w:val="0"/>
              <w:spacing w:before="0" w:after="0"/>
              <w:jc w:val="left"/>
              <w:rPr>
                <w:rFonts w:ascii="arial" w:hAnsi="arial"/>
                <w:b/>
                <w:sz w:val="19"/>
              </w:rPr>
            </w:pPr>
            <w:r>
              <w:rPr>
                <w:rFonts w:ascii="arial" w:hAnsi="arial"/>
                <w:b/>
                <w:sz w:val="19"/>
              </w:rPr>
              <w:t>Committees:</w:t>
            </w:r>
          </w:p>
          <w:p>
            <w:pPr>
              <w:pStyle w:val="TableContents"/>
              <w:bidi w:val="0"/>
              <w:spacing w:before="0" w:after="0"/>
              <w:jc w:val="left"/>
              <w:rPr/>
            </w:pPr>
            <w:r>
              <w:rPr>
                <w:color w:val="0171B9"/>
              </w:rPr>
              <w:t>•</w:t>
            </w:r>
            <w:r>
              <w:rPr/>
              <w:t>  </w:t>
            </w:r>
            <w:r>
              <w:rPr>
                <w:rFonts w:ascii="arial" w:hAnsi="arial"/>
                <w:sz w:val="19"/>
              </w:rPr>
              <w:t>Equity Award</w:t>
            </w:r>
          </w:p>
          <w:p>
            <w:pPr>
              <w:pStyle w:val="TableContents"/>
              <w:bidi w:val="0"/>
              <w:spacing w:before="0" w:after="0"/>
              <w:jc w:val="left"/>
              <w:rPr/>
            </w:pPr>
            <w:r>
              <w:rPr>
                <w:color w:val="0171B9"/>
              </w:rPr>
              <w:t>•</w:t>
            </w:r>
            <w:r>
              <w:rPr/>
              <w:t>  </w:t>
            </w:r>
            <w:r>
              <w:rPr>
                <w:rFonts w:ascii="arial" w:hAnsi="arial"/>
                <w:sz w:val="19"/>
              </w:rPr>
              <w:t>Executive (Chair)</w:t>
            </w:r>
          </w:p>
          <w:p>
            <w:pPr>
              <w:pStyle w:val="TableContents"/>
              <w:bidi w:val="0"/>
              <w:spacing w:before="0" w:after="0"/>
              <w:jc w:val="left"/>
              <w:rPr/>
            </w:pPr>
            <w:r>
              <w:rPr/>
              <w:t> </w:t>
            </w:r>
          </w:p>
          <w:p>
            <w:pPr>
              <w:pStyle w:val="TableContents"/>
              <w:bidi w:val="0"/>
              <w:spacing w:before="0" w:after="0"/>
              <w:jc w:val="left"/>
              <w:rPr>
                <w:rFonts w:ascii="arial" w:hAnsi="arial"/>
                <w:b/>
                <w:sz w:val="19"/>
              </w:rPr>
            </w:pPr>
            <w:r>
              <w:rPr>
                <w:rFonts w:ascii="arial" w:hAnsi="arial"/>
                <w:b/>
                <w:sz w:val="19"/>
              </w:rPr>
              <w:t>Other Public Company Boards:</w:t>
            </w:r>
          </w:p>
          <w:p>
            <w:pPr>
              <w:pStyle w:val="TableContents"/>
              <w:bidi w:val="0"/>
              <w:spacing w:before="0" w:after="0"/>
              <w:jc w:val="left"/>
              <w:rPr/>
            </w:pPr>
            <w:r>
              <w:rPr>
                <w:color w:val="0171B9"/>
              </w:rPr>
              <w:t>•</w:t>
            </w:r>
            <w:r>
              <w:rPr/>
              <w:t>  </w:t>
            </w:r>
            <w:r>
              <w:rPr>
                <w:rFonts w:ascii="arial" w:hAnsi="arial"/>
                <w:sz w:val="19"/>
              </w:rPr>
              <w:t>The Boeing Company</w:t>
            </w:r>
          </w:p>
          <w:p>
            <w:pPr>
              <w:pStyle w:val="TableContents"/>
              <w:bidi w:val="0"/>
              <w:spacing w:before="0" w:after="20"/>
              <w:jc w:val="left"/>
              <w:rPr/>
            </w:pPr>
            <w:r>
              <w:rPr/>
              <w:t> </w:t>
            </w:r>
          </w:p>
        </w:tc>
        <w:tc>
          <w:tcPr>
            <w:tcW w:w="60" w:type="dxa"/>
            <w:tcBorders>
              <w:top w:val="single" w:sz="12" w:space="0" w:color="0171B9"/>
            </w:tcBorders>
            <w:tcMar>
              <w:top w:w="28" w:type="dxa"/>
            </w:tcMar>
            <w:vAlign w:val="center"/>
          </w:tcPr>
          <w:p>
            <w:pPr>
              <w:pStyle w:val="TableContents"/>
              <w:bidi w:val="0"/>
              <w:spacing w:before="0" w:after="283"/>
              <w:jc w:val="left"/>
              <w:rPr/>
            </w:pPr>
            <w:r>
              <w:rPr/>
              <w:t> </w:t>
            </w:r>
          </w:p>
        </w:tc>
        <w:tc>
          <w:tcPr>
            <w:tcW w:w="60" w:type="dxa"/>
            <w:tcBorders>
              <w:top w:val="single" w:sz="12" w:space="0" w:color="0171B9"/>
            </w:tcBorders>
            <w:tcMar>
              <w:top w:w="28" w:type="dxa"/>
            </w:tcMar>
            <w:vAlign w:val="center"/>
          </w:tcPr>
          <w:p>
            <w:pPr>
              <w:pStyle w:val="TableContents"/>
              <w:bidi w:val="0"/>
              <w:spacing w:before="0" w:after="283"/>
              <w:jc w:val="left"/>
              <w:rPr/>
            </w:pPr>
            <w:r>
              <w:rPr/>
              <w:t> </w:t>
            </w:r>
          </w:p>
        </w:tc>
        <w:tc>
          <w:tcPr>
            <w:tcW w:w="60" w:type="dxa"/>
            <w:tcBorders>
              <w:top w:val="single" w:sz="12" w:space="0" w:color="0171B9"/>
            </w:tcBorders>
            <w:tcMar>
              <w:top w:w="28" w:type="dxa"/>
            </w:tcMar>
            <w:vAlign w:val="center"/>
          </w:tcPr>
          <w:p>
            <w:pPr>
              <w:pStyle w:val="TableContents"/>
              <w:bidi w:val="0"/>
              <w:spacing w:before="0" w:after="283"/>
              <w:jc w:val="left"/>
              <w:rPr/>
            </w:pPr>
            <w:r>
              <w:rPr/>
              <w:t> </w:t>
            </w:r>
          </w:p>
        </w:tc>
        <w:tc>
          <w:tcPr>
            <w:tcW w:w="8244" w:type="dxa"/>
            <w:tcBorders>
              <w:top w:val="single" w:sz="12" w:space="0" w:color="0171B9"/>
            </w:tcBorders>
            <w:tcMar>
              <w:top w:w="28" w:type="dxa"/>
            </w:tcMar>
            <w:vAlign w:val="center"/>
          </w:tcPr>
          <w:p>
            <w:pPr>
              <w:pStyle w:val="TableContents"/>
              <w:bidi w:val="0"/>
              <w:spacing w:before="0" w:after="0"/>
              <w:jc w:val="left"/>
              <w:rPr/>
            </w:pPr>
            <w:r>
              <w:rPr/>
              <w:t> </w:t>
            </w:r>
          </w:p>
          <w:p>
            <w:pPr>
              <w:pStyle w:val="TableContents"/>
              <w:bidi w:val="0"/>
              <w:spacing w:before="0" w:after="0"/>
              <w:jc w:val="both"/>
              <w:rPr>
                <w:rFonts w:ascii="arial" w:hAnsi="arial"/>
                <w:sz w:val="19"/>
              </w:rPr>
            </w:pPr>
            <w:r>
              <w:rPr>
                <w:rFonts w:ascii="arial" w:hAnsi="arial"/>
                <w:sz w:val="19"/>
              </w:rPr>
              <w:t>Robert A. Bradway has served as our director since 2011 and Chairman of the Board since 2013. Mr. Bradway has been our President since 2010 and Chief Executive Officer since 2012. From 2010 to 2012, Mr. Bradway served as our Chief Operating Officer. Mr. Bradway joined Amgen in 2006 as Vice President, Operations Strategy and served as Executive Vice President and Chief Financial Officer from 2007 to 2010. Prior to joining Amgen, he was a Managing Director at Morgan Stanley in London where, beginning in 2001, he had responsibility for the firm’s banking department and corporate finance activities in Europe.</w:t>
            </w:r>
          </w:p>
          <w:p>
            <w:pPr>
              <w:pStyle w:val="TableContents"/>
              <w:bidi w:val="0"/>
              <w:spacing w:before="0" w:after="0"/>
              <w:jc w:val="left"/>
              <w:rPr/>
            </w:pPr>
            <w:r>
              <w:rPr/>
              <w:t> </w:t>
            </w:r>
          </w:p>
          <w:p>
            <w:pPr>
              <w:pStyle w:val="TableContents"/>
              <w:bidi w:val="0"/>
              <w:spacing w:before="0" w:after="0"/>
              <w:jc w:val="both"/>
              <w:rPr>
                <w:rFonts w:ascii="arial" w:hAnsi="arial"/>
                <w:sz w:val="19"/>
              </w:rPr>
            </w:pPr>
            <w:r>
              <w:rPr>
                <w:rFonts w:ascii="arial" w:hAnsi="arial"/>
                <w:sz w:val="19"/>
              </w:rPr>
              <w:t>Mr. Bradway has been a director of The Boeing Company, an aerospace company and manufacturer of commercial airplanes, defense, space and securities systems, since 2016, serving as the Chair of the Finance Committee and a member of the Governance and Public Policy Committee. He has served on the board of trustees of the USC since 2014. Mr. Bradway holds a bachelor’s degree in biology from Amherst College and a master’s degree in business administration from Harvard Business School.</w:t>
            </w:r>
          </w:p>
          <w:p>
            <w:pPr>
              <w:pStyle w:val="TableContents"/>
              <w:bidi w:val="0"/>
              <w:spacing w:before="0" w:after="0"/>
              <w:jc w:val="left"/>
              <w:rPr/>
            </w:pPr>
            <w:r>
              <w:rPr/>
              <w:t> </w:t>
            </w:r>
          </w:p>
          <w:p>
            <w:pPr>
              <w:pStyle w:val="TableContents"/>
              <w:bidi w:val="0"/>
              <w:spacing w:before="0" w:after="0"/>
              <w:jc w:val="both"/>
              <w:rPr>
                <w:rFonts w:ascii="arial" w:hAnsi="arial"/>
                <w:b/>
                <w:color w:val="0171B9"/>
                <w:sz w:val="19"/>
              </w:rPr>
            </w:pPr>
            <w:r>
              <w:rPr>
                <w:rFonts w:ascii="arial" w:hAnsi="arial"/>
                <w:b/>
                <w:color w:val="0171B9"/>
                <w:sz w:val="19"/>
              </w:rPr>
              <w:t>Qualifications</w:t>
            </w:r>
          </w:p>
          <w:p>
            <w:pPr>
              <w:pStyle w:val="TableContents"/>
              <w:bidi w:val="0"/>
              <w:spacing w:before="0" w:after="0"/>
              <w:jc w:val="left"/>
              <w:rPr/>
            </w:pPr>
            <w:r>
              <w:rPr/>
              <w:t> </w:t>
            </w:r>
          </w:p>
          <w:p>
            <w:pPr>
              <w:pStyle w:val="TableContents"/>
              <w:bidi w:val="0"/>
              <w:spacing w:before="0" w:after="20"/>
              <w:jc w:val="both"/>
              <w:rPr>
                <w:rFonts w:ascii="arial" w:hAnsi="arial"/>
                <w:sz w:val="19"/>
              </w:rPr>
            </w:pPr>
            <w:r>
              <w:rPr>
                <w:rFonts w:ascii="arial" w:hAnsi="arial"/>
                <w:sz w:val="19"/>
              </w:rPr>
              <w:t>Our Board concluded that Mr. Bradway should serve on our Board based on his thorough knowledge of all aspects of our business, combined with his leadership and management skills having previously served as our President and Chief Operating Officer and as our Chief Financial Officer, and board experience at large, highly regulated public companies.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4"/>
        <w:gridCol w:w="60"/>
        <w:gridCol w:w="60"/>
        <w:gridCol w:w="60"/>
        <w:gridCol w:w="7601"/>
      </w:tblGrid>
      <w:tr>
        <w:trPr/>
        <w:tc>
          <w:tcPr>
            <w:tcW w:w="2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01" w:type="dxa"/>
            <w:tcBorders/>
            <w:vAlign w:val="center"/>
          </w:tcPr>
          <w:p>
            <w:pPr>
              <w:pStyle w:val="TableContents"/>
              <w:bidi w:val="0"/>
              <w:spacing w:before="0" w:after="283"/>
              <w:jc w:val="left"/>
              <w:rPr>
                <w:sz w:val="4"/>
                <w:szCs w:val="4"/>
              </w:rPr>
            </w:pPr>
            <w:r>
              <w:rPr>
                <w:sz w:val="4"/>
                <w:szCs w:val="4"/>
              </w:rPr>
            </w:r>
          </w:p>
        </w:tc>
      </w:tr>
      <w:tr>
        <w:trPr/>
        <w:tc>
          <w:tcPr>
            <w:tcW w:w="2424" w:type="dxa"/>
            <w:tcBorders>
              <w:top w:val="single" w:sz="12" w:space="0" w:color="0171B9"/>
            </w:tcBorders>
            <w:shd w:fill="B2D4EA" w:val="clear"/>
            <w:tcMar>
              <w:top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i/>
                <w:color w:val="0171B9"/>
                <w:sz w:val="28"/>
              </w:rPr>
            </w:pPr>
            <w:r>
              <w:rPr>
                <w:rFonts w:ascii="arial" w:hAnsi="arial"/>
                <w:b/>
                <w:i/>
                <w:color w:val="0171B9"/>
                <w:sz w:val="28"/>
              </w:rPr>
              <w:t>Michael V. Drake</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85725" cy="116840"/>
                  <wp:effectExtent l="0" t="0" r="0" b="0"/>
                  <wp:docPr id="3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1" descr=""/>
                          <pic:cNvPicPr>
                            <a:picLocks noChangeAspect="1" noChangeArrowheads="1"/>
                          </pic:cNvPicPr>
                        </pic:nvPicPr>
                        <pic:blipFill>
                          <a:blip r:embed="rId32"/>
                          <a:stretch>
                            <a:fillRect/>
                          </a:stretch>
                        </pic:blipFill>
                        <pic:spPr bwMode="auto">
                          <a:xfrm>
                            <a:off x="0" y="0"/>
                            <a:ext cx="85725" cy="11684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sz w:val="19"/>
              </w:rPr>
            </w:pPr>
            <w:r>
              <w:rPr>
                <w:rFonts w:ascii="arial" w:hAnsi="arial"/>
                <w:b/>
                <w:sz w:val="19"/>
              </w:rPr>
              <w:t>Director since:</w:t>
            </w:r>
            <w:r>
              <w:rPr>
                <w:rFonts w:ascii="arial" w:hAnsi="arial"/>
                <w:sz w:val="19"/>
              </w:rPr>
              <w:t xml:space="preserve"> 2022</w:t>
            </w:r>
          </w:p>
          <w:p>
            <w:pPr>
              <w:pStyle w:val="TableContents"/>
              <w:bidi w:val="0"/>
              <w:spacing w:before="0" w:after="0"/>
              <w:jc w:val="left"/>
              <w:rPr/>
            </w:pPr>
            <w:r>
              <w:rPr/>
              <w:t> </w:t>
            </w:r>
          </w:p>
          <w:p>
            <w:pPr>
              <w:pStyle w:val="TableContents"/>
              <w:bidi w:val="0"/>
              <w:spacing w:before="0" w:after="0"/>
              <w:jc w:val="left"/>
              <w:rPr>
                <w:rFonts w:ascii="arial" w:hAnsi="arial"/>
                <w:sz w:val="19"/>
              </w:rPr>
            </w:pPr>
            <w:r>
              <w:rPr>
                <w:rFonts w:ascii="arial" w:hAnsi="arial"/>
                <w:b/>
                <w:sz w:val="19"/>
              </w:rPr>
              <w:t>Age:</w:t>
            </w:r>
            <w:r>
              <w:rPr>
                <w:rFonts w:ascii="arial" w:hAnsi="arial"/>
                <w:sz w:val="19"/>
              </w:rPr>
              <w:t xml:space="preserve"> 73</w:t>
            </w:r>
          </w:p>
          <w:p>
            <w:pPr>
              <w:pStyle w:val="TableContents"/>
              <w:bidi w:val="0"/>
              <w:spacing w:before="0" w:after="0"/>
              <w:jc w:val="left"/>
              <w:rPr/>
            </w:pPr>
            <w:r>
              <w:rPr/>
              <w:t> </w:t>
            </w:r>
          </w:p>
          <w:p>
            <w:pPr>
              <w:pStyle w:val="TableContents"/>
              <w:bidi w:val="0"/>
              <w:spacing w:before="0" w:after="0"/>
              <w:jc w:val="left"/>
              <w:rPr>
                <w:rFonts w:ascii="arial" w:hAnsi="arial"/>
                <w:b/>
                <w:sz w:val="19"/>
              </w:rPr>
            </w:pPr>
            <w:r>
              <w:rPr>
                <w:rFonts w:ascii="arial" w:hAnsi="arial"/>
                <w:b/>
                <w:sz w:val="19"/>
              </w:rPr>
              <w:t>Committees:</w:t>
            </w:r>
          </w:p>
          <w:p>
            <w:pPr>
              <w:pStyle w:val="TableContents"/>
              <w:bidi w:val="0"/>
              <w:spacing w:before="0" w:after="0"/>
              <w:jc w:val="left"/>
              <w:rPr/>
            </w:pPr>
            <w:r>
              <w:rPr>
                <w:color w:val="0171B9"/>
              </w:rPr>
              <w:t>•</w:t>
            </w:r>
            <w:r>
              <w:rPr/>
              <w:t>  </w:t>
            </w:r>
            <w:r>
              <w:rPr>
                <w:rFonts w:ascii="arial" w:hAnsi="arial"/>
                <w:sz w:val="19"/>
              </w:rPr>
              <w:t>Corporate Responsibility and Compliance</w:t>
            </w:r>
          </w:p>
          <w:p>
            <w:pPr>
              <w:pStyle w:val="TableContents"/>
              <w:bidi w:val="0"/>
              <w:spacing w:before="0" w:after="0"/>
              <w:jc w:val="left"/>
              <w:rPr/>
            </w:pPr>
            <w:r>
              <w:rPr>
                <w:color w:val="0171B9"/>
              </w:rPr>
              <w:t>•</w:t>
            </w:r>
            <w:r>
              <w:rPr/>
              <w:t>  </w:t>
            </w:r>
            <w:r>
              <w:rPr>
                <w:rFonts w:ascii="arial" w:hAnsi="arial"/>
                <w:sz w:val="19"/>
              </w:rPr>
              <w:t>Governance and Nominating</w:t>
            </w:r>
          </w:p>
          <w:p>
            <w:pPr>
              <w:pStyle w:val="TableContents"/>
              <w:bidi w:val="0"/>
              <w:spacing w:before="0" w:after="0"/>
              <w:jc w:val="left"/>
              <w:rPr/>
            </w:pPr>
            <w:r>
              <w:rPr/>
              <w:t> </w:t>
            </w:r>
          </w:p>
          <w:p>
            <w:pPr>
              <w:pStyle w:val="TableContents"/>
              <w:bidi w:val="0"/>
              <w:spacing w:before="0" w:after="0"/>
              <w:jc w:val="left"/>
              <w:rPr>
                <w:rFonts w:ascii="arial" w:hAnsi="arial"/>
                <w:sz w:val="19"/>
              </w:rPr>
            </w:pPr>
            <w:r>
              <w:rPr>
                <w:rFonts w:ascii="arial" w:hAnsi="arial"/>
                <w:b/>
                <w:sz w:val="19"/>
              </w:rPr>
              <w:t>Other Public Company Boards:</w:t>
            </w:r>
            <w:r>
              <w:rPr>
                <w:rFonts w:ascii="arial" w:hAnsi="arial"/>
                <w:sz w:val="19"/>
              </w:rPr>
              <w:t xml:space="preserve"> None</w:t>
            </w:r>
          </w:p>
          <w:p>
            <w:pPr>
              <w:pStyle w:val="TableContents"/>
              <w:bidi w:val="0"/>
              <w:spacing w:before="0" w:after="20"/>
              <w:jc w:val="left"/>
              <w:rPr/>
            </w:pPr>
            <w:r>
              <w:rPr/>
              <w:t> </w:t>
            </w:r>
          </w:p>
        </w:tc>
        <w:tc>
          <w:tcPr>
            <w:tcW w:w="60" w:type="dxa"/>
            <w:tcBorders>
              <w:top w:val="single" w:sz="12" w:space="0" w:color="0171B9"/>
            </w:tcBorders>
            <w:tcMar>
              <w:top w:w="28" w:type="dxa"/>
            </w:tcMar>
            <w:vAlign w:val="center"/>
          </w:tcPr>
          <w:p>
            <w:pPr>
              <w:pStyle w:val="TableContents"/>
              <w:bidi w:val="0"/>
              <w:spacing w:before="0" w:after="283"/>
              <w:jc w:val="left"/>
              <w:rPr/>
            </w:pPr>
            <w:r>
              <w:rPr/>
              <w:t> </w:t>
            </w:r>
          </w:p>
        </w:tc>
        <w:tc>
          <w:tcPr>
            <w:tcW w:w="60" w:type="dxa"/>
            <w:tcBorders>
              <w:top w:val="single" w:sz="12" w:space="0" w:color="0171B9"/>
            </w:tcBorders>
            <w:tcMar>
              <w:top w:w="28" w:type="dxa"/>
            </w:tcMar>
            <w:vAlign w:val="center"/>
          </w:tcPr>
          <w:p>
            <w:pPr>
              <w:pStyle w:val="TableContents"/>
              <w:bidi w:val="0"/>
              <w:spacing w:before="0" w:after="283"/>
              <w:jc w:val="left"/>
              <w:rPr/>
            </w:pPr>
            <w:r>
              <w:rPr/>
              <w:t> </w:t>
            </w:r>
          </w:p>
        </w:tc>
        <w:tc>
          <w:tcPr>
            <w:tcW w:w="60" w:type="dxa"/>
            <w:tcBorders>
              <w:top w:val="single" w:sz="12" w:space="0" w:color="0171B9"/>
            </w:tcBorders>
            <w:tcMar>
              <w:top w:w="28" w:type="dxa"/>
            </w:tcMar>
            <w:vAlign w:val="center"/>
          </w:tcPr>
          <w:p>
            <w:pPr>
              <w:pStyle w:val="TableContents"/>
              <w:bidi w:val="0"/>
              <w:spacing w:before="0" w:after="283"/>
              <w:jc w:val="left"/>
              <w:rPr/>
            </w:pPr>
            <w:r>
              <w:rPr/>
              <w:t> </w:t>
            </w:r>
          </w:p>
        </w:tc>
        <w:tc>
          <w:tcPr>
            <w:tcW w:w="7601" w:type="dxa"/>
            <w:tcBorders>
              <w:top w:val="single" w:sz="12" w:space="0" w:color="0171B9"/>
            </w:tcBorders>
            <w:tcMar>
              <w:top w:w="28" w:type="dxa"/>
            </w:tcMar>
            <w:vAlign w:val="center"/>
          </w:tcPr>
          <w:p>
            <w:pPr>
              <w:pStyle w:val="TableContents"/>
              <w:bidi w:val="0"/>
              <w:spacing w:before="0" w:after="0"/>
              <w:jc w:val="left"/>
              <w:rPr/>
            </w:pPr>
            <w:r>
              <w:rPr/>
              <w:t> </w:t>
            </w:r>
          </w:p>
          <w:p>
            <w:pPr>
              <w:pStyle w:val="TableContents"/>
              <w:bidi w:val="0"/>
              <w:spacing w:before="0" w:after="0"/>
              <w:jc w:val="both"/>
              <w:rPr>
                <w:rFonts w:ascii="arial" w:hAnsi="arial"/>
                <w:sz w:val="19"/>
              </w:rPr>
            </w:pPr>
            <w:r>
              <w:rPr>
                <w:rFonts w:ascii="arial" w:hAnsi="arial"/>
                <w:sz w:val="19"/>
              </w:rPr>
              <w:t>Michael V. Drake has served as a director of the Company since August 2022. Dr. Drake has been President of the University of California, a system of 10 campuses, five medical centers, and three nationally affiliated labs that serves more than 280,000 students and employs 230,000 faculty and staff, since 2020. Dr. Drake previously served as President of The Ohio State University from 2014 to 2020. He was Chancellor and Distinguished Professor of Ophthalmology (School of Medicine) and Education (School of Education) of the University of California, Irvine, from 2005 to 2014, and served as Vice President for Health Affairs for the University of California system from 2000 to 2005. Prior to this, Dr. Drake was on the faculty of the University of California, San Francisco School of Medicine in various roles from 1979, and was the Steven P. Shearing Professor of Ophthalmology from 1998 to 2005 and Senior Associate Dean for Admissions and Extramural Academic Programs from 1998 to 2000. Dr. Drake received his undergraduate degree from Stanford University and his medical doctorate from the University of California, San Francisco.</w:t>
            </w:r>
          </w:p>
          <w:p>
            <w:pPr>
              <w:pStyle w:val="TableContents"/>
              <w:bidi w:val="0"/>
              <w:spacing w:before="0" w:after="0"/>
              <w:jc w:val="left"/>
              <w:rPr/>
            </w:pPr>
            <w:r>
              <w:rPr/>
              <w:t> </w:t>
            </w:r>
          </w:p>
          <w:p>
            <w:pPr>
              <w:pStyle w:val="TableContents"/>
              <w:bidi w:val="0"/>
              <w:spacing w:before="0" w:after="0"/>
              <w:jc w:val="both"/>
              <w:rPr>
                <w:rFonts w:ascii="arial" w:hAnsi="arial"/>
                <w:b/>
                <w:color w:val="0171B9"/>
                <w:sz w:val="19"/>
              </w:rPr>
            </w:pPr>
            <w:r>
              <w:rPr>
                <w:rFonts w:ascii="arial" w:hAnsi="arial"/>
                <w:b/>
                <w:color w:val="0171B9"/>
                <w:sz w:val="19"/>
              </w:rPr>
              <w:t>Qualifications</w:t>
            </w:r>
          </w:p>
          <w:p>
            <w:pPr>
              <w:pStyle w:val="TableContents"/>
              <w:bidi w:val="0"/>
              <w:spacing w:before="0" w:after="0"/>
              <w:jc w:val="left"/>
              <w:rPr/>
            </w:pPr>
            <w:r>
              <w:rPr/>
              <w:t> </w:t>
            </w:r>
          </w:p>
          <w:p>
            <w:pPr>
              <w:pStyle w:val="TableContents"/>
              <w:bidi w:val="0"/>
              <w:spacing w:before="0" w:after="20"/>
              <w:jc w:val="both"/>
              <w:rPr>
                <w:rFonts w:ascii="arial" w:hAnsi="arial"/>
                <w:sz w:val="19"/>
              </w:rPr>
            </w:pPr>
            <w:r>
              <w:rPr>
                <w:rFonts w:ascii="arial" w:hAnsi="arial"/>
                <w:sz w:val="19"/>
              </w:rPr>
              <w:t>Our Board concluded that Dr. Drake should serve on our Board based on his medical, healthcare and scientific background and his extensive management and leadership experience, including his more than two decades of leading and advancing two world-ranking academic systems where he has demonstrated his expertise at managing complex organizations.</w:t>
            </w:r>
          </w:p>
        </w:tc>
      </w:tr>
    </w:tbl>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40"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2" descr=""/>
                    <pic:cNvPicPr>
                      <a:picLocks noChangeAspect="1" noChangeArrowheads="1"/>
                    </pic:cNvPicPr>
                  </pic:nvPicPr>
                  <pic:blipFill>
                    <a:blip r:embed="rId33"/>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11</w:t>
      </w:r>
      <w:r>
        <w:rPr>
          <w:rFonts w:ascii="arial" w:hAnsi="arial"/>
          <w:b/>
          <w:sz w:val="22"/>
        </w:rPr>
        <w:t xml:space="preserve"> </w:t>
      </w:r>
      <w:r>
        <w:br w:type="page"/>
      </w:r>
    </w:p>
    <w:p>
      <w:pPr>
        <w:pStyle w:val="HorizontalLine"/>
        <w:bidi w:val="0"/>
        <w:jc w:val="left"/>
        <w:rPr/>
      </w:pPr>
      <w:r>
        <w:rPr/>
      </w:r>
    </w:p>
    <w:tbl>
      <w:tblPr>
        <w:tblW w:w="383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335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335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Item 1 — Election of Directors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09"/>
        <w:gridCol w:w="60"/>
        <w:gridCol w:w="60"/>
        <w:gridCol w:w="60"/>
        <w:gridCol w:w="8416"/>
      </w:tblGrid>
      <w:tr>
        <w:trPr/>
        <w:tc>
          <w:tcPr>
            <w:tcW w:w="16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16" w:type="dxa"/>
            <w:tcBorders/>
            <w:vAlign w:val="center"/>
          </w:tcPr>
          <w:p>
            <w:pPr>
              <w:pStyle w:val="TableContents"/>
              <w:bidi w:val="0"/>
              <w:spacing w:before="0" w:after="283"/>
              <w:jc w:val="left"/>
              <w:rPr>
                <w:sz w:val="4"/>
                <w:szCs w:val="4"/>
              </w:rPr>
            </w:pPr>
            <w:r>
              <w:rPr>
                <w:sz w:val="4"/>
                <w:szCs w:val="4"/>
              </w:rPr>
            </w:r>
          </w:p>
        </w:tc>
      </w:tr>
      <w:tr>
        <w:trPr/>
        <w:tc>
          <w:tcPr>
            <w:tcW w:w="1609" w:type="dxa"/>
            <w:tcBorders>
              <w:top w:val="single" w:sz="12" w:space="0" w:color="0171B9"/>
            </w:tcBorders>
            <w:shd w:fill="B2D4EA" w:val="clear"/>
            <w:tcMar>
              <w:top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i/>
                <w:color w:val="0171B9"/>
                <w:sz w:val="28"/>
              </w:rPr>
            </w:pPr>
            <w:r>
              <w:rPr>
                <w:rFonts w:ascii="arial" w:hAnsi="arial"/>
                <w:b/>
                <w:i/>
                <w:color w:val="0171B9"/>
                <w:sz w:val="28"/>
              </w:rPr>
              <w:t>Brian J. Druker</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556260" cy="753745"/>
                  <wp:effectExtent l="0" t="0" r="0" b="0"/>
                  <wp:docPr id="41"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3" descr=""/>
                          <pic:cNvPicPr>
                            <a:picLocks noChangeAspect="1" noChangeArrowheads="1"/>
                          </pic:cNvPicPr>
                        </pic:nvPicPr>
                        <pic:blipFill>
                          <a:blip r:embed="rId34"/>
                          <a:stretch>
                            <a:fillRect/>
                          </a:stretch>
                        </pic:blipFill>
                        <pic:spPr bwMode="auto">
                          <a:xfrm>
                            <a:off x="0" y="0"/>
                            <a:ext cx="556260" cy="75374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sz w:val="19"/>
              </w:rPr>
            </w:pPr>
            <w:r>
              <w:rPr>
                <w:rFonts w:ascii="arial" w:hAnsi="arial"/>
                <w:b/>
                <w:sz w:val="19"/>
              </w:rPr>
              <w:t>Director since:</w:t>
            </w:r>
            <w:r>
              <w:rPr>
                <w:rFonts w:ascii="arial" w:hAnsi="arial"/>
                <w:sz w:val="19"/>
              </w:rPr>
              <w:t xml:space="preserve"> 2018</w:t>
            </w:r>
          </w:p>
          <w:p>
            <w:pPr>
              <w:pStyle w:val="TableContents"/>
              <w:bidi w:val="0"/>
              <w:spacing w:before="0" w:after="0"/>
              <w:jc w:val="left"/>
              <w:rPr/>
            </w:pPr>
            <w:r>
              <w:rPr/>
              <w:t> </w:t>
            </w:r>
          </w:p>
          <w:p>
            <w:pPr>
              <w:pStyle w:val="TableContents"/>
              <w:bidi w:val="0"/>
              <w:spacing w:before="0" w:after="0"/>
              <w:jc w:val="left"/>
              <w:rPr>
                <w:rFonts w:ascii="arial" w:hAnsi="arial"/>
                <w:sz w:val="19"/>
              </w:rPr>
            </w:pPr>
            <w:r>
              <w:rPr>
                <w:rFonts w:ascii="arial" w:hAnsi="arial"/>
                <w:b/>
                <w:sz w:val="19"/>
              </w:rPr>
              <w:t>Age:</w:t>
            </w:r>
            <w:r>
              <w:rPr>
                <w:rFonts w:ascii="arial" w:hAnsi="arial"/>
                <w:sz w:val="19"/>
              </w:rPr>
              <w:t xml:space="preserve"> 68</w:t>
            </w:r>
          </w:p>
          <w:p>
            <w:pPr>
              <w:pStyle w:val="TableContents"/>
              <w:bidi w:val="0"/>
              <w:spacing w:before="0" w:after="0"/>
              <w:jc w:val="left"/>
              <w:rPr/>
            </w:pPr>
            <w:r>
              <w:rPr/>
              <w:t> </w:t>
            </w:r>
          </w:p>
          <w:p>
            <w:pPr>
              <w:pStyle w:val="TableContents"/>
              <w:bidi w:val="0"/>
              <w:spacing w:before="0" w:after="0"/>
              <w:jc w:val="left"/>
              <w:rPr>
                <w:rFonts w:ascii="arial" w:hAnsi="arial"/>
                <w:b/>
                <w:sz w:val="19"/>
              </w:rPr>
            </w:pPr>
            <w:r>
              <w:rPr>
                <w:rFonts w:ascii="arial" w:hAnsi="arial"/>
                <w:b/>
                <w:sz w:val="19"/>
              </w:rPr>
              <w:t>Committees:</w:t>
            </w:r>
          </w:p>
          <w:p>
            <w:pPr>
              <w:pStyle w:val="TableContents"/>
              <w:bidi w:val="0"/>
              <w:spacing w:before="0" w:after="0"/>
              <w:jc w:val="left"/>
              <w:rPr/>
            </w:pPr>
            <w:r>
              <w:rPr>
                <w:color w:val="0171B9"/>
              </w:rPr>
              <w:t>•</w:t>
            </w:r>
            <w:r>
              <w:rPr/>
              <w:t>  </w:t>
            </w:r>
            <w:r>
              <w:rPr>
                <w:rFonts w:ascii="arial" w:hAnsi="arial"/>
                <w:sz w:val="19"/>
              </w:rPr>
              <w:t>Compensation and Management Development</w:t>
            </w:r>
          </w:p>
          <w:p>
            <w:pPr>
              <w:pStyle w:val="TableContents"/>
              <w:bidi w:val="0"/>
              <w:spacing w:before="0" w:after="0"/>
              <w:jc w:val="left"/>
              <w:rPr/>
            </w:pPr>
            <w:r>
              <w:rPr>
                <w:color w:val="0171B9"/>
              </w:rPr>
              <w:t>•</w:t>
            </w:r>
            <w:r>
              <w:rPr/>
              <w:t>  </w:t>
            </w:r>
            <w:r>
              <w:rPr>
                <w:rFonts w:ascii="arial" w:hAnsi="arial"/>
                <w:sz w:val="19"/>
              </w:rPr>
              <w:t>Corporate Responsibility and Compliance</w:t>
            </w:r>
          </w:p>
          <w:p>
            <w:pPr>
              <w:pStyle w:val="TableContents"/>
              <w:bidi w:val="0"/>
              <w:spacing w:before="0" w:after="0"/>
              <w:jc w:val="left"/>
              <w:rPr/>
            </w:pPr>
            <w:r>
              <w:rPr/>
              <w:t> </w:t>
            </w:r>
          </w:p>
          <w:p>
            <w:pPr>
              <w:pStyle w:val="TableContents"/>
              <w:bidi w:val="0"/>
              <w:spacing w:before="0" w:after="0"/>
              <w:jc w:val="left"/>
              <w:rPr>
                <w:rFonts w:ascii="arial" w:hAnsi="arial"/>
                <w:b/>
                <w:sz w:val="19"/>
              </w:rPr>
            </w:pPr>
            <w:r>
              <w:rPr>
                <w:rFonts w:ascii="arial" w:hAnsi="arial"/>
                <w:b/>
                <w:sz w:val="19"/>
              </w:rPr>
              <w:t>Other Public Company Boards:</w:t>
            </w:r>
          </w:p>
          <w:p>
            <w:pPr>
              <w:pStyle w:val="TableContents"/>
              <w:bidi w:val="0"/>
              <w:spacing w:before="0" w:after="0"/>
              <w:jc w:val="left"/>
              <w:rPr/>
            </w:pPr>
            <w:r>
              <w:rPr>
                <w:color w:val="0171B9"/>
              </w:rPr>
              <w:t>•</w:t>
            </w:r>
            <w:r>
              <w:rPr/>
              <w:t>  </w:t>
            </w:r>
            <w:r>
              <w:rPr>
                <w:rFonts w:ascii="arial" w:hAnsi="arial"/>
                <w:sz w:val="19"/>
              </w:rPr>
              <w:t>Vincerx Pharma, Inc.</w:t>
            </w:r>
          </w:p>
          <w:p>
            <w:pPr>
              <w:pStyle w:val="TableContents"/>
              <w:bidi w:val="0"/>
              <w:spacing w:before="0" w:after="20"/>
              <w:jc w:val="left"/>
              <w:rPr/>
            </w:pPr>
            <w:r>
              <w:rPr/>
              <w:t> </w:t>
            </w:r>
          </w:p>
        </w:tc>
        <w:tc>
          <w:tcPr>
            <w:tcW w:w="60" w:type="dxa"/>
            <w:tcBorders>
              <w:top w:val="single" w:sz="12" w:space="0" w:color="0171B9"/>
            </w:tcBorders>
            <w:tcMar>
              <w:top w:w="28" w:type="dxa"/>
            </w:tcMar>
            <w:vAlign w:val="center"/>
          </w:tcPr>
          <w:p>
            <w:pPr>
              <w:pStyle w:val="TableContents"/>
              <w:bidi w:val="0"/>
              <w:spacing w:before="0" w:after="283"/>
              <w:jc w:val="left"/>
              <w:rPr/>
            </w:pPr>
            <w:r>
              <w:rPr/>
              <w:t> </w:t>
            </w:r>
          </w:p>
        </w:tc>
        <w:tc>
          <w:tcPr>
            <w:tcW w:w="60" w:type="dxa"/>
            <w:tcBorders>
              <w:top w:val="single" w:sz="12" w:space="0" w:color="0171B9"/>
            </w:tcBorders>
            <w:tcMar>
              <w:top w:w="28" w:type="dxa"/>
            </w:tcMar>
            <w:vAlign w:val="center"/>
          </w:tcPr>
          <w:p>
            <w:pPr>
              <w:pStyle w:val="TableContents"/>
              <w:bidi w:val="0"/>
              <w:spacing w:before="0" w:after="283"/>
              <w:jc w:val="left"/>
              <w:rPr/>
            </w:pPr>
            <w:r>
              <w:rPr/>
              <w:t> </w:t>
            </w:r>
          </w:p>
        </w:tc>
        <w:tc>
          <w:tcPr>
            <w:tcW w:w="60" w:type="dxa"/>
            <w:tcBorders>
              <w:top w:val="single" w:sz="12" w:space="0" w:color="0171B9"/>
            </w:tcBorders>
            <w:tcMar>
              <w:top w:w="28" w:type="dxa"/>
            </w:tcMar>
            <w:vAlign w:val="center"/>
          </w:tcPr>
          <w:p>
            <w:pPr>
              <w:pStyle w:val="TableContents"/>
              <w:bidi w:val="0"/>
              <w:spacing w:before="0" w:after="283"/>
              <w:jc w:val="left"/>
              <w:rPr/>
            </w:pPr>
            <w:r>
              <w:rPr/>
              <w:t> </w:t>
            </w:r>
          </w:p>
        </w:tc>
        <w:tc>
          <w:tcPr>
            <w:tcW w:w="8416" w:type="dxa"/>
            <w:tcBorders>
              <w:top w:val="single" w:sz="12" w:space="0" w:color="0171B9"/>
            </w:tcBorders>
            <w:tcMar>
              <w:top w:w="28" w:type="dxa"/>
            </w:tcMar>
            <w:vAlign w:val="center"/>
          </w:tcPr>
          <w:p>
            <w:pPr>
              <w:pStyle w:val="TableContents"/>
              <w:bidi w:val="0"/>
              <w:spacing w:before="0" w:after="0"/>
              <w:jc w:val="left"/>
              <w:rPr/>
            </w:pPr>
            <w:r>
              <w:rPr/>
              <w:t> </w:t>
            </w:r>
          </w:p>
          <w:p>
            <w:pPr>
              <w:pStyle w:val="TableContents"/>
              <w:bidi w:val="0"/>
              <w:spacing w:before="0" w:after="0"/>
              <w:jc w:val="both"/>
              <w:rPr>
                <w:rFonts w:ascii="arial" w:hAnsi="arial"/>
                <w:sz w:val="19"/>
              </w:rPr>
            </w:pPr>
            <w:r>
              <w:rPr>
                <w:rFonts w:ascii="arial" w:hAnsi="arial"/>
                <w:sz w:val="19"/>
              </w:rPr>
              <w:t>Brian J. Druker joined Oregon Health &amp; Science University, or OHSU, in 1993 and is currently a physician-scientist and professor of medicine. Dr. Druker has served as the chief executive officer of the OHSU Knight Cancer Institute since 2024 (serving as the director from 2007 to 2024), associate dean for oncology of the OHSU School of Medicine since 2010, and the JELD-WEN chair of leukemia research at OHSU since 2001. He was an investigator with the Howard Hughes Medical Institute, a nonprofit medical research organization, from 2002 to 2019.</w:t>
            </w:r>
          </w:p>
          <w:p>
            <w:pPr>
              <w:pStyle w:val="TableContents"/>
              <w:bidi w:val="0"/>
              <w:spacing w:before="0" w:after="0"/>
              <w:jc w:val="left"/>
              <w:rPr/>
            </w:pPr>
            <w:r>
              <w:rPr/>
              <w:t> </w:t>
            </w:r>
          </w:p>
          <w:p>
            <w:pPr>
              <w:pStyle w:val="TableContents"/>
              <w:bidi w:val="0"/>
              <w:spacing w:before="0" w:after="0"/>
              <w:jc w:val="both"/>
              <w:rPr>
                <w:rFonts w:ascii="arial" w:hAnsi="arial"/>
                <w:sz w:val="19"/>
              </w:rPr>
            </w:pPr>
            <w:r>
              <w:rPr>
                <w:rFonts w:ascii="arial" w:hAnsi="arial"/>
                <w:sz w:val="19"/>
              </w:rPr>
              <w:t>Dr. Druker has been a director of Vincerx Pharma, Inc., a biopharmaceutical company, since December 2020, and serves on its Nominating and Corporate Governance Committee. Dr. Druker has been a member of the scientific advisory board of Aptose Biosciences Inc., a biotechnology company, since 2013. Dr. Druker has been a consultant to GRAIL, LLC, a biotechnology company, since 2021, and served on its scientific advisory board, from 2016 to 2019. In 2011, he founded Blueprint Medicines Corporation, a biopharmaceutical company, and remains as a scientific advisor to this company. In 2006, he founded MolecularMD, a privately-held molecular diagnostics company that was acquired by ICON plc in 2019.</w:t>
            </w:r>
          </w:p>
          <w:p>
            <w:pPr>
              <w:pStyle w:val="TableContents"/>
              <w:bidi w:val="0"/>
              <w:spacing w:before="0" w:after="0"/>
              <w:jc w:val="left"/>
              <w:rPr/>
            </w:pPr>
            <w:r>
              <w:rPr/>
              <w:t> </w:t>
            </w:r>
          </w:p>
          <w:p>
            <w:pPr>
              <w:pStyle w:val="TableContents"/>
              <w:bidi w:val="0"/>
              <w:spacing w:before="0" w:after="0"/>
              <w:jc w:val="both"/>
              <w:rPr>
                <w:rFonts w:ascii="arial" w:hAnsi="arial"/>
                <w:sz w:val="19"/>
              </w:rPr>
            </w:pPr>
            <w:r>
              <w:rPr>
                <w:rFonts w:ascii="arial" w:hAnsi="arial"/>
                <w:sz w:val="19"/>
              </w:rPr>
              <w:t>Dr. Druker has received numerous awards, including the Lasker-DeBakey Clinical Research Award in 2009, the Japan Prize in Healthcare and Medical Technology in 2012, the Albany Medical Center Prize in 2013, and the Sjöberg Prize in 2019, for influential work in the development of STI571 (Gleevec®) for the treatment of chronic myeloid leukemia. He was elected to the National Academy of Sciences in 2012 as well as the National Academy of Medicine in 2007. Dr. Druker received both an undergraduate degree and his medical doctorate from the University of California, San Diego.</w:t>
            </w:r>
          </w:p>
          <w:p>
            <w:pPr>
              <w:pStyle w:val="TableContents"/>
              <w:bidi w:val="0"/>
              <w:spacing w:before="0" w:after="0"/>
              <w:jc w:val="left"/>
              <w:rPr/>
            </w:pPr>
            <w:r>
              <w:rPr/>
              <w:t> </w:t>
            </w:r>
          </w:p>
          <w:p>
            <w:pPr>
              <w:pStyle w:val="TableContents"/>
              <w:bidi w:val="0"/>
              <w:spacing w:before="0" w:after="0"/>
              <w:jc w:val="both"/>
              <w:rPr>
                <w:rFonts w:ascii="arial" w:hAnsi="arial"/>
                <w:b/>
                <w:color w:val="0171B9"/>
                <w:sz w:val="19"/>
              </w:rPr>
            </w:pPr>
            <w:r>
              <w:rPr>
                <w:rFonts w:ascii="arial" w:hAnsi="arial"/>
                <w:b/>
                <w:color w:val="0171B9"/>
                <w:sz w:val="19"/>
              </w:rPr>
              <w:t>Qualifications</w:t>
            </w:r>
          </w:p>
          <w:p>
            <w:pPr>
              <w:pStyle w:val="TableContents"/>
              <w:bidi w:val="0"/>
              <w:spacing w:before="0" w:after="0"/>
              <w:jc w:val="left"/>
              <w:rPr/>
            </w:pPr>
            <w:r>
              <w:rPr/>
              <w:t> </w:t>
            </w:r>
          </w:p>
          <w:p>
            <w:pPr>
              <w:pStyle w:val="TableContents"/>
              <w:bidi w:val="0"/>
              <w:spacing w:before="0" w:after="20"/>
              <w:jc w:val="both"/>
              <w:rPr>
                <w:rFonts w:ascii="arial" w:hAnsi="arial"/>
                <w:sz w:val="19"/>
              </w:rPr>
            </w:pPr>
            <w:r>
              <w:rPr>
                <w:rFonts w:ascii="arial" w:hAnsi="arial"/>
                <w:sz w:val="19"/>
              </w:rPr>
              <w:t>Our Board concluded that Dr. Druker should serve on our Board based on his extensive scientific research and expertise leading an important academic institution, conducting highly significant research in the area of oncology, and directly managing the care of cancer patients.</w:t>
            </w:r>
          </w:p>
        </w:tc>
      </w:tr>
    </w:tbl>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12  </w:t>
      </w:r>
      <w:r>
        <w:rPr>
          <w:rFonts w:ascii="arial" w:hAnsi="arial"/>
          <w:b/>
          <w:color w:val="474747"/>
          <w:sz w:val="22"/>
        </w:rPr>
        <w:drawing>
          <wp:inline distT="0" distB="0" distL="0" distR="0">
            <wp:extent cx="64770" cy="15240"/>
            <wp:effectExtent l="0" t="0" r="0" b="0"/>
            <wp:docPr id="42"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4" descr=""/>
                    <pic:cNvPicPr>
                      <a:picLocks noChangeAspect="1" noChangeArrowheads="1"/>
                    </pic:cNvPicPr>
                  </pic:nvPicPr>
                  <pic:blipFill>
                    <a:blip r:embed="rId35"/>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383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335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335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Item 1 — Election of Directors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95"/>
        <w:gridCol w:w="60"/>
        <w:gridCol w:w="60"/>
        <w:gridCol w:w="60"/>
        <w:gridCol w:w="8530"/>
      </w:tblGrid>
      <w:tr>
        <w:trPr/>
        <w:tc>
          <w:tcPr>
            <w:tcW w:w="14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30" w:type="dxa"/>
            <w:tcBorders/>
            <w:vAlign w:val="center"/>
          </w:tcPr>
          <w:p>
            <w:pPr>
              <w:pStyle w:val="TableContents"/>
              <w:bidi w:val="0"/>
              <w:spacing w:before="0" w:after="283"/>
              <w:jc w:val="left"/>
              <w:rPr>
                <w:sz w:val="4"/>
                <w:szCs w:val="4"/>
              </w:rPr>
            </w:pPr>
            <w:r>
              <w:rPr>
                <w:sz w:val="4"/>
                <w:szCs w:val="4"/>
              </w:rPr>
            </w:r>
          </w:p>
        </w:tc>
      </w:tr>
      <w:tr>
        <w:trPr/>
        <w:tc>
          <w:tcPr>
            <w:tcW w:w="1495" w:type="dxa"/>
            <w:tcBorders>
              <w:top w:val="single" w:sz="12" w:space="0" w:color="0171B9"/>
            </w:tcBorders>
            <w:shd w:fill="B2D4EA" w:val="clear"/>
            <w:tcMar>
              <w:top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i/>
                <w:color w:val="0171B9"/>
                <w:sz w:val="28"/>
              </w:rPr>
            </w:pPr>
            <w:r>
              <w:rPr>
                <w:rFonts w:ascii="arial" w:hAnsi="arial"/>
                <w:b/>
                <w:i/>
                <w:color w:val="0171B9"/>
                <w:sz w:val="28"/>
              </w:rPr>
              <w:t>Robert A. Eckert</w:t>
            </w:r>
          </w:p>
          <w:p>
            <w:pPr>
              <w:pStyle w:val="TableContents"/>
              <w:bidi w:val="0"/>
              <w:spacing w:before="0" w:after="0"/>
              <w:jc w:val="left"/>
              <w:rPr/>
            </w:pPr>
            <w:r>
              <w:rPr/>
              <w:t> </w:t>
            </w:r>
          </w:p>
          <w:p>
            <w:pPr>
              <w:pStyle w:val="TableContents"/>
              <w:bidi w:val="0"/>
              <w:spacing w:before="0" w:after="0"/>
              <w:jc w:val="left"/>
              <w:rPr>
                <w:rFonts w:ascii="arial" w:hAnsi="arial"/>
                <w:b/>
                <w:color w:val="0171B9"/>
                <w:sz w:val="19"/>
              </w:rPr>
            </w:pPr>
            <w:r>
              <w:rPr>
                <w:rFonts w:ascii="arial" w:hAnsi="arial"/>
                <w:b/>
                <w:color w:val="0171B9"/>
                <w:sz w:val="19"/>
              </w:rPr>
              <w:t>Lead Independent Director</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85725" cy="116205"/>
                  <wp:effectExtent l="0" t="0" r="0" b="0"/>
                  <wp:docPr id="4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5" descr=""/>
                          <pic:cNvPicPr>
                            <a:picLocks noChangeAspect="1" noChangeArrowheads="1"/>
                          </pic:cNvPicPr>
                        </pic:nvPicPr>
                        <pic:blipFill>
                          <a:blip r:embed="rId36"/>
                          <a:stretch>
                            <a:fillRect/>
                          </a:stretch>
                        </pic:blipFill>
                        <pic:spPr bwMode="auto">
                          <a:xfrm>
                            <a:off x="0" y="0"/>
                            <a:ext cx="85725" cy="11620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sz w:val="19"/>
              </w:rPr>
            </w:pPr>
            <w:r>
              <w:rPr>
                <w:rFonts w:ascii="arial" w:hAnsi="arial"/>
                <w:b/>
                <w:sz w:val="19"/>
              </w:rPr>
              <w:t>Director since:</w:t>
            </w:r>
            <w:r>
              <w:rPr>
                <w:rFonts w:ascii="arial" w:hAnsi="arial"/>
                <w:sz w:val="19"/>
              </w:rPr>
              <w:t xml:space="preserve"> 2012</w:t>
            </w:r>
          </w:p>
          <w:p>
            <w:pPr>
              <w:pStyle w:val="TableContents"/>
              <w:bidi w:val="0"/>
              <w:spacing w:before="0" w:after="0"/>
              <w:jc w:val="left"/>
              <w:rPr/>
            </w:pPr>
            <w:r>
              <w:rPr/>
              <w:t> </w:t>
            </w:r>
          </w:p>
          <w:p>
            <w:pPr>
              <w:pStyle w:val="TableContents"/>
              <w:bidi w:val="0"/>
              <w:spacing w:before="0" w:after="0"/>
              <w:jc w:val="left"/>
              <w:rPr>
                <w:rFonts w:ascii="arial" w:hAnsi="arial"/>
                <w:sz w:val="19"/>
              </w:rPr>
            </w:pPr>
            <w:r>
              <w:rPr>
                <w:rFonts w:ascii="arial" w:hAnsi="arial"/>
                <w:b/>
                <w:sz w:val="19"/>
              </w:rPr>
              <w:t>Age:</w:t>
            </w:r>
            <w:r>
              <w:rPr>
                <w:rFonts w:ascii="arial" w:hAnsi="arial"/>
                <w:sz w:val="19"/>
              </w:rPr>
              <w:t xml:space="preserve"> 69</w:t>
            </w:r>
          </w:p>
          <w:p>
            <w:pPr>
              <w:pStyle w:val="TableContents"/>
              <w:bidi w:val="0"/>
              <w:spacing w:before="0" w:after="0"/>
              <w:jc w:val="left"/>
              <w:rPr/>
            </w:pPr>
            <w:r>
              <w:rPr/>
              <w:t> </w:t>
            </w:r>
          </w:p>
          <w:p>
            <w:pPr>
              <w:pStyle w:val="TableContents"/>
              <w:bidi w:val="0"/>
              <w:spacing w:before="0" w:after="0"/>
              <w:jc w:val="left"/>
              <w:rPr>
                <w:rFonts w:ascii="arial" w:hAnsi="arial"/>
                <w:b/>
                <w:sz w:val="19"/>
              </w:rPr>
            </w:pPr>
            <w:r>
              <w:rPr>
                <w:rFonts w:ascii="arial" w:hAnsi="arial"/>
                <w:b/>
                <w:sz w:val="19"/>
              </w:rPr>
              <w:t>Committees:</w:t>
            </w:r>
          </w:p>
          <w:p>
            <w:pPr>
              <w:pStyle w:val="TableContents"/>
              <w:bidi w:val="0"/>
              <w:spacing w:before="0" w:after="0"/>
              <w:jc w:val="left"/>
              <w:rPr/>
            </w:pPr>
            <w:r>
              <w:rPr>
                <w:color w:val="0171B9"/>
              </w:rPr>
              <w:t>•</w:t>
            </w:r>
            <w:r>
              <w:rPr/>
              <w:t>  </w:t>
            </w:r>
            <w:r>
              <w:rPr>
                <w:rFonts w:ascii="arial" w:hAnsi="arial"/>
                <w:sz w:val="19"/>
              </w:rPr>
              <w:t>Compensation and Management Development (Chair)</w:t>
            </w:r>
          </w:p>
          <w:p>
            <w:pPr>
              <w:pStyle w:val="TableContents"/>
              <w:bidi w:val="0"/>
              <w:spacing w:before="0" w:after="0"/>
              <w:jc w:val="left"/>
              <w:rPr/>
            </w:pPr>
            <w:r>
              <w:rPr>
                <w:color w:val="0171B9"/>
              </w:rPr>
              <w:t>•</w:t>
            </w:r>
            <w:r>
              <w:rPr/>
              <w:t>  </w:t>
            </w:r>
            <w:r>
              <w:rPr>
                <w:rFonts w:ascii="arial" w:hAnsi="arial"/>
                <w:sz w:val="19"/>
              </w:rPr>
              <w:t>Executive</w:t>
            </w:r>
          </w:p>
          <w:p>
            <w:pPr>
              <w:pStyle w:val="TableContents"/>
              <w:bidi w:val="0"/>
              <w:spacing w:before="0" w:after="0"/>
              <w:jc w:val="left"/>
              <w:rPr/>
            </w:pPr>
            <w:r>
              <w:rPr>
                <w:color w:val="0171B9"/>
              </w:rPr>
              <w:t>•</w:t>
            </w:r>
            <w:r>
              <w:rPr/>
              <w:t>  </w:t>
            </w:r>
            <w:r>
              <w:rPr>
                <w:rFonts w:ascii="arial" w:hAnsi="arial"/>
                <w:sz w:val="19"/>
              </w:rPr>
              <w:t>Governance and Nominating</w:t>
            </w:r>
          </w:p>
          <w:p>
            <w:pPr>
              <w:pStyle w:val="TableContents"/>
              <w:bidi w:val="0"/>
              <w:spacing w:before="0" w:after="0"/>
              <w:jc w:val="left"/>
              <w:rPr/>
            </w:pPr>
            <w:r>
              <w:rPr/>
              <w:t> </w:t>
            </w:r>
          </w:p>
          <w:p>
            <w:pPr>
              <w:pStyle w:val="TableContents"/>
              <w:bidi w:val="0"/>
              <w:spacing w:before="0" w:after="0"/>
              <w:jc w:val="left"/>
              <w:rPr>
                <w:rFonts w:ascii="arial" w:hAnsi="arial"/>
                <w:b/>
                <w:sz w:val="19"/>
              </w:rPr>
            </w:pPr>
            <w:r>
              <w:rPr>
                <w:rFonts w:ascii="arial" w:hAnsi="arial"/>
                <w:b/>
                <w:sz w:val="19"/>
              </w:rPr>
              <w:t>Other Public Company Boards:</w:t>
            </w:r>
          </w:p>
          <w:p>
            <w:pPr>
              <w:pStyle w:val="TableContents"/>
              <w:bidi w:val="0"/>
              <w:spacing w:before="0" w:after="0"/>
              <w:jc w:val="left"/>
              <w:rPr/>
            </w:pPr>
            <w:r>
              <w:rPr>
                <w:color w:val="0171B9"/>
              </w:rPr>
              <w:t>•</w:t>
            </w:r>
            <w:r>
              <w:rPr/>
              <w:t>  </w:t>
            </w:r>
            <w:r>
              <w:rPr>
                <w:rFonts w:ascii="arial" w:hAnsi="arial"/>
                <w:sz w:val="19"/>
              </w:rPr>
              <w:t>Levi Strauss &amp; Co.</w:t>
            </w:r>
          </w:p>
          <w:p>
            <w:pPr>
              <w:pStyle w:val="TableContents"/>
              <w:bidi w:val="0"/>
              <w:spacing w:before="0" w:after="0"/>
              <w:jc w:val="left"/>
              <w:rPr/>
            </w:pPr>
            <w:r>
              <w:rPr>
                <w:color w:val="0171B9"/>
              </w:rPr>
              <w:t>•</w:t>
            </w:r>
            <w:r>
              <w:rPr/>
              <w:t>  </w:t>
            </w:r>
            <w:r>
              <w:rPr>
                <w:rFonts w:ascii="arial" w:hAnsi="arial"/>
                <w:sz w:val="19"/>
              </w:rPr>
              <w:t>Uber Technologies, Inc.</w:t>
            </w:r>
          </w:p>
          <w:p>
            <w:pPr>
              <w:pStyle w:val="TableContents"/>
              <w:bidi w:val="0"/>
              <w:spacing w:before="0" w:after="20"/>
              <w:jc w:val="left"/>
              <w:rPr/>
            </w:pPr>
            <w:r>
              <w:rPr/>
              <w:t> </w:t>
            </w:r>
          </w:p>
        </w:tc>
        <w:tc>
          <w:tcPr>
            <w:tcW w:w="60" w:type="dxa"/>
            <w:tcBorders>
              <w:top w:val="single" w:sz="12" w:space="0" w:color="0171B9"/>
            </w:tcBorders>
            <w:tcMar>
              <w:top w:w="28" w:type="dxa"/>
            </w:tcMar>
            <w:vAlign w:val="center"/>
          </w:tcPr>
          <w:p>
            <w:pPr>
              <w:pStyle w:val="TableContents"/>
              <w:bidi w:val="0"/>
              <w:spacing w:before="0" w:after="283"/>
              <w:jc w:val="left"/>
              <w:rPr/>
            </w:pPr>
            <w:r>
              <w:rPr/>
              <w:t> </w:t>
            </w:r>
          </w:p>
        </w:tc>
        <w:tc>
          <w:tcPr>
            <w:tcW w:w="60" w:type="dxa"/>
            <w:tcBorders>
              <w:top w:val="single" w:sz="12" w:space="0" w:color="0171B9"/>
            </w:tcBorders>
            <w:tcMar>
              <w:top w:w="28" w:type="dxa"/>
            </w:tcMar>
            <w:vAlign w:val="center"/>
          </w:tcPr>
          <w:p>
            <w:pPr>
              <w:pStyle w:val="TableContents"/>
              <w:bidi w:val="0"/>
              <w:spacing w:before="0" w:after="283"/>
              <w:jc w:val="left"/>
              <w:rPr/>
            </w:pPr>
            <w:r>
              <w:rPr/>
              <w:t> </w:t>
            </w:r>
          </w:p>
        </w:tc>
        <w:tc>
          <w:tcPr>
            <w:tcW w:w="60" w:type="dxa"/>
            <w:tcBorders>
              <w:top w:val="single" w:sz="12" w:space="0" w:color="0171B9"/>
            </w:tcBorders>
            <w:tcMar>
              <w:top w:w="28" w:type="dxa"/>
            </w:tcMar>
            <w:vAlign w:val="center"/>
          </w:tcPr>
          <w:p>
            <w:pPr>
              <w:pStyle w:val="TableContents"/>
              <w:bidi w:val="0"/>
              <w:spacing w:before="0" w:after="283"/>
              <w:jc w:val="left"/>
              <w:rPr/>
            </w:pPr>
            <w:r>
              <w:rPr/>
              <w:t> </w:t>
            </w:r>
          </w:p>
        </w:tc>
        <w:tc>
          <w:tcPr>
            <w:tcW w:w="8530" w:type="dxa"/>
            <w:tcBorders>
              <w:top w:val="single" w:sz="12" w:space="0" w:color="0171B9"/>
            </w:tcBorders>
            <w:tcMar>
              <w:top w:w="28" w:type="dxa"/>
            </w:tcMar>
            <w:vAlign w:val="center"/>
          </w:tcPr>
          <w:p>
            <w:pPr>
              <w:pStyle w:val="TableContents"/>
              <w:bidi w:val="0"/>
              <w:spacing w:before="0" w:after="0"/>
              <w:jc w:val="left"/>
              <w:rPr/>
            </w:pPr>
            <w:r>
              <w:rPr/>
              <w:t> </w:t>
            </w:r>
          </w:p>
          <w:p>
            <w:pPr>
              <w:pStyle w:val="TableContents"/>
              <w:bidi w:val="0"/>
              <w:spacing w:before="0" w:after="0"/>
              <w:jc w:val="both"/>
              <w:rPr>
                <w:rFonts w:ascii="arial" w:hAnsi="arial"/>
                <w:sz w:val="19"/>
              </w:rPr>
            </w:pPr>
            <w:r>
              <w:rPr>
                <w:rFonts w:ascii="arial" w:hAnsi="arial"/>
                <w:sz w:val="19"/>
              </w:rPr>
              <w:t>Robert A. Eckert is our lead independent director. Mr. Eckert has been an Operating Partner at FFL Partners, LLC (formerly known as Friedman Fleischer &amp; Lowe, LLP), a private equity firm, since 2014. Mr. Eckert was the Chief Executive Officer of Mattel, Inc., a toy design, manufacture and marketing company, having held this position from 2000 through 2011, and its Chairman of the Board from 2000 through 2012. He was President and Chief Executive Officer of Kraft Foods Inc., a consumer packaged food and beverage company, from 1997 to 2000, Group Vice President from 1995 to 1997, President of the Oscar Mayer Foods Division from 1993 to 1995 and held various other senior executive and other positions from 1977 to 1992.</w:t>
            </w:r>
          </w:p>
          <w:p>
            <w:pPr>
              <w:pStyle w:val="TableContents"/>
              <w:bidi w:val="0"/>
              <w:spacing w:before="0" w:after="0"/>
              <w:jc w:val="left"/>
              <w:rPr/>
            </w:pPr>
            <w:r>
              <w:rPr/>
              <w:t> </w:t>
            </w:r>
          </w:p>
          <w:p>
            <w:pPr>
              <w:pStyle w:val="TableContents"/>
              <w:bidi w:val="0"/>
              <w:spacing w:before="0" w:after="0"/>
              <w:jc w:val="both"/>
              <w:rPr>
                <w:rFonts w:ascii="arial" w:hAnsi="arial"/>
                <w:sz w:val="19"/>
              </w:rPr>
            </w:pPr>
            <w:r>
              <w:rPr>
                <w:rFonts w:ascii="arial" w:hAnsi="arial"/>
                <w:sz w:val="19"/>
              </w:rPr>
              <w:t>Mr. Eckert has been a director of Levi Strauss &amp; Co., a jeans and casual wear manufacturer, since 2010 and non-executive Chair of the Board since 2021, serving as the Chair of the Nominating, Governance and Corporate Citizenship Committee and a member of the Compensation and Human Capital Committee. Mr. Eckert also has served as a director of Uber Technologies, Inc., a personal mobility, meal delivery and logistics technology platform, since 2020, serving as the Chair of the Compensation Committee and a member of the Nominating and Governance Committee. Mr. Eckert served as a director of McDonald’s Corporation, a company that franchises and operates McDonald’s restaurants in the global restaurant industry, from 2003 until May 2023, serving as a member of the Public Policy and Strategy Committee and the Governance Committee. He was appointed a director of Eyemart Express Holdings LLC, a privately-held eyewear retailer and portfolio company of FFL Partners, LLC, in 2015. Mr. Eckert is on the Global Advisory Board of the Kellogg School of Management at Northwestern University and serves on the Eller College National Board of Advisors at the University of Arizona. Mr. Eckert received an undergraduate degree from the University of Arizona and a master’s degree in business administration from the Kellogg School of Management at Northwestern University.</w:t>
            </w:r>
          </w:p>
          <w:p>
            <w:pPr>
              <w:pStyle w:val="TableContents"/>
              <w:bidi w:val="0"/>
              <w:spacing w:before="0" w:after="0"/>
              <w:jc w:val="left"/>
              <w:rPr/>
            </w:pPr>
            <w:r>
              <w:rPr/>
              <w:t> </w:t>
            </w:r>
          </w:p>
          <w:p>
            <w:pPr>
              <w:pStyle w:val="TableContents"/>
              <w:bidi w:val="0"/>
              <w:spacing w:before="0" w:after="0"/>
              <w:jc w:val="both"/>
              <w:rPr>
                <w:rFonts w:ascii="arial" w:hAnsi="arial"/>
                <w:b/>
                <w:color w:val="0171B9"/>
                <w:sz w:val="19"/>
              </w:rPr>
            </w:pPr>
            <w:r>
              <w:rPr>
                <w:rFonts w:ascii="arial" w:hAnsi="arial"/>
                <w:b/>
                <w:color w:val="0171B9"/>
                <w:sz w:val="19"/>
              </w:rPr>
              <w:t>Qualifications</w:t>
            </w:r>
          </w:p>
          <w:p>
            <w:pPr>
              <w:pStyle w:val="TableContents"/>
              <w:bidi w:val="0"/>
              <w:spacing w:before="0" w:after="0"/>
              <w:jc w:val="left"/>
              <w:rPr/>
            </w:pPr>
            <w:r>
              <w:rPr/>
              <w:t> </w:t>
            </w:r>
          </w:p>
          <w:p>
            <w:pPr>
              <w:pStyle w:val="TableContents"/>
              <w:bidi w:val="0"/>
              <w:spacing w:before="0" w:after="20"/>
              <w:jc w:val="both"/>
              <w:rPr>
                <w:rFonts w:ascii="arial" w:hAnsi="arial"/>
                <w:sz w:val="19"/>
              </w:rPr>
            </w:pPr>
            <w:r>
              <w:rPr>
                <w:rFonts w:ascii="arial" w:hAnsi="arial"/>
                <w:sz w:val="19"/>
              </w:rPr>
              <w:t>Our Board concluded that Mr. Eckert should serve on our Board because of Mr. Eckert’s long-tenured experience as a chief executive officer and director of large public companies, his broad international experience in marketing and business development, and his valuable leadership experience.</w:t>
            </w:r>
          </w:p>
        </w:tc>
      </w:tr>
    </w:tbl>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4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6" descr=""/>
                    <pic:cNvPicPr>
                      <a:picLocks noChangeAspect="1" noChangeArrowheads="1"/>
                    </pic:cNvPicPr>
                  </pic:nvPicPr>
                  <pic:blipFill>
                    <a:blip r:embed="rId37"/>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13</w:t>
      </w:r>
      <w:r>
        <w:rPr>
          <w:rFonts w:ascii="arial" w:hAnsi="arial"/>
          <w:b/>
          <w:sz w:val="22"/>
        </w:rPr>
        <w:t xml:space="preserve"> </w:t>
      </w:r>
      <w:r>
        <w:br w:type="page"/>
      </w:r>
    </w:p>
    <w:p>
      <w:pPr>
        <w:pStyle w:val="HorizontalLine"/>
        <w:bidi w:val="0"/>
        <w:jc w:val="left"/>
        <w:rPr/>
      </w:pPr>
      <w:r>
        <w:rPr/>
      </w:r>
    </w:p>
    <w:tbl>
      <w:tblPr>
        <w:tblW w:w="383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335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335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Item 1 — Election of Directors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60"/>
        <w:gridCol w:w="60"/>
        <w:gridCol w:w="60"/>
        <w:gridCol w:w="60"/>
        <w:gridCol w:w="6765"/>
      </w:tblGrid>
      <w:tr>
        <w:trPr/>
        <w:tc>
          <w:tcPr>
            <w:tcW w:w="3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65" w:type="dxa"/>
            <w:tcBorders/>
            <w:vAlign w:val="center"/>
          </w:tcPr>
          <w:p>
            <w:pPr>
              <w:pStyle w:val="TableContents"/>
              <w:bidi w:val="0"/>
              <w:spacing w:before="0" w:after="283"/>
              <w:jc w:val="left"/>
              <w:rPr>
                <w:sz w:val="4"/>
                <w:szCs w:val="4"/>
              </w:rPr>
            </w:pPr>
            <w:r>
              <w:rPr>
                <w:sz w:val="4"/>
                <w:szCs w:val="4"/>
              </w:rPr>
            </w:r>
          </w:p>
        </w:tc>
      </w:tr>
      <w:tr>
        <w:trPr/>
        <w:tc>
          <w:tcPr>
            <w:tcW w:w="3260" w:type="dxa"/>
            <w:tcBorders>
              <w:top w:val="single" w:sz="12" w:space="0" w:color="0171B9"/>
            </w:tcBorders>
            <w:shd w:fill="B2D4EA" w:val="clear"/>
            <w:tcMar>
              <w:top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i/>
                <w:color w:val="0171B9"/>
                <w:sz w:val="28"/>
              </w:rPr>
            </w:pPr>
            <w:r>
              <w:rPr>
                <w:rFonts w:ascii="arial" w:hAnsi="arial"/>
                <w:b/>
                <w:i/>
                <w:color w:val="0171B9"/>
                <w:sz w:val="28"/>
              </w:rPr>
              <w:t>Greg C. Garland     </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85725" cy="115570"/>
                  <wp:effectExtent l="0" t="0" r="0" b="0"/>
                  <wp:docPr id="4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7" descr=""/>
                          <pic:cNvPicPr>
                            <a:picLocks noChangeAspect="1" noChangeArrowheads="1"/>
                          </pic:cNvPicPr>
                        </pic:nvPicPr>
                        <pic:blipFill>
                          <a:blip r:embed="rId38"/>
                          <a:stretch>
                            <a:fillRect/>
                          </a:stretch>
                        </pic:blipFill>
                        <pic:spPr bwMode="auto">
                          <a:xfrm>
                            <a:off x="0" y="0"/>
                            <a:ext cx="85725" cy="11557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sz w:val="19"/>
              </w:rPr>
            </w:pPr>
            <w:r>
              <w:rPr>
                <w:rFonts w:ascii="arial" w:hAnsi="arial"/>
                <w:b/>
                <w:sz w:val="19"/>
              </w:rPr>
              <w:t>Director since:</w:t>
            </w:r>
            <w:r>
              <w:rPr>
                <w:rFonts w:ascii="arial" w:hAnsi="arial"/>
                <w:sz w:val="19"/>
              </w:rPr>
              <w:t xml:space="preserve"> 2013</w:t>
            </w:r>
          </w:p>
          <w:p>
            <w:pPr>
              <w:pStyle w:val="TableContents"/>
              <w:bidi w:val="0"/>
              <w:spacing w:before="0" w:after="0"/>
              <w:jc w:val="left"/>
              <w:rPr/>
            </w:pPr>
            <w:r>
              <w:rPr/>
              <w:t> </w:t>
            </w:r>
          </w:p>
          <w:p>
            <w:pPr>
              <w:pStyle w:val="TableContents"/>
              <w:bidi w:val="0"/>
              <w:spacing w:before="0" w:after="0"/>
              <w:jc w:val="left"/>
              <w:rPr>
                <w:rFonts w:ascii="arial" w:hAnsi="arial"/>
                <w:sz w:val="19"/>
              </w:rPr>
            </w:pPr>
            <w:r>
              <w:rPr>
                <w:rFonts w:ascii="arial" w:hAnsi="arial"/>
                <w:b/>
                <w:sz w:val="19"/>
              </w:rPr>
              <w:t>Age:</w:t>
            </w:r>
            <w:r>
              <w:rPr>
                <w:rFonts w:ascii="arial" w:hAnsi="arial"/>
                <w:sz w:val="19"/>
              </w:rPr>
              <w:t xml:space="preserve"> 66</w:t>
            </w:r>
          </w:p>
          <w:p>
            <w:pPr>
              <w:pStyle w:val="TableContents"/>
              <w:bidi w:val="0"/>
              <w:spacing w:before="0" w:after="0"/>
              <w:jc w:val="left"/>
              <w:rPr/>
            </w:pPr>
            <w:r>
              <w:rPr/>
              <w:t> </w:t>
            </w:r>
          </w:p>
          <w:p>
            <w:pPr>
              <w:pStyle w:val="TableContents"/>
              <w:bidi w:val="0"/>
              <w:spacing w:before="0" w:after="0"/>
              <w:jc w:val="left"/>
              <w:rPr>
                <w:rFonts w:ascii="arial" w:hAnsi="arial"/>
                <w:b/>
                <w:sz w:val="19"/>
              </w:rPr>
            </w:pPr>
            <w:r>
              <w:rPr>
                <w:rFonts w:ascii="arial" w:hAnsi="arial"/>
                <w:b/>
                <w:sz w:val="19"/>
              </w:rPr>
              <w:t>Committees:</w:t>
            </w:r>
          </w:p>
          <w:p>
            <w:pPr>
              <w:pStyle w:val="TableContents"/>
              <w:bidi w:val="0"/>
              <w:spacing w:before="0" w:after="0"/>
              <w:jc w:val="left"/>
              <w:rPr/>
            </w:pPr>
            <w:r>
              <w:rPr>
                <w:color w:val="0171B9"/>
              </w:rPr>
              <w:t>•</w:t>
            </w:r>
            <w:r>
              <w:rPr/>
              <w:t>  </w:t>
            </w:r>
            <w:r>
              <w:rPr>
                <w:rFonts w:ascii="arial" w:hAnsi="arial"/>
                <w:sz w:val="19"/>
              </w:rPr>
              <w:t>Compensation and Management Development</w:t>
            </w:r>
          </w:p>
          <w:p>
            <w:pPr>
              <w:pStyle w:val="TableContents"/>
              <w:bidi w:val="0"/>
              <w:spacing w:before="0" w:after="0"/>
              <w:jc w:val="left"/>
              <w:rPr/>
            </w:pPr>
            <w:r>
              <w:rPr>
                <w:color w:val="0171B9"/>
              </w:rPr>
              <w:t>•</w:t>
            </w:r>
            <w:r>
              <w:rPr/>
              <w:t>  </w:t>
            </w:r>
            <w:r>
              <w:rPr>
                <w:rFonts w:ascii="arial" w:hAnsi="arial"/>
                <w:sz w:val="19"/>
              </w:rPr>
              <w:t>Executive</w:t>
            </w:r>
          </w:p>
          <w:p>
            <w:pPr>
              <w:pStyle w:val="TableContents"/>
              <w:bidi w:val="0"/>
              <w:spacing w:before="0" w:after="0"/>
              <w:jc w:val="left"/>
              <w:rPr/>
            </w:pPr>
            <w:r>
              <w:rPr>
                <w:color w:val="0171B9"/>
              </w:rPr>
              <w:t>•</w:t>
            </w:r>
            <w:r>
              <w:rPr/>
              <w:t>  </w:t>
            </w:r>
            <w:r>
              <w:rPr>
                <w:rFonts w:ascii="arial" w:hAnsi="arial"/>
                <w:sz w:val="19"/>
              </w:rPr>
              <w:t>Governance and Nominating (Chair)</w:t>
            </w:r>
          </w:p>
          <w:p>
            <w:pPr>
              <w:pStyle w:val="TableContents"/>
              <w:bidi w:val="0"/>
              <w:spacing w:before="0" w:after="0"/>
              <w:jc w:val="left"/>
              <w:rPr/>
            </w:pPr>
            <w:r>
              <w:rPr/>
              <w:t> </w:t>
            </w:r>
          </w:p>
          <w:p>
            <w:pPr>
              <w:pStyle w:val="TableContents"/>
              <w:bidi w:val="0"/>
              <w:spacing w:before="0" w:after="0"/>
              <w:jc w:val="left"/>
              <w:rPr>
                <w:rFonts w:ascii="arial" w:hAnsi="arial"/>
                <w:b/>
                <w:sz w:val="19"/>
              </w:rPr>
            </w:pPr>
            <w:r>
              <w:rPr>
                <w:rFonts w:ascii="arial" w:hAnsi="arial"/>
                <w:b/>
                <w:sz w:val="19"/>
              </w:rPr>
              <w:t>Other Public Company Boards:</w:t>
            </w:r>
          </w:p>
          <w:p>
            <w:pPr>
              <w:pStyle w:val="TableContents"/>
              <w:bidi w:val="0"/>
              <w:spacing w:before="0" w:after="0"/>
              <w:jc w:val="left"/>
              <w:rPr/>
            </w:pPr>
            <w:r>
              <w:rPr>
                <w:color w:val="0171B9"/>
              </w:rPr>
              <w:t>•</w:t>
            </w:r>
            <w:r>
              <w:rPr/>
              <w:t>  </w:t>
            </w:r>
            <w:r>
              <w:rPr>
                <w:rFonts w:ascii="arial" w:hAnsi="arial"/>
                <w:sz w:val="19"/>
              </w:rPr>
              <w:t>Phillips 66(1)</w:t>
            </w:r>
          </w:p>
          <w:p>
            <w:pPr>
              <w:pStyle w:val="TableContents"/>
              <w:bidi w:val="0"/>
              <w:spacing w:before="0" w:after="20"/>
              <w:jc w:val="left"/>
              <w:rPr/>
            </w:pPr>
            <w:r>
              <w:rPr/>
              <w:t> </w:t>
            </w:r>
          </w:p>
        </w:tc>
        <w:tc>
          <w:tcPr>
            <w:tcW w:w="60" w:type="dxa"/>
            <w:tcBorders>
              <w:top w:val="single" w:sz="12" w:space="0" w:color="0171B9"/>
            </w:tcBorders>
            <w:tcMar>
              <w:top w:w="28" w:type="dxa"/>
            </w:tcMar>
            <w:vAlign w:val="center"/>
          </w:tcPr>
          <w:p>
            <w:pPr>
              <w:pStyle w:val="TableContents"/>
              <w:bidi w:val="0"/>
              <w:spacing w:before="0" w:after="283"/>
              <w:jc w:val="left"/>
              <w:rPr/>
            </w:pPr>
            <w:r>
              <w:rPr/>
              <w:t> </w:t>
            </w:r>
          </w:p>
        </w:tc>
        <w:tc>
          <w:tcPr>
            <w:tcW w:w="60" w:type="dxa"/>
            <w:tcBorders>
              <w:top w:val="single" w:sz="12" w:space="0" w:color="0171B9"/>
            </w:tcBorders>
            <w:tcMar>
              <w:top w:w="28" w:type="dxa"/>
            </w:tcMar>
            <w:vAlign w:val="center"/>
          </w:tcPr>
          <w:p>
            <w:pPr>
              <w:pStyle w:val="TableContents"/>
              <w:bidi w:val="0"/>
              <w:spacing w:before="0" w:after="283"/>
              <w:jc w:val="left"/>
              <w:rPr/>
            </w:pPr>
            <w:r>
              <w:rPr/>
              <w:t> </w:t>
            </w:r>
          </w:p>
        </w:tc>
        <w:tc>
          <w:tcPr>
            <w:tcW w:w="60" w:type="dxa"/>
            <w:tcBorders>
              <w:top w:val="single" w:sz="12" w:space="0" w:color="0171B9"/>
            </w:tcBorders>
            <w:tcMar>
              <w:top w:w="28" w:type="dxa"/>
            </w:tcMar>
            <w:vAlign w:val="center"/>
          </w:tcPr>
          <w:p>
            <w:pPr>
              <w:pStyle w:val="TableContents"/>
              <w:bidi w:val="0"/>
              <w:spacing w:before="0" w:after="283"/>
              <w:jc w:val="left"/>
              <w:rPr/>
            </w:pPr>
            <w:r>
              <w:rPr/>
              <w:t> </w:t>
            </w:r>
          </w:p>
        </w:tc>
        <w:tc>
          <w:tcPr>
            <w:tcW w:w="6765" w:type="dxa"/>
            <w:tcBorders>
              <w:top w:val="single" w:sz="12" w:space="0" w:color="0171B9"/>
            </w:tcBorders>
            <w:tcMar>
              <w:top w:w="28" w:type="dxa"/>
            </w:tcMar>
            <w:vAlign w:val="center"/>
          </w:tcPr>
          <w:p>
            <w:pPr>
              <w:pStyle w:val="TableContents"/>
              <w:bidi w:val="0"/>
              <w:spacing w:before="0" w:after="0"/>
              <w:jc w:val="left"/>
              <w:rPr/>
            </w:pPr>
            <w:r>
              <w:rPr/>
              <w:t> </w:t>
            </w:r>
          </w:p>
          <w:p>
            <w:pPr>
              <w:pStyle w:val="TableContents"/>
              <w:bidi w:val="0"/>
              <w:spacing w:before="0" w:after="0"/>
              <w:jc w:val="both"/>
              <w:rPr>
                <w:rFonts w:ascii="arial" w:hAnsi="arial"/>
                <w:sz w:val="19"/>
              </w:rPr>
            </w:pPr>
            <w:r>
              <w:rPr>
                <w:rFonts w:ascii="arial" w:hAnsi="arial"/>
                <w:sz w:val="19"/>
              </w:rPr>
              <w:t>Greg C. Garland is the Executive Chairman of the board of directors of Phillips 66, a diversified energy manufacturing and logistics company, having held the position since July 2022, and chairs the Executive Committee.(1) Mr. Garland served as Chairman and Chief Executive Officer of Phillips 66 from 2012 to June 2022. Prior to Phillips 66, Mr. Garland served as Senior Vice President of Exploration and Production, Americas of ConocoPhillips from 2010 to 2012. He was President and Chief Executive Officer of Chevron Phillips Chemical Company (now a joint venture between Phillips 66 and Chevron) from 2008 to 2010 and Senior Vice President, Planning and Specialty Products from 2000 to2008. Mr. Garland served in various positions at Phillips Petroleum Company from 1980 to 2000. Mr. Garland received an undergraduate degree in Chemical Engineering from Texas A&amp;M University.</w:t>
            </w:r>
          </w:p>
          <w:p>
            <w:pPr>
              <w:pStyle w:val="TableContents"/>
              <w:bidi w:val="0"/>
              <w:spacing w:before="0" w:after="0"/>
              <w:jc w:val="left"/>
              <w:rPr/>
            </w:pPr>
            <w:r>
              <w:rPr/>
              <w:t> </w:t>
            </w:r>
          </w:p>
          <w:p>
            <w:pPr>
              <w:pStyle w:val="TableContents"/>
              <w:bidi w:val="0"/>
              <w:spacing w:before="0" w:after="0"/>
              <w:jc w:val="both"/>
              <w:rPr>
                <w:rFonts w:ascii="arial" w:hAnsi="arial"/>
                <w:sz w:val="19"/>
              </w:rPr>
            </w:pPr>
            <w:r>
              <w:rPr>
                <w:rFonts w:ascii="arial" w:hAnsi="arial"/>
                <w:sz w:val="19"/>
              </w:rPr>
              <w:t>Mr. Garland is a member of the Engineering Advisory Council for Texas A&amp;M University. He is a member of the Board of Visitors, and an Executive Committee Member of The University of Texas MD Anderson Cancer Center, a leading cancer research and treatment institution. He is a founding member of Houston’s CEO Against Cancer. Mr. Garland serves as Vice Chairman of the Barbara Bush Literacy Foundation.</w:t>
            </w:r>
          </w:p>
          <w:p>
            <w:pPr>
              <w:pStyle w:val="TableContents"/>
              <w:bidi w:val="0"/>
              <w:spacing w:before="0" w:after="0"/>
              <w:jc w:val="left"/>
              <w:rPr/>
            </w:pPr>
            <w:r>
              <w:rPr/>
              <w:t> </w:t>
            </w:r>
          </w:p>
          <w:p>
            <w:pPr>
              <w:pStyle w:val="TableContents"/>
              <w:bidi w:val="0"/>
              <w:spacing w:before="0" w:after="0"/>
              <w:jc w:val="both"/>
              <w:rPr>
                <w:rFonts w:ascii="arial" w:hAnsi="arial"/>
                <w:b/>
                <w:color w:val="0171B9"/>
                <w:sz w:val="19"/>
              </w:rPr>
            </w:pPr>
            <w:r>
              <w:rPr>
                <w:rFonts w:ascii="arial" w:hAnsi="arial"/>
                <w:b/>
                <w:color w:val="0171B9"/>
                <w:sz w:val="19"/>
              </w:rPr>
              <w:t>Qualifications</w:t>
            </w:r>
          </w:p>
          <w:p>
            <w:pPr>
              <w:pStyle w:val="TableContents"/>
              <w:bidi w:val="0"/>
              <w:spacing w:before="0" w:after="0"/>
              <w:jc w:val="left"/>
              <w:rPr/>
            </w:pPr>
            <w:r>
              <w:rPr/>
              <w:t> </w:t>
            </w:r>
          </w:p>
          <w:p>
            <w:pPr>
              <w:pStyle w:val="TableContents"/>
              <w:bidi w:val="0"/>
              <w:spacing w:before="0" w:after="0"/>
              <w:jc w:val="both"/>
              <w:rPr>
                <w:rFonts w:ascii="arial" w:hAnsi="arial"/>
                <w:sz w:val="19"/>
              </w:rPr>
            </w:pPr>
            <w:r>
              <w:rPr>
                <w:rFonts w:ascii="arial" w:hAnsi="arial"/>
                <w:sz w:val="19"/>
              </w:rPr>
              <w:t>Our Board concluded that Mr. Garland should serve on our Board because Mr. Garland’s experience as a Chief Executive Officer and Chairman has provided him with strong management experience overseeing complex multinational businesses operating in highly regulated industries as well as expertise in financial reporting, risk management, environmental issues, business transformations and capital markets. He has significant experience with public policy and government affairs through his service on numerous councils and associations including former Chair of the American Petroleum Institute and was appointed by two administrations to serve on the National Petroleum Council.</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pBdr>
          <w:bottom w:val="single" w:sz="2" w:space="1" w:color="000000"/>
        </w:pBdr>
        <w:bidi w:val="0"/>
        <w:spacing w:lineRule="atLeast" w:line="160" w:before="0" w:after="40"/>
        <w:jc w:val="left"/>
        <w:rPr/>
      </w:pPr>
      <w:r>
        <w:rPr/>
        <w:t> </w:t>
      </w:r>
    </w:p>
    <w:tbl>
      <w:tblPr>
        <w:tblW w:w="7030" w:type="dxa"/>
        <w:jc w:val="left"/>
        <w:tblInd w:w="0" w:type="dxa"/>
        <w:tblLayout w:type="fixed"/>
        <w:tblCellMar>
          <w:top w:w="0" w:type="dxa"/>
          <w:left w:w="0" w:type="dxa"/>
          <w:bottom w:w="0" w:type="dxa"/>
          <w:right w:w="0" w:type="dxa"/>
        </w:tblCellMar>
      </w:tblPr>
      <w:tblGrid>
        <w:gridCol w:w="365"/>
        <w:gridCol w:w="6665"/>
      </w:tblGrid>
      <w:tr>
        <w:trPr/>
        <w:tc>
          <w:tcPr>
            <w:tcW w:w="365" w:type="dxa"/>
            <w:tcBorders/>
            <w:vAlign w:val="center"/>
          </w:tcPr>
          <w:p>
            <w:pPr>
              <w:pStyle w:val="TableContents"/>
              <w:bidi w:val="0"/>
              <w:spacing w:before="0" w:after="283"/>
              <w:jc w:val="left"/>
              <w:rPr/>
            </w:pPr>
            <w:r>
              <w:rPr/>
              <w:t>(1) </w:t>
            </w:r>
          </w:p>
        </w:tc>
        <w:tc>
          <w:tcPr>
            <w:tcW w:w="6665" w:type="dxa"/>
            <w:tcBorders/>
            <w:vAlign w:val="center"/>
          </w:tcPr>
          <w:p>
            <w:pPr>
              <w:pStyle w:val="TableContents"/>
              <w:bidi w:val="0"/>
              <w:spacing w:before="0" w:after="0"/>
              <w:jc w:val="both"/>
              <w:rPr>
                <w:rFonts w:ascii="arial" w:hAnsi="arial"/>
                <w:sz w:val="16"/>
              </w:rPr>
            </w:pPr>
            <w:r>
              <w:rPr>
                <w:rFonts w:ascii="arial" w:hAnsi="arial"/>
                <w:sz w:val="16"/>
              </w:rPr>
              <w:t xml:space="preserve">Mr. Garland is expected to retire from the board of directors of Phillips 66 on May 15, 2024. </w:t>
            </w:r>
          </w:p>
        </w:tc>
      </w:tr>
    </w:tbl>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14  </w:t>
      </w:r>
      <w:r>
        <w:rPr>
          <w:rFonts w:ascii="arial" w:hAnsi="arial"/>
          <w:b/>
          <w:color w:val="474747"/>
          <w:sz w:val="22"/>
        </w:rPr>
        <w:drawing>
          <wp:inline distT="0" distB="0" distL="0" distR="0">
            <wp:extent cx="64770" cy="15240"/>
            <wp:effectExtent l="0" t="0" r="0" b="0"/>
            <wp:docPr id="46"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8" descr=""/>
                    <pic:cNvPicPr>
                      <a:picLocks noChangeAspect="1" noChangeArrowheads="1"/>
                    </pic:cNvPicPr>
                  </pic:nvPicPr>
                  <pic:blipFill>
                    <a:blip r:embed="rId39"/>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383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335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335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Item 1 — Election of Directors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41"/>
        <w:gridCol w:w="60"/>
        <w:gridCol w:w="60"/>
        <w:gridCol w:w="60"/>
        <w:gridCol w:w="7084"/>
      </w:tblGrid>
      <w:tr>
        <w:trPr/>
        <w:tc>
          <w:tcPr>
            <w:tcW w:w="29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84" w:type="dxa"/>
            <w:tcBorders/>
            <w:vAlign w:val="center"/>
          </w:tcPr>
          <w:p>
            <w:pPr>
              <w:pStyle w:val="TableContents"/>
              <w:bidi w:val="0"/>
              <w:spacing w:before="0" w:after="283"/>
              <w:jc w:val="left"/>
              <w:rPr>
                <w:sz w:val="4"/>
                <w:szCs w:val="4"/>
              </w:rPr>
            </w:pPr>
            <w:r>
              <w:rPr>
                <w:sz w:val="4"/>
                <w:szCs w:val="4"/>
              </w:rPr>
            </w:r>
          </w:p>
        </w:tc>
      </w:tr>
      <w:tr>
        <w:trPr/>
        <w:tc>
          <w:tcPr>
            <w:tcW w:w="2941" w:type="dxa"/>
            <w:tcBorders>
              <w:top w:val="single" w:sz="12" w:space="0" w:color="0171B9"/>
            </w:tcBorders>
            <w:shd w:fill="B2D4EA" w:val="clear"/>
            <w:tcMar>
              <w:top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i/>
                <w:color w:val="0171B9"/>
                <w:sz w:val="28"/>
              </w:rPr>
            </w:pPr>
            <w:r>
              <w:rPr>
                <w:rFonts w:ascii="arial" w:hAnsi="arial"/>
                <w:b/>
                <w:i/>
                <w:color w:val="0171B9"/>
                <w:sz w:val="28"/>
              </w:rPr>
              <w:t>Charles M. Holley, Jr. </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85725" cy="116205"/>
                  <wp:effectExtent l="0" t="0" r="0" b="0"/>
                  <wp:docPr id="47"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9" descr=""/>
                          <pic:cNvPicPr>
                            <a:picLocks noChangeAspect="1" noChangeArrowheads="1"/>
                          </pic:cNvPicPr>
                        </pic:nvPicPr>
                        <pic:blipFill>
                          <a:blip r:embed="rId40"/>
                          <a:stretch>
                            <a:fillRect/>
                          </a:stretch>
                        </pic:blipFill>
                        <pic:spPr bwMode="auto">
                          <a:xfrm>
                            <a:off x="0" y="0"/>
                            <a:ext cx="85725" cy="11620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sz w:val="19"/>
              </w:rPr>
            </w:pPr>
            <w:r>
              <w:rPr>
                <w:rFonts w:ascii="arial" w:hAnsi="arial"/>
                <w:b/>
                <w:sz w:val="19"/>
              </w:rPr>
              <w:t>Director since:</w:t>
            </w:r>
            <w:r>
              <w:rPr>
                <w:rFonts w:ascii="arial" w:hAnsi="arial"/>
                <w:sz w:val="19"/>
              </w:rPr>
              <w:t xml:space="preserve"> 2017</w:t>
            </w:r>
          </w:p>
          <w:p>
            <w:pPr>
              <w:pStyle w:val="TableContents"/>
              <w:bidi w:val="0"/>
              <w:spacing w:before="0" w:after="0"/>
              <w:jc w:val="left"/>
              <w:rPr/>
            </w:pPr>
            <w:r>
              <w:rPr/>
              <w:t> </w:t>
            </w:r>
          </w:p>
          <w:p>
            <w:pPr>
              <w:pStyle w:val="TableContents"/>
              <w:bidi w:val="0"/>
              <w:spacing w:before="0" w:after="0"/>
              <w:jc w:val="left"/>
              <w:rPr>
                <w:rFonts w:ascii="arial" w:hAnsi="arial"/>
                <w:sz w:val="19"/>
              </w:rPr>
            </w:pPr>
            <w:r>
              <w:rPr>
                <w:rFonts w:ascii="arial" w:hAnsi="arial"/>
                <w:b/>
                <w:sz w:val="19"/>
              </w:rPr>
              <w:t>Age:</w:t>
            </w:r>
            <w:r>
              <w:rPr>
                <w:rFonts w:ascii="arial" w:hAnsi="arial"/>
                <w:sz w:val="19"/>
              </w:rPr>
              <w:t xml:space="preserve"> 67</w:t>
            </w:r>
          </w:p>
          <w:p>
            <w:pPr>
              <w:pStyle w:val="TableContents"/>
              <w:bidi w:val="0"/>
              <w:spacing w:before="0" w:after="0"/>
              <w:jc w:val="left"/>
              <w:rPr/>
            </w:pPr>
            <w:r>
              <w:rPr/>
              <w:t> </w:t>
            </w:r>
          </w:p>
          <w:p>
            <w:pPr>
              <w:pStyle w:val="TableContents"/>
              <w:bidi w:val="0"/>
              <w:spacing w:before="0" w:after="0"/>
              <w:jc w:val="left"/>
              <w:rPr>
                <w:rFonts w:ascii="arial" w:hAnsi="arial"/>
                <w:b/>
                <w:sz w:val="19"/>
              </w:rPr>
            </w:pPr>
            <w:r>
              <w:rPr>
                <w:rFonts w:ascii="arial" w:hAnsi="arial"/>
                <w:b/>
                <w:sz w:val="19"/>
              </w:rPr>
              <w:t>Committees:</w:t>
            </w:r>
          </w:p>
          <w:p>
            <w:pPr>
              <w:pStyle w:val="TableContents"/>
              <w:bidi w:val="0"/>
              <w:spacing w:before="0" w:after="0"/>
              <w:jc w:val="left"/>
              <w:rPr/>
            </w:pPr>
            <w:r>
              <w:rPr>
                <w:color w:val="0171B9"/>
              </w:rPr>
              <w:t>•</w:t>
            </w:r>
            <w:r>
              <w:rPr/>
              <w:t>  </w:t>
            </w:r>
            <w:r>
              <w:rPr>
                <w:rFonts w:ascii="arial" w:hAnsi="arial"/>
                <w:sz w:val="19"/>
              </w:rPr>
              <w:t>Audit (Chair)</w:t>
            </w:r>
          </w:p>
          <w:p>
            <w:pPr>
              <w:pStyle w:val="TableContents"/>
              <w:bidi w:val="0"/>
              <w:spacing w:before="0" w:after="0"/>
              <w:jc w:val="left"/>
              <w:rPr/>
            </w:pPr>
            <w:r>
              <w:rPr>
                <w:color w:val="0171B9"/>
              </w:rPr>
              <w:t>•</w:t>
            </w:r>
            <w:r>
              <w:rPr/>
              <w:t>  </w:t>
            </w:r>
            <w:r>
              <w:rPr>
                <w:rFonts w:ascii="arial" w:hAnsi="arial"/>
                <w:sz w:val="19"/>
              </w:rPr>
              <w:t>Executive</w:t>
            </w:r>
          </w:p>
          <w:p>
            <w:pPr>
              <w:pStyle w:val="TableContents"/>
              <w:bidi w:val="0"/>
              <w:spacing w:before="0" w:after="0"/>
              <w:jc w:val="left"/>
              <w:rPr/>
            </w:pPr>
            <w:r>
              <w:rPr>
                <w:color w:val="0171B9"/>
              </w:rPr>
              <w:t>•</w:t>
            </w:r>
            <w:r>
              <w:rPr/>
              <w:t>  </w:t>
            </w:r>
            <w:r>
              <w:rPr>
                <w:rFonts w:ascii="arial" w:hAnsi="arial"/>
                <w:sz w:val="19"/>
              </w:rPr>
              <w:t>Governance and Nominating</w:t>
            </w:r>
          </w:p>
          <w:p>
            <w:pPr>
              <w:pStyle w:val="TableContents"/>
              <w:bidi w:val="0"/>
              <w:spacing w:before="0" w:after="0"/>
              <w:jc w:val="left"/>
              <w:rPr/>
            </w:pPr>
            <w:r>
              <w:rPr/>
              <w:t> </w:t>
            </w:r>
          </w:p>
          <w:p>
            <w:pPr>
              <w:pStyle w:val="TableContents"/>
              <w:bidi w:val="0"/>
              <w:spacing w:before="0" w:after="0"/>
              <w:jc w:val="left"/>
              <w:rPr>
                <w:rFonts w:ascii="arial" w:hAnsi="arial"/>
                <w:b/>
                <w:sz w:val="19"/>
              </w:rPr>
            </w:pPr>
            <w:r>
              <w:rPr>
                <w:rFonts w:ascii="arial" w:hAnsi="arial"/>
                <w:b/>
                <w:sz w:val="19"/>
              </w:rPr>
              <w:t>Other Public Company Boards:</w:t>
            </w:r>
          </w:p>
          <w:p>
            <w:pPr>
              <w:pStyle w:val="TableContents"/>
              <w:bidi w:val="0"/>
              <w:spacing w:before="0" w:after="0"/>
              <w:jc w:val="left"/>
              <w:rPr/>
            </w:pPr>
            <w:r>
              <w:rPr>
                <w:color w:val="0171B9"/>
              </w:rPr>
              <w:t>•</w:t>
            </w:r>
            <w:r>
              <w:rPr/>
              <w:t>  </w:t>
            </w:r>
            <w:r>
              <w:rPr>
                <w:rFonts w:ascii="arial" w:hAnsi="arial"/>
                <w:sz w:val="19"/>
              </w:rPr>
              <w:t>Carrier Global Corporation</w:t>
            </w:r>
          </w:p>
          <w:p>
            <w:pPr>
              <w:pStyle w:val="TableContents"/>
              <w:bidi w:val="0"/>
              <w:spacing w:before="0" w:after="0"/>
              <w:jc w:val="left"/>
              <w:rPr/>
            </w:pPr>
            <w:r>
              <w:rPr>
                <w:color w:val="0171B9"/>
              </w:rPr>
              <w:t>•</w:t>
            </w:r>
            <w:r>
              <w:rPr/>
              <w:t>  </w:t>
            </w:r>
            <w:r>
              <w:rPr>
                <w:rFonts w:ascii="arial" w:hAnsi="arial"/>
                <w:sz w:val="19"/>
              </w:rPr>
              <w:t>Phillips 66</w:t>
            </w:r>
          </w:p>
          <w:p>
            <w:pPr>
              <w:pStyle w:val="TableContents"/>
              <w:bidi w:val="0"/>
              <w:spacing w:before="0" w:after="0"/>
              <w:jc w:val="left"/>
              <w:rPr/>
            </w:pPr>
            <w:r>
              <w:rPr/>
              <w:t> </w:t>
            </w:r>
          </w:p>
          <w:p>
            <w:pPr>
              <w:pStyle w:val="TableContents"/>
              <w:bidi w:val="0"/>
              <w:spacing w:before="0" w:after="0"/>
              <w:jc w:val="left"/>
              <w:rPr>
                <w:rFonts w:ascii="arial" w:hAnsi="arial"/>
                <w:b/>
                <w:sz w:val="19"/>
              </w:rPr>
            </w:pPr>
            <w:r>
              <w:rPr>
                <w:rFonts w:ascii="arial" w:hAnsi="arial"/>
                <w:b/>
                <w:sz w:val="19"/>
              </w:rPr>
              <w:t>Audit Committee financial expert</w:t>
            </w:r>
          </w:p>
          <w:p>
            <w:pPr>
              <w:pStyle w:val="TableContents"/>
              <w:bidi w:val="0"/>
              <w:spacing w:before="0" w:after="20"/>
              <w:jc w:val="left"/>
              <w:rPr/>
            </w:pPr>
            <w:r>
              <w:rPr/>
              <w:t> </w:t>
            </w:r>
          </w:p>
        </w:tc>
        <w:tc>
          <w:tcPr>
            <w:tcW w:w="60" w:type="dxa"/>
            <w:tcBorders>
              <w:top w:val="single" w:sz="12" w:space="0" w:color="0171B9"/>
            </w:tcBorders>
            <w:tcMar>
              <w:top w:w="28" w:type="dxa"/>
            </w:tcMar>
            <w:vAlign w:val="center"/>
          </w:tcPr>
          <w:p>
            <w:pPr>
              <w:pStyle w:val="TableContents"/>
              <w:bidi w:val="0"/>
              <w:spacing w:before="0" w:after="283"/>
              <w:jc w:val="left"/>
              <w:rPr/>
            </w:pPr>
            <w:r>
              <w:rPr/>
              <w:t> </w:t>
            </w:r>
          </w:p>
        </w:tc>
        <w:tc>
          <w:tcPr>
            <w:tcW w:w="60" w:type="dxa"/>
            <w:tcBorders>
              <w:top w:val="single" w:sz="12" w:space="0" w:color="0171B9"/>
            </w:tcBorders>
            <w:tcMar>
              <w:top w:w="28" w:type="dxa"/>
            </w:tcMar>
            <w:vAlign w:val="center"/>
          </w:tcPr>
          <w:p>
            <w:pPr>
              <w:pStyle w:val="TableContents"/>
              <w:bidi w:val="0"/>
              <w:spacing w:before="0" w:after="283"/>
              <w:jc w:val="left"/>
              <w:rPr/>
            </w:pPr>
            <w:r>
              <w:rPr/>
              <w:t> </w:t>
            </w:r>
          </w:p>
        </w:tc>
        <w:tc>
          <w:tcPr>
            <w:tcW w:w="60" w:type="dxa"/>
            <w:tcBorders>
              <w:top w:val="single" w:sz="12" w:space="0" w:color="0171B9"/>
            </w:tcBorders>
            <w:tcMar>
              <w:top w:w="28" w:type="dxa"/>
            </w:tcMar>
            <w:vAlign w:val="center"/>
          </w:tcPr>
          <w:p>
            <w:pPr>
              <w:pStyle w:val="TableContents"/>
              <w:bidi w:val="0"/>
              <w:spacing w:before="0" w:after="283"/>
              <w:jc w:val="left"/>
              <w:rPr/>
            </w:pPr>
            <w:r>
              <w:rPr/>
              <w:t> </w:t>
            </w:r>
          </w:p>
        </w:tc>
        <w:tc>
          <w:tcPr>
            <w:tcW w:w="7084" w:type="dxa"/>
            <w:tcBorders>
              <w:top w:val="single" w:sz="12" w:space="0" w:color="0171B9"/>
            </w:tcBorders>
            <w:tcMar>
              <w:top w:w="28" w:type="dxa"/>
            </w:tcMar>
            <w:vAlign w:val="center"/>
          </w:tcPr>
          <w:p>
            <w:pPr>
              <w:pStyle w:val="TableContents"/>
              <w:bidi w:val="0"/>
              <w:spacing w:before="0" w:after="0"/>
              <w:jc w:val="left"/>
              <w:rPr/>
            </w:pPr>
            <w:r>
              <w:rPr/>
              <w:t> </w:t>
            </w:r>
          </w:p>
          <w:p>
            <w:pPr>
              <w:pStyle w:val="TableContents"/>
              <w:bidi w:val="0"/>
              <w:spacing w:before="0" w:after="0"/>
              <w:jc w:val="both"/>
              <w:rPr>
                <w:rFonts w:ascii="arial" w:hAnsi="arial"/>
                <w:sz w:val="19"/>
              </w:rPr>
            </w:pPr>
            <w:r>
              <w:rPr>
                <w:rFonts w:ascii="arial" w:hAnsi="arial"/>
                <w:sz w:val="19"/>
              </w:rPr>
              <w:t>Charles M. Holley, Jr. is the former Executive Vice President and Chief Financial Officer for Wal-Mart Stores, Inc., or Walmart, where he served from 2010 to 2015 and as Executive Vice President in January 2016. Prior to this, Mr. Holley served as Executive Vice President, Finance and Treasurer of Walmart from 2007 to 2010. From 2005 to 2006, he served as Senior Vice President of Walmart and prior to that, as Senior Vice President and Controller from 2003 to 2005. Mr. Holley served various roles in Wal-Mart International from 1994 through 2002. Prior to this, Mr. Holley served in various roles at Tandy Corporation. He spent more than ten years with Ernst &amp; Young LLP. Mr. Holley was an Independent Senior Advisor, U.S. CFO Program, at Deloitte LLP, a privately-held provider of audit, consulting, tax, and advisory services, from 2016 to 2019.</w:t>
            </w:r>
          </w:p>
          <w:p>
            <w:pPr>
              <w:pStyle w:val="TableContents"/>
              <w:bidi w:val="0"/>
              <w:spacing w:before="0" w:after="0"/>
              <w:jc w:val="left"/>
              <w:rPr/>
            </w:pPr>
            <w:r>
              <w:rPr/>
              <w:t> </w:t>
            </w:r>
          </w:p>
          <w:p>
            <w:pPr>
              <w:pStyle w:val="TableContents"/>
              <w:bidi w:val="0"/>
              <w:spacing w:before="0" w:after="0"/>
              <w:jc w:val="both"/>
              <w:rPr>
                <w:rFonts w:ascii="arial" w:hAnsi="arial"/>
                <w:sz w:val="19"/>
              </w:rPr>
            </w:pPr>
            <w:r>
              <w:rPr>
                <w:rFonts w:ascii="arial" w:hAnsi="arial"/>
                <w:sz w:val="19"/>
              </w:rPr>
              <w:t>Mr. Holley has been a director of Phillips 66, since 2019 and serves on the Audit and Finance Committee and the Public Policy and Sustainability Committee. Mr. Holley has also been a director of Carrier Global Corporation, a provider of heating, ventilating, air conditioning (HVAC), refrigeration, fire, and security solutions, since 2020 and chairs the Audit Committee and serves as a member of the Governance Committee. Mr. Holley is a lifetime member of the Advisory Council for the McCombs School of Business at the University of Texas at Austin and a member of the University of Texas Presidents’ Development Board. Mr. Holley received an undergraduate degree from the University of Texas at Austin and a master’s degree in business administration from the University of Houston.</w:t>
            </w:r>
          </w:p>
          <w:p>
            <w:pPr>
              <w:pStyle w:val="TableContents"/>
              <w:bidi w:val="0"/>
              <w:spacing w:before="0" w:after="0"/>
              <w:jc w:val="left"/>
              <w:rPr/>
            </w:pPr>
            <w:r>
              <w:rPr/>
              <w:t> </w:t>
            </w:r>
          </w:p>
          <w:p>
            <w:pPr>
              <w:pStyle w:val="TableContents"/>
              <w:bidi w:val="0"/>
              <w:spacing w:before="0" w:after="0"/>
              <w:jc w:val="both"/>
              <w:rPr>
                <w:rFonts w:ascii="arial" w:hAnsi="arial"/>
                <w:b/>
                <w:color w:val="0171B9"/>
                <w:sz w:val="19"/>
              </w:rPr>
            </w:pPr>
            <w:r>
              <w:rPr>
                <w:rFonts w:ascii="arial" w:hAnsi="arial"/>
                <w:b/>
                <w:color w:val="0171B9"/>
                <w:sz w:val="19"/>
              </w:rPr>
              <w:t>Qualifications</w:t>
            </w:r>
          </w:p>
          <w:p>
            <w:pPr>
              <w:pStyle w:val="TableContents"/>
              <w:bidi w:val="0"/>
              <w:spacing w:before="0" w:after="0"/>
              <w:jc w:val="left"/>
              <w:rPr/>
            </w:pPr>
            <w:r>
              <w:rPr/>
              <w:t> </w:t>
            </w:r>
          </w:p>
          <w:p>
            <w:pPr>
              <w:pStyle w:val="TableContents"/>
              <w:bidi w:val="0"/>
              <w:spacing w:before="0" w:after="20"/>
              <w:jc w:val="both"/>
              <w:rPr>
                <w:rFonts w:ascii="arial" w:hAnsi="arial"/>
                <w:sz w:val="19"/>
              </w:rPr>
            </w:pPr>
            <w:r>
              <w:rPr>
                <w:rFonts w:ascii="arial" w:hAnsi="arial"/>
                <w:sz w:val="19"/>
              </w:rPr>
              <w:t>Our Board concluded that Mr. Holley should serve on our Board based on his experience as a chief financial officer of a global public company, his financial acumen, and his management and leadership skills. Given his financial and leadership experience, Mr. Holley has been determined to be an Audit Committee financial expert by our Board.</w:t>
            </w:r>
          </w:p>
        </w:tc>
      </w:tr>
    </w:tbl>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4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0" descr=""/>
                    <pic:cNvPicPr>
                      <a:picLocks noChangeAspect="1" noChangeArrowheads="1"/>
                    </pic:cNvPicPr>
                  </pic:nvPicPr>
                  <pic:blipFill>
                    <a:blip r:embed="rId41"/>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15</w:t>
      </w:r>
      <w:r>
        <w:rPr>
          <w:rFonts w:ascii="arial" w:hAnsi="arial"/>
          <w:b/>
          <w:sz w:val="22"/>
        </w:rPr>
        <w:t xml:space="preserve"> </w:t>
      </w:r>
      <w:r>
        <w:br w:type="page"/>
      </w:r>
    </w:p>
    <w:p>
      <w:pPr>
        <w:pStyle w:val="HorizontalLine"/>
        <w:bidi w:val="0"/>
        <w:jc w:val="left"/>
        <w:rPr/>
      </w:pPr>
      <w:r>
        <w:rPr/>
      </w:r>
    </w:p>
    <w:tbl>
      <w:tblPr>
        <w:tblW w:w="383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335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335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Item 1 — Election of Directors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72"/>
        <w:gridCol w:w="60"/>
        <w:gridCol w:w="60"/>
        <w:gridCol w:w="60"/>
        <w:gridCol w:w="8453"/>
      </w:tblGrid>
      <w:tr>
        <w:trPr/>
        <w:tc>
          <w:tcPr>
            <w:tcW w:w="15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53" w:type="dxa"/>
            <w:tcBorders/>
            <w:vAlign w:val="center"/>
          </w:tcPr>
          <w:p>
            <w:pPr>
              <w:pStyle w:val="TableContents"/>
              <w:bidi w:val="0"/>
              <w:spacing w:before="0" w:after="283"/>
              <w:jc w:val="left"/>
              <w:rPr>
                <w:sz w:val="4"/>
                <w:szCs w:val="4"/>
              </w:rPr>
            </w:pPr>
            <w:r>
              <w:rPr>
                <w:sz w:val="4"/>
                <w:szCs w:val="4"/>
              </w:rPr>
            </w:r>
          </w:p>
        </w:tc>
      </w:tr>
      <w:tr>
        <w:trPr/>
        <w:tc>
          <w:tcPr>
            <w:tcW w:w="1572" w:type="dxa"/>
            <w:tcBorders>
              <w:top w:val="single" w:sz="12" w:space="0" w:color="0171B9"/>
            </w:tcBorders>
            <w:shd w:fill="B2D4EA" w:val="clear"/>
            <w:tcMar>
              <w:top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i/>
                <w:color w:val="0171B9"/>
                <w:sz w:val="28"/>
              </w:rPr>
            </w:pPr>
            <w:r>
              <w:rPr>
                <w:rFonts w:ascii="arial" w:hAnsi="arial"/>
                <w:b/>
                <w:i/>
                <w:color w:val="0171B9"/>
                <w:sz w:val="28"/>
              </w:rPr>
              <w:t>S. Omar Ishrak</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85090" cy="116840"/>
                  <wp:effectExtent l="0" t="0" r="0" b="0"/>
                  <wp:docPr id="49"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1" descr=""/>
                          <pic:cNvPicPr>
                            <a:picLocks noChangeAspect="1" noChangeArrowheads="1"/>
                          </pic:cNvPicPr>
                        </pic:nvPicPr>
                        <pic:blipFill>
                          <a:blip r:embed="rId42"/>
                          <a:stretch>
                            <a:fillRect/>
                          </a:stretch>
                        </pic:blipFill>
                        <pic:spPr bwMode="auto">
                          <a:xfrm>
                            <a:off x="0" y="0"/>
                            <a:ext cx="85090" cy="11684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sz w:val="19"/>
              </w:rPr>
            </w:pPr>
            <w:r>
              <w:rPr>
                <w:rFonts w:ascii="arial" w:hAnsi="arial"/>
                <w:b/>
                <w:sz w:val="19"/>
              </w:rPr>
              <w:t>Director since:</w:t>
            </w:r>
            <w:r>
              <w:rPr>
                <w:rFonts w:ascii="arial" w:hAnsi="arial"/>
                <w:sz w:val="19"/>
              </w:rPr>
              <w:t xml:space="preserve"> 2021</w:t>
            </w:r>
          </w:p>
          <w:p>
            <w:pPr>
              <w:pStyle w:val="TableContents"/>
              <w:bidi w:val="0"/>
              <w:spacing w:before="0" w:after="0"/>
              <w:jc w:val="left"/>
              <w:rPr/>
            </w:pPr>
            <w:r>
              <w:rPr/>
              <w:t> </w:t>
            </w:r>
          </w:p>
          <w:p>
            <w:pPr>
              <w:pStyle w:val="TableContents"/>
              <w:bidi w:val="0"/>
              <w:spacing w:before="0" w:after="0"/>
              <w:jc w:val="left"/>
              <w:rPr>
                <w:rFonts w:ascii="arial" w:hAnsi="arial"/>
                <w:sz w:val="19"/>
              </w:rPr>
            </w:pPr>
            <w:r>
              <w:rPr>
                <w:rFonts w:ascii="arial" w:hAnsi="arial"/>
                <w:b/>
                <w:sz w:val="19"/>
              </w:rPr>
              <w:t>Age:</w:t>
            </w:r>
            <w:r>
              <w:rPr>
                <w:rFonts w:ascii="arial" w:hAnsi="arial"/>
                <w:sz w:val="19"/>
              </w:rPr>
              <w:t xml:space="preserve"> 68</w:t>
            </w:r>
          </w:p>
          <w:p>
            <w:pPr>
              <w:pStyle w:val="TableContents"/>
              <w:bidi w:val="0"/>
              <w:spacing w:before="0" w:after="0"/>
              <w:jc w:val="left"/>
              <w:rPr/>
            </w:pPr>
            <w:r>
              <w:rPr/>
              <w:t> </w:t>
            </w:r>
          </w:p>
          <w:p>
            <w:pPr>
              <w:pStyle w:val="TableContents"/>
              <w:bidi w:val="0"/>
              <w:spacing w:before="0" w:after="0"/>
              <w:jc w:val="left"/>
              <w:rPr>
                <w:rFonts w:ascii="arial" w:hAnsi="arial"/>
                <w:b/>
                <w:sz w:val="19"/>
              </w:rPr>
            </w:pPr>
            <w:r>
              <w:rPr>
                <w:rFonts w:ascii="arial" w:hAnsi="arial"/>
                <w:b/>
                <w:sz w:val="19"/>
              </w:rPr>
              <w:t>Current Committees:</w:t>
            </w:r>
          </w:p>
          <w:p>
            <w:pPr>
              <w:pStyle w:val="TableContents"/>
              <w:bidi w:val="0"/>
              <w:spacing w:before="0" w:after="0"/>
              <w:jc w:val="left"/>
              <w:rPr/>
            </w:pPr>
            <w:r>
              <w:rPr>
                <w:color w:val="0171B9"/>
              </w:rPr>
              <w:t>•</w:t>
            </w:r>
            <w:r>
              <w:rPr/>
              <w:t>  </w:t>
            </w:r>
            <w:r>
              <w:rPr>
                <w:rFonts w:ascii="arial" w:hAnsi="arial"/>
                <w:sz w:val="19"/>
              </w:rPr>
              <w:t>Compensation and Management Development</w:t>
            </w:r>
          </w:p>
          <w:p>
            <w:pPr>
              <w:pStyle w:val="TableContents"/>
              <w:bidi w:val="0"/>
              <w:spacing w:before="0" w:after="0"/>
              <w:jc w:val="left"/>
              <w:rPr/>
            </w:pPr>
            <w:r>
              <w:rPr>
                <w:color w:val="0171B9"/>
              </w:rPr>
              <w:t>•</w:t>
            </w:r>
            <w:r>
              <w:rPr/>
              <w:t>  </w:t>
            </w:r>
            <w:r>
              <w:rPr>
                <w:rFonts w:ascii="arial" w:hAnsi="arial"/>
                <w:sz w:val="19"/>
              </w:rPr>
              <w:t>Corporate Responsibility and Compliance</w:t>
            </w:r>
          </w:p>
          <w:p>
            <w:pPr>
              <w:pStyle w:val="TableContents"/>
              <w:bidi w:val="0"/>
              <w:spacing w:before="0" w:after="0"/>
              <w:jc w:val="left"/>
              <w:rPr/>
            </w:pPr>
            <w:r>
              <w:rPr/>
              <w:t> </w:t>
            </w:r>
          </w:p>
          <w:p>
            <w:pPr>
              <w:pStyle w:val="TableContents"/>
              <w:bidi w:val="0"/>
              <w:spacing w:before="0" w:after="0"/>
              <w:jc w:val="left"/>
              <w:rPr>
                <w:rFonts w:ascii="arial" w:hAnsi="arial"/>
                <w:b/>
                <w:sz w:val="19"/>
              </w:rPr>
            </w:pPr>
            <w:r>
              <w:rPr>
                <w:rFonts w:ascii="arial" w:hAnsi="arial"/>
                <w:b/>
                <w:sz w:val="19"/>
              </w:rPr>
              <w:t>Effective May 30, 2024, Dr. Ishrak will serve on the following committees:</w:t>
            </w:r>
          </w:p>
          <w:p>
            <w:pPr>
              <w:pStyle w:val="TableContents"/>
              <w:bidi w:val="0"/>
              <w:spacing w:before="0" w:after="0"/>
              <w:jc w:val="left"/>
              <w:rPr/>
            </w:pPr>
            <w:r>
              <w:rPr>
                <w:color w:val="0171B9"/>
              </w:rPr>
              <w:t>•</w:t>
            </w:r>
            <w:r>
              <w:rPr/>
              <w:t>  </w:t>
            </w:r>
            <w:r>
              <w:rPr>
                <w:rFonts w:ascii="arial" w:hAnsi="arial"/>
                <w:sz w:val="19"/>
              </w:rPr>
              <w:t>Compensation and Management Development</w:t>
            </w:r>
          </w:p>
          <w:p>
            <w:pPr>
              <w:pStyle w:val="TableContents"/>
              <w:bidi w:val="0"/>
              <w:spacing w:before="0" w:after="0"/>
              <w:jc w:val="left"/>
              <w:rPr/>
            </w:pPr>
            <w:r>
              <w:rPr>
                <w:color w:val="0171B9"/>
              </w:rPr>
              <w:t>•</w:t>
            </w:r>
            <w:r>
              <w:rPr/>
              <w:t>  </w:t>
            </w:r>
            <w:r>
              <w:rPr>
                <w:rFonts w:ascii="arial" w:hAnsi="arial"/>
                <w:sz w:val="19"/>
              </w:rPr>
              <w:t>Audit</w:t>
            </w:r>
          </w:p>
          <w:p>
            <w:pPr>
              <w:pStyle w:val="TableContents"/>
              <w:bidi w:val="0"/>
              <w:spacing w:before="0" w:after="0"/>
              <w:jc w:val="left"/>
              <w:rPr/>
            </w:pPr>
            <w:r>
              <w:rPr/>
              <w:t> </w:t>
            </w:r>
          </w:p>
          <w:p>
            <w:pPr>
              <w:pStyle w:val="TableContents"/>
              <w:bidi w:val="0"/>
              <w:spacing w:before="0" w:after="0"/>
              <w:jc w:val="left"/>
              <w:rPr>
                <w:rFonts w:ascii="arial" w:hAnsi="arial"/>
                <w:b/>
                <w:sz w:val="19"/>
              </w:rPr>
            </w:pPr>
            <w:r>
              <w:rPr>
                <w:rFonts w:ascii="arial" w:hAnsi="arial"/>
                <w:b/>
                <w:sz w:val="19"/>
              </w:rPr>
              <w:t>Other Public Company Boards:</w:t>
            </w:r>
          </w:p>
          <w:p>
            <w:pPr>
              <w:pStyle w:val="TableContents"/>
              <w:bidi w:val="0"/>
              <w:spacing w:before="0" w:after="0"/>
              <w:jc w:val="left"/>
              <w:rPr/>
            </w:pPr>
            <w:r>
              <w:rPr>
                <w:color w:val="0171B9"/>
              </w:rPr>
              <w:t>•</w:t>
            </w:r>
            <w:r>
              <w:rPr/>
              <w:t>  </w:t>
            </w:r>
            <w:r>
              <w:rPr>
                <w:rFonts w:ascii="arial" w:hAnsi="arial"/>
                <w:sz w:val="19"/>
              </w:rPr>
              <w:t>Allurion Technologies, Inc.</w:t>
            </w:r>
          </w:p>
          <w:p>
            <w:pPr>
              <w:pStyle w:val="TableContents"/>
              <w:bidi w:val="0"/>
              <w:spacing w:before="0" w:after="0"/>
              <w:jc w:val="left"/>
              <w:rPr/>
            </w:pPr>
            <w:r>
              <w:rPr>
                <w:color w:val="0171B9"/>
              </w:rPr>
              <w:t>•</w:t>
            </w:r>
            <w:r>
              <w:rPr/>
              <w:t>  </w:t>
            </w:r>
            <w:r>
              <w:rPr>
                <w:rFonts w:ascii="arial" w:hAnsi="arial"/>
                <w:sz w:val="19"/>
              </w:rPr>
              <w:t>Intel Corporation</w:t>
            </w:r>
          </w:p>
          <w:p>
            <w:pPr>
              <w:pStyle w:val="TableContents"/>
              <w:bidi w:val="0"/>
              <w:spacing w:before="0" w:after="20"/>
              <w:jc w:val="left"/>
              <w:rPr/>
            </w:pPr>
            <w:r>
              <w:rPr/>
              <w:t> </w:t>
            </w:r>
          </w:p>
        </w:tc>
        <w:tc>
          <w:tcPr>
            <w:tcW w:w="60" w:type="dxa"/>
            <w:tcBorders>
              <w:top w:val="single" w:sz="12" w:space="0" w:color="0171B9"/>
            </w:tcBorders>
            <w:tcMar>
              <w:top w:w="28" w:type="dxa"/>
            </w:tcMar>
            <w:vAlign w:val="center"/>
          </w:tcPr>
          <w:p>
            <w:pPr>
              <w:pStyle w:val="TableContents"/>
              <w:bidi w:val="0"/>
              <w:spacing w:before="0" w:after="283"/>
              <w:jc w:val="left"/>
              <w:rPr/>
            </w:pPr>
            <w:r>
              <w:rPr/>
              <w:t> </w:t>
            </w:r>
          </w:p>
        </w:tc>
        <w:tc>
          <w:tcPr>
            <w:tcW w:w="60" w:type="dxa"/>
            <w:tcBorders>
              <w:top w:val="single" w:sz="12" w:space="0" w:color="0171B9"/>
            </w:tcBorders>
            <w:tcMar>
              <w:top w:w="28" w:type="dxa"/>
            </w:tcMar>
            <w:vAlign w:val="center"/>
          </w:tcPr>
          <w:p>
            <w:pPr>
              <w:pStyle w:val="TableContents"/>
              <w:bidi w:val="0"/>
              <w:spacing w:before="0" w:after="283"/>
              <w:jc w:val="left"/>
              <w:rPr/>
            </w:pPr>
            <w:r>
              <w:rPr/>
              <w:t> </w:t>
            </w:r>
          </w:p>
        </w:tc>
        <w:tc>
          <w:tcPr>
            <w:tcW w:w="60" w:type="dxa"/>
            <w:tcBorders>
              <w:top w:val="single" w:sz="12" w:space="0" w:color="0171B9"/>
            </w:tcBorders>
            <w:tcMar>
              <w:top w:w="28" w:type="dxa"/>
            </w:tcMar>
            <w:vAlign w:val="center"/>
          </w:tcPr>
          <w:p>
            <w:pPr>
              <w:pStyle w:val="TableContents"/>
              <w:bidi w:val="0"/>
              <w:spacing w:before="0" w:after="283"/>
              <w:jc w:val="left"/>
              <w:rPr/>
            </w:pPr>
            <w:r>
              <w:rPr/>
              <w:t> </w:t>
            </w:r>
          </w:p>
        </w:tc>
        <w:tc>
          <w:tcPr>
            <w:tcW w:w="8453" w:type="dxa"/>
            <w:tcBorders>
              <w:top w:val="single" w:sz="12" w:space="0" w:color="0171B9"/>
            </w:tcBorders>
            <w:tcMar>
              <w:top w:w="28" w:type="dxa"/>
            </w:tcMar>
            <w:vAlign w:val="center"/>
          </w:tcPr>
          <w:p>
            <w:pPr>
              <w:pStyle w:val="TableContents"/>
              <w:bidi w:val="0"/>
              <w:spacing w:before="0" w:after="0"/>
              <w:jc w:val="left"/>
              <w:rPr/>
            </w:pPr>
            <w:r>
              <w:rPr/>
              <w:t> </w:t>
            </w:r>
          </w:p>
          <w:p>
            <w:pPr>
              <w:pStyle w:val="TableContents"/>
              <w:bidi w:val="0"/>
              <w:spacing w:before="0" w:after="0"/>
              <w:jc w:val="both"/>
              <w:rPr>
                <w:rFonts w:ascii="arial" w:hAnsi="arial"/>
                <w:sz w:val="19"/>
              </w:rPr>
            </w:pPr>
            <w:r>
              <w:rPr>
                <w:rFonts w:ascii="arial" w:hAnsi="arial"/>
                <w:sz w:val="19"/>
              </w:rPr>
              <w:t>S. Omar Ishrak is the former Executive Chairman and Chairman of the Board of Medtronic plc, or Medtronic, a global medical technology company. Dr. Ishrak served as the Chief Executive Officer of Medtronic from 2011 to April 2020 and was Executive Chairman until December 2020. Prior to joining Medtronic, he served as President and Chief Executive Officer of GE Healthcare Systems, a provider of medical imaging and diagnostic technology and a division of GE Healthcare, from 2009 to 2011. Dr. Ishrak was President and Chief Executive Officer of GE Healthcare Clinical Systems from 2005 to 2008 and President and Chief Executive Officer of GE Healthcare Ultrasound and BMD from 1995 to 2004.</w:t>
            </w:r>
          </w:p>
          <w:p>
            <w:pPr>
              <w:pStyle w:val="TableContents"/>
              <w:bidi w:val="0"/>
              <w:spacing w:before="0" w:after="0"/>
              <w:jc w:val="left"/>
              <w:rPr/>
            </w:pPr>
            <w:r>
              <w:rPr/>
              <w:t> </w:t>
            </w:r>
          </w:p>
          <w:p>
            <w:pPr>
              <w:pStyle w:val="TableContents"/>
              <w:bidi w:val="0"/>
              <w:spacing w:before="0" w:after="0"/>
              <w:jc w:val="both"/>
              <w:rPr>
                <w:rFonts w:ascii="arial" w:hAnsi="arial"/>
                <w:sz w:val="19"/>
              </w:rPr>
            </w:pPr>
            <w:r>
              <w:rPr>
                <w:rFonts w:ascii="arial" w:hAnsi="arial"/>
                <w:sz w:val="19"/>
              </w:rPr>
              <w:t>Dr. Ishrak has been a director of Intel Corporation, a multinational corporation and technology company, since 2017, serving as a member of the Audit and Finance Committee and Corporate Governance and Nominating Committee, and Chairman of its Board from 2020 until January 2023. Dr. Ishrak has served as Co-Chairman and lead independent director, as well as a member of the Audit Committee and Nominating and Corporate Governance Committee, of Allurion Technologies, Inc., a weight loss platform combined with gastric balloon, since its merger in 2023 with Compute Health Acquisition Corporation, a special purpose acquisition company, where Dr. Ishrak served as Chairman of the Board of Directors from 2021 until its merger in 2023. Dr. Ishrak is a member of the Board of Trustees of the Asia Society, an educational organization dedicated to promoting mutual understanding and strong partnerships between Asia and the U.S. Since 2021, Dr. Ishrak has been a senior advisor to Blackstone Life Sciences, a segment of Blackstone Inc. that invests in the biopharmaceutical and medical technology industries. Dr. Ishrak was inducted into the American Institute for Medical and Biological Engineering College of Fellows in 2016, elected as a Fellow of King’s College London in 2017, inducted into the Bakken Society in 2020, and elected to the National Academy of Engineering in 2020. Dr. Ishrak received his undergraduate degree and doctorate from the University of London, King’s College.</w:t>
            </w:r>
          </w:p>
          <w:p>
            <w:pPr>
              <w:pStyle w:val="TableContents"/>
              <w:bidi w:val="0"/>
              <w:spacing w:before="0" w:after="0"/>
              <w:jc w:val="left"/>
              <w:rPr/>
            </w:pPr>
            <w:r>
              <w:rPr/>
              <w:t> </w:t>
            </w:r>
          </w:p>
          <w:p>
            <w:pPr>
              <w:pStyle w:val="TableContents"/>
              <w:bidi w:val="0"/>
              <w:spacing w:before="0" w:after="0"/>
              <w:jc w:val="both"/>
              <w:rPr>
                <w:rFonts w:ascii="arial" w:hAnsi="arial"/>
                <w:b/>
                <w:color w:val="0171B9"/>
                <w:sz w:val="19"/>
              </w:rPr>
            </w:pPr>
            <w:r>
              <w:rPr>
                <w:rFonts w:ascii="arial" w:hAnsi="arial"/>
                <w:b/>
                <w:color w:val="0171B9"/>
                <w:sz w:val="19"/>
              </w:rPr>
              <w:t>Qualifications</w:t>
            </w:r>
          </w:p>
          <w:p>
            <w:pPr>
              <w:pStyle w:val="TableContents"/>
              <w:bidi w:val="0"/>
              <w:spacing w:before="0" w:after="0"/>
              <w:jc w:val="left"/>
              <w:rPr/>
            </w:pPr>
            <w:r>
              <w:rPr/>
              <w:t> </w:t>
            </w:r>
          </w:p>
          <w:p>
            <w:pPr>
              <w:pStyle w:val="TableContents"/>
              <w:bidi w:val="0"/>
              <w:spacing w:before="0" w:after="20"/>
              <w:jc w:val="both"/>
              <w:rPr>
                <w:rFonts w:ascii="arial" w:hAnsi="arial"/>
                <w:sz w:val="19"/>
              </w:rPr>
            </w:pPr>
            <w:r>
              <w:rPr>
                <w:rFonts w:ascii="arial" w:hAnsi="arial"/>
                <w:sz w:val="19"/>
              </w:rPr>
              <w:t>Our Board concluded that Dr. Ishrak should serve on our Board based on Dr. Ishrak’s board and senior executive-level expertise, including his experience as chief executive officer of a global, highly regulated public company in the healthcare industry, his extensive background in medical technologies, manufacturing, international expertise and interest in Asia, and his management and leadership skills.</w:t>
            </w:r>
          </w:p>
        </w:tc>
      </w:tr>
    </w:tbl>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16  </w:t>
      </w:r>
      <w:r>
        <w:rPr>
          <w:rFonts w:ascii="arial" w:hAnsi="arial"/>
          <w:b/>
          <w:color w:val="474747"/>
          <w:sz w:val="22"/>
        </w:rPr>
        <w:drawing>
          <wp:inline distT="0" distB="0" distL="0" distR="0">
            <wp:extent cx="64770" cy="15240"/>
            <wp:effectExtent l="0" t="0" r="0" b="0"/>
            <wp:docPr id="50"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2" descr=""/>
                    <pic:cNvPicPr>
                      <a:picLocks noChangeAspect="1" noChangeArrowheads="1"/>
                    </pic:cNvPicPr>
                  </pic:nvPicPr>
                  <pic:blipFill>
                    <a:blip r:embed="rId43"/>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383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335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335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Item 1 — Election of Directors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16"/>
        <w:gridCol w:w="60"/>
        <w:gridCol w:w="60"/>
        <w:gridCol w:w="60"/>
        <w:gridCol w:w="8609"/>
      </w:tblGrid>
      <w:tr>
        <w:trPr/>
        <w:tc>
          <w:tcPr>
            <w:tcW w:w="14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9" w:type="dxa"/>
            <w:tcBorders/>
            <w:vAlign w:val="center"/>
          </w:tcPr>
          <w:p>
            <w:pPr>
              <w:pStyle w:val="TableContents"/>
              <w:bidi w:val="0"/>
              <w:spacing w:before="0" w:after="283"/>
              <w:jc w:val="left"/>
              <w:rPr>
                <w:sz w:val="4"/>
                <w:szCs w:val="4"/>
              </w:rPr>
            </w:pPr>
            <w:r>
              <w:rPr>
                <w:sz w:val="4"/>
                <w:szCs w:val="4"/>
              </w:rPr>
            </w:r>
          </w:p>
        </w:tc>
      </w:tr>
      <w:tr>
        <w:trPr/>
        <w:tc>
          <w:tcPr>
            <w:tcW w:w="1416" w:type="dxa"/>
            <w:tcBorders>
              <w:top w:val="single" w:sz="12" w:space="0" w:color="0171B9"/>
            </w:tcBorders>
            <w:shd w:fill="B2D4EA" w:val="clear"/>
            <w:tcMar>
              <w:top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i/>
                <w:color w:val="0171B9"/>
                <w:sz w:val="28"/>
              </w:rPr>
            </w:pPr>
            <w:r>
              <w:rPr>
                <w:rFonts w:ascii="arial" w:hAnsi="arial"/>
                <w:b/>
                <w:i/>
                <w:color w:val="0171B9"/>
                <w:sz w:val="28"/>
              </w:rPr>
              <w:t>Tyler Jacks</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85725" cy="116205"/>
                  <wp:effectExtent l="0" t="0" r="0" b="0"/>
                  <wp:docPr id="51"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3" descr=""/>
                          <pic:cNvPicPr>
                            <a:picLocks noChangeAspect="1" noChangeArrowheads="1"/>
                          </pic:cNvPicPr>
                        </pic:nvPicPr>
                        <pic:blipFill>
                          <a:blip r:embed="rId44"/>
                          <a:stretch>
                            <a:fillRect/>
                          </a:stretch>
                        </pic:blipFill>
                        <pic:spPr bwMode="auto">
                          <a:xfrm>
                            <a:off x="0" y="0"/>
                            <a:ext cx="85725" cy="11620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sz w:val="19"/>
              </w:rPr>
            </w:pPr>
            <w:r>
              <w:rPr>
                <w:rFonts w:ascii="arial" w:hAnsi="arial"/>
                <w:b/>
                <w:sz w:val="19"/>
              </w:rPr>
              <w:t>Director since:</w:t>
            </w:r>
            <w:r>
              <w:rPr>
                <w:rFonts w:ascii="arial" w:hAnsi="arial"/>
                <w:sz w:val="19"/>
              </w:rPr>
              <w:t xml:space="preserve"> 2012</w:t>
            </w:r>
          </w:p>
          <w:p>
            <w:pPr>
              <w:pStyle w:val="TableContents"/>
              <w:bidi w:val="0"/>
              <w:spacing w:before="0" w:after="0"/>
              <w:jc w:val="left"/>
              <w:rPr/>
            </w:pPr>
            <w:r>
              <w:rPr/>
              <w:t> </w:t>
            </w:r>
          </w:p>
          <w:p>
            <w:pPr>
              <w:pStyle w:val="TableContents"/>
              <w:bidi w:val="0"/>
              <w:spacing w:before="0" w:after="0"/>
              <w:jc w:val="left"/>
              <w:rPr>
                <w:rFonts w:ascii="arial" w:hAnsi="arial"/>
                <w:sz w:val="19"/>
              </w:rPr>
            </w:pPr>
            <w:r>
              <w:rPr>
                <w:rFonts w:ascii="arial" w:hAnsi="arial"/>
                <w:b/>
                <w:sz w:val="19"/>
              </w:rPr>
              <w:t>Age:</w:t>
            </w:r>
            <w:r>
              <w:rPr>
                <w:rFonts w:ascii="arial" w:hAnsi="arial"/>
                <w:sz w:val="19"/>
              </w:rPr>
              <w:t xml:space="preserve"> 63</w:t>
            </w:r>
          </w:p>
          <w:p>
            <w:pPr>
              <w:pStyle w:val="TableContents"/>
              <w:bidi w:val="0"/>
              <w:spacing w:before="0" w:after="0"/>
              <w:jc w:val="left"/>
              <w:rPr/>
            </w:pPr>
            <w:r>
              <w:rPr/>
              <w:t> </w:t>
            </w:r>
          </w:p>
          <w:p>
            <w:pPr>
              <w:pStyle w:val="TableContents"/>
              <w:bidi w:val="0"/>
              <w:spacing w:before="0" w:after="0"/>
              <w:jc w:val="left"/>
              <w:rPr>
                <w:rFonts w:ascii="arial" w:hAnsi="arial"/>
                <w:b/>
                <w:sz w:val="19"/>
              </w:rPr>
            </w:pPr>
            <w:r>
              <w:rPr>
                <w:rFonts w:ascii="arial" w:hAnsi="arial"/>
                <w:b/>
                <w:sz w:val="19"/>
              </w:rPr>
              <w:t>Committees:</w:t>
            </w:r>
          </w:p>
          <w:p>
            <w:pPr>
              <w:pStyle w:val="TableContents"/>
              <w:bidi w:val="0"/>
              <w:spacing w:before="0" w:after="0"/>
              <w:jc w:val="left"/>
              <w:rPr/>
            </w:pPr>
            <w:r>
              <w:rPr>
                <w:color w:val="0171B9"/>
              </w:rPr>
              <w:t>•</w:t>
            </w:r>
            <w:r>
              <w:rPr/>
              <w:t>  </w:t>
            </w:r>
            <w:r>
              <w:rPr>
                <w:rFonts w:ascii="arial" w:hAnsi="arial"/>
                <w:sz w:val="19"/>
              </w:rPr>
              <w:t>Compensation and Management Development</w:t>
            </w:r>
          </w:p>
          <w:p>
            <w:pPr>
              <w:pStyle w:val="TableContents"/>
              <w:bidi w:val="0"/>
              <w:spacing w:before="0" w:after="0"/>
              <w:jc w:val="left"/>
              <w:rPr/>
            </w:pPr>
            <w:r>
              <w:rPr>
                <w:color w:val="0171B9"/>
              </w:rPr>
              <w:t>•</w:t>
            </w:r>
            <w:r>
              <w:rPr/>
              <w:t>  </w:t>
            </w:r>
            <w:r>
              <w:rPr>
                <w:rFonts w:ascii="arial" w:hAnsi="arial"/>
                <w:sz w:val="19"/>
              </w:rPr>
              <w:t>Corporate Responsibility and Compliance</w:t>
            </w:r>
          </w:p>
          <w:p>
            <w:pPr>
              <w:pStyle w:val="TableContents"/>
              <w:bidi w:val="0"/>
              <w:spacing w:before="0" w:after="0"/>
              <w:jc w:val="left"/>
              <w:rPr/>
            </w:pPr>
            <w:r>
              <w:rPr/>
              <w:t> </w:t>
            </w:r>
          </w:p>
          <w:p>
            <w:pPr>
              <w:pStyle w:val="TableContents"/>
              <w:bidi w:val="0"/>
              <w:spacing w:before="0" w:after="0"/>
              <w:jc w:val="left"/>
              <w:rPr>
                <w:rFonts w:ascii="arial" w:hAnsi="arial"/>
                <w:b/>
                <w:sz w:val="19"/>
              </w:rPr>
            </w:pPr>
            <w:r>
              <w:rPr>
                <w:rFonts w:ascii="arial" w:hAnsi="arial"/>
                <w:b/>
                <w:sz w:val="19"/>
              </w:rPr>
              <w:t>Other Public Company Boards:</w:t>
            </w:r>
          </w:p>
          <w:p>
            <w:pPr>
              <w:pStyle w:val="TableContents"/>
              <w:bidi w:val="0"/>
              <w:spacing w:before="0" w:after="20"/>
              <w:jc w:val="left"/>
              <w:rPr/>
            </w:pPr>
            <w:r>
              <w:rPr>
                <w:color w:val="0171B9"/>
              </w:rPr>
              <w:t>•</w:t>
            </w:r>
            <w:r>
              <w:rPr/>
              <w:t>  </w:t>
            </w:r>
            <w:r>
              <w:rPr>
                <w:rFonts w:ascii="arial" w:hAnsi="arial"/>
                <w:sz w:val="19"/>
              </w:rPr>
              <w:t>Thermo Fisher Scientific, Inc.</w:t>
            </w:r>
          </w:p>
        </w:tc>
        <w:tc>
          <w:tcPr>
            <w:tcW w:w="60" w:type="dxa"/>
            <w:tcBorders>
              <w:top w:val="single" w:sz="12" w:space="0" w:color="0171B9"/>
            </w:tcBorders>
            <w:tcMar>
              <w:top w:w="28" w:type="dxa"/>
            </w:tcMar>
            <w:vAlign w:val="center"/>
          </w:tcPr>
          <w:p>
            <w:pPr>
              <w:pStyle w:val="TableContents"/>
              <w:bidi w:val="0"/>
              <w:spacing w:before="0" w:after="283"/>
              <w:jc w:val="left"/>
              <w:rPr/>
            </w:pPr>
            <w:r>
              <w:rPr/>
              <w:t> </w:t>
            </w:r>
          </w:p>
        </w:tc>
        <w:tc>
          <w:tcPr>
            <w:tcW w:w="60" w:type="dxa"/>
            <w:tcBorders>
              <w:top w:val="single" w:sz="12" w:space="0" w:color="0171B9"/>
            </w:tcBorders>
            <w:tcMar>
              <w:top w:w="28" w:type="dxa"/>
            </w:tcMar>
            <w:vAlign w:val="center"/>
          </w:tcPr>
          <w:p>
            <w:pPr>
              <w:pStyle w:val="TableContents"/>
              <w:bidi w:val="0"/>
              <w:spacing w:before="0" w:after="283"/>
              <w:jc w:val="left"/>
              <w:rPr/>
            </w:pPr>
            <w:r>
              <w:rPr/>
              <w:t> </w:t>
            </w:r>
          </w:p>
        </w:tc>
        <w:tc>
          <w:tcPr>
            <w:tcW w:w="60" w:type="dxa"/>
            <w:tcBorders>
              <w:top w:val="single" w:sz="12" w:space="0" w:color="0171B9"/>
            </w:tcBorders>
            <w:tcMar>
              <w:top w:w="28" w:type="dxa"/>
            </w:tcMar>
            <w:vAlign w:val="center"/>
          </w:tcPr>
          <w:p>
            <w:pPr>
              <w:pStyle w:val="TableContents"/>
              <w:bidi w:val="0"/>
              <w:spacing w:before="0" w:after="283"/>
              <w:jc w:val="left"/>
              <w:rPr/>
            </w:pPr>
            <w:r>
              <w:rPr/>
              <w:t> </w:t>
            </w:r>
          </w:p>
        </w:tc>
        <w:tc>
          <w:tcPr>
            <w:tcW w:w="8609" w:type="dxa"/>
            <w:tcBorders>
              <w:top w:val="single" w:sz="12" w:space="0" w:color="0171B9"/>
            </w:tcBorders>
            <w:tcMar>
              <w:top w:w="28" w:type="dxa"/>
            </w:tcMar>
            <w:vAlign w:val="center"/>
          </w:tcPr>
          <w:p>
            <w:pPr>
              <w:pStyle w:val="TableContents"/>
              <w:bidi w:val="0"/>
              <w:spacing w:before="0" w:after="0"/>
              <w:jc w:val="left"/>
              <w:rPr/>
            </w:pPr>
            <w:r>
              <w:rPr/>
              <w:t> </w:t>
            </w:r>
          </w:p>
          <w:p>
            <w:pPr>
              <w:pStyle w:val="TableContents"/>
              <w:bidi w:val="0"/>
              <w:spacing w:before="0" w:after="0"/>
              <w:jc w:val="both"/>
              <w:rPr>
                <w:rFonts w:ascii="arial" w:hAnsi="arial"/>
                <w:sz w:val="19"/>
              </w:rPr>
            </w:pPr>
            <w:r>
              <w:rPr>
                <w:rFonts w:ascii="arial" w:hAnsi="arial"/>
                <w:sz w:val="19"/>
              </w:rPr>
              <w:t>Tyler Jacks joined the faculty of Massachusetts Institute of Technology, or MIT, in 1992 and is currently the David H. Koch Professor of Biology, a position he has held since 2007, and founding director of the David H. Koch Institute for Integrative Cancer Research, which brings together biologists and engineers to improve detection, diagnosis and treatment of cancer, having served as director from 2007 to 2021. Since 2021, Dr. Jacks has served as President and director of Break Through Cancer, a foundation bringing together multidisciplinary cancer research teams selected from across five participating institutions.(1) Dr. Jacks was an investigator with the Howard Hughes Medical Institute, a nonprofit medical research organization, from 1994 until 2021.</w:t>
            </w:r>
          </w:p>
          <w:p>
            <w:pPr>
              <w:pStyle w:val="TableContents"/>
              <w:bidi w:val="0"/>
              <w:spacing w:before="0" w:after="0"/>
              <w:jc w:val="left"/>
              <w:rPr/>
            </w:pPr>
            <w:r>
              <w:rPr/>
              <w:t> </w:t>
            </w:r>
          </w:p>
          <w:p>
            <w:pPr>
              <w:pStyle w:val="TableContents"/>
              <w:bidi w:val="0"/>
              <w:spacing w:before="0" w:after="0"/>
              <w:jc w:val="both"/>
              <w:rPr>
                <w:rFonts w:ascii="arial" w:hAnsi="arial"/>
                <w:sz w:val="19"/>
              </w:rPr>
            </w:pPr>
            <w:r>
              <w:rPr>
                <w:rFonts w:ascii="arial" w:hAnsi="arial"/>
                <w:sz w:val="19"/>
              </w:rPr>
              <w:t>Dr. Jacks has been a director of Thermo Fisher Scientific, Inc., a life sciences supply company, since 2009, serving as the Chair of its Science and Technology Committee and as a member of its Strategy and Finance Committee and its scientific advisory board. In 2006, he co-founded T2 Biosystems, Inc., a biotechnology company, and served on its scientific advisory board until 2013. Dr. Jacks served on the scientific advisory boards of SQZ Biotechnologies Company, a biotechnology company, from 2015 until 2023, and Aveo Pharmaceuticals Inc., a biopharmaceutical company, from 2001 until 2013. In 2015, Dr. Jacks founded Dragonfly Therapeutics, Inc., a privately-held biopharmaceutical company, and serves as the Chair of its scientific advisory board. In 2011, he was appointed to the National Cancer Advisory Board, which advises and assists the Director of the National Cancer Institute with respect to the National Cancer Program, and served as Chair until 2016. In 2016, Dr. Jacks was named to a blue ribbon panel of scientists and advisors established as a working group of the National Cancer Advisory Board and served as co-Chair advising the Cancer MoonshotSM Task Force. Dr. Jacks was a director of MIT’s Center for Cancer Research from 2001 to 2007 and received numerous awards including the Paul Marks Prize for Cancer Research and the American Association for Cancer Research Award for Outstanding Achievement. He was elected to the National Academy of Sciences as well as the National Academy of Medicine in 2009 and received the MIT Killian Faculty Achievement Award in 2015. Dr. Jacks received an undergraduate degree from Harvard University and his doctorate from the University of California, San Francisco.</w:t>
            </w:r>
          </w:p>
          <w:p>
            <w:pPr>
              <w:pStyle w:val="TableContents"/>
              <w:bidi w:val="0"/>
              <w:spacing w:before="0" w:after="0"/>
              <w:jc w:val="left"/>
              <w:rPr/>
            </w:pPr>
            <w:r>
              <w:rPr/>
              <w:t> </w:t>
            </w:r>
          </w:p>
          <w:p>
            <w:pPr>
              <w:pStyle w:val="TableContents"/>
              <w:bidi w:val="0"/>
              <w:spacing w:before="0" w:after="0"/>
              <w:jc w:val="both"/>
              <w:rPr>
                <w:rFonts w:ascii="arial" w:hAnsi="arial"/>
                <w:b/>
                <w:color w:val="0171B9"/>
                <w:sz w:val="19"/>
              </w:rPr>
            </w:pPr>
            <w:r>
              <w:rPr>
                <w:rFonts w:ascii="arial" w:hAnsi="arial"/>
                <w:b/>
                <w:color w:val="0171B9"/>
                <w:sz w:val="19"/>
              </w:rPr>
              <w:t>Qualifications</w:t>
            </w:r>
          </w:p>
          <w:p>
            <w:pPr>
              <w:pStyle w:val="TableContents"/>
              <w:bidi w:val="0"/>
              <w:spacing w:before="0" w:after="0"/>
              <w:jc w:val="left"/>
              <w:rPr/>
            </w:pPr>
            <w:r>
              <w:rPr/>
              <w:t> </w:t>
            </w:r>
          </w:p>
          <w:p>
            <w:pPr>
              <w:pStyle w:val="TableContents"/>
              <w:bidi w:val="0"/>
              <w:spacing w:before="0" w:after="20"/>
              <w:jc w:val="both"/>
              <w:rPr>
                <w:rFonts w:ascii="arial" w:hAnsi="arial"/>
                <w:sz w:val="19"/>
              </w:rPr>
            </w:pPr>
            <w:r>
              <w:rPr>
                <w:rFonts w:ascii="arial" w:hAnsi="arial"/>
                <w:sz w:val="19"/>
              </w:rPr>
              <w:t>Our Board concluded that Dr. Jacks should serve on our Board based on his extensive scientific expertise relevant to our industry, including his broad experience as a cancer researcher, pioneering uses of technology to study cancer-associated genes, and service on multiple scientific advisory boards and service to the National Cancer Advisory Board.</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pPr>
            <w:r>
              <w:rPr/>
              <w:t>(1) </w:t>
            </w:r>
          </w:p>
        </w:tc>
        <w:tc>
          <w:tcPr>
            <w:tcW w:w="9909" w:type="dxa"/>
            <w:tcBorders/>
            <w:vAlign w:val="center"/>
          </w:tcPr>
          <w:p>
            <w:pPr>
              <w:pStyle w:val="TableContents"/>
              <w:bidi w:val="0"/>
              <w:spacing w:before="0" w:after="0"/>
              <w:jc w:val="both"/>
              <w:rPr>
                <w:rFonts w:ascii="arial" w:hAnsi="arial"/>
                <w:sz w:val="16"/>
              </w:rPr>
            </w:pPr>
            <w:r>
              <w:rPr>
                <w:rFonts w:ascii="arial" w:hAnsi="arial"/>
                <w:sz w:val="16"/>
              </w:rPr>
              <w:t xml:space="preserve">Dana-Farber Cancer Institute, the Sidney Kimmel Comprehensive Cancer Center at Johns Hopkins, The University of Texas MD Anderson Cancer Center, Memorial Sloan Kettering Cancer Center, and the Koch Institute for Integrative Cancer Research at MIT. </w:t>
            </w:r>
          </w:p>
        </w:tc>
      </w:tr>
    </w:tbl>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52"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4" descr=""/>
                    <pic:cNvPicPr>
                      <a:picLocks noChangeAspect="1" noChangeArrowheads="1"/>
                    </pic:cNvPicPr>
                  </pic:nvPicPr>
                  <pic:blipFill>
                    <a:blip r:embed="rId45"/>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17</w:t>
      </w:r>
      <w:r>
        <w:rPr>
          <w:rFonts w:ascii="arial" w:hAnsi="arial"/>
          <w:b/>
          <w:sz w:val="22"/>
        </w:rPr>
        <w:t xml:space="preserve"> </w:t>
      </w:r>
      <w:r>
        <w:br w:type="page"/>
      </w:r>
    </w:p>
    <w:p>
      <w:pPr>
        <w:pStyle w:val="HorizontalLine"/>
        <w:bidi w:val="0"/>
        <w:jc w:val="left"/>
        <w:rPr/>
      </w:pPr>
      <w:r>
        <w:rPr/>
      </w:r>
    </w:p>
    <w:tbl>
      <w:tblPr>
        <w:tblW w:w="383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335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335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Item 1 — Election of Directors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68"/>
        <w:gridCol w:w="60"/>
        <w:gridCol w:w="60"/>
        <w:gridCol w:w="60"/>
        <w:gridCol w:w="8157"/>
      </w:tblGrid>
      <w:tr>
        <w:trPr/>
        <w:tc>
          <w:tcPr>
            <w:tcW w:w="18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57" w:type="dxa"/>
            <w:tcBorders/>
            <w:vAlign w:val="center"/>
          </w:tcPr>
          <w:p>
            <w:pPr>
              <w:pStyle w:val="TableContents"/>
              <w:bidi w:val="0"/>
              <w:spacing w:before="0" w:after="283"/>
              <w:jc w:val="left"/>
              <w:rPr>
                <w:sz w:val="4"/>
                <w:szCs w:val="4"/>
              </w:rPr>
            </w:pPr>
            <w:r>
              <w:rPr>
                <w:sz w:val="4"/>
                <w:szCs w:val="4"/>
              </w:rPr>
            </w:r>
          </w:p>
        </w:tc>
      </w:tr>
      <w:tr>
        <w:trPr/>
        <w:tc>
          <w:tcPr>
            <w:tcW w:w="1868" w:type="dxa"/>
            <w:tcBorders>
              <w:top w:val="single" w:sz="12" w:space="0" w:color="0171B9"/>
            </w:tcBorders>
            <w:shd w:fill="B2D4EA" w:val="clear"/>
            <w:tcMar>
              <w:top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i/>
                <w:color w:val="0171B9"/>
                <w:sz w:val="28"/>
              </w:rPr>
            </w:pPr>
            <w:r>
              <w:rPr>
                <w:rFonts w:ascii="arial" w:hAnsi="arial"/>
                <w:b/>
                <w:i/>
                <w:color w:val="0171B9"/>
                <w:sz w:val="28"/>
              </w:rPr>
              <w:t>Mary E. Klotman</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85090" cy="116840"/>
                  <wp:effectExtent l="0" t="0" r="0" b="0"/>
                  <wp:docPr id="53"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5" descr=""/>
                          <pic:cNvPicPr>
                            <a:picLocks noChangeAspect="1" noChangeArrowheads="1"/>
                          </pic:cNvPicPr>
                        </pic:nvPicPr>
                        <pic:blipFill>
                          <a:blip r:embed="rId46"/>
                          <a:stretch>
                            <a:fillRect/>
                          </a:stretch>
                        </pic:blipFill>
                        <pic:spPr bwMode="auto">
                          <a:xfrm>
                            <a:off x="0" y="0"/>
                            <a:ext cx="85090" cy="11684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sz w:val="19"/>
              </w:rPr>
            </w:pPr>
            <w:r>
              <w:rPr>
                <w:rFonts w:ascii="arial" w:hAnsi="arial"/>
                <w:b/>
                <w:sz w:val="19"/>
              </w:rPr>
              <w:t>Director since:</w:t>
            </w:r>
            <w:r>
              <w:rPr>
                <w:rFonts w:ascii="arial" w:hAnsi="arial"/>
                <w:sz w:val="19"/>
              </w:rPr>
              <w:t xml:space="preserve"> Standing for initial election to the Board. </w:t>
            </w:r>
          </w:p>
          <w:p>
            <w:pPr>
              <w:pStyle w:val="TableContents"/>
              <w:bidi w:val="0"/>
              <w:spacing w:before="0" w:after="0"/>
              <w:jc w:val="left"/>
              <w:rPr/>
            </w:pPr>
            <w:r>
              <w:rPr/>
              <w:t> </w:t>
            </w:r>
          </w:p>
          <w:p>
            <w:pPr>
              <w:pStyle w:val="TableContents"/>
              <w:bidi w:val="0"/>
              <w:spacing w:before="0" w:after="0"/>
              <w:jc w:val="left"/>
              <w:rPr>
                <w:rFonts w:ascii="arial" w:hAnsi="arial"/>
                <w:sz w:val="19"/>
              </w:rPr>
            </w:pPr>
            <w:r>
              <w:rPr>
                <w:rFonts w:ascii="arial" w:hAnsi="arial"/>
                <w:b/>
                <w:sz w:val="19"/>
              </w:rPr>
              <w:t>Age:</w:t>
            </w:r>
            <w:r>
              <w:rPr>
                <w:rFonts w:ascii="arial" w:hAnsi="arial"/>
                <w:sz w:val="19"/>
              </w:rPr>
              <w:t xml:space="preserve"> 70</w:t>
            </w:r>
          </w:p>
          <w:p>
            <w:pPr>
              <w:pStyle w:val="TableContents"/>
              <w:bidi w:val="0"/>
              <w:spacing w:before="0" w:after="0"/>
              <w:jc w:val="left"/>
              <w:rPr/>
            </w:pPr>
            <w:r>
              <w:rPr/>
              <w:t> </w:t>
            </w:r>
          </w:p>
          <w:p>
            <w:pPr>
              <w:pStyle w:val="TableContents"/>
              <w:bidi w:val="0"/>
              <w:spacing w:before="0" w:after="0"/>
              <w:jc w:val="left"/>
              <w:rPr>
                <w:rFonts w:ascii="arial" w:hAnsi="arial"/>
                <w:sz w:val="19"/>
              </w:rPr>
            </w:pPr>
            <w:r>
              <w:rPr>
                <w:rFonts w:ascii="arial" w:hAnsi="arial"/>
                <w:b/>
                <w:sz w:val="19"/>
              </w:rPr>
              <w:t>Committees:</w:t>
            </w:r>
            <w:r>
              <w:rPr>
                <w:rFonts w:ascii="arial" w:hAnsi="arial"/>
                <w:sz w:val="19"/>
              </w:rPr>
              <w:t xml:space="preserve"> It is anticipated that Dr. Klotman will serve on the following committees subject to her election to the Board:</w:t>
            </w:r>
          </w:p>
          <w:p>
            <w:pPr>
              <w:pStyle w:val="TableContents"/>
              <w:bidi w:val="0"/>
              <w:spacing w:before="0" w:after="0"/>
              <w:jc w:val="left"/>
              <w:rPr/>
            </w:pPr>
            <w:r>
              <w:rPr>
                <w:color w:val="0171B9"/>
              </w:rPr>
              <w:t>•</w:t>
            </w:r>
            <w:r>
              <w:rPr/>
              <w:t>  </w:t>
            </w:r>
            <w:r>
              <w:rPr>
                <w:rFonts w:ascii="arial" w:hAnsi="arial"/>
                <w:sz w:val="19"/>
              </w:rPr>
              <w:t>Corporate Responsibility and Compliance</w:t>
            </w:r>
          </w:p>
          <w:p>
            <w:pPr>
              <w:pStyle w:val="TableContents"/>
              <w:bidi w:val="0"/>
              <w:spacing w:before="0" w:after="0"/>
              <w:jc w:val="left"/>
              <w:rPr/>
            </w:pPr>
            <w:r>
              <w:rPr>
                <w:color w:val="0171B9"/>
              </w:rPr>
              <w:t>•</w:t>
            </w:r>
            <w:r>
              <w:rPr/>
              <w:t>  </w:t>
            </w:r>
            <w:r>
              <w:rPr>
                <w:rFonts w:ascii="arial" w:hAnsi="arial"/>
                <w:sz w:val="19"/>
              </w:rPr>
              <w:t>Governance and Nominating</w:t>
            </w:r>
          </w:p>
          <w:p>
            <w:pPr>
              <w:pStyle w:val="TableContents"/>
              <w:bidi w:val="0"/>
              <w:spacing w:before="0" w:after="0"/>
              <w:jc w:val="left"/>
              <w:rPr/>
            </w:pPr>
            <w:r>
              <w:rPr/>
              <w:t> </w:t>
            </w:r>
          </w:p>
          <w:p>
            <w:pPr>
              <w:pStyle w:val="TableContents"/>
              <w:bidi w:val="0"/>
              <w:spacing w:before="0" w:after="0"/>
              <w:jc w:val="left"/>
              <w:rPr>
                <w:rFonts w:ascii="arial" w:hAnsi="arial"/>
                <w:sz w:val="19"/>
              </w:rPr>
            </w:pPr>
            <w:r>
              <w:rPr>
                <w:rFonts w:ascii="arial" w:hAnsi="arial"/>
                <w:b/>
                <w:sz w:val="19"/>
              </w:rPr>
              <w:t>Other Public Company Boards:</w:t>
            </w:r>
            <w:r>
              <w:rPr>
                <w:rFonts w:ascii="arial" w:hAnsi="arial"/>
                <w:sz w:val="19"/>
              </w:rPr>
              <w:t xml:space="preserve"> None</w:t>
            </w:r>
          </w:p>
          <w:p>
            <w:pPr>
              <w:pStyle w:val="TableContents"/>
              <w:bidi w:val="0"/>
              <w:spacing w:before="0" w:after="20"/>
              <w:jc w:val="left"/>
              <w:rPr/>
            </w:pPr>
            <w:r>
              <w:rPr/>
              <w:t> </w:t>
            </w:r>
          </w:p>
        </w:tc>
        <w:tc>
          <w:tcPr>
            <w:tcW w:w="60" w:type="dxa"/>
            <w:tcBorders>
              <w:top w:val="single" w:sz="12" w:space="0" w:color="0171B9"/>
            </w:tcBorders>
            <w:tcMar>
              <w:top w:w="28" w:type="dxa"/>
            </w:tcMar>
            <w:vAlign w:val="center"/>
          </w:tcPr>
          <w:p>
            <w:pPr>
              <w:pStyle w:val="TableContents"/>
              <w:bidi w:val="0"/>
              <w:spacing w:before="0" w:after="283"/>
              <w:jc w:val="left"/>
              <w:rPr/>
            </w:pPr>
            <w:r>
              <w:rPr/>
              <w:t> </w:t>
            </w:r>
          </w:p>
        </w:tc>
        <w:tc>
          <w:tcPr>
            <w:tcW w:w="60" w:type="dxa"/>
            <w:tcBorders>
              <w:top w:val="single" w:sz="12" w:space="0" w:color="0171B9"/>
            </w:tcBorders>
            <w:tcMar>
              <w:top w:w="28" w:type="dxa"/>
            </w:tcMar>
            <w:vAlign w:val="center"/>
          </w:tcPr>
          <w:p>
            <w:pPr>
              <w:pStyle w:val="TableContents"/>
              <w:bidi w:val="0"/>
              <w:spacing w:before="0" w:after="283"/>
              <w:jc w:val="left"/>
              <w:rPr/>
            </w:pPr>
            <w:r>
              <w:rPr/>
              <w:t> </w:t>
            </w:r>
          </w:p>
        </w:tc>
        <w:tc>
          <w:tcPr>
            <w:tcW w:w="60" w:type="dxa"/>
            <w:tcBorders>
              <w:top w:val="single" w:sz="12" w:space="0" w:color="0171B9"/>
            </w:tcBorders>
            <w:tcMar>
              <w:top w:w="28" w:type="dxa"/>
            </w:tcMar>
            <w:vAlign w:val="center"/>
          </w:tcPr>
          <w:p>
            <w:pPr>
              <w:pStyle w:val="TableContents"/>
              <w:bidi w:val="0"/>
              <w:spacing w:before="0" w:after="283"/>
              <w:jc w:val="left"/>
              <w:rPr/>
            </w:pPr>
            <w:r>
              <w:rPr/>
              <w:t> </w:t>
            </w:r>
          </w:p>
        </w:tc>
        <w:tc>
          <w:tcPr>
            <w:tcW w:w="8157" w:type="dxa"/>
            <w:tcBorders>
              <w:top w:val="single" w:sz="12" w:space="0" w:color="0171B9"/>
            </w:tcBorders>
            <w:tcMar>
              <w:top w:w="28" w:type="dxa"/>
            </w:tcMar>
            <w:vAlign w:val="center"/>
          </w:tcPr>
          <w:p>
            <w:pPr>
              <w:pStyle w:val="TableContents"/>
              <w:bidi w:val="0"/>
              <w:spacing w:before="0" w:after="0"/>
              <w:jc w:val="left"/>
              <w:rPr/>
            </w:pPr>
            <w:r>
              <w:rPr/>
              <w:t> </w:t>
            </w:r>
          </w:p>
          <w:p>
            <w:pPr>
              <w:pStyle w:val="TableContents"/>
              <w:bidi w:val="0"/>
              <w:spacing w:before="0" w:after="0"/>
              <w:jc w:val="both"/>
              <w:rPr>
                <w:rFonts w:ascii="arial" w:hAnsi="arial"/>
                <w:sz w:val="19"/>
              </w:rPr>
            </w:pPr>
            <w:r>
              <w:rPr>
                <w:rFonts w:ascii="arial" w:hAnsi="arial"/>
                <w:sz w:val="19"/>
              </w:rPr>
              <w:t>Mary E. Klotman is standing for initial election to the Company’s Board and will be appointed as a director effective as of the Company’s 2024 Annual Meeting of Stockholders subject to her election by stockholders. Dr. Klotman was first identified to the Governance and Nominating Committee as a potential director candidate by a non-employee member of the Board. Dr. Klotman has been Executive Vice President for Health Affairs of Duke University since 2023, Dean of the Duke University School of Medicine since 2017, and Chief Academic Officer of Duke Health since 2020. Dr. Klotman previously served as chair of the Department of Medicine in the Duke University School of Medicine from 2010 to 2017. She was the Irene and Dr. Arthur M. Fishberg Professor of Medicine at the Mount Sinai School of Medicine and served as chief of the Division of Infectious Diseases from 1997 to 2010. Dr. Klotman was also co-director of Mount Sinai’s Global Health and Emerging Pathogens Institute, a program designed to translate basic science discoveries into clinical therapeutics for newly emerging and re-emerging infectious diseases.</w:t>
            </w:r>
          </w:p>
          <w:p>
            <w:pPr>
              <w:pStyle w:val="TableContents"/>
              <w:bidi w:val="0"/>
              <w:spacing w:before="0" w:after="0"/>
              <w:jc w:val="left"/>
              <w:rPr/>
            </w:pPr>
            <w:r>
              <w:rPr/>
              <w:t> </w:t>
            </w:r>
          </w:p>
          <w:p>
            <w:pPr>
              <w:pStyle w:val="TableContents"/>
              <w:bidi w:val="0"/>
              <w:spacing w:before="0" w:after="0"/>
              <w:jc w:val="both"/>
              <w:rPr>
                <w:rFonts w:ascii="arial" w:hAnsi="arial"/>
                <w:sz w:val="19"/>
              </w:rPr>
            </w:pPr>
            <w:r>
              <w:rPr>
                <w:rFonts w:ascii="arial" w:hAnsi="arial"/>
                <w:sz w:val="19"/>
              </w:rPr>
              <w:t>Dr. Klotman was elected to the National Academy of Medicine in 2014 and the American Academy of Arts and Sciences in 2021. Dr. Klotman received both her undergraduate degree and her medical doctorate from Duke University.</w:t>
            </w:r>
          </w:p>
          <w:p>
            <w:pPr>
              <w:pStyle w:val="TableContents"/>
              <w:bidi w:val="0"/>
              <w:spacing w:before="0" w:after="0"/>
              <w:jc w:val="left"/>
              <w:rPr/>
            </w:pPr>
            <w:r>
              <w:rPr/>
              <w:t> </w:t>
            </w:r>
          </w:p>
          <w:p>
            <w:pPr>
              <w:pStyle w:val="TableContents"/>
              <w:bidi w:val="0"/>
              <w:spacing w:before="0" w:after="0"/>
              <w:jc w:val="both"/>
              <w:rPr>
                <w:rFonts w:ascii="arial" w:hAnsi="arial"/>
                <w:b/>
                <w:color w:val="0171B9"/>
                <w:sz w:val="19"/>
              </w:rPr>
            </w:pPr>
            <w:r>
              <w:rPr>
                <w:rFonts w:ascii="arial" w:hAnsi="arial"/>
                <w:b/>
                <w:color w:val="0171B9"/>
                <w:sz w:val="19"/>
              </w:rPr>
              <w:t>Qualifications</w:t>
            </w:r>
          </w:p>
          <w:p>
            <w:pPr>
              <w:pStyle w:val="TableContents"/>
              <w:bidi w:val="0"/>
              <w:spacing w:before="0" w:after="0"/>
              <w:jc w:val="left"/>
              <w:rPr/>
            </w:pPr>
            <w:r>
              <w:rPr/>
              <w:t> </w:t>
            </w:r>
          </w:p>
          <w:p>
            <w:pPr>
              <w:pStyle w:val="TableContents"/>
              <w:bidi w:val="0"/>
              <w:spacing w:before="0" w:after="20"/>
              <w:jc w:val="both"/>
              <w:rPr>
                <w:rFonts w:ascii="arial" w:hAnsi="arial"/>
                <w:sz w:val="19"/>
              </w:rPr>
            </w:pPr>
            <w:r>
              <w:rPr>
                <w:rFonts w:ascii="arial" w:hAnsi="arial"/>
                <w:sz w:val="19"/>
              </w:rPr>
              <w:t>Our Board concluded that Dr. Klotman should serve on our Board based on her broad medical and scientific background, including her expertise leading an important academic institution, her extensive scientific research, and important contributions as a clinician and physician-scientist.</w:t>
            </w:r>
          </w:p>
        </w:tc>
      </w:tr>
    </w:tbl>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18  </w:t>
      </w:r>
      <w:r>
        <w:rPr>
          <w:rFonts w:ascii="arial" w:hAnsi="arial"/>
          <w:b/>
          <w:color w:val="474747"/>
          <w:sz w:val="22"/>
        </w:rPr>
        <w:drawing>
          <wp:inline distT="0" distB="0" distL="0" distR="0">
            <wp:extent cx="64770" cy="15240"/>
            <wp:effectExtent l="0" t="0" r="0" b="0"/>
            <wp:docPr id="54"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6" descr=""/>
                    <pic:cNvPicPr>
                      <a:picLocks noChangeAspect="1" noChangeArrowheads="1"/>
                    </pic:cNvPicPr>
                  </pic:nvPicPr>
                  <pic:blipFill>
                    <a:blip r:embed="rId47"/>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383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335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335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Item 1 — Election of Directors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68"/>
        <w:gridCol w:w="60"/>
        <w:gridCol w:w="60"/>
        <w:gridCol w:w="60"/>
        <w:gridCol w:w="7557"/>
      </w:tblGrid>
      <w:tr>
        <w:trPr/>
        <w:tc>
          <w:tcPr>
            <w:tcW w:w="2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7" w:type="dxa"/>
            <w:tcBorders/>
            <w:vAlign w:val="center"/>
          </w:tcPr>
          <w:p>
            <w:pPr>
              <w:pStyle w:val="TableContents"/>
              <w:bidi w:val="0"/>
              <w:spacing w:before="0" w:after="283"/>
              <w:jc w:val="left"/>
              <w:rPr>
                <w:sz w:val="4"/>
                <w:szCs w:val="4"/>
              </w:rPr>
            </w:pPr>
            <w:r>
              <w:rPr>
                <w:sz w:val="4"/>
                <w:szCs w:val="4"/>
              </w:rPr>
            </w:r>
          </w:p>
        </w:tc>
      </w:tr>
      <w:tr>
        <w:trPr/>
        <w:tc>
          <w:tcPr>
            <w:tcW w:w="2468" w:type="dxa"/>
            <w:tcBorders>
              <w:top w:val="single" w:sz="12" w:space="0" w:color="0171B9"/>
            </w:tcBorders>
            <w:shd w:fill="B2D4EA" w:val="clear"/>
            <w:tcMar>
              <w:top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i/>
                <w:color w:val="0171B9"/>
                <w:sz w:val="28"/>
              </w:rPr>
            </w:pPr>
            <w:r>
              <w:rPr>
                <w:rFonts w:ascii="arial" w:hAnsi="arial"/>
                <w:b/>
                <w:i/>
                <w:color w:val="0171B9"/>
                <w:sz w:val="28"/>
              </w:rPr>
              <w:t>Ellen J. Kullman</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85725" cy="116205"/>
                  <wp:effectExtent l="0" t="0" r="0" b="0"/>
                  <wp:docPr id="55"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7" descr=""/>
                          <pic:cNvPicPr>
                            <a:picLocks noChangeAspect="1" noChangeArrowheads="1"/>
                          </pic:cNvPicPr>
                        </pic:nvPicPr>
                        <pic:blipFill>
                          <a:blip r:embed="rId48"/>
                          <a:stretch>
                            <a:fillRect/>
                          </a:stretch>
                        </pic:blipFill>
                        <pic:spPr bwMode="auto">
                          <a:xfrm>
                            <a:off x="0" y="0"/>
                            <a:ext cx="85725" cy="11620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sz w:val="19"/>
              </w:rPr>
            </w:pPr>
            <w:r>
              <w:rPr>
                <w:rFonts w:ascii="arial" w:hAnsi="arial"/>
                <w:b/>
                <w:sz w:val="19"/>
              </w:rPr>
              <w:t>Director since:</w:t>
            </w:r>
            <w:r>
              <w:rPr>
                <w:rFonts w:ascii="arial" w:hAnsi="arial"/>
                <w:sz w:val="19"/>
              </w:rPr>
              <w:t xml:space="preserve"> 2016</w:t>
            </w:r>
          </w:p>
          <w:p>
            <w:pPr>
              <w:pStyle w:val="TableContents"/>
              <w:bidi w:val="0"/>
              <w:spacing w:before="0" w:after="0"/>
              <w:jc w:val="left"/>
              <w:rPr/>
            </w:pPr>
            <w:r>
              <w:rPr/>
              <w:t> </w:t>
            </w:r>
          </w:p>
          <w:p>
            <w:pPr>
              <w:pStyle w:val="TableContents"/>
              <w:bidi w:val="0"/>
              <w:spacing w:before="0" w:after="0"/>
              <w:jc w:val="left"/>
              <w:rPr>
                <w:rFonts w:ascii="arial" w:hAnsi="arial"/>
                <w:sz w:val="19"/>
              </w:rPr>
            </w:pPr>
            <w:r>
              <w:rPr>
                <w:rFonts w:ascii="arial" w:hAnsi="arial"/>
                <w:b/>
                <w:sz w:val="19"/>
              </w:rPr>
              <w:t>Age:</w:t>
            </w:r>
            <w:r>
              <w:rPr>
                <w:rFonts w:ascii="arial" w:hAnsi="arial"/>
                <w:sz w:val="19"/>
              </w:rPr>
              <w:t xml:space="preserve"> 68</w:t>
            </w:r>
          </w:p>
          <w:p>
            <w:pPr>
              <w:pStyle w:val="TableContents"/>
              <w:bidi w:val="0"/>
              <w:spacing w:before="0" w:after="0"/>
              <w:jc w:val="left"/>
              <w:rPr/>
            </w:pPr>
            <w:r>
              <w:rPr/>
              <w:t> </w:t>
            </w:r>
          </w:p>
          <w:p>
            <w:pPr>
              <w:pStyle w:val="TableContents"/>
              <w:bidi w:val="0"/>
              <w:spacing w:before="0" w:after="0"/>
              <w:jc w:val="left"/>
              <w:rPr>
                <w:rFonts w:ascii="arial" w:hAnsi="arial"/>
                <w:b/>
                <w:sz w:val="19"/>
              </w:rPr>
            </w:pPr>
            <w:r>
              <w:rPr>
                <w:rFonts w:ascii="arial" w:hAnsi="arial"/>
                <w:b/>
                <w:sz w:val="19"/>
              </w:rPr>
              <w:t>Current Committees:</w:t>
            </w:r>
          </w:p>
          <w:p>
            <w:pPr>
              <w:pStyle w:val="TableContents"/>
              <w:bidi w:val="0"/>
              <w:spacing w:before="0" w:after="0"/>
              <w:jc w:val="left"/>
              <w:rPr/>
            </w:pPr>
            <w:r>
              <w:rPr>
                <w:color w:val="0171B9"/>
              </w:rPr>
              <w:t>•</w:t>
            </w:r>
            <w:r>
              <w:rPr/>
              <w:t>  </w:t>
            </w:r>
            <w:r>
              <w:rPr>
                <w:rFonts w:ascii="arial" w:hAnsi="arial"/>
                <w:sz w:val="19"/>
              </w:rPr>
              <w:t>Audit</w:t>
            </w:r>
          </w:p>
          <w:p>
            <w:pPr>
              <w:pStyle w:val="TableContents"/>
              <w:bidi w:val="0"/>
              <w:spacing w:before="0" w:after="0"/>
              <w:jc w:val="left"/>
              <w:rPr/>
            </w:pPr>
            <w:r>
              <w:rPr>
                <w:color w:val="0171B9"/>
              </w:rPr>
              <w:t>•</w:t>
            </w:r>
            <w:r>
              <w:rPr/>
              <w:t>  </w:t>
            </w:r>
            <w:r>
              <w:rPr>
                <w:rFonts w:ascii="arial" w:hAnsi="arial"/>
                <w:sz w:val="19"/>
              </w:rPr>
              <w:t>Governance and Nominating</w:t>
            </w:r>
          </w:p>
          <w:p>
            <w:pPr>
              <w:pStyle w:val="TableContents"/>
              <w:bidi w:val="0"/>
              <w:spacing w:before="0" w:after="0"/>
              <w:jc w:val="left"/>
              <w:rPr/>
            </w:pPr>
            <w:r>
              <w:rPr/>
              <w:t> </w:t>
            </w:r>
          </w:p>
          <w:p>
            <w:pPr>
              <w:pStyle w:val="TableContents"/>
              <w:bidi w:val="0"/>
              <w:spacing w:before="0" w:after="0"/>
              <w:jc w:val="left"/>
              <w:rPr>
                <w:rFonts w:ascii="arial" w:hAnsi="arial"/>
                <w:b/>
                <w:sz w:val="19"/>
              </w:rPr>
            </w:pPr>
            <w:r>
              <w:rPr>
                <w:rFonts w:ascii="arial" w:hAnsi="arial"/>
                <w:b/>
                <w:sz w:val="19"/>
              </w:rPr>
              <w:t>Effective May 30, 2024, Ms. Kullman will serve on the following committee:</w:t>
            </w:r>
          </w:p>
          <w:p>
            <w:pPr>
              <w:pStyle w:val="TableContents"/>
              <w:bidi w:val="0"/>
              <w:spacing w:before="0" w:after="0"/>
              <w:jc w:val="left"/>
              <w:rPr/>
            </w:pPr>
            <w:r>
              <w:rPr>
                <w:color w:val="0171B9"/>
              </w:rPr>
              <w:t>•</w:t>
            </w:r>
            <w:r>
              <w:rPr/>
              <w:t>  </w:t>
            </w:r>
            <w:r>
              <w:rPr>
                <w:rFonts w:ascii="arial" w:hAnsi="arial"/>
                <w:sz w:val="19"/>
              </w:rPr>
              <w:t>Corporate Responsibility and Compliance (subject to her re-election to the Board by our stockholders, Ms. Kullman will serve as Chair of this committee effective June 1, 2024)</w:t>
            </w:r>
          </w:p>
          <w:p>
            <w:pPr>
              <w:pStyle w:val="TableContents"/>
              <w:bidi w:val="0"/>
              <w:spacing w:before="0" w:after="0"/>
              <w:jc w:val="left"/>
              <w:rPr/>
            </w:pPr>
            <w:r>
              <w:rPr/>
              <w:t> </w:t>
            </w:r>
          </w:p>
          <w:p>
            <w:pPr>
              <w:pStyle w:val="TableContents"/>
              <w:bidi w:val="0"/>
              <w:spacing w:before="0" w:after="0"/>
              <w:jc w:val="left"/>
              <w:rPr>
                <w:rFonts w:ascii="arial" w:hAnsi="arial"/>
                <w:sz w:val="19"/>
              </w:rPr>
            </w:pPr>
            <w:r>
              <w:rPr>
                <w:rFonts w:ascii="arial" w:hAnsi="arial"/>
                <w:sz w:val="19"/>
              </w:rPr>
              <w:t>Ms. Kullman will continue to serve on the:</w:t>
            </w:r>
          </w:p>
          <w:p>
            <w:pPr>
              <w:pStyle w:val="TableContents"/>
              <w:bidi w:val="0"/>
              <w:spacing w:before="0" w:after="0"/>
              <w:jc w:val="left"/>
              <w:rPr/>
            </w:pPr>
            <w:r>
              <w:rPr>
                <w:color w:val="0171B9"/>
              </w:rPr>
              <w:t>•</w:t>
            </w:r>
            <w:r>
              <w:rPr/>
              <w:t>  </w:t>
            </w:r>
            <w:r>
              <w:rPr>
                <w:rFonts w:ascii="arial" w:hAnsi="arial"/>
                <w:sz w:val="19"/>
              </w:rPr>
              <w:t>Governance and Nominating Committee</w:t>
            </w:r>
          </w:p>
          <w:p>
            <w:pPr>
              <w:pStyle w:val="TableContents"/>
              <w:bidi w:val="0"/>
              <w:spacing w:before="0" w:after="0"/>
              <w:jc w:val="left"/>
              <w:rPr/>
            </w:pPr>
            <w:r>
              <w:rPr/>
              <w:t> </w:t>
            </w:r>
          </w:p>
          <w:p>
            <w:pPr>
              <w:pStyle w:val="TableContents"/>
              <w:bidi w:val="0"/>
              <w:spacing w:before="0" w:after="0"/>
              <w:jc w:val="left"/>
              <w:rPr>
                <w:rFonts w:ascii="arial" w:hAnsi="arial"/>
                <w:b/>
                <w:sz w:val="19"/>
              </w:rPr>
            </w:pPr>
            <w:r>
              <w:rPr>
                <w:rFonts w:ascii="arial" w:hAnsi="arial"/>
                <w:b/>
                <w:sz w:val="19"/>
              </w:rPr>
              <w:t>Other Public Company Boards:</w:t>
            </w:r>
          </w:p>
          <w:p>
            <w:pPr>
              <w:pStyle w:val="TableContents"/>
              <w:bidi w:val="0"/>
              <w:spacing w:before="0" w:after="0"/>
              <w:jc w:val="left"/>
              <w:rPr/>
            </w:pPr>
            <w:r>
              <w:rPr>
                <w:color w:val="0171B9"/>
              </w:rPr>
              <w:t>•</w:t>
            </w:r>
            <w:r>
              <w:rPr/>
              <w:t>  </w:t>
            </w:r>
            <w:r>
              <w:rPr>
                <w:rFonts w:ascii="arial" w:hAnsi="arial"/>
                <w:sz w:val="19"/>
              </w:rPr>
              <w:t>Dell Technologies Inc.</w:t>
            </w:r>
          </w:p>
          <w:p>
            <w:pPr>
              <w:pStyle w:val="TableContents"/>
              <w:bidi w:val="0"/>
              <w:spacing w:before="0" w:after="0"/>
              <w:jc w:val="left"/>
              <w:rPr/>
            </w:pPr>
            <w:r>
              <w:rPr>
                <w:color w:val="0171B9"/>
              </w:rPr>
              <w:t>•</w:t>
            </w:r>
            <w:r>
              <w:rPr/>
              <w:t>  </w:t>
            </w:r>
            <w:r>
              <w:rPr>
                <w:rFonts w:ascii="arial" w:hAnsi="arial"/>
                <w:sz w:val="19"/>
              </w:rPr>
              <w:t>Goldman Sachs Group, Inc.</w:t>
            </w:r>
          </w:p>
          <w:p>
            <w:pPr>
              <w:pStyle w:val="TableContents"/>
              <w:bidi w:val="0"/>
              <w:spacing w:before="0" w:after="0"/>
              <w:jc w:val="left"/>
              <w:rPr/>
            </w:pPr>
            <w:r>
              <w:rPr/>
              <w:t> </w:t>
            </w:r>
          </w:p>
          <w:p>
            <w:pPr>
              <w:pStyle w:val="TableContents"/>
              <w:bidi w:val="0"/>
              <w:spacing w:before="0" w:after="0"/>
              <w:jc w:val="left"/>
              <w:rPr>
                <w:rFonts w:ascii="arial" w:hAnsi="arial"/>
                <w:b/>
                <w:sz w:val="19"/>
              </w:rPr>
            </w:pPr>
            <w:r>
              <w:rPr>
                <w:rFonts w:ascii="arial" w:hAnsi="arial"/>
                <w:b/>
                <w:sz w:val="19"/>
              </w:rPr>
              <w:t>Audit Committee financial expert</w:t>
            </w:r>
          </w:p>
          <w:p>
            <w:pPr>
              <w:pStyle w:val="TableContents"/>
              <w:bidi w:val="0"/>
              <w:spacing w:before="0" w:after="20"/>
              <w:jc w:val="left"/>
              <w:rPr/>
            </w:pPr>
            <w:r>
              <w:rPr/>
              <w:t> </w:t>
            </w:r>
          </w:p>
        </w:tc>
        <w:tc>
          <w:tcPr>
            <w:tcW w:w="60" w:type="dxa"/>
            <w:tcBorders>
              <w:top w:val="single" w:sz="12" w:space="0" w:color="0171B9"/>
            </w:tcBorders>
            <w:tcMar>
              <w:top w:w="28" w:type="dxa"/>
            </w:tcMar>
            <w:vAlign w:val="center"/>
          </w:tcPr>
          <w:p>
            <w:pPr>
              <w:pStyle w:val="TableContents"/>
              <w:bidi w:val="0"/>
              <w:spacing w:before="0" w:after="283"/>
              <w:jc w:val="left"/>
              <w:rPr/>
            </w:pPr>
            <w:r>
              <w:rPr/>
              <w:t> </w:t>
            </w:r>
          </w:p>
        </w:tc>
        <w:tc>
          <w:tcPr>
            <w:tcW w:w="60" w:type="dxa"/>
            <w:tcBorders>
              <w:top w:val="single" w:sz="12" w:space="0" w:color="0171B9"/>
            </w:tcBorders>
            <w:tcMar>
              <w:top w:w="28" w:type="dxa"/>
            </w:tcMar>
            <w:vAlign w:val="center"/>
          </w:tcPr>
          <w:p>
            <w:pPr>
              <w:pStyle w:val="TableContents"/>
              <w:bidi w:val="0"/>
              <w:spacing w:before="0" w:after="283"/>
              <w:jc w:val="left"/>
              <w:rPr/>
            </w:pPr>
            <w:r>
              <w:rPr/>
              <w:t> </w:t>
            </w:r>
          </w:p>
        </w:tc>
        <w:tc>
          <w:tcPr>
            <w:tcW w:w="60" w:type="dxa"/>
            <w:tcBorders>
              <w:top w:val="single" w:sz="12" w:space="0" w:color="0171B9"/>
            </w:tcBorders>
            <w:tcMar>
              <w:top w:w="28" w:type="dxa"/>
            </w:tcMar>
            <w:vAlign w:val="center"/>
          </w:tcPr>
          <w:p>
            <w:pPr>
              <w:pStyle w:val="TableContents"/>
              <w:bidi w:val="0"/>
              <w:spacing w:before="0" w:after="283"/>
              <w:jc w:val="left"/>
              <w:rPr/>
            </w:pPr>
            <w:r>
              <w:rPr/>
              <w:t> </w:t>
            </w:r>
          </w:p>
        </w:tc>
        <w:tc>
          <w:tcPr>
            <w:tcW w:w="7557" w:type="dxa"/>
            <w:tcBorders>
              <w:top w:val="single" w:sz="12" w:space="0" w:color="0171B9"/>
            </w:tcBorders>
            <w:tcMar>
              <w:top w:w="28" w:type="dxa"/>
            </w:tcMar>
            <w:vAlign w:val="center"/>
          </w:tcPr>
          <w:p>
            <w:pPr>
              <w:pStyle w:val="TableContents"/>
              <w:bidi w:val="0"/>
              <w:spacing w:before="0" w:after="0"/>
              <w:jc w:val="left"/>
              <w:rPr/>
            </w:pPr>
            <w:r>
              <w:rPr/>
              <w:t> </w:t>
            </w:r>
          </w:p>
          <w:p>
            <w:pPr>
              <w:pStyle w:val="TableContents"/>
              <w:bidi w:val="0"/>
              <w:spacing w:before="0" w:after="0"/>
              <w:jc w:val="both"/>
              <w:rPr>
                <w:rFonts w:ascii="arial" w:hAnsi="arial"/>
                <w:sz w:val="19"/>
              </w:rPr>
            </w:pPr>
            <w:r>
              <w:rPr>
                <w:rFonts w:ascii="arial" w:hAnsi="arial"/>
                <w:sz w:val="19"/>
              </w:rPr>
              <w:t>Ellen J. Kullman is Chair of the Board of Carbon, Inc., doing business as Carbon3D, Inc., a privately-held 3D printing company, having held this position since 2022. Ms. Kullman served as President and Chief Executive Officer of Carbon, Inc. from 2019 to 2022, and has been a member of its board since 2016. She is the former President, Chair and Chief Executive Officer of E.I. du Pont de Nemours and Company, or DuPont, a science and technology-based company, where she served from 2009 to 2015. Prior to this, Ms. Kullman served as President of DuPont from 2008 to 2009. From 2006 through 2008, she served as Executive Vice President of DuPont. Prior to that, Ms. Kullman was Group Vice President, DuPont Safety and Protection.</w:t>
            </w:r>
          </w:p>
          <w:p>
            <w:pPr>
              <w:pStyle w:val="TableContents"/>
              <w:bidi w:val="0"/>
              <w:spacing w:before="0" w:after="0"/>
              <w:jc w:val="left"/>
              <w:rPr/>
            </w:pPr>
            <w:r>
              <w:rPr/>
              <w:t> </w:t>
            </w:r>
          </w:p>
          <w:p>
            <w:pPr>
              <w:pStyle w:val="TableContents"/>
              <w:bidi w:val="0"/>
              <w:spacing w:before="0" w:after="0"/>
              <w:jc w:val="both"/>
              <w:rPr>
                <w:rFonts w:ascii="arial" w:hAnsi="arial"/>
                <w:sz w:val="19"/>
              </w:rPr>
            </w:pPr>
            <w:r>
              <w:rPr>
                <w:rFonts w:ascii="arial" w:hAnsi="arial"/>
                <w:sz w:val="19"/>
              </w:rPr>
              <w:t>Ms. Kullman has been a director of Goldman Sachs Group, Inc., an investment banking firm, since 2016, chairing its Public Responsibilities Committee and serving on its Compensation and Corporate Governance and Nominating Committees. Ms. Kullman has been a director of Dell Technologies Inc., a technology company, since 2016, chairing its Nominating and Governance Committee and serving as lead independent director since 2023. Ms. Kullman served as a director of United Technologies Corporation, a technology products and services company, from 2011 until its merger with Raytheon Company in 2020, serving on its Compensation, Finance and Executive Committees and as lead director from 2018. Ms. Kullman served as a director of General Motors, from 2004 to 2008, serving on its Audit Committee.</w:t>
            </w:r>
          </w:p>
          <w:p>
            <w:pPr>
              <w:pStyle w:val="TableContents"/>
              <w:bidi w:val="0"/>
              <w:spacing w:before="0" w:after="0"/>
              <w:jc w:val="left"/>
              <w:rPr/>
            </w:pPr>
            <w:r>
              <w:rPr/>
              <w:t> </w:t>
            </w:r>
          </w:p>
          <w:p>
            <w:pPr>
              <w:pStyle w:val="TableContents"/>
              <w:bidi w:val="0"/>
              <w:spacing w:before="0" w:after="0"/>
              <w:jc w:val="both"/>
              <w:rPr>
                <w:rFonts w:ascii="arial" w:hAnsi="arial"/>
                <w:sz w:val="19"/>
              </w:rPr>
            </w:pPr>
            <w:r>
              <w:rPr>
                <w:rFonts w:ascii="arial" w:hAnsi="arial"/>
                <w:sz w:val="19"/>
              </w:rPr>
              <w:t>Ms. Kullman has served on the Board of Trustees of Northwestern University since 2016 and is a Trustee Emerita of Tufts University School of Engineering, having served on its Board of Advisors since 2006. She served as Chair of the US-China Business Council from 2013 to 2015. Since 2016, Ms. Kullman has been a member of the Temasek Americas Advisory Panel of Temasek Holdings (Private) Limited, a privately-held investment company based in Singapore. Ms. Kullman received a bachelor of science in mechanical engineering degree from Tufts University and a master’s degree from the Kellogg School of Management at Northwestern University.</w:t>
            </w:r>
          </w:p>
          <w:p>
            <w:pPr>
              <w:pStyle w:val="TableContents"/>
              <w:bidi w:val="0"/>
              <w:spacing w:before="0" w:after="0"/>
              <w:jc w:val="left"/>
              <w:rPr/>
            </w:pPr>
            <w:r>
              <w:rPr/>
              <w:t> </w:t>
            </w:r>
          </w:p>
          <w:p>
            <w:pPr>
              <w:pStyle w:val="TableContents"/>
              <w:bidi w:val="0"/>
              <w:spacing w:before="0" w:after="0"/>
              <w:jc w:val="both"/>
              <w:rPr>
                <w:rFonts w:ascii="arial" w:hAnsi="arial"/>
                <w:b/>
                <w:color w:val="0171B9"/>
                <w:sz w:val="19"/>
              </w:rPr>
            </w:pPr>
            <w:r>
              <w:rPr>
                <w:rFonts w:ascii="arial" w:hAnsi="arial"/>
                <w:b/>
                <w:color w:val="0171B9"/>
                <w:sz w:val="19"/>
              </w:rPr>
              <w:t>Qualifications</w:t>
            </w:r>
          </w:p>
          <w:p>
            <w:pPr>
              <w:pStyle w:val="TableContents"/>
              <w:bidi w:val="0"/>
              <w:spacing w:before="0" w:after="0"/>
              <w:jc w:val="left"/>
              <w:rPr/>
            </w:pPr>
            <w:r>
              <w:rPr/>
              <w:t> </w:t>
            </w:r>
          </w:p>
          <w:p>
            <w:pPr>
              <w:pStyle w:val="TableContents"/>
              <w:bidi w:val="0"/>
              <w:spacing w:before="0" w:after="20"/>
              <w:jc w:val="both"/>
              <w:rPr>
                <w:rFonts w:ascii="arial" w:hAnsi="arial"/>
                <w:sz w:val="19"/>
              </w:rPr>
            </w:pPr>
            <w:r>
              <w:rPr>
                <w:rFonts w:ascii="arial" w:hAnsi="arial"/>
                <w:sz w:val="19"/>
              </w:rPr>
              <w:t>Our Board concluded that Ms. Kullman should serve on our Board based on her lengthy global experience as chief executive officer and board chair at both public and private companies, her management and leadership skills, and her experience with scientific operations, all of which provide valuable insight into the operations of our Company. Given her leadership and financial experience, Ms. Kullman has been determined to be an Audit Committee financial expert by our Board.</w:t>
            </w:r>
          </w:p>
        </w:tc>
      </w:tr>
    </w:tbl>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56"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8" descr=""/>
                    <pic:cNvPicPr>
                      <a:picLocks noChangeAspect="1" noChangeArrowheads="1"/>
                    </pic:cNvPicPr>
                  </pic:nvPicPr>
                  <pic:blipFill>
                    <a:blip r:embed="rId49"/>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19</w:t>
      </w:r>
      <w:r>
        <w:rPr>
          <w:rFonts w:ascii="arial" w:hAnsi="arial"/>
          <w:b/>
          <w:sz w:val="22"/>
        </w:rPr>
        <w:t xml:space="preserve"> </w:t>
      </w:r>
      <w:r>
        <w:br w:type="page"/>
      </w:r>
    </w:p>
    <w:p>
      <w:pPr>
        <w:pStyle w:val="HorizontalLine"/>
        <w:bidi w:val="0"/>
        <w:jc w:val="left"/>
        <w:rPr/>
      </w:pPr>
      <w:r>
        <w:rPr/>
      </w:r>
    </w:p>
    <w:tbl>
      <w:tblPr>
        <w:tblW w:w="383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335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335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Item 1 — Election of Directors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25"/>
        <w:gridCol w:w="60"/>
        <w:gridCol w:w="60"/>
        <w:gridCol w:w="60"/>
        <w:gridCol w:w="8700"/>
      </w:tblGrid>
      <w:tr>
        <w:trPr/>
        <w:tc>
          <w:tcPr>
            <w:tcW w:w="13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00" w:type="dxa"/>
            <w:tcBorders/>
            <w:vAlign w:val="center"/>
          </w:tcPr>
          <w:p>
            <w:pPr>
              <w:pStyle w:val="TableContents"/>
              <w:bidi w:val="0"/>
              <w:spacing w:before="0" w:after="283"/>
              <w:jc w:val="left"/>
              <w:rPr>
                <w:sz w:val="4"/>
                <w:szCs w:val="4"/>
              </w:rPr>
            </w:pPr>
            <w:r>
              <w:rPr>
                <w:sz w:val="4"/>
                <w:szCs w:val="4"/>
              </w:rPr>
            </w:r>
          </w:p>
        </w:tc>
      </w:tr>
      <w:tr>
        <w:trPr/>
        <w:tc>
          <w:tcPr>
            <w:tcW w:w="1325" w:type="dxa"/>
            <w:tcBorders>
              <w:top w:val="single" w:sz="12" w:space="0" w:color="0171B9"/>
            </w:tcBorders>
            <w:shd w:fill="B2D4EA" w:val="clear"/>
            <w:tcMar>
              <w:top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i/>
                <w:color w:val="0171B9"/>
                <w:sz w:val="28"/>
              </w:rPr>
            </w:pPr>
            <w:r>
              <w:rPr>
                <w:rFonts w:ascii="arial" w:hAnsi="arial"/>
                <w:b/>
                <w:i/>
                <w:color w:val="0171B9"/>
                <w:sz w:val="28"/>
              </w:rPr>
              <w:t>Amy E. Miles</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85725" cy="115570"/>
                  <wp:effectExtent l="0" t="0" r="0" b="0"/>
                  <wp:docPr id="57"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9" descr=""/>
                          <pic:cNvPicPr>
                            <a:picLocks noChangeAspect="1" noChangeArrowheads="1"/>
                          </pic:cNvPicPr>
                        </pic:nvPicPr>
                        <pic:blipFill>
                          <a:blip r:embed="rId50"/>
                          <a:stretch>
                            <a:fillRect/>
                          </a:stretch>
                        </pic:blipFill>
                        <pic:spPr bwMode="auto">
                          <a:xfrm>
                            <a:off x="0" y="0"/>
                            <a:ext cx="85725" cy="11557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sz w:val="19"/>
              </w:rPr>
            </w:pPr>
            <w:r>
              <w:rPr>
                <w:rFonts w:ascii="arial" w:hAnsi="arial"/>
                <w:b/>
                <w:sz w:val="19"/>
              </w:rPr>
              <w:t>Director since:</w:t>
            </w:r>
            <w:r>
              <w:rPr>
                <w:rFonts w:ascii="arial" w:hAnsi="arial"/>
                <w:sz w:val="19"/>
              </w:rPr>
              <w:t xml:space="preserve"> 2020</w:t>
            </w:r>
          </w:p>
          <w:p>
            <w:pPr>
              <w:pStyle w:val="TableContents"/>
              <w:bidi w:val="0"/>
              <w:spacing w:before="0" w:after="0"/>
              <w:jc w:val="left"/>
              <w:rPr/>
            </w:pPr>
            <w:r>
              <w:rPr/>
              <w:t> </w:t>
            </w:r>
          </w:p>
          <w:p>
            <w:pPr>
              <w:pStyle w:val="TableContents"/>
              <w:bidi w:val="0"/>
              <w:spacing w:before="0" w:after="0"/>
              <w:jc w:val="left"/>
              <w:rPr>
                <w:rFonts w:ascii="arial" w:hAnsi="arial"/>
                <w:sz w:val="19"/>
              </w:rPr>
            </w:pPr>
            <w:r>
              <w:rPr>
                <w:rFonts w:ascii="arial" w:hAnsi="arial"/>
                <w:b/>
                <w:sz w:val="19"/>
              </w:rPr>
              <w:t>Age:</w:t>
            </w:r>
            <w:r>
              <w:rPr>
                <w:rFonts w:ascii="arial" w:hAnsi="arial"/>
                <w:sz w:val="19"/>
              </w:rPr>
              <w:t xml:space="preserve"> 57</w:t>
            </w:r>
          </w:p>
          <w:p>
            <w:pPr>
              <w:pStyle w:val="TableContents"/>
              <w:bidi w:val="0"/>
              <w:spacing w:before="0" w:after="0"/>
              <w:jc w:val="left"/>
              <w:rPr/>
            </w:pPr>
            <w:r>
              <w:rPr/>
              <w:t> </w:t>
            </w:r>
          </w:p>
          <w:p>
            <w:pPr>
              <w:pStyle w:val="TableContents"/>
              <w:bidi w:val="0"/>
              <w:spacing w:before="0" w:after="0"/>
              <w:jc w:val="left"/>
              <w:rPr>
                <w:rFonts w:ascii="arial" w:hAnsi="arial"/>
                <w:b/>
                <w:sz w:val="19"/>
              </w:rPr>
            </w:pPr>
            <w:r>
              <w:rPr>
                <w:rFonts w:ascii="arial" w:hAnsi="arial"/>
                <w:b/>
                <w:sz w:val="19"/>
              </w:rPr>
              <w:t>Committees:</w:t>
            </w:r>
          </w:p>
          <w:p>
            <w:pPr>
              <w:pStyle w:val="TableContents"/>
              <w:bidi w:val="0"/>
              <w:spacing w:before="0" w:after="0"/>
              <w:jc w:val="left"/>
              <w:rPr/>
            </w:pPr>
            <w:r>
              <w:rPr>
                <w:color w:val="0171B9"/>
              </w:rPr>
              <w:t>•</w:t>
            </w:r>
            <w:r>
              <w:rPr/>
              <w:t>  </w:t>
            </w:r>
            <w:r>
              <w:rPr>
                <w:rFonts w:ascii="arial" w:hAnsi="arial"/>
                <w:sz w:val="19"/>
              </w:rPr>
              <w:t>Audit</w:t>
            </w:r>
          </w:p>
          <w:p>
            <w:pPr>
              <w:pStyle w:val="TableContents"/>
              <w:bidi w:val="0"/>
              <w:spacing w:before="0" w:after="0"/>
              <w:jc w:val="left"/>
              <w:rPr/>
            </w:pPr>
            <w:r>
              <w:rPr>
                <w:color w:val="0171B9"/>
              </w:rPr>
              <w:t>•</w:t>
            </w:r>
            <w:r>
              <w:rPr/>
              <w:t>  </w:t>
            </w:r>
            <w:r>
              <w:rPr>
                <w:rFonts w:ascii="arial" w:hAnsi="arial"/>
                <w:sz w:val="19"/>
              </w:rPr>
              <w:t>Governance and Nominating</w:t>
            </w:r>
          </w:p>
          <w:p>
            <w:pPr>
              <w:pStyle w:val="TableContents"/>
              <w:bidi w:val="0"/>
              <w:spacing w:before="0" w:after="0"/>
              <w:jc w:val="left"/>
              <w:rPr/>
            </w:pPr>
            <w:r>
              <w:rPr/>
              <w:t> </w:t>
            </w:r>
          </w:p>
          <w:p>
            <w:pPr>
              <w:pStyle w:val="TableContents"/>
              <w:bidi w:val="0"/>
              <w:spacing w:before="0" w:after="0"/>
              <w:jc w:val="left"/>
              <w:rPr>
                <w:rFonts w:ascii="arial" w:hAnsi="arial"/>
                <w:b/>
                <w:sz w:val="19"/>
              </w:rPr>
            </w:pPr>
            <w:r>
              <w:rPr>
                <w:rFonts w:ascii="arial" w:hAnsi="arial"/>
                <w:b/>
                <w:sz w:val="19"/>
              </w:rPr>
              <w:t>Other Public Company Boards:</w:t>
            </w:r>
          </w:p>
          <w:p>
            <w:pPr>
              <w:pStyle w:val="TableContents"/>
              <w:bidi w:val="0"/>
              <w:spacing w:before="0" w:after="0"/>
              <w:jc w:val="left"/>
              <w:rPr/>
            </w:pPr>
            <w:r>
              <w:rPr>
                <w:color w:val="0171B9"/>
              </w:rPr>
              <w:t>•</w:t>
            </w:r>
            <w:r>
              <w:rPr/>
              <w:t>  </w:t>
            </w:r>
            <w:r>
              <w:rPr>
                <w:rFonts w:ascii="arial" w:hAnsi="arial"/>
                <w:sz w:val="19"/>
              </w:rPr>
              <w:t>Gap Inc.</w:t>
            </w:r>
          </w:p>
          <w:p>
            <w:pPr>
              <w:pStyle w:val="TableContents"/>
              <w:bidi w:val="0"/>
              <w:spacing w:before="0" w:after="0"/>
              <w:jc w:val="left"/>
              <w:rPr/>
            </w:pPr>
            <w:r>
              <w:rPr>
                <w:color w:val="0171B9"/>
              </w:rPr>
              <w:t>•</w:t>
            </w:r>
            <w:r>
              <w:rPr/>
              <w:t>  </w:t>
            </w:r>
            <w:r>
              <w:rPr>
                <w:rFonts w:ascii="arial" w:hAnsi="arial"/>
                <w:sz w:val="19"/>
              </w:rPr>
              <w:t>Norfolk Southern Corporation</w:t>
            </w:r>
          </w:p>
          <w:p>
            <w:pPr>
              <w:pStyle w:val="TableContents"/>
              <w:bidi w:val="0"/>
              <w:spacing w:before="0" w:after="0"/>
              <w:jc w:val="left"/>
              <w:rPr/>
            </w:pPr>
            <w:r>
              <w:rPr/>
              <w:t> </w:t>
            </w:r>
          </w:p>
          <w:p>
            <w:pPr>
              <w:pStyle w:val="TableContents"/>
              <w:bidi w:val="0"/>
              <w:spacing w:before="0" w:after="0"/>
              <w:jc w:val="left"/>
              <w:rPr>
                <w:rFonts w:ascii="arial" w:hAnsi="arial"/>
                <w:b/>
                <w:sz w:val="19"/>
              </w:rPr>
            </w:pPr>
            <w:r>
              <w:rPr>
                <w:rFonts w:ascii="arial" w:hAnsi="arial"/>
                <w:b/>
                <w:sz w:val="19"/>
              </w:rPr>
              <w:t>Audit Committee financial expert</w:t>
            </w:r>
          </w:p>
          <w:p>
            <w:pPr>
              <w:pStyle w:val="TableContents"/>
              <w:bidi w:val="0"/>
              <w:spacing w:before="0" w:after="20"/>
              <w:jc w:val="left"/>
              <w:rPr/>
            </w:pPr>
            <w:r>
              <w:rPr/>
              <w:t> </w:t>
            </w:r>
          </w:p>
        </w:tc>
        <w:tc>
          <w:tcPr>
            <w:tcW w:w="60" w:type="dxa"/>
            <w:tcBorders>
              <w:top w:val="single" w:sz="12" w:space="0" w:color="0171B9"/>
            </w:tcBorders>
            <w:tcMar>
              <w:top w:w="28" w:type="dxa"/>
            </w:tcMar>
            <w:vAlign w:val="center"/>
          </w:tcPr>
          <w:p>
            <w:pPr>
              <w:pStyle w:val="TableContents"/>
              <w:bidi w:val="0"/>
              <w:spacing w:before="0" w:after="283"/>
              <w:jc w:val="left"/>
              <w:rPr/>
            </w:pPr>
            <w:r>
              <w:rPr/>
              <w:t> </w:t>
            </w:r>
          </w:p>
        </w:tc>
        <w:tc>
          <w:tcPr>
            <w:tcW w:w="60" w:type="dxa"/>
            <w:tcBorders>
              <w:top w:val="single" w:sz="12" w:space="0" w:color="0171B9"/>
            </w:tcBorders>
            <w:tcMar>
              <w:top w:w="28" w:type="dxa"/>
            </w:tcMar>
            <w:vAlign w:val="center"/>
          </w:tcPr>
          <w:p>
            <w:pPr>
              <w:pStyle w:val="TableContents"/>
              <w:bidi w:val="0"/>
              <w:spacing w:before="0" w:after="283"/>
              <w:jc w:val="left"/>
              <w:rPr/>
            </w:pPr>
            <w:r>
              <w:rPr/>
              <w:t> </w:t>
            </w:r>
          </w:p>
        </w:tc>
        <w:tc>
          <w:tcPr>
            <w:tcW w:w="60" w:type="dxa"/>
            <w:tcBorders>
              <w:top w:val="single" w:sz="12" w:space="0" w:color="0171B9"/>
            </w:tcBorders>
            <w:tcMar>
              <w:top w:w="28" w:type="dxa"/>
            </w:tcMar>
            <w:vAlign w:val="center"/>
          </w:tcPr>
          <w:p>
            <w:pPr>
              <w:pStyle w:val="TableContents"/>
              <w:bidi w:val="0"/>
              <w:spacing w:before="0" w:after="283"/>
              <w:jc w:val="left"/>
              <w:rPr/>
            </w:pPr>
            <w:r>
              <w:rPr/>
              <w:t> </w:t>
            </w:r>
          </w:p>
        </w:tc>
        <w:tc>
          <w:tcPr>
            <w:tcW w:w="8700" w:type="dxa"/>
            <w:tcBorders>
              <w:top w:val="single" w:sz="12" w:space="0" w:color="0171B9"/>
            </w:tcBorders>
            <w:tcMar>
              <w:top w:w="28" w:type="dxa"/>
            </w:tcMar>
            <w:vAlign w:val="center"/>
          </w:tcPr>
          <w:p>
            <w:pPr>
              <w:pStyle w:val="TableContents"/>
              <w:bidi w:val="0"/>
              <w:spacing w:before="0" w:after="0"/>
              <w:jc w:val="left"/>
              <w:rPr/>
            </w:pPr>
            <w:r>
              <w:rPr/>
              <w:t> </w:t>
            </w:r>
          </w:p>
          <w:p>
            <w:pPr>
              <w:pStyle w:val="TableContents"/>
              <w:bidi w:val="0"/>
              <w:spacing w:before="0" w:after="0"/>
              <w:jc w:val="both"/>
              <w:rPr>
                <w:rFonts w:ascii="arial" w:hAnsi="arial"/>
                <w:sz w:val="19"/>
              </w:rPr>
            </w:pPr>
            <w:r>
              <w:rPr>
                <w:rFonts w:ascii="arial" w:hAnsi="arial"/>
                <w:sz w:val="19"/>
              </w:rPr>
              <w:t>Amy E. Miles was the Chief Executive Officer and a director of Regal Entertainment Group, Inc., or Regal Entertainment, a leading theatre exhibition company, having held these positions from 2009 through 2018, and its Chair of the Board from 2015 to 2018. From 2002 to 2009, Ms. Miles served as Executive Vice President, Chief Financial Officer and Treasurer of Regal Entertainment. Ms. Miles also served as Chief Executive Officer of Regal Cinemas, Inc., or Regal Cinemas, from 2009 to 2018, and its Executive Vice President, Chief Financial Officer and Treasurer from 2000 to 2009. Ms. Miles joined Regal Cinemas in 1999 as Senior Vice President of Finance. Previously, Ms. Miles was with Deloitte &amp; Touche, LLP and PricewaterhouseCoopers LLP.</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both"/>
              <w:rPr>
                <w:rFonts w:ascii="arial" w:hAnsi="arial"/>
                <w:sz w:val="19"/>
              </w:rPr>
            </w:pPr>
            <w:r>
              <w:rPr>
                <w:rFonts w:ascii="arial" w:hAnsi="arial"/>
                <w:sz w:val="19"/>
              </w:rPr>
              <w:t>Ms. Miles has been a director of Norfolk Southern Corporation, a transportation company, since 2014 and non-executive Chair of the Board since 2022, serving as the Chair of the Executive Committee. Ms. Miles has been a director of The Gap, Inc., an apparel retail company, since 2020, and chairs the Audit and Finance Committee and is a member of the Governance and Sustainability Committee. Ms. Miles was a director of National CineMedia, Inc., a cinema advertising company, from 2011 to 2015. She was a director of Townsquare Media, Inc., a radio, digital media, entertainment, and digital marketing solutions company, from 2014 until 2016. Ms. Miles serves on the board of trustees of the Boys and Girls Club of Eastern Tennessee. Ms. Miles received an undergraduate degree from the University of Tennessee.</w:t>
            </w:r>
          </w:p>
          <w:p>
            <w:pPr>
              <w:pStyle w:val="TableContents"/>
              <w:bidi w:val="0"/>
              <w:spacing w:before="0" w:after="0"/>
              <w:jc w:val="left"/>
              <w:rPr/>
            </w:pPr>
            <w:r>
              <w:rPr/>
              <w:t> </w:t>
            </w:r>
          </w:p>
          <w:p>
            <w:pPr>
              <w:pStyle w:val="TableContents"/>
              <w:bidi w:val="0"/>
              <w:spacing w:before="0" w:after="0"/>
              <w:jc w:val="both"/>
              <w:rPr>
                <w:rFonts w:ascii="arial" w:hAnsi="arial"/>
                <w:b/>
                <w:color w:val="0171B9"/>
                <w:sz w:val="19"/>
              </w:rPr>
            </w:pPr>
            <w:r>
              <w:rPr>
                <w:rFonts w:ascii="arial" w:hAnsi="arial"/>
                <w:b/>
                <w:color w:val="0171B9"/>
                <w:sz w:val="19"/>
              </w:rPr>
              <w:t>Qualifications</w:t>
            </w:r>
          </w:p>
          <w:p>
            <w:pPr>
              <w:pStyle w:val="TableContents"/>
              <w:bidi w:val="0"/>
              <w:spacing w:before="0" w:after="0"/>
              <w:jc w:val="left"/>
              <w:rPr/>
            </w:pPr>
            <w:r>
              <w:rPr/>
              <w:t> </w:t>
            </w:r>
          </w:p>
          <w:p>
            <w:pPr>
              <w:pStyle w:val="TableContents"/>
              <w:bidi w:val="0"/>
              <w:spacing w:before="0" w:after="20"/>
              <w:jc w:val="both"/>
              <w:rPr>
                <w:rFonts w:ascii="arial" w:hAnsi="arial"/>
                <w:sz w:val="19"/>
              </w:rPr>
            </w:pPr>
            <w:r>
              <w:rPr>
                <w:rFonts w:ascii="arial" w:hAnsi="arial"/>
                <w:sz w:val="19"/>
              </w:rPr>
              <w:t>Our Board concluded that Ms. Miles should serve on our Board based on Ms. Miles’ board and senior executive-level expertise, including her experience as chief executive officer and chief financial officer of a large public company and her extensive finance, accounting, and management expertise in marketing and strategic planning, and public board experience. Given her leadership and financial experience, Ms. Miles has been determined to be an Audit Committee financial expert by our Board.</w:t>
            </w:r>
          </w:p>
        </w:tc>
      </w:tr>
    </w:tbl>
    <w:p>
      <w:pPr>
        <w:pStyle w:val="TextBody"/>
        <w:bidi w:val="0"/>
        <w:spacing w:before="0" w:after="0"/>
        <w:jc w:val="left"/>
        <w:rPr/>
      </w:pPr>
      <w:r>
        <w:rPr/>
        <w:t> </w:t>
      </w:r>
    </w:p>
    <w:p>
      <w:pPr>
        <w:pStyle w:val="TextBody"/>
        <w:bidi w:val="0"/>
        <w:spacing w:before="0" w:after="0"/>
        <w:jc w:val="left"/>
        <w:rPr>
          <w:bdr w:val="single" w:sz="8" w:space="2" w:color="666666"/>
          <w:shd w:fill="CCE2F1" w:val="clear"/>
        </w:rPr>
      </w:pPr>
      <w:r>
        <w:rPr>
          <w:bdr w:val="single" w:sz="8" w:space="2" w:color="666666"/>
          <w:shd w:fill="CCE2F1" w:val="clear"/>
        </w:rPr>
        <w:t> </w:t>
      </w:r>
    </w:p>
    <w:p>
      <w:pPr>
        <w:pStyle w:val="TextBody"/>
        <w:pBdr/>
        <w:bidi w:val="0"/>
        <w:spacing w:before="0" w:after="40"/>
        <w:jc w:val="both"/>
        <w:rPr>
          <w:rFonts w:ascii="arial" w:hAnsi="arial"/>
          <w:b/>
          <w:color w:val="0171B9"/>
          <w:sz w:val="23"/>
          <w:bdr w:val="single" w:sz="8" w:space="2" w:color="666666"/>
          <w:shd w:fill="CCE2F1" w:val="clear"/>
        </w:rPr>
      </w:pPr>
      <w:r>
        <w:rPr>
          <w:rFonts w:ascii="arial" w:hAnsi="arial"/>
          <w:b/>
          <w:color w:val="0171B9"/>
          <w:sz w:val="23"/>
          <w:bdr w:val="single" w:sz="8" w:space="2" w:color="666666"/>
          <w:shd w:fill="CCE2F1" w:val="clear"/>
        </w:rPr>
        <w:t xml:space="preserve">THE BOARD OF DIRECTORS RECOMMENDS A VOTE “FOR” EACH OF THE ABOVE 12 NOMINEES TO THE BOARD OF DIRECTORS. </w:t>
      </w:r>
    </w:p>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20  </w:t>
      </w:r>
      <w:r>
        <w:rPr>
          <w:rFonts w:ascii="arial" w:hAnsi="arial"/>
          <w:b/>
          <w:color w:val="474747"/>
          <w:sz w:val="22"/>
        </w:rPr>
        <w:drawing>
          <wp:inline distT="0" distB="0" distL="0" distR="0">
            <wp:extent cx="64770" cy="15240"/>
            <wp:effectExtent l="0" t="0" r="0" b="0"/>
            <wp:docPr id="58"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0" descr=""/>
                    <pic:cNvPicPr>
                      <a:picLocks noChangeAspect="1" noChangeArrowheads="1"/>
                    </pic:cNvPicPr>
                  </pic:nvPicPr>
                  <pic:blipFill>
                    <a:blip r:embed="rId51"/>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311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263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263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Corporate Governance</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171B9"/>
          <w:sz w:val="44"/>
        </w:rPr>
      </w:pPr>
      <w:bookmarkStart w:id="5" w:name="toc445034_3"/>
      <w:bookmarkEnd w:id="5"/>
      <w:r>
        <w:rPr>
          <w:rFonts w:ascii="arial" w:hAnsi="arial"/>
          <w:b/>
          <w:color w:val="0171B9"/>
          <w:sz w:val="44"/>
        </w:rPr>
        <w:t xml:space="preserve">Corporate Governance </w:t>
      </w:r>
    </w:p>
    <w:p>
      <w:pPr>
        <w:pStyle w:val="TextBody"/>
        <w:bidi w:val="0"/>
        <w:spacing w:before="0" w:after="0"/>
        <w:jc w:val="left"/>
        <w:rPr/>
      </w:pPr>
      <w:r>
        <w:rPr/>
        <w:t> </w:t>
      </w:r>
    </w:p>
    <w:p>
      <w:pPr>
        <w:pStyle w:val="TextBody"/>
        <w:bidi w:val="0"/>
        <w:spacing w:before="80" w:after="0"/>
        <w:jc w:val="left"/>
        <w:rPr>
          <w:rFonts w:ascii="arial" w:hAnsi="arial"/>
          <w:b/>
          <w:color w:val="0171B9"/>
          <w:sz w:val="28"/>
        </w:rPr>
      </w:pPr>
      <w:bookmarkStart w:id="6" w:name="toc445034_4"/>
      <w:bookmarkEnd w:id="6"/>
      <w:r>
        <w:rPr>
          <w:rFonts w:ascii="arial" w:hAnsi="arial"/>
          <w:b/>
          <w:color w:val="0171B9"/>
          <w:sz w:val="28"/>
        </w:rPr>
        <w:t xml:space="preserve">Board of Directors Corporate Governance Highlights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54">
                <wp:simplePos x="0" y="0"/>
                <wp:positionH relativeFrom="column">
                  <wp:align>left</wp:align>
                </wp:positionH>
                <wp:positionV relativeFrom="line">
                  <wp:posOffset>635</wp:posOffset>
                </wp:positionV>
                <wp:extent cx="3110230" cy="4589780"/>
                <wp:effectExtent l="0" t="0" r="0" b="0"/>
                <wp:wrapSquare wrapText="right"/>
                <wp:docPr id="59" name="Frame9"/>
                <a:graphic xmlns:a="http://schemas.openxmlformats.org/drawingml/2006/main">
                  <a:graphicData uri="http://schemas.microsoft.com/office/word/2010/wordprocessingShape">
                    <wps:wsp>
                      <wps:cNvSpPr txBox="1"/>
                      <wps:spPr>
                        <a:xfrm>
                          <a:off x="0" y="0"/>
                          <a:ext cx="3110230" cy="458978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Our Board of Directors, or Board, is governed by our Amgen Board of Directors Corporate Governance Principles which are amended from time to time to incorporate certain current best practices in corporate governance. Our Corporate Governance Principles may be found on our website at </w:t>
                            </w:r>
                            <w:r>
                              <w:rPr>
                                <w:rFonts w:ascii="arial" w:hAnsi="arial"/>
                                <w:i/>
                                <w:color w:val="0171B9"/>
                                <w:sz w:val="19"/>
                              </w:rPr>
                              <w:t>www.amgen.com</w:t>
                            </w:r>
                            <w:r>
                              <w:rPr>
                                <w:rFonts w:ascii="arial" w:hAnsi="arial"/>
                                <w:sz w:val="19"/>
                              </w:rPr>
                              <w:t xml:space="preserve">(1) and are available in print upon written request to the Company’s Secretary at our principal executive offices at One Amgen Center Drive, Thousand Oaks, California 91320-1799. The Board’s corporate governance practices, and stockholder rights include the following: </w:t>
                            </w:r>
                          </w:p>
                          <w:p>
                            <w:pPr>
                              <w:pStyle w:val="TextBody"/>
                              <w:bidi w:val="0"/>
                              <w:spacing w:before="240" w:after="0"/>
                              <w:jc w:val="left"/>
                              <w:rPr>
                                <w:rFonts w:ascii="arial" w:hAnsi="arial"/>
                                <w:b/>
                                <w:sz w:val="22"/>
                              </w:rPr>
                            </w:pPr>
                            <w:r>
                              <w:rPr>
                                <w:rFonts w:ascii="arial" w:hAnsi="arial"/>
                                <w:b/>
                                <w:sz w:val="22"/>
                              </w:rPr>
                              <w:t xml:space="preserve">Board Governance Practices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i/>
                                      <w:color w:val="0171B9"/>
                                      <w:sz w:val="19"/>
                                    </w:rPr>
                                    <w:t>Lead Independent Director.</w:t>
                                  </w:r>
                                  <w:r>
                                    <w:rPr>
                                      <w:rFonts w:ascii="arial" w:hAnsi="arial"/>
                                      <w:sz w:val="19"/>
                                    </w:rPr>
                                    <w:t xml:space="preserve"> The independent members of the Board elect a lead independent director on an annual basis. The lead independent director has robust responsibilities and authorities as discussed below. Robert A. Eckert currently serves as our lead independent director. Mr. Eckert has been our lead independent director since May 2016 and was re-elected by our Board on March 6, 2024 to serve as lead independent director, subject to his re-election to the Board by our stockholders at our 2024 Annual Meeting of Stockholders, or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i/>
                                      <w:color w:val="0171B9"/>
                                      <w:sz w:val="19"/>
                                    </w:rPr>
                                    <w:t xml:space="preserve">Regular Executive Sessions of Independent Directors. </w:t>
                                  </w:r>
                                  <w:r>
                                    <w:rPr>
                                      <w:rFonts w:ascii="arial" w:hAnsi="arial"/>
                                      <w:sz w:val="19"/>
                                    </w:rPr>
                                    <w:t xml:space="preserve">Our independent directors meet privately on a regular basis. Our lead independent director presides at such meetings.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i/>
                                      <w:color w:val="0171B9"/>
                                      <w:sz w:val="19"/>
                                    </w:rPr>
                                    <w:t>Board Access to Management.</w:t>
                                  </w:r>
                                  <w:r>
                                    <w:rPr>
                                      <w:rFonts w:ascii="arial" w:hAnsi="arial"/>
                                      <w:sz w:val="19"/>
                                    </w:rPr>
                                    <w:t xml:space="preserve"> We afford our directors ready access to our management. Key members of management attend Board and committee meetings to present information concerning various aspects of the Company, its operations, and results, and have regular meetings in executive sessions with the Board and committees.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i/>
                                      <w:color w:val="0171B9"/>
                                      <w:sz w:val="19"/>
                                    </w:rPr>
                                    <w:t>Board Authority to Retain Outside Advisors.</w:t>
                                  </w:r>
                                  <w:r>
                                    <w:rPr>
                                      <w:rFonts w:ascii="arial" w:hAnsi="arial"/>
                                      <w:sz w:val="19"/>
                                    </w:rPr>
                                    <w:t xml:space="preserve"> Our Board and its committees have the authority to retain independent advisors and counsel. The Audit Committee has the sole authority to appoint, compensate, retain, and oversee the independent registered public accountants. The Compensation and Management Development Committee, or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61.4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Our Board of Directors, or Board, is governed by our Amgen Board of Directors Corporate Governance Principles which are amended from time to time to incorporate certain current best practices in corporate governance. Our Corporate Governance Principles may be found on our website at </w:t>
                      </w:r>
                      <w:r>
                        <w:rPr>
                          <w:rFonts w:ascii="arial" w:hAnsi="arial"/>
                          <w:i/>
                          <w:color w:val="0171B9"/>
                          <w:sz w:val="19"/>
                        </w:rPr>
                        <w:t>www.amgen.com</w:t>
                      </w:r>
                      <w:r>
                        <w:rPr>
                          <w:rFonts w:ascii="arial" w:hAnsi="arial"/>
                          <w:sz w:val="19"/>
                        </w:rPr>
                        <w:t xml:space="preserve">(1) and are available in print upon written request to the Company’s Secretary at our principal executive offices at One Amgen Center Drive, Thousand Oaks, California 91320-1799. The Board’s corporate governance practices, and stockholder rights include the following: </w:t>
                      </w:r>
                    </w:p>
                    <w:p>
                      <w:pPr>
                        <w:pStyle w:val="TextBody"/>
                        <w:bidi w:val="0"/>
                        <w:spacing w:before="240" w:after="0"/>
                        <w:jc w:val="left"/>
                        <w:rPr>
                          <w:rFonts w:ascii="arial" w:hAnsi="arial"/>
                          <w:b/>
                          <w:sz w:val="22"/>
                        </w:rPr>
                      </w:pPr>
                      <w:r>
                        <w:rPr>
                          <w:rFonts w:ascii="arial" w:hAnsi="arial"/>
                          <w:b/>
                          <w:sz w:val="22"/>
                        </w:rPr>
                        <w:t xml:space="preserve">Board Governance Practices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i/>
                                <w:color w:val="0171B9"/>
                                <w:sz w:val="19"/>
                              </w:rPr>
                              <w:t>Lead Independent Director.</w:t>
                            </w:r>
                            <w:r>
                              <w:rPr>
                                <w:rFonts w:ascii="arial" w:hAnsi="arial"/>
                                <w:sz w:val="19"/>
                              </w:rPr>
                              <w:t xml:space="preserve"> The independent members of the Board elect a lead independent director on an annual basis. The lead independent director has robust responsibilities and authorities as discussed below. Robert A. Eckert currently serves as our lead independent director. Mr. Eckert has been our lead independent director since May 2016 and was re-elected by our Board on March 6, 2024 to serve as lead independent director, subject to his re-election to the Board by our stockholders at our 2024 Annual Meeting of Stockholders, or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i/>
                                <w:color w:val="0171B9"/>
                                <w:sz w:val="19"/>
                              </w:rPr>
                              <w:t xml:space="preserve">Regular Executive Sessions of Independent Directors. </w:t>
                            </w:r>
                            <w:r>
                              <w:rPr>
                                <w:rFonts w:ascii="arial" w:hAnsi="arial"/>
                                <w:sz w:val="19"/>
                              </w:rPr>
                              <w:t xml:space="preserve">Our independent directors meet privately on a regular basis. Our lead independent director presides at such meetings.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i/>
                                <w:color w:val="0171B9"/>
                                <w:sz w:val="19"/>
                              </w:rPr>
                              <w:t>Board Access to Management.</w:t>
                            </w:r>
                            <w:r>
                              <w:rPr>
                                <w:rFonts w:ascii="arial" w:hAnsi="arial"/>
                                <w:sz w:val="19"/>
                              </w:rPr>
                              <w:t xml:space="preserve"> We afford our directors ready access to our management. Key members of management attend Board and committee meetings to present information concerning various aspects of the Company, its operations, and results, and have regular meetings in executive sessions with the Board and committees.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i/>
                                <w:color w:val="0171B9"/>
                                <w:sz w:val="19"/>
                              </w:rPr>
                              <w:t>Board Authority to Retain Outside Advisors.</w:t>
                            </w:r>
                            <w:r>
                              <w:rPr>
                                <w:rFonts w:ascii="arial" w:hAnsi="arial"/>
                                <w:sz w:val="19"/>
                              </w:rPr>
                              <w:t xml:space="preserve"> Our Board and its committees have the authority to retain independent advisors and counsel. The Audit Committee has the sole authority to appoint, compensate, retain, and oversee the independent registered public accountants. The Compensation and Management Development Committee, or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55">
                <wp:simplePos x="0" y="0"/>
                <wp:positionH relativeFrom="column">
                  <wp:align>left</wp:align>
                </wp:positionH>
                <wp:positionV relativeFrom="line">
                  <wp:posOffset>635</wp:posOffset>
                </wp:positionV>
                <wp:extent cx="3175000" cy="5506720"/>
                <wp:effectExtent l="0" t="0" r="0" b="0"/>
                <wp:wrapSquare wrapText="right"/>
                <wp:docPr id="60" name="Frame10"/>
                <a:graphic xmlns:a="http://schemas.openxmlformats.org/drawingml/2006/main">
                  <a:graphicData uri="http://schemas.microsoft.com/office/word/2010/wordprocessingShape">
                    <wps:wsp>
                      <wps:cNvSpPr txBox="1"/>
                      <wps:spPr>
                        <a:xfrm>
                          <a:off x="0" y="0"/>
                          <a:ext cx="3175000" cy="550672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0"/>
                                    <w:jc w:val="both"/>
                                    <w:rPr>
                                      <w:rFonts w:ascii="arial" w:hAnsi="arial"/>
                                      <w:sz w:val="19"/>
                                    </w:rPr>
                                  </w:pPr>
                                  <w:r>
                                    <w:rPr>
                                      <w:rFonts w:ascii="arial" w:hAnsi="arial"/>
                                      <w:sz w:val="19"/>
                                    </w:rPr>
                                    <w:t xml:space="preserve">Compensation Committee, has the sole authority to appoint, compensate, retain, and oversee compensation advisors for senior management compensation review. The Governance and Nominating Committee, or Governance Committee, has the sole authority to appoint, retain, and replace search firms to identify director candidates and compensation advisors for our directors’ compensation review. </w:t>
                                  </w:r>
                                </w:p>
                              </w:tc>
                            </w:tr>
                          </w:tbl>
                          <w:p>
                            <w:pPr>
                              <w:pStyle w:val="TextBody"/>
                              <w:bidi w:val="0"/>
                              <w:spacing w:before="0" w:after="0"/>
                              <w:jc w:val="left"/>
                              <w:rPr/>
                            </w:pPr>
                            <w:r>
                              <w:rPr/>
                              <w:t> </w:t>
                            </w:r>
                          </w:p>
                          <w:tbl>
                            <w:tblPr>
                              <w:tblW w:w="9835" w:type="dxa"/>
                              <w:jc w:val="left"/>
                              <w:tblInd w:w="0" w:type="dxa"/>
                              <w:tblLayout w:type="fixed"/>
                              <w:tblCellMar>
                                <w:top w:w="0" w:type="dxa"/>
                                <w:left w:w="0" w:type="dxa"/>
                                <w:bottom w:w="0" w:type="dxa"/>
                                <w:right w:w="0" w:type="dxa"/>
                              </w:tblCellMar>
                            </w:tblPr>
                            <w:tblGrid>
                              <w:gridCol w:w="125"/>
                              <w:gridCol w:w="60"/>
                              <w:gridCol w:w="965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9650" w:type="dxa"/>
                                  <w:tcBorders/>
                                  <w:vAlign w:val="center"/>
                                </w:tcPr>
                                <w:p>
                                  <w:pPr>
                                    <w:pStyle w:val="TableContents"/>
                                    <w:bidi w:val="0"/>
                                    <w:spacing w:before="0" w:after="0"/>
                                    <w:jc w:val="both"/>
                                    <w:rPr>
                                      <w:rFonts w:ascii="arial" w:hAnsi="arial"/>
                                      <w:sz w:val="19"/>
                                    </w:rPr>
                                  </w:pPr>
                                  <w:r>
                                    <w:rPr>
                                      <w:rFonts w:ascii="arial" w:hAnsi="arial"/>
                                      <w:b/>
                                      <w:i/>
                                      <w:color w:val="0171B9"/>
                                      <w:sz w:val="19"/>
                                    </w:rPr>
                                    <w:t>Independent Board Members on Key Standing Committees</w:t>
                                  </w:r>
                                  <w:r>
                                    <w:rPr>
                                      <w:rFonts w:ascii="arial" w:hAnsi="arial"/>
                                      <w:sz w:val="19"/>
                                    </w:rPr>
                                    <w:t xml:space="preserve">. The Board has four key standing committees: </w:t>
                                  </w:r>
                                </w:p>
                              </w:tc>
                            </w:tr>
                          </w:tbl>
                          <w:p>
                            <w:pPr>
                              <w:pStyle w:val="TextBody"/>
                              <w:bidi w:val="0"/>
                              <w:spacing w:before="0" w:after="0"/>
                              <w:jc w:val="left"/>
                              <w:rPr/>
                            </w:pPr>
                            <w:r>
                              <w:rPr/>
                              <w:t> </w:t>
                            </w:r>
                          </w:p>
                          <w:tbl>
                            <w:tblPr>
                              <w:tblW w:w="2425" w:type="dxa"/>
                              <w:jc w:val="left"/>
                              <w:tblInd w:w="0" w:type="dxa"/>
                              <w:tblLayout w:type="fixed"/>
                              <w:tblCellMar>
                                <w:top w:w="0" w:type="dxa"/>
                                <w:left w:w="0" w:type="dxa"/>
                                <w:bottom w:w="0" w:type="dxa"/>
                                <w:right w:w="0" w:type="dxa"/>
                              </w:tblCellMar>
                            </w:tblPr>
                            <w:tblGrid>
                              <w:gridCol w:w="75"/>
                              <w:gridCol w:w="140"/>
                              <w:gridCol w:w="221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0171B9"/>
                                    </w:rPr>
                                  </w:pPr>
                                  <w:r>
                                    <w:rPr>
                                      <w:color w:val="0171B9"/>
                                    </w:rPr>
                                    <w:t>–</w:t>
                                  </w:r>
                                </w:p>
                              </w:tc>
                              <w:tc>
                                <w:tcPr>
                                  <w:tcW w:w="2210" w:type="dxa"/>
                                  <w:tcBorders/>
                                  <w:vAlign w:val="center"/>
                                </w:tcPr>
                                <w:p>
                                  <w:pPr>
                                    <w:pStyle w:val="TableContents"/>
                                    <w:bidi w:val="0"/>
                                    <w:spacing w:before="0" w:after="0"/>
                                    <w:jc w:val="both"/>
                                    <w:rPr>
                                      <w:rFonts w:ascii="arial" w:hAnsi="arial"/>
                                      <w:sz w:val="19"/>
                                    </w:rPr>
                                  </w:pPr>
                                  <w:r>
                                    <w:rPr>
                                      <w:rFonts w:ascii="arial" w:hAnsi="arial"/>
                                      <w:sz w:val="19"/>
                                    </w:rPr>
                                    <w:t xml:space="preserve">Governance Committee; </w:t>
                                  </w:r>
                                </w:p>
                              </w:tc>
                            </w:tr>
                          </w:tbl>
                          <w:p>
                            <w:pPr>
                              <w:pStyle w:val="TextBody"/>
                              <w:bidi w:val="0"/>
                              <w:spacing w:before="0" w:after="0"/>
                              <w:jc w:val="left"/>
                              <w:rPr/>
                            </w:pPr>
                            <w:r>
                              <w:rPr/>
                              <w:t> </w:t>
                            </w:r>
                          </w:p>
                          <w:tbl>
                            <w:tblPr>
                              <w:tblW w:w="2140" w:type="dxa"/>
                              <w:jc w:val="left"/>
                              <w:tblInd w:w="0" w:type="dxa"/>
                              <w:tblLayout w:type="fixed"/>
                              <w:tblCellMar>
                                <w:top w:w="0" w:type="dxa"/>
                                <w:left w:w="0" w:type="dxa"/>
                                <w:bottom w:w="0" w:type="dxa"/>
                                <w:right w:w="0" w:type="dxa"/>
                              </w:tblCellMar>
                            </w:tblPr>
                            <w:tblGrid>
                              <w:gridCol w:w="75"/>
                              <w:gridCol w:w="140"/>
                              <w:gridCol w:w="192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0171B9"/>
                                    </w:rPr>
                                  </w:pPr>
                                  <w:r>
                                    <w:rPr>
                                      <w:color w:val="0171B9"/>
                                    </w:rPr>
                                    <w:t>–</w:t>
                                  </w:r>
                                </w:p>
                              </w:tc>
                              <w:tc>
                                <w:tcPr>
                                  <w:tcW w:w="1925" w:type="dxa"/>
                                  <w:tcBorders/>
                                  <w:vAlign w:val="center"/>
                                </w:tcPr>
                                <w:p>
                                  <w:pPr>
                                    <w:pStyle w:val="TableContents"/>
                                    <w:bidi w:val="0"/>
                                    <w:spacing w:before="0" w:after="0"/>
                                    <w:jc w:val="both"/>
                                    <w:rPr>
                                      <w:rFonts w:ascii="arial" w:hAnsi="arial"/>
                                    </w:rPr>
                                  </w:pPr>
                                  <w:r>
                                    <w:rPr>
                                      <w:rFonts w:ascii="arial" w:hAnsi="arial"/>
                                    </w:rPr>
                                    <w:t xml:space="preserve">Audit Committee; </w:t>
                                  </w:r>
                                </w:p>
                              </w:tc>
                            </w:tr>
                          </w:tbl>
                          <w:p>
                            <w:pPr>
                              <w:pStyle w:val="TextBody"/>
                              <w:bidi w:val="0"/>
                              <w:spacing w:before="0" w:after="0"/>
                              <w:jc w:val="left"/>
                              <w:rPr/>
                            </w:pPr>
                            <w:r>
                              <w:rPr/>
                              <w:t> </w:t>
                            </w:r>
                          </w:p>
                          <w:tbl>
                            <w:tblPr>
                              <w:tblW w:w="9400" w:type="dxa"/>
                              <w:jc w:val="left"/>
                              <w:tblInd w:w="0" w:type="dxa"/>
                              <w:tblLayout w:type="fixed"/>
                              <w:tblCellMar>
                                <w:top w:w="0" w:type="dxa"/>
                                <w:left w:w="0" w:type="dxa"/>
                                <w:bottom w:w="0" w:type="dxa"/>
                                <w:right w:w="0" w:type="dxa"/>
                              </w:tblCellMar>
                            </w:tblPr>
                            <w:tblGrid>
                              <w:gridCol w:w="75"/>
                              <w:gridCol w:w="140"/>
                              <w:gridCol w:w="918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0171B9"/>
                                    </w:rPr>
                                  </w:pPr>
                                  <w:r>
                                    <w:rPr>
                                      <w:color w:val="0171B9"/>
                                    </w:rPr>
                                    <w:t>–</w:t>
                                  </w:r>
                                </w:p>
                              </w:tc>
                              <w:tc>
                                <w:tcPr>
                                  <w:tcW w:w="9185" w:type="dxa"/>
                                  <w:tcBorders/>
                                  <w:vAlign w:val="center"/>
                                </w:tcPr>
                                <w:p>
                                  <w:pPr>
                                    <w:pStyle w:val="TableContents"/>
                                    <w:bidi w:val="0"/>
                                    <w:spacing w:before="0" w:after="0"/>
                                    <w:jc w:val="both"/>
                                    <w:rPr>
                                      <w:rFonts w:ascii="arial" w:hAnsi="arial"/>
                                    </w:rPr>
                                  </w:pPr>
                                  <w:r>
                                    <w:rPr>
                                      <w:rFonts w:ascii="arial" w:hAnsi="arial"/>
                                    </w:rPr>
                                    <w:t xml:space="preserve">Corporate Responsibility and Compliance Committee, or Compliance Committee; and </w:t>
                                  </w:r>
                                </w:p>
                              </w:tc>
                            </w:tr>
                          </w:tbl>
                          <w:p>
                            <w:pPr>
                              <w:pStyle w:val="TextBody"/>
                              <w:bidi w:val="0"/>
                              <w:spacing w:before="0" w:after="0"/>
                              <w:jc w:val="left"/>
                              <w:rPr/>
                            </w:pPr>
                            <w:r>
                              <w:rPr/>
                              <w:t> </w:t>
                            </w:r>
                          </w:p>
                          <w:tbl>
                            <w:tblPr>
                              <w:tblW w:w="3145" w:type="dxa"/>
                              <w:jc w:val="left"/>
                              <w:tblInd w:w="0" w:type="dxa"/>
                              <w:tblLayout w:type="fixed"/>
                              <w:tblCellMar>
                                <w:top w:w="0" w:type="dxa"/>
                                <w:left w:w="0" w:type="dxa"/>
                                <w:bottom w:w="0" w:type="dxa"/>
                                <w:right w:w="0" w:type="dxa"/>
                              </w:tblCellMar>
                            </w:tblPr>
                            <w:tblGrid>
                              <w:gridCol w:w="75"/>
                              <w:gridCol w:w="140"/>
                              <w:gridCol w:w="293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0171B9"/>
                                    </w:rPr>
                                  </w:pPr>
                                  <w:r>
                                    <w:rPr>
                                      <w:color w:val="0171B9"/>
                                    </w:rPr>
                                    <w:t>–</w:t>
                                  </w:r>
                                </w:p>
                              </w:tc>
                              <w:tc>
                                <w:tcPr>
                                  <w:tcW w:w="2930" w:type="dxa"/>
                                  <w:tcBorders/>
                                  <w:vAlign w:val="center"/>
                                </w:tcPr>
                                <w:p>
                                  <w:pPr>
                                    <w:pStyle w:val="TableContents"/>
                                    <w:bidi w:val="0"/>
                                    <w:spacing w:before="0" w:after="0"/>
                                    <w:jc w:val="both"/>
                                    <w:rPr>
                                      <w:rFonts w:ascii="arial" w:hAnsi="arial"/>
                                    </w:rPr>
                                  </w:pPr>
                                  <w:r>
                                    <w:rPr>
                                      <w:rFonts w:ascii="arial" w:hAnsi="arial"/>
                                    </w:rPr>
                                    <w:t xml:space="preserve">Compensation Committee.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 </w:t>
                                  </w:r>
                                </w:p>
                              </w:tc>
                              <w:tc>
                                <w:tcPr>
                                  <w:tcW w:w="10050" w:type="dxa"/>
                                  <w:tcBorders/>
                                  <w:vAlign w:val="center"/>
                                </w:tcPr>
                                <w:p>
                                  <w:pPr>
                                    <w:pStyle w:val="TableContents"/>
                                    <w:bidi w:val="0"/>
                                    <w:spacing w:before="0" w:after="0"/>
                                    <w:jc w:val="both"/>
                                    <w:rPr>
                                      <w:rFonts w:ascii="arial" w:hAnsi="arial"/>
                                      <w:sz w:val="19"/>
                                    </w:rPr>
                                  </w:pPr>
                                  <w:r>
                                    <w:rPr>
                                      <w:rFonts w:ascii="arial" w:hAnsi="arial"/>
                                      <w:sz w:val="19"/>
                                    </w:rPr>
                                    <w:t xml:space="preserve">Each director on key standing committees has been determined by the Board to be independent under The NASDAQ Stock Market listing standards and the requirements of the Securities and Exchange Commission, or SEC.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i/>
                                      <w:color w:val="0171B9"/>
                                      <w:sz w:val="19"/>
                                    </w:rPr>
                                    <w:t>Regular Board and Committee Evaluations.</w:t>
                                  </w:r>
                                  <w:r>
                                    <w:rPr>
                                      <w:rFonts w:ascii="arial" w:hAnsi="arial"/>
                                      <w:sz w:val="19"/>
                                    </w:rPr>
                                    <w:t xml:space="preserve"> The Board and the Audit, Compensation, Compliance, and Governance Committees each conduct an annual evaluation process. We provide more information regarding the Board and committee evaluations on pages 32-33.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i/>
                                      <w:color w:val="0171B9"/>
                                      <w:sz w:val="19"/>
                                    </w:rPr>
                                    <w:t>Management Succession Oversight.</w:t>
                                  </w:r>
                                  <w:r>
                                    <w:rPr>
                                      <w:rFonts w:ascii="arial" w:hAnsi="arial"/>
                                      <w:sz w:val="19"/>
                                    </w:rPr>
                                    <w:t xml:space="preserve"> Our Board oversees Chief Executive Officer, or CEO, and senior management succession planning. Directors engage with potential CEO, executive, and senior management successors at Board and committee meetings. The Compensation Committee has an effective process for monitoring and determining our CEO’s compensation and performance and holds sessions on succession annually. All independent members of the Board are invited to attend the Compensation Committee sessions on succession. Our Board also establishes steps to address succession to respond to unexpected vacancies in the event of an emergency.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33.6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0"/>
                              <w:jc w:val="both"/>
                              <w:rPr>
                                <w:rFonts w:ascii="arial" w:hAnsi="arial"/>
                                <w:sz w:val="19"/>
                              </w:rPr>
                            </w:pPr>
                            <w:r>
                              <w:rPr>
                                <w:rFonts w:ascii="arial" w:hAnsi="arial"/>
                                <w:sz w:val="19"/>
                              </w:rPr>
                              <w:t xml:space="preserve">Compensation Committee, has the sole authority to appoint, compensate, retain, and oversee compensation advisors for senior management compensation review. The Governance and Nominating Committee, or Governance Committee, has the sole authority to appoint, retain, and replace search firms to identify director candidates and compensation advisors for our directors’ compensation review. </w:t>
                            </w:r>
                          </w:p>
                        </w:tc>
                      </w:tr>
                    </w:tbl>
                    <w:p>
                      <w:pPr>
                        <w:pStyle w:val="TextBody"/>
                        <w:bidi w:val="0"/>
                        <w:spacing w:before="0" w:after="0"/>
                        <w:jc w:val="left"/>
                        <w:rPr/>
                      </w:pPr>
                      <w:r>
                        <w:rPr/>
                        <w:t> </w:t>
                      </w:r>
                    </w:p>
                    <w:tbl>
                      <w:tblPr>
                        <w:tblW w:w="9835" w:type="dxa"/>
                        <w:jc w:val="left"/>
                        <w:tblInd w:w="0" w:type="dxa"/>
                        <w:tblLayout w:type="fixed"/>
                        <w:tblCellMar>
                          <w:top w:w="0" w:type="dxa"/>
                          <w:left w:w="0" w:type="dxa"/>
                          <w:bottom w:w="0" w:type="dxa"/>
                          <w:right w:w="0" w:type="dxa"/>
                        </w:tblCellMar>
                      </w:tblPr>
                      <w:tblGrid>
                        <w:gridCol w:w="125"/>
                        <w:gridCol w:w="60"/>
                        <w:gridCol w:w="965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9650" w:type="dxa"/>
                            <w:tcBorders/>
                            <w:vAlign w:val="center"/>
                          </w:tcPr>
                          <w:p>
                            <w:pPr>
                              <w:pStyle w:val="TableContents"/>
                              <w:bidi w:val="0"/>
                              <w:spacing w:before="0" w:after="0"/>
                              <w:jc w:val="both"/>
                              <w:rPr>
                                <w:rFonts w:ascii="arial" w:hAnsi="arial"/>
                                <w:sz w:val="19"/>
                              </w:rPr>
                            </w:pPr>
                            <w:r>
                              <w:rPr>
                                <w:rFonts w:ascii="arial" w:hAnsi="arial"/>
                                <w:b/>
                                <w:i/>
                                <w:color w:val="0171B9"/>
                                <w:sz w:val="19"/>
                              </w:rPr>
                              <w:t>Independent Board Members on Key Standing Committees</w:t>
                            </w:r>
                            <w:r>
                              <w:rPr>
                                <w:rFonts w:ascii="arial" w:hAnsi="arial"/>
                                <w:sz w:val="19"/>
                              </w:rPr>
                              <w:t xml:space="preserve">. The Board has four key standing committees: </w:t>
                            </w:r>
                          </w:p>
                        </w:tc>
                      </w:tr>
                    </w:tbl>
                    <w:p>
                      <w:pPr>
                        <w:pStyle w:val="TextBody"/>
                        <w:bidi w:val="0"/>
                        <w:spacing w:before="0" w:after="0"/>
                        <w:jc w:val="left"/>
                        <w:rPr/>
                      </w:pPr>
                      <w:r>
                        <w:rPr/>
                        <w:t> </w:t>
                      </w:r>
                    </w:p>
                    <w:tbl>
                      <w:tblPr>
                        <w:tblW w:w="2425" w:type="dxa"/>
                        <w:jc w:val="left"/>
                        <w:tblInd w:w="0" w:type="dxa"/>
                        <w:tblLayout w:type="fixed"/>
                        <w:tblCellMar>
                          <w:top w:w="0" w:type="dxa"/>
                          <w:left w:w="0" w:type="dxa"/>
                          <w:bottom w:w="0" w:type="dxa"/>
                          <w:right w:w="0" w:type="dxa"/>
                        </w:tblCellMar>
                      </w:tblPr>
                      <w:tblGrid>
                        <w:gridCol w:w="75"/>
                        <w:gridCol w:w="140"/>
                        <w:gridCol w:w="221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0171B9"/>
                              </w:rPr>
                            </w:pPr>
                            <w:r>
                              <w:rPr>
                                <w:color w:val="0171B9"/>
                              </w:rPr>
                              <w:t>–</w:t>
                            </w:r>
                          </w:p>
                        </w:tc>
                        <w:tc>
                          <w:tcPr>
                            <w:tcW w:w="2210" w:type="dxa"/>
                            <w:tcBorders/>
                            <w:vAlign w:val="center"/>
                          </w:tcPr>
                          <w:p>
                            <w:pPr>
                              <w:pStyle w:val="TableContents"/>
                              <w:bidi w:val="0"/>
                              <w:spacing w:before="0" w:after="0"/>
                              <w:jc w:val="both"/>
                              <w:rPr>
                                <w:rFonts w:ascii="arial" w:hAnsi="arial"/>
                                <w:sz w:val="19"/>
                              </w:rPr>
                            </w:pPr>
                            <w:r>
                              <w:rPr>
                                <w:rFonts w:ascii="arial" w:hAnsi="arial"/>
                                <w:sz w:val="19"/>
                              </w:rPr>
                              <w:t xml:space="preserve">Governance Committee; </w:t>
                            </w:r>
                          </w:p>
                        </w:tc>
                      </w:tr>
                    </w:tbl>
                    <w:p>
                      <w:pPr>
                        <w:pStyle w:val="TextBody"/>
                        <w:bidi w:val="0"/>
                        <w:spacing w:before="0" w:after="0"/>
                        <w:jc w:val="left"/>
                        <w:rPr/>
                      </w:pPr>
                      <w:r>
                        <w:rPr/>
                        <w:t> </w:t>
                      </w:r>
                    </w:p>
                    <w:tbl>
                      <w:tblPr>
                        <w:tblW w:w="2140" w:type="dxa"/>
                        <w:jc w:val="left"/>
                        <w:tblInd w:w="0" w:type="dxa"/>
                        <w:tblLayout w:type="fixed"/>
                        <w:tblCellMar>
                          <w:top w:w="0" w:type="dxa"/>
                          <w:left w:w="0" w:type="dxa"/>
                          <w:bottom w:w="0" w:type="dxa"/>
                          <w:right w:w="0" w:type="dxa"/>
                        </w:tblCellMar>
                      </w:tblPr>
                      <w:tblGrid>
                        <w:gridCol w:w="75"/>
                        <w:gridCol w:w="140"/>
                        <w:gridCol w:w="192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0171B9"/>
                              </w:rPr>
                            </w:pPr>
                            <w:r>
                              <w:rPr>
                                <w:color w:val="0171B9"/>
                              </w:rPr>
                              <w:t>–</w:t>
                            </w:r>
                          </w:p>
                        </w:tc>
                        <w:tc>
                          <w:tcPr>
                            <w:tcW w:w="1925" w:type="dxa"/>
                            <w:tcBorders/>
                            <w:vAlign w:val="center"/>
                          </w:tcPr>
                          <w:p>
                            <w:pPr>
                              <w:pStyle w:val="TableContents"/>
                              <w:bidi w:val="0"/>
                              <w:spacing w:before="0" w:after="0"/>
                              <w:jc w:val="both"/>
                              <w:rPr>
                                <w:rFonts w:ascii="arial" w:hAnsi="arial"/>
                              </w:rPr>
                            </w:pPr>
                            <w:r>
                              <w:rPr>
                                <w:rFonts w:ascii="arial" w:hAnsi="arial"/>
                              </w:rPr>
                              <w:t xml:space="preserve">Audit Committee; </w:t>
                            </w:r>
                          </w:p>
                        </w:tc>
                      </w:tr>
                    </w:tbl>
                    <w:p>
                      <w:pPr>
                        <w:pStyle w:val="TextBody"/>
                        <w:bidi w:val="0"/>
                        <w:spacing w:before="0" w:after="0"/>
                        <w:jc w:val="left"/>
                        <w:rPr/>
                      </w:pPr>
                      <w:r>
                        <w:rPr/>
                        <w:t> </w:t>
                      </w:r>
                    </w:p>
                    <w:tbl>
                      <w:tblPr>
                        <w:tblW w:w="9400" w:type="dxa"/>
                        <w:jc w:val="left"/>
                        <w:tblInd w:w="0" w:type="dxa"/>
                        <w:tblLayout w:type="fixed"/>
                        <w:tblCellMar>
                          <w:top w:w="0" w:type="dxa"/>
                          <w:left w:w="0" w:type="dxa"/>
                          <w:bottom w:w="0" w:type="dxa"/>
                          <w:right w:w="0" w:type="dxa"/>
                        </w:tblCellMar>
                      </w:tblPr>
                      <w:tblGrid>
                        <w:gridCol w:w="75"/>
                        <w:gridCol w:w="140"/>
                        <w:gridCol w:w="918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0171B9"/>
                              </w:rPr>
                            </w:pPr>
                            <w:r>
                              <w:rPr>
                                <w:color w:val="0171B9"/>
                              </w:rPr>
                              <w:t>–</w:t>
                            </w:r>
                          </w:p>
                        </w:tc>
                        <w:tc>
                          <w:tcPr>
                            <w:tcW w:w="9185" w:type="dxa"/>
                            <w:tcBorders/>
                            <w:vAlign w:val="center"/>
                          </w:tcPr>
                          <w:p>
                            <w:pPr>
                              <w:pStyle w:val="TableContents"/>
                              <w:bidi w:val="0"/>
                              <w:spacing w:before="0" w:after="0"/>
                              <w:jc w:val="both"/>
                              <w:rPr>
                                <w:rFonts w:ascii="arial" w:hAnsi="arial"/>
                              </w:rPr>
                            </w:pPr>
                            <w:r>
                              <w:rPr>
                                <w:rFonts w:ascii="arial" w:hAnsi="arial"/>
                              </w:rPr>
                              <w:t xml:space="preserve">Corporate Responsibility and Compliance Committee, or Compliance Committee; and </w:t>
                            </w:r>
                          </w:p>
                        </w:tc>
                      </w:tr>
                    </w:tbl>
                    <w:p>
                      <w:pPr>
                        <w:pStyle w:val="TextBody"/>
                        <w:bidi w:val="0"/>
                        <w:spacing w:before="0" w:after="0"/>
                        <w:jc w:val="left"/>
                        <w:rPr/>
                      </w:pPr>
                      <w:r>
                        <w:rPr/>
                        <w:t> </w:t>
                      </w:r>
                    </w:p>
                    <w:tbl>
                      <w:tblPr>
                        <w:tblW w:w="3145" w:type="dxa"/>
                        <w:jc w:val="left"/>
                        <w:tblInd w:w="0" w:type="dxa"/>
                        <w:tblLayout w:type="fixed"/>
                        <w:tblCellMar>
                          <w:top w:w="0" w:type="dxa"/>
                          <w:left w:w="0" w:type="dxa"/>
                          <w:bottom w:w="0" w:type="dxa"/>
                          <w:right w:w="0" w:type="dxa"/>
                        </w:tblCellMar>
                      </w:tblPr>
                      <w:tblGrid>
                        <w:gridCol w:w="75"/>
                        <w:gridCol w:w="140"/>
                        <w:gridCol w:w="293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0171B9"/>
                              </w:rPr>
                            </w:pPr>
                            <w:r>
                              <w:rPr>
                                <w:color w:val="0171B9"/>
                              </w:rPr>
                              <w:t>–</w:t>
                            </w:r>
                          </w:p>
                        </w:tc>
                        <w:tc>
                          <w:tcPr>
                            <w:tcW w:w="2930" w:type="dxa"/>
                            <w:tcBorders/>
                            <w:vAlign w:val="center"/>
                          </w:tcPr>
                          <w:p>
                            <w:pPr>
                              <w:pStyle w:val="TableContents"/>
                              <w:bidi w:val="0"/>
                              <w:spacing w:before="0" w:after="0"/>
                              <w:jc w:val="both"/>
                              <w:rPr>
                                <w:rFonts w:ascii="arial" w:hAnsi="arial"/>
                              </w:rPr>
                            </w:pPr>
                            <w:r>
                              <w:rPr>
                                <w:rFonts w:ascii="arial" w:hAnsi="arial"/>
                              </w:rPr>
                              <w:t xml:space="preserve">Compensation Committee.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 </w:t>
                            </w:r>
                          </w:p>
                        </w:tc>
                        <w:tc>
                          <w:tcPr>
                            <w:tcW w:w="10050" w:type="dxa"/>
                            <w:tcBorders/>
                            <w:vAlign w:val="center"/>
                          </w:tcPr>
                          <w:p>
                            <w:pPr>
                              <w:pStyle w:val="TableContents"/>
                              <w:bidi w:val="0"/>
                              <w:spacing w:before="0" w:after="0"/>
                              <w:jc w:val="both"/>
                              <w:rPr>
                                <w:rFonts w:ascii="arial" w:hAnsi="arial"/>
                                <w:sz w:val="19"/>
                              </w:rPr>
                            </w:pPr>
                            <w:r>
                              <w:rPr>
                                <w:rFonts w:ascii="arial" w:hAnsi="arial"/>
                                <w:sz w:val="19"/>
                              </w:rPr>
                              <w:t xml:space="preserve">Each director on key standing committees has been determined by the Board to be independent under The NASDAQ Stock Market listing standards and the requirements of the Securities and Exchange Commission, or SEC.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i/>
                                <w:color w:val="0171B9"/>
                                <w:sz w:val="19"/>
                              </w:rPr>
                              <w:t>Regular Board and Committee Evaluations.</w:t>
                            </w:r>
                            <w:r>
                              <w:rPr>
                                <w:rFonts w:ascii="arial" w:hAnsi="arial"/>
                                <w:sz w:val="19"/>
                              </w:rPr>
                              <w:t xml:space="preserve"> The Board and the Audit, Compensation, Compliance, and Governance Committees each conduct an annual evaluation process. We provide more information regarding the Board and committee evaluations on pages 32-33.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i/>
                                <w:color w:val="0171B9"/>
                                <w:sz w:val="19"/>
                              </w:rPr>
                              <w:t>Management Succession Oversight.</w:t>
                            </w:r>
                            <w:r>
                              <w:rPr>
                                <w:rFonts w:ascii="arial" w:hAnsi="arial"/>
                                <w:sz w:val="19"/>
                              </w:rPr>
                              <w:t xml:space="preserve"> Our Board oversees Chief Executive Officer, or CEO, and senior management succession planning. Directors engage with potential CEO, executive, and senior management successors at Board and committee meetings. The Compensation Committee has an effective process for monitoring and determining our CEO’s compensation and performance and holds sessions on succession annually. All independent members of the Board are invited to attend the Compensation Committee sessions on succession. Our Board also establishes steps to address succession to respond to unexpected vacancies in the event of an emergency. </w:t>
                            </w:r>
                          </w:p>
                        </w:tc>
                      </w:tr>
                    </w:tbl>
                    <w:p>
                      <w:pPr>
                        <w:pStyle w:val="TextBody"/>
                        <w:bidi w:val="0"/>
                        <w:spacing w:before="0" w:after="283"/>
                        <w:jc w:val="left"/>
                        <w:rPr/>
                      </w:pPr>
                      <w:r>
                        <w:rPr/>
                      </w:r>
                    </w:p>
                  </w:txbxContent>
                </v:textbox>
                <w10:wrap type="square" side="right"/>
              </v:rect>
            </w:pict>
          </mc:Fallback>
        </mc:AlternateContent>
      </w:r>
    </w:p>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341"/>
        <w:gridCol w:w="9864"/>
      </w:tblGrid>
      <w:tr>
        <w:trPr/>
        <w:tc>
          <w:tcPr>
            <w:tcW w:w="341" w:type="dxa"/>
            <w:tcBorders/>
            <w:vAlign w:val="center"/>
          </w:tcPr>
          <w:p>
            <w:pPr>
              <w:pStyle w:val="TableContents"/>
              <w:bidi w:val="0"/>
              <w:spacing w:before="0" w:after="283"/>
              <w:jc w:val="left"/>
              <w:rPr/>
            </w:pPr>
            <w:r>
              <w:rPr/>
              <w:t>(1) </w:t>
            </w:r>
          </w:p>
        </w:tc>
        <w:tc>
          <w:tcPr>
            <w:tcW w:w="9864" w:type="dxa"/>
            <w:tcBorders/>
            <w:vAlign w:val="center"/>
          </w:tcPr>
          <w:p>
            <w:pPr>
              <w:pStyle w:val="TableContents"/>
              <w:bidi w:val="0"/>
              <w:spacing w:before="0" w:after="0"/>
              <w:jc w:val="both"/>
              <w:rPr>
                <w:rFonts w:ascii="arial" w:hAnsi="arial"/>
                <w:sz w:val="16"/>
              </w:rPr>
            </w:pPr>
            <w:r>
              <w:rPr>
                <w:rFonts w:ascii="arial" w:hAnsi="arial"/>
                <w:sz w:val="16"/>
              </w:rPr>
              <w:t xml:space="preserve">Reference to our website is not intended to function as a hyperlink and the information contained on our website is not intended to be part of this proxy statement. </w:t>
            </w:r>
          </w:p>
        </w:tc>
      </w:tr>
    </w:tbl>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6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1" descr=""/>
                    <pic:cNvPicPr>
                      <a:picLocks noChangeAspect="1" noChangeArrowheads="1"/>
                    </pic:cNvPicPr>
                  </pic:nvPicPr>
                  <pic:blipFill>
                    <a:blip r:embed="rId52"/>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21</w:t>
      </w:r>
      <w:r>
        <w:rPr>
          <w:rFonts w:ascii="arial" w:hAnsi="arial"/>
          <w:b/>
          <w:sz w:val="22"/>
        </w:rPr>
        <w:t xml:space="preserve"> </w:t>
      </w:r>
      <w:r>
        <w:br w:type="page"/>
      </w:r>
    </w:p>
    <w:p>
      <w:pPr>
        <w:pStyle w:val="HorizontalLine"/>
        <w:bidi w:val="0"/>
        <w:jc w:val="left"/>
        <w:rPr/>
      </w:pPr>
      <w:r>
        <w:rPr/>
      </w:r>
    </w:p>
    <w:tbl>
      <w:tblPr>
        <w:tblW w:w="311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263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263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Corporate Governance</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56">
                <wp:simplePos x="0" y="0"/>
                <wp:positionH relativeFrom="column">
                  <wp:align>left</wp:align>
                </wp:positionH>
                <wp:positionV relativeFrom="line">
                  <wp:posOffset>635</wp:posOffset>
                </wp:positionV>
                <wp:extent cx="3110230" cy="3999865"/>
                <wp:effectExtent l="0" t="0" r="0" b="0"/>
                <wp:wrapSquare wrapText="right"/>
                <wp:docPr id="62" name="Frame11"/>
                <a:graphic xmlns:a="http://schemas.openxmlformats.org/drawingml/2006/main">
                  <a:graphicData uri="http://schemas.microsoft.com/office/word/2010/wordprocessingShape">
                    <wps:wsp>
                      <wps:cNvSpPr txBox="1"/>
                      <wps:spPr>
                        <a:xfrm>
                          <a:off x="0" y="0"/>
                          <a:ext cx="3110230" cy="399986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i/>
                                      <w:color w:val="0171B9"/>
                                      <w:sz w:val="19"/>
                                    </w:rPr>
                                    <w:t>Solicitation of Stockholder Perspectives.</w:t>
                                  </w:r>
                                  <w:r>
                                    <w:rPr>
                                      <w:rFonts w:ascii="arial" w:hAnsi="arial"/>
                                      <w:sz w:val="19"/>
                                    </w:rPr>
                                    <w:t xml:space="preserve"> The Board believes that engagement with stockholders is a source of valuable information and perspectives on the Company. The Board has requested that management solicit input from investors on behalf of the Board and the lead independent director has also met directly with stockholders when appropriate. We provide more information regarding our stockholder engagement program on pages 60-61.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i/>
                                      <w:color w:val="0171B9"/>
                                      <w:sz w:val="19"/>
                                    </w:rPr>
                                    <w:t>Majority Approval Required for Director Elections.</w:t>
                                  </w:r>
                                  <w:r>
                                    <w:rPr>
                                      <w:rFonts w:ascii="arial" w:hAnsi="arial"/>
                                      <w:sz w:val="19"/>
                                    </w:rPr>
                                    <w:t xml:space="preserve"> If an incumbent director up for re-election at a meeting of stockholders fails to receive a majority of the votes cast in favor for his or her election in an uncontested election, the Board will adhere to the director resignation policy as provided in our Amended and Restated Bylaws of Amgen Inc., or Bylaws. We provide more information on our majority voting standard on page 131.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i/>
                                      <w:color w:val="0171B9"/>
                                      <w:sz w:val="19"/>
                                    </w:rPr>
                                    <w:t>Director Limitation on Number of Boards and Annual Review of Director Commitment Levels.</w:t>
                                  </w:r>
                                  <w:r>
                                    <w:rPr>
                                      <w:rFonts w:ascii="arial" w:hAnsi="arial"/>
                                      <w:sz w:val="19"/>
                                    </w:rPr>
                                    <w:t xml:space="preserve"> A director who is currently serving as our CEO should not serve on more than two outside public company boards. No director should serve on more than five public company boards (Amgen plus four outside boards). As part of its nominating process, the Governance Committee conducts an annual review of director commitment levels and shares its findings with the Board. Presently, our CEO serves on one outside public company board and no director serves on more than two outside public company boards.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i/>
                                      <w:color w:val="0171B9"/>
                                      <w:sz w:val="19"/>
                                    </w:rPr>
                                    <w:t>Continuous Board Refreshment.</w:t>
                                  </w:r>
                                  <w:r>
                                    <w:rPr>
                                      <w:rFonts w:ascii="arial" w:hAnsi="arial"/>
                                      <w:sz w:val="19"/>
                                    </w:rPr>
                                    <w:t xml:space="preserve"> We have appointed eight new members to our Board since 2016 and our average Board tenure for our director nominees is approximately 6.3 years.(1)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i/>
                                      <w:color w:val="0171B9"/>
                                      <w:sz w:val="19"/>
                                    </w:rPr>
                                    <w:t>Board Diversity.</w:t>
                                  </w:r>
                                  <w:r>
                                    <w:rPr>
                                      <w:rFonts w:ascii="arial" w:hAnsi="arial"/>
                                      <w:sz w:val="19"/>
                                    </w:rPr>
                                    <w:t xml:space="preserve"> The Governance Committee and Board view diversity as a priority, consider diversity in their determinations of director candidates, and seek representation across a range of attributes. Diversity includes race, ethnicity, age, and gender and is also broadly construed to take into consideration many other factors, including industry knowledge, operational experience, scientific and academic expertise, geography, and personal background. To support the diversity of our Board, our Governance Committee actively seeks diverse candidates, including women and candidates from underrepresented ethnic and racial groups, as part of its search for new directors.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14.9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i/>
                                <w:color w:val="0171B9"/>
                                <w:sz w:val="19"/>
                              </w:rPr>
                              <w:t>Solicitation of Stockholder Perspectives.</w:t>
                            </w:r>
                            <w:r>
                              <w:rPr>
                                <w:rFonts w:ascii="arial" w:hAnsi="arial"/>
                                <w:sz w:val="19"/>
                              </w:rPr>
                              <w:t xml:space="preserve"> The Board believes that engagement with stockholders is a source of valuable information and perspectives on the Company. The Board has requested that management solicit input from investors on behalf of the Board and the lead independent director has also met directly with stockholders when appropriate. We provide more information regarding our stockholder engagement program on pages 60-61.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i/>
                                <w:color w:val="0171B9"/>
                                <w:sz w:val="19"/>
                              </w:rPr>
                              <w:t>Majority Approval Required for Director Elections.</w:t>
                            </w:r>
                            <w:r>
                              <w:rPr>
                                <w:rFonts w:ascii="arial" w:hAnsi="arial"/>
                                <w:sz w:val="19"/>
                              </w:rPr>
                              <w:t xml:space="preserve"> If an incumbent director up for re-election at a meeting of stockholders fails to receive a majority of the votes cast in favor for his or her election in an uncontested election, the Board will adhere to the director resignation policy as provided in our Amended and Restated Bylaws of Amgen Inc., or Bylaws. We provide more information on our majority voting standard on page 131.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i/>
                                <w:color w:val="0171B9"/>
                                <w:sz w:val="19"/>
                              </w:rPr>
                              <w:t>Director Limitation on Number of Boards and Annual Review of Director Commitment Levels.</w:t>
                            </w:r>
                            <w:r>
                              <w:rPr>
                                <w:rFonts w:ascii="arial" w:hAnsi="arial"/>
                                <w:sz w:val="19"/>
                              </w:rPr>
                              <w:t xml:space="preserve"> A director who is currently serving as our CEO should not serve on more than two outside public company boards. No director should serve on more than five public company boards (Amgen plus four outside boards). As part of its nominating process, the Governance Committee conducts an annual review of director commitment levels and shares its findings with the Board. Presently, our CEO serves on one outside public company board and no director serves on more than two outside public company boards.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i/>
                                <w:color w:val="0171B9"/>
                                <w:sz w:val="19"/>
                              </w:rPr>
                              <w:t>Continuous Board Refreshment.</w:t>
                            </w:r>
                            <w:r>
                              <w:rPr>
                                <w:rFonts w:ascii="arial" w:hAnsi="arial"/>
                                <w:sz w:val="19"/>
                              </w:rPr>
                              <w:t xml:space="preserve"> We have appointed eight new members to our Board since 2016 and our average Board tenure for our director nominees is approximately 6.3 years.(1)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i/>
                                <w:color w:val="0171B9"/>
                                <w:sz w:val="19"/>
                              </w:rPr>
                              <w:t>Board Diversity.</w:t>
                            </w:r>
                            <w:r>
                              <w:rPr>
                                <w:rFonts w:ascii="arial" w:hAnsi="arial"/>
                                <w:sz w:val="19"/>
                              </w:rPr>
                              <w:t xml:space="preserve"> The Governance Committee and Board view diversity as a priority, consider diversity in their determinations of director candidates, and seek representation across a range of attributes. Diversity includes race, ethnicity, age, and gender and is also broadly construed to take into consideration many other factors, including industry knowledge, operational experience, scientific and academic expertise, geography, and personal background. To support the diversity of our Board, our Governance Committee actively seeks diverse candidates, including women and candidates from underrepresented ethnic and racial groups, as part of its search for new directors.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57">
                <wp:simplePos x="0" y="0"/>
                <wp:positionH relativeFrom="column">
                  <wp:align>left</wp:align>
                </wp:positionH>
                <wp:positionV relativeFrom="line">
                  <wp:posOffset>635</wp:posOffset>
                </wp:positionV>
                <wp:extent cx="3175000" cy="4114165"/>
                <wp:effectExtent l="0" t="0" r="0" b="0"/>
                <wp:wrapSquare wrapText="right"/>
                <wp:docPr id="63" name="Frame12"/>
                <a:graphic xmlns:a="http://schemas.openxmlformats.org/drawingml/2006/main">
                  <a:graphicData uri="http://schemas.microsoft.com/office/word/2010/wordprocessingShape">
                    <wps:wsp>
                      <wps:cNvSpPr txBox="1"/>
                      <wps:spPr>
                        <a:xfrm>
                          <a:off x="0" y="0"/>
                          <a:ext cx="3175000" cy="411416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i/>
                                      <w:color w:val="0171B9"/>
                                      <w:sz w:val="19"/>
                                    </w:rPr>
                                    <w:t>Director Retirement Age.</w:t>
                                  </w:r>
                                  <w:r>
                                    <w:rPr>
                                      <w:rFonts w:ascii="arial" w:hAnsi="arial"/>
                                      <w:sz w:val="19"/>
                                    </w:rPr>
                                    <w:t xml:space="preserve"> The Board has established a retirement age of 75. A director is expected to retire from the Board on the day of the annual meeting of stockholders following his or her 75th birthday.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i/>
                                      <w:color w:val="0171B9"/>
                                      <w:sz w:val="19"/>
                                    </w:rPr>
                                    <w:t>Director Changes in Circumstances Actively Evaluated.</w:t>
                                  </w:r>
                                  <w:r>
                                    <w:rPr>
                                      <w:rFonts w:ascii="arial" w:hAnsi="arial"/>
                                      <w:sz w:val="19"/>
                                    </w:rPr>
                                    <w:t xml:space="preserve"> If a director has a significant change in principal business or professional affiliation or responsibility, including a change in principal occupation, he or she shall offer his or her resignation to the Chair of the Governance Committee. If the affected director is the Chair of the Governance Committee, he or she may offer his or her resignation to the Chair of the Board or the lead independent director. The Governance Committee then determines whether to accept the resignation based on what it believes to be in the best interests of the Company and our stockholders. Directors notify the Chair of the Governance Committee prior to accepting an invitation to serve on a public or private company board to permit the Governance Committee to evaluate the relationship for a potential conflict of interest and to confirm that the director continues to have time available to perform his or her duties.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i/>
                                      <w:color w:val="0171B9"/>
                                      <w:sz w:val="19"/>
                                    </w:rPr>
                                    <w:t>Director Outside Relationships Require Pre-Approval.</w:t>
                                  </w:r>
                                  <w:r>
                                    <w:rPr>
                                      <w:rFonts w:ascii="arial" w:hAnsi="arial"/>
                                      <w:sz w:val="19"/>
                                    </w:rPr>
                                    <w:t xml:space="preserve"> Without the prior approval of disinterested members of the Board, directors should not enter into any transaction or relationship with the Company in which they will have a financial or a personal interest or any transaction that otherwise involves a conflict of interest.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i/>
                                      <w:color w:val="0171B9"/>
                                      <w:sz w:val="19"/>
                                    </w:rPr>
                                    <w:t>Active Management of Director Conflicts of Interest.</w:t>
                                  </w:r>
                                  <w:r>
                                    <w:rPr>
                                      <w:rFonts w:ascii="arial" w:hAnsi="arial"/>
                                      <w:sz w:val="19"/>
                                    </w:rPr>
                                    <w:t xml:space="preserve"> If an actual or potential conflict of interest arises for a director or a situation arises giving the appearance of an actual or potential conflict, the director must promptly inform the Chairman of the Board or the Chair of the Governance Committee. All directors are expected to recuse themselves from any discussion or decision found to affect their personal, business, or professional interests. </w:t>
                                  </w:r>
                                </w:p>
                              </w:tc>
                            </w:tr>
                          </w:tbl>
                          <w:p>
                            <w:pPr>
                              <w:pStyle w:val="TextBody"/>
                              <w:bidi w:val="0"/>
                              <w:spacing w:before="240" w:after="0"/>
                              <w:jc w:val="left"/>
                              <w:rPr>
                                <w:rFonts w:ascii="arial" w:hAnsi="arial"/>
                                <w:b/>
                                <w:sz w:val="22"/>
                              </w:rPr>
                            </w:pPr>
                            <w:r>
                              <w:rPr>
                                <w:rFonts w:ascii="arial" w:hAnsi="arial"/>
                                <w:b/>
                                <w:sz w:val="22"/>
                              </w:rPr>
                              <w:t xml:space="preserve">Stockholder Rights </w:t>
                            </w:r>
                          </w:p>
                          <w:p>
                            <w:pPr>
                              <w:pStyle w:val="TextBody"/>
                              <w:bidi w:val="0"/>
                              <w:spacing w:before="0" w:after="0"/>
                              <w:jc w:val="left"/>
                              <w:rPr/>
                            </w:pPr>
                            <w:r>
                              <w:rPr/>
                              <w:t> </w:t>
                            </w:r>
                          </w:p>
                          <w:tbl>
                            <w:tblPr>
                              <w:tblW w:w="9985" w:type="dxa"/>
                              <w:jc w:val="left"/>
                              <w:tblInd w:w="0" w:type="dxa"/>
                              <w:tblLayout w:type="fixed"/>
                              <w:tblCellMar>
                                <w:top w:w="0" w:type="dxa"/>
                                <w:left w:w="0" w:type="dxa"/>
                                <w:bottom w:w="0" w:type="dxa"/>
                                <w:right w:w="0" w:type="dxa"/>
                              </w:tblCellMar>
                            </w:tblPr>
                            <w:tblGrid>
                              <w:gridCol w:w="125"/>
                              <w:gridCol w:w="60"/>
                              <w:gridCol w:w="980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9800" w:type="dxa"/>
                                  <w:tcBorders/>
                                  <w:vAlign w:val="center"/>
                                </w:tcPr>
                                <w:p>
                                  <w:pPr>
                                    <w:pStyle w:val="TableContents"/>
                                    <w:bidi w:val="0"/>
                                    <w:spacing w:before="0" w:after="0"/>
                                    <w:jc w:val="both"/>
                                    <w:rPr>
                                      <w:rFonts w:ascii="arial" w:hAnsi="arial"/>
                                      <w:sz w:val="19"/>
                                    </w:rPr>
                                  </w:pPr>
                                  <w:r>
                                    <w:rPr>
                                      <w:rFonts w:ascii="arial" w:hAnsi="arial"/>
                                      <w:b/>
                                      <w:i/>
                                      <w:color w:val="0171B9"/>
                                      <w:sz w:val="19"/>
                                    </w:rPr>
                                    <w:t>Single Class of Shares.</w:t>
                                  </w:r>
                                  <w:r>
                                    <w:rPr>
                                      <w:rFonts w:ascii="arial" w:hAnsi="arial"/>
                                      <w:sz w:val="19"/>
                                    </w:rPr>
                                    <w:t xml:space="preserve"> We have a single class of shares with equal voting rights. One share equals one vote.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23.9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i/>
                                <w:color w:val="0171B9"/>
                                <w:sz w:val="19"/>
                              </w:rPr>
                              <w:t>Director Retirement Age.</w:t>
                            </w:r>
                            <w:r>
                              <w:rPr>
                                <w:rFonts w:ascii="arial" w:hAnsi="arial"/>
                                <w:sz w:val="19"/>
                              </w:rPr>
                              <w:t xml:space="preserve"> The Board has established a retirement age of 75. A director is expected to retire from the Board on the day of the annual meeting of stockholders following his or her 75th birthday.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i/>
                                <w:color w:val="0171B9"/>
                                <w:sz w:val="19"/>
                              </w:rPr>
                              <w:t>Director Changes in Circumstances Actively Evaluated.</w:t>
                            </w:r>
                            <w:r>
                              <w:rPr>
                                <w:rFonts w:ascii="arial" w:hAnsi="arial"/>
                                <w:sz w:val="19"/>
                              </w:rPr>
                              <w:t xml:space="preserve"> If a director has a significant change in principal business or professional affiliation or responsibility, including a change in principal occupation, he or she shall offer his or her resignation to the Chair of the Governance Committee. If the affected director is the Chair of the Governance Committee, he or she may offer his or her resignation to the Chair of the Board or the lead independent director. The Governance Committee then determines whether to accept the resignation based on what it believes to be in the best interests of the Company and our stockholders. Directors notify the Chair of the Governance Committee prior to accepting an invitation to serve on a public or private company board to permit the Governance Committee to evaluate the relationship for a potential conflict of interest and to confirm that the director continues to have time available to perform his or her duties.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i/>
                                <w:color w:val="0171B9"/>
                                <w:sz w:val="19"/>
                              </w:rPr>
                              <w:t>Director Outside Relationships Require Pre-Approval.</w:t>
                            </w:r>
                            <w:r>
                              <w:rPr>
                                <w:rFonts w:ascii="arial" w:hAnsi="arial"/>
                                <w:sz w:val="19"/>
                              </w:rPr>
                              <w:t xml:space="preserve"> Without the prior approval of disinterested members of the Board, directors should not enter into any transaction or relationship with the Company in which they will have a financial or a personal interest or any transaction that otherwise involves a conflict of interest.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i/>
                                <w:color w:val="0171B9"/>
                                <w:sz w:val="19"/>
                              </w:rPr>
                              <w:t>Active Management of Director Conflicts of Interest.</w:t>
                            </w:r>
                            <w:r>
                              <w:rPr>
                                <w:rFonts w:ascii="arial" w:hAnsi="arial"/>
                                <w:sz w:val="19"/>
                              </w:rPr>
                              <w:t xml:space="preserve"> If an actual or potential conflict of interest arises for a director or a situation arises giving the appearance of an actual or potential conflict, the director must promptly inform the Chairman of the Board or the Chair of the Governance Committee. All directors are expected to recuse themselves from any discussion or decision found to affect their personal, business, or professional interests. </w:t>
                            </w:r>
                          </w:p>
                        </w:tc>
                      </w:tr>
                    </w:tbl>
                    <w:p>
                      <w:pPr>
                        <w:pStyle w:val="TextBody"/>
                        <w:bidi w:val="0"/>
                        <w:spacing w:before="240" w:after="0"/>
                        <w:jc w:val="left"/>
                        <w:rPr>
                          <w:rFonts w:ascii="arial" w:hAnsi="arial"/>
                          <w:b/>
                          <w:sz w:val="22"/>
                        </w:rPr>
                      </w:pPr>
                      <w:r>
                        <w:rPr>
                          <w:rFonts w:ascii="arial" w:hAnsi="arial"/>
                          <w:b/>
                          <w:sz w:val="22"/>
                        </w:rPr>
                        <w:t xml:space="preserve">Stockholder Rights </w:t>
                      </w:r>
                    </w:p>
                    <w:p>
                      <w:pPr>
                        <w:pStyle w:val="TextBody"/>
                        <w:bidi w:val="0"/>
                        <w:spacing w:before="0" w:after="0"/>
                        <w:jc w:val="left"/>
                        <w:rPr/>
                      </w:pPr>
                      <w:r>
                        <w:rPr/>
                        <w:t> </w:t>
                      </w:r>
                    </w:p>
                    <w:tbl>
                      <w:tblPr>
                        <w:tblW w:w="9985" w:type="dxa"/>
                        <w:jc w:val="left"/>
                        <w:tblInd w:w="0" w:type="dxa"/>
                        <w:tblLayout w:type="fixed"/>
                        <w:tblCellMar>
                          <w:top w:w="0" w:type="dxa"/>
                          <w:left w:w="0" w:type="dxa"/>
                          <w:bottom w:w="0" w:type="dxa"/>
                          <w:right w:w="0" w:type="dxa"/>
                        </w:tblCellMar>
                      </w:tblPr>
                      <w:tblGrid>
                        <w:gridCol w:w="125"/>
                        <w:gridCol w:w="60"/>
                        <w:gridCol w:w="980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9800" w:type="dxa"/>
                            <w:tcBorders/>
                            <w:vAlign w:val="center"/>
                          </w:tcPr>
                          <w:p>
                            <w:pPr>
                              <w:pStyle w:val="TableContents"/>
                              <w:bidi w:val="0"/>
                              <w:spacing w:before="0" w:after="0"/>
                              <w:jc w:val="both"/>
                              <w:rPr>
                                <w:rFonts w:ascii="arial" w:hAnsi="arial"/>
                                <w:sz w:val="19"/>
                              </w:rPr>
                            </w:pPr>
                            <w:r>
                              <w:rPr>
                                <w:rFonts w:ascii="arial" w:hAnsi="arial"/>
                                <w:b/>
                                <w:i/>
                                <w:color w:val="0171B9"/>
                                <w:sz w:val="19"/>
                              </w:rPr>
                              <w:t>Single Class of Shares.</w:t>
                            </w:r>
                            <w:r>
                              <w:rPr>
                                <w:rFonts w:ascii="arial" w:hAnsi="arial"/>
                                <w:sz w:val="19"/>
                              </w:rPr>
                              <w:t xml:space="preserve"> We have a single class of shares with equal voting rights. One share equals one vote.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tbl>
      <w:tblPr>
        <w:tblW w:w="8320" w:type="dxa"/>
        <w:jc w:val="left"/>
        <w:tblInd w:w="0" w:type="dxa"/>
        <w:tblLayout w:type="fixed"/>
        <w:tblCellMar>
          <w:top w:w="0" w:type="dxa"/>
          <w:left w:w="0" w:type="dxa"/>
          <w:bottom w:w="0" w:type="dxa"/>
          <w:right w:w="0" w:type="dxa"/>
        </w:tblCellMar>
      </w:tblPr>
      <w:tblGrid>
        <w:gridCol w:w="365"/>
        <w:gridCol w:w="7955"/>
      </w:tblGrid>
      <w:tr>
        <w:trPr/>
        <w:tc>
          <w:tcPr>
            <w:tcW w:w="365" w:type="dxa"/>
            <w:tcBorders/>
            <w:vAlign w:val="center"/>
          </w:tcPr>
          <w:p>
            <w:pPr>
              <w:pStyle w:val="TableContents"/>
              <w:bidi w:val="0"/>
              <w:spacing w:before="0" w:after="283"/>
              <w:jc w:val="left"/>
              <w:rPr/>
            </w:pPr>
            <w:r>
              <w:rPr/>
              <w:t>(1) </w:t>
            </w:r>
          </w:p>
        </w:tc>
        <w:tc>
          <w:tcPr>
            <w:tcW w:w="7955" w:type="dxa"/>
            <w:tcBorders/>
            <w:vAlign w:val="center"/>
          </w:tcPr>
          <w:p>
            <w:pPr>
              <w:pStyle w:val="TableContents"/>
              <w:bidi w:val="0"/>
              <w:spacing w:before="0" w:after="0"/>
              <w:jc w:val="both"/>
              <w:rPr>
                <w:rFonts w:ascii="arial" w:hAnsi="arial"/>
                <w:sz w:val="16"/>
              </w:rPr>
            </w:pPr>
            <w:r>
              <w:rPr>
                <w:rFonts w:ascii="arial" w:hAnsi="arial"/>
                <w:sz w:val="16"/>
              </w:rPr>
              <w:t xml:space="preserve">Includes Dr. Mary E. Klotman as a director nominee, who is standing for initial election at this Annual Meeting. </w:t>
            </w:r>
          </w:p>
        </w:tc>
      </w:tr>
    </w:tbl>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22  </w:t>
      </w:r>
      <w:r>
        <w:rPr>
          <w:rFonts w:ascii="arial" w:hAnsi="arial"/>
          <w:b/>
          <w:color w:val="474747"/>
          <w:sz w:val="22"/>
        </w:rPr>
        <w:drawing>
          <wp:inline distT="0" distB="0" distL="0" distR="0">
            <wp:extent cx="64770" cy="15240"/>
            <wp:effectExtent l="0" t="0" r="0" b="0"/>
            <wp:docPr id="64"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2" descr=""/>
                    <pic:cNvPicPr>
                      <a:picLocks noChangeAspect="1" noChangeArrowheads="1"/>
                    </pic:cNvPicPr>
                  </pic:nvPicPr>
                  <pic:blipFill>
                    <a:blip r:embed="rId53"/>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311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263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263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Corporate Governance</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58">
                <wp:simplePos x="0" y="0"/>
                <wp:positionH relativeFrom="column">
                  <wp:align>left</wp:align>
                </wp:positionH>
                <wp:positionV relativeFrom="line">
                  <wp:posOffset>635</wp:posOffset>
                </wp:positionV>
                <wp:extent cx="3110230" cy="1674495"/>
                <wp:effectExtent l="0" t="0" r="0" b="0"/>
                <wp:wrapSquare wrapText="right"/>
                <wp:docPr id="65" name="Frame13"/>
                <a:graphic xmlns:a="http://schemas.openxmlformats.org/drawingml/2006/main">
                  <a:graphicData uri="http://schemas.microsoft.com/office/word/2010/wordprocessingShape">
                    <wps:wsp>
                      <wps:cNvSpPr txBox="1"/>
                      <wps:spPr>
                        <a:xfrm>
                          <a:off x="0" y="0"/>
                          <a:ext cx="3110230" cy="167449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i/>
                                      <w:color w:val="0171B9"/>
                                      <w:sz w:val="19"/>
                                    </w:rPr>
                                    <w:t>Proxy Access.</w:t>
                                  </w:r>
                                  <w:r>
                                    <w:rPr>
                                      <w:rFonts w:ascii="arial" w:hAnsi="arial"/>
                                      <w:sz w:val="19"/>
                                    </w:rPr>
                                    <w:t xml:space="preserve"> Our Bylaws permit proxy access for director nominations. Eligible stockholders with an ownership threshold of 3% who have held their shares for at least 3 years and who otherwise meet the requirements set forth in our Bylaws may have their nominees up to the number of directors constituting the greater of 20% of the total number of directors or two nominees of our Board included in our proxy materials. Up to 20 eligible stockholders may group together to reach the 3% ownership threshold. In the course of designing our proxy access provisions, we carefully considered each element in the interest of our stockholders as a whole, including that the number of stockholders who may group together (20) would afford those stockholders likely to utilize proxy access with the opportunity to do so.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i/>
                                      <w:color w:val="0171B9"/>
                                      <w:sz w:val="19"/>
                                    </w:rPr>
                                    <w:t>Action by Written Consent.</w:t>
                                  </w:r>
                                  <w:r>
                                    <w:rPr>
                                      <w:rFonts w:ascii="arial" w:hAnsi="arial"/>
                                      <w:sz w:val="19"/>
                                    </w:rPr>
                                    <w:t xml:space="preserve"> Our Amgen Inc. Restated Certificate of Incorporation permits stockholders to act by written consent in lieu of a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31.8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i/>
                                <w:color w:val="0171B9"/>
                                <w:sz w:val="19"/>
                              </w:rPr>
                              <w:t>Proxy Access.</w:t>
                            </w:r>
                            <w:r>
                              <w:rPr>
                                <w:rFonts w:ascii="arial" w:hAnsi="arial"/>
                                <w:sz w:val="19"/>
                              </w:rPr>
                              <w:t xml:space="preserve"> Our Bylaws permit proxy access for director nominations. Eligible stockholders with an ownership threshold of 3% who have held their shares for at least 3 years and who otherwise meet the requirements set forth in our Bylaws may have their nominees up to the number of directors constituting the greater of 20% of the total number of directors or two nominees of our Board included in our proxy materials. Up to 20 eligible stockholders may group together to reach the 3% ownership threshold. In the course of designing our proxy access provisions, we carefully considered each element in the interest of our stockholders as a whole, including that the number of stockholders who may group together (20) would afford those stockholders likely to utilize proxy access with the opportunity to do so.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i/>
                                <w:color w:val="0171B9"/>
                                <w:sz w:val="19"/>
                              </w:rPr>
                              <w:t>Action by Written Consent.</w:t>
                            </w:r>
                            <w:r>
                              <w:rPr>
                                <w:rFonts w:ascii="arial" w:hAnsi="arial"/>
                                <w:sz w:val="19"/>
                              </w:rPr>
                              <w:t xml:space="preserve"> Our Amgen Inc. Restated Certificate of Incorporation permits stockholders to act by written consent in lieu of a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59">
                <wp:simplePos x="0" y="0"/>
                <wp:positionH relativeFrom="column">
                  <wp:align>left</wp:align>
                </wp:positionH>
                <wp:positionV relativeFrom="line">
                  <wp:posOffset>635</wp:posOffset>
                </wp:positionV>
                <wp:extent cx="3175000" cy="2181225"/>
                <wp:effectExtent l="0" t="0" r="0" b="0"/>
                <wp:wrapSquare wrapText="right"/>
                <wp:docPr id="66" name="Frame14"/>
                <a:graphic xmlns:a="http://schemas.openxmlformats.org/drawingml/2006/main">
                  <a:graphicData uri="http://schemas.microsoft.com/office/word/2010/wordprocessingShape">
                    <wps:wsp>
                      <wps:cNvSpPr txBox="1"/>
                      <wps:spPr>
                        <a:xfrm>
                          <a:off x="0" y="0"/>
                          <a:ext cx="3175000" cy="218122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0"/>
                                    <w:jc w:val="both"/>
                                    <w:rPr>
                                      <w:rFonts w:ascii="arial" w:hAnsi="arial"/>
                                      <w:sz w:val="19"/>
                                    </w:rPr>
                                  </w:pPr>
                                  <w:r>
                                    <w:rPr>
                                      <w:rFonts w:ascii="arial" w:hAnsi="arial"/>
                                      <w:sz w:val="19"/>
                                    </w:rPr>
                                    <w:t xml:space="preserve">meeting upon the request of the holders of at least 15% of our outstanding common shares who otherwise meet the requirements of our Certificate of Incorporation.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i/>
                                      <w:color w:val="0171B9"/>
                                      <w:sz w:val="19"/>
                                    </w:rPr>
                                    <w:t>Special Meetings.</w:t>
                                  </w:r>
                                  <w:r>
                                    <w:rPr>
                                      <w:rFonts w:ascii="arial" w:hAnsi="arial"/>
                                      <w:sz w:val="19"/>
                                    </w:rPr>
                                    <w:t xml:space="preserve"> Our Bylaws permit stockholders to request that the Company call a special meeting upon the written request of the holders of at least 15% of our outstanding common shares who otherwise meet the requirements set forth in our Bylaws.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i/>
                                      <w:color w:val="0171B9"/>
                                      <w:sz w:val="19"/>
                                    </w:rPr>
                                    <w:t>No Supermajority Vote Provisions.</w:t>
                                  </w:r>
                                  <w:r>
                                    <w:rPr>
                                      <w:rFonts w:ascii="arial" w:hAnsi="arial"/>
                                      <w:sz w:val="19"/>
                                    </w:rPr>
                                    <w:t xml:space="preserve"> We have a simple majority voting standard to amend our Certificate of Incorporation and Bylaws. </w:t>
                                  </w:r>
                                </w:p>
                              </w:tc>
                            </w:tr>
                          </w:tbl>
                          <w:p>
                            <w:pPr>
                              <w:pStyle w:val="TextBody"/>
                              <w:bidi w:val="0"/>
                              <w:spacing w:before="0" w:after="0"/>
                              <w:jc w:val="left"/>
                              <w:rPr/>
                            </w:pPr>
                            <w:r>
                              <w:rPr/>
                              <w:t> </w:t>
                            </w:r>
                          </w:p>
                          <w:tbl>
                            <w:tblPr>
                              <w:tblW w:w="6580" w:type="dxa"/>
                              <w:jc w:val="left"/>
                              <w:tblInd w:w="0" w:type="dxa"/>
                              <w:tblLayout w:type="fixed"/>
                              <w:tblCellMar>
                                <w:top w:w="0" w:type="dxa"/>
                                <w:left w:w="0" w:type="dxa"/>
                                <w:bottom w:w="0" w:type="dxa"/>
                                <w:right w:w="0" w:type="dxa"/>
                              </w:tblCellMar>
                            </w:tblPr>
                            <w:tblGrid>
                              <w:gridCol w:w="125"/>
                              <w:gridCol w:w="60"/>
                              <w:gridCol w:w="6395"/>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6395" w:type="dxa"/>
                                  <w:tcBorders/>
                                  <w:vAlign w:val="center"/>
                                </w:tcPr>
                                <w:p>
                                  <w:pPr>
                                    <w:pStyle w:val="TableContents"/>
                                    <w:bidi w:val="0"/>
                                    <w:spacing w:before="0" w:after="0"/>
                                    <w:jc w:val="both"/>
                                    <w:rPr>
                                      <w:rFonts w:ascii="arial" w:hAnsi="arial"/>
                                      <w:sz w:val="19"/>
                                    </w:rPr>
                                  </w:pPr>
                                  <w:r>
                                    <w:rPr>
                                      <w:rFonts w:ascii="arial" w:hAnsi="arial"/>
                                      <w:b/>
                                      <w:i/>
                                      <w:color w:val="0171B9"/>
                                      <w:sz w:val="19"/>
                                    </w:rPr>
                                    <w:t>No Poison Pill.</w:t>
                                  </w:r>
                                  <w:r>
                                    <w:rPr>
                                      <w:rFonts w:ascii="arial" w:hAnsi="arial"/>
                                      <w:sz w:val="19"/>
                                    </w:rPr>
                                    <w:t xml:space="preserve"> We do not have a shareholder rights plan, or poison pill.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71.7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0"/>
                              <w:jc w:val="both"/>
                              <w:rPr>
                                <w:rFonts w:ascii="arial" w:hAnsi="arial"/>
                                <w:sz w:val="19"/>
                              </w:rPr>
                            </w:pPr>
                            <w:r>
                              <w:rPr>
                                <w:rFonts w:ascii="arial" w:hAnsi="arial"/>
                                <w:sz w:val="19"/>
                              </w:rPr>
                              <w:t xml:space="preserve">meeting upon the request of the holders of at least 15% of our outstanding common shares who otherwise meet the requirements of our Certificate of Incorporation.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i/>
                                <w:color w:val="0171B9"/>
                                <w:sz w:val="19"/>
                              </w:rPr>
                              <w:t>Special Meetings.</w:t>
                            </w:r>
                            <w:r>
                              <w:rPr>
                                <w:rFonts w:ascii="arial" w:hAnsi="arial"/>
                                <w:sz w:val="19"/>
                              </w:rPr>
                              <w:t xml:space="preserve"> Our Bylaws permit stockholders to request that the Company call a special meeting upon the written request of the holders of at least 15% of our outstanding common shares who otherwise meet the requirements set forth in our Bylaws.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i/>
                                <w:color w:val="0171B9"/>
                                <w:sz w:val="19"/>
                              </w:rPr>
                              <w:t>No Supermajority Vote Provisions.</w:t>
                            </w:r>
                            <w:r>
                              <w:rPr>
                                <w:rFonts w:ascii="arial" w:hAnsi="arial"/>
                                <w:sz w:val="19"/>
                              </w:rPr>
                              <w:t xml:space="preserve"> We have a simple majority voting standard to amend our Certificate of Incorporation and Bylaws. </w:t>
                            </w:r>
                          </w:p>
                        </w:tc>
                      </w:tr>
                    </w:tbl>
                    <w:p>
                      <w:pPr>
                        <w:pStyle w:val="TextBody"/>
                        <w:bidi w:val="0"/>
                        <w:spacing w:before="0" w:after="0"/>
                        <w:jc w:val="left"/>
                        <w:rPr/>
                      </w:pPr>
                      <w:r>
                        <w:rPr/>
                        <w:t> </w:t>
                      </w:r>
                    </w:p>
                    <w:tbl>
                      <w:tblPr>
                        <w:tblW w:w="6580" w:type="dxa"/>
                        <w:jc w:val="left"/>
                        <w:tblInd w:w="0" w:type="dxa"/>
                        <w:tblLayout w:type="fixed"/>
                        <w:tblCellMar>
                          <w:top w:w="0" w:type="dxa"/>
                          <w:left w:w="0" w:type="dxa"/>
                          <w:bottom w:w="0" w:type="dxa"/>
                          <w:right w:w="0" w:type="dxa"/>
                        </w:tblCellMar>
                      </w:tblPr>
                      <w:tblGrid>
                        <w:gridCol w:w="125"/>
                        <w:gridCol w:w="60"/>
                        <w:gridCol w:w="6395"/>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6395" w:type="dxa"/>
                            <w:tcBorders/>
                            <w:vAlign w:val="center"/>
                          </w:tcPr>
                          <w:p>
                            <w:pPr>
                              <w:pStyle w:val="TableContents"/>
                              <w:bidi w:val="0"/>
                              <w:spacing w:before="0" w:after="0"/>
                              <w:jc w:val="both"/>
                              <w:rPr>
                                <w:rFonts w:ascii="arial" w:hAnsi="arial"/>
                                <w:sz w:val="19"/>
                              </w:rPr>
                            </w:pPr>
                            <w:r>
                              <w:rPr>
                                <w:rFonts w:ascii="arial" w:hAnsi="arial"/>
                                <w:b/>
                                <w:i/>
                                <w:color w:val="0171B9"/>
                                <w:sz w:val="19"/>
                              </w:rPr>
                              <w:t>No Poison Pill.</w:t>
                            </w:r>
                            <w:r>
                              <w:rPr>
                                <w:rFonts w:ascii="arial" w:hAnsi="arial"/>
                                <w:sz w:val="19"/>
                              </w:rPr>
                              <w:t xml:space="preserve"> We do not have a shareholder rights plan, or poison pill.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240" w:after="0"/>
        <w:jc w:val="left"/>
        <w:rPr>
          <w:rFonts w:ascii="arial" w:hAnsi="arial"/>
          <w:b/>
          <w:color w:val="0171B9"/>
          <w:sz w:val="28"/>
        </w:rPr>
      </w:pPr>
      <w:bookmarkStart w:id="7" w:name="toc445034_5"/>
      <w:bookmarkEnd w:id="7"/>
      <w:r>
        <w:rPr>
          <w:rFonts w:ascii="arial" w:hAnsi="arial"/>
          <w:b/>
          <w:color w:val="0171B9"/>
          <w:sz w:val="28"/>
        </w:rPr>
        <w:t xml:space="preserve">Board Leadership Structure </w:t>
      </w:r>
    </w:p>
    <w:p>
      <w:pPr>
        <w:pStyle w:val="TextBody"/>
        <w:pBdr>
          <w:bottom w:val="single" w:sz="2" w:space="1" w:color="666666"/>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60">
                <wp:simplePos x="0" y="0"/>
                <wp:positionH relativeFrom="column">
                  <wp:align>left</wp:align>
                </wp:positionH>
                <wp:positionV relativeFrom="line">
                  <wp:posOffset>635</wp:posOffset>
                </wp:positionV>
                <wp:extent cx="3110230" cy="5485765"/>
                <wp:effectExtent l="0" t="0" r="0" b="0"/>
                <wp:wrapSquare wrapText="right"/>
                <wp:docPr id="67" name="Frame15"/>
                <a:graphic xmlns:a="http://schemas.openxmlformats.org/drawingml/2006/main">
                  <a:graphicData uri="http://schemas.microsoft.com/office/word/2010/wordprocessingShape">
                    <wps:wsp>
                      <wps:cNvSpPr txBox="1"/>
                      <wps:spPr>
                        <a:xfrm>
                          <a:off x="0" y="0"/>
                          <a:ext cx="3110230" cy="5485765"/>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Our current Board leadership structure and governing documents permit the roles of Chairman and CEO to be filled by the same or different individuals. </w:t>
                            </w:r>
                          </w:p>
                          <w:p>
                            <w:pPr>
                              <w:pStyle w:val="TextBody"/>
                              <w:bidi w:val="0"/>
                              <w:spacing w:before="120" w:after="0"/>
                              <w:jc w:val="both"/>
                              <w:rPr>
                                <w:rFonts w:ascii="arial" w:hAnsi="arial"/>
                                <w:sz w:val="19"/>
                              </w:rPr>
                            </w:pPr>
                            <w:r>
                              <w:rPr>
                                <w:rFonts w:ascii="arial" w:hAnsi="arial"/>
                                <w:b/>
                                <w:i/>
                                <w:color w:val="0171B9"/>
                                <w:sz w:val="19"/>
                              </w:rPr>
                              <w:t>Annual Evaluation of Board Leadership Structure and Annual Election of Lead Independent Director.</w:t>
                            </w:r>
                            <w:r>
                              <w:rPr>
                                <w:rFonts w:ascii="arial" w:hAnsi="arial"/>
                                <w:sz w:val="19"/>
                              </w:rPr>
                              <w:t xml:space="preserve"> The Board evaluates the leadership structure annually. As part of this annual evaluation process, the Board reviews its leadership structure, including whether combining or separating the roles of Chairman and CEO is in the best interests of the Company and our stockholders. The Board also considers: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The effectiveness of the policies, practices, and people in place at the Company to help ensure strong, independent Board oversight; </w:t>
                                  </w:r>
                                </w:p>
                              </w:tc>
                            </w:tr>
                          </w:tbl>
                          <w:p>
                            <w:pPr>
                              <w:pStyle w:val="TextBody"/>
                              <w:bidi w:val="0"/>
                              <w:spacing w:before="0" w:after="0"/>
                              <w:jc w:val="left"/>
                              <w:rPr/>
                            </w:pPr>
                            <w:r>
                              <w:rPr/>
                              <w:t> </w:t>
                            </w:r>
                          </w:p>
                          <w:tbl>
                            <w:tblPr>
                              <w:tblW w:w="8890" w:type="dxa"/>
                              <w:jc w:val="left"/>
                              <w:tblInd w:w="0" w:type="dxa"/>
                              <w:tblLayout w:type="fixed"/>
                              <w:tblCellMar>
                                <w:top w:w="0" w:type="dxa"/>
                                <w:left w:w="0" w:type="dxa"/>
                                <w:bottom w:w="0" w:type="dxa"/>
                                <w:right w:w="0" w:type="dxa"/>
                              </w:tblCellMar>
                            </w:tblPr>
                            <w:tblGrid>
                              <w:gridCol w:w="125"/>
                              <w:gridCol w:w="60"/>
                              <w:gridCol w:w="8705"/>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0"/>
                                    <w:jc w:val="both"/>
                                    <w:rPr>
                                      <w:rFonts w:ascii="arial" w:hAnsi="arial"/>
                                      <w:sz w:val="19"/>
                                    </w:rPr>
                                  </w:pPr>
                                  <w:r>
                                    <w:rPr>
                                      <w:rFonts w:ascii="arial" w:hAnsi="arial"/>
                                      <w:sz w:val="19"/>
                                    </w:rPr>
                                    <w:t xml:space="preserve">The Company’s performance and the effect the leadership structure could have on its performance; </w:t>
                                  </w:r>
                                </w:p>
                              </w:tc>
                            </w:tr>
                          </w:tbl>
                          <w:p>
                            <w:pPr>
                              <w:pStyle w:val="TextBody"/>
                              <w:bidi w:val="0"/>
                              <w:spacing w:before="0" w:after="0"/>
                              <w:jc w:val="left"/>
                              <w:rPr/>
                            </w:pPr>
                            <w:r>
                              <w:rPr/>
                              <w:t> </w:t>
                            </w:r>
                          </w:p>
                          <w:tbl>
                            <w:tblPr>
                              <w:tblW w:w="9355" w:type="dxa"/>
                              <w:jc w:val="left"/>
                              <w:tblInd w:w="0" w:type="dxa"/>
                              <w:tblLayout w:type="fixed"/>
                              <w:tblCellMar>
                                <w:top w:w="0" w:type="dxa"/>
                                <w:left w:w="0" w:type="dxa"/>
                                <w:bottom w:w="0" w:type="dxa"/>
                                <w:right w:w="0" w:type="dxa"/>
                              </w:tblCellMar>
                            </w:tblPr>
                            <w:tblGrid>
                              <w:gridCol w:w="125"/>
                              <w:gridCol w:w="60"/>
                              <w:gridCol w:w="917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9170" w:type="dxa"/>
                                  <w:tcBorders/>
                                  <w:vAlign w:val="center"/>
                                </w:tcPr>
                                <w:p>
                                  <w:pPr>
                                    <w:pStyle w:val="TableContents"/>
                                    <w:bidi w:val="0"/>
                                    <w:spacing w:before="0" w:after="0"/>
                                    <w:jc w:val="both"/>
                                    <w:rPr>
                                      <w:rFonts w:ascii="arial" w:hAnsi="arial"/>
                                      <w:sz w:val="19"/>
                                    </w:rPr>
                                  </w:pPr>
                                  <w:r>
                                    <w:rPr>
                                      <w:rFonts w:ascii="arial" w:hAnsi="arial"/>
                                      <w:sz w:val="19"/>
                                    </w:rPr>
                                    <w:t xml:space="preserve">The Board’s performance and the effect the leadership structure could have on the Board’s performance; </w:t>
                                  </w:r>
                                </w:p>
                              </w:tc>
                            </w:tr>
                          </w:tbl>
                          <w:p>
                            <w:pPr>
                              <w:pStyle w:val="TextBody"/>
                              <w:bidi w:val="0"/>
                              <w:spacing w:before="0" w:after="0"/>
                              <w:jc w:val="left"/>
                              <w:rPr/>
                            </w:pPr>
                            <w:r>
                              <w:rPr/>
                              <w:t> </w:t>
                            </w:r>
                          </w:p>
                          <w:tbl>
                            <w:tblPr>
                              <w:tblW w:w="3760" w:type="dxa"/>
                              <w:jc w:val="left"/>
                              <w:tblInd w:w="0" w:type="dxa"/>
                              <w:tblLayout w:type="fixed"/>
                              <w:tblCellMar>
                                <w:top w:w="0" w:type="dxa"/>
                                <w:left w:w="0" w:type="dxa"/>
                                <w:bottom w:w="0" w:type="dxa"/>
                                <w:right w:w="0" w:type="dxa"/>
                              </w:tblCellMar>
                            </w:tblPr>
                            <w:tblGrid>
                              <w:gridCol w:w="125"/>
                              <w:gridCol w:w="60"/>
                              <w:gridCol w:w="3575"/>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0"/>
                                    <w:jc w:val="both"/>
                                    <w:rPr>
                                      <w:rFonts w:ascii="arial" w:hAnsi="arial"/>
                                      <w:sz w:val="19"/>
                                    </w:rPr>
                                  </w:pPr>
                                  <w:r>
                                    <w:rPr>
                                      <w:rFonts w:ascii="arial" w:hAnsi="arial"/>
                                      <w:sz w:val="19"/>
                                    </w:rPr>
                                    <w:t xml:space="preserve">The Chairman’s performance in the role; </w:t>
                                  </w:r>
                                </w:p>
                              </w:tc>
                            </w:tr>
                          </w:tbl>
                          <w:p>
                            <w:pPr>
                              <w:pStyle w:val="TextBody"/>
                              <w:bidi w:val="0"/>
                              <w:spacing w:before="0" w:after="0"/>
                              <w:jc w:val="left"/>
                              <w:rPr/>
                            </w:pPr>
                            <w:r>
                              <w:rPr/>
                              <w:t> </w:t>
                            </w:r>
                          </w:p>
                          <w:tbl>
                            <w:tblPr>
                              <w:tblW w:w="5110" w:type="dxa"/>
                              <w:jc w:val="left"/>
                              <w:tblInd w:w="0" w:type="dxa"/>
                              <w:tblLayout w:type="fixed"/>
                              <w:tblCellMar>
                                <w:top w:w="0" w:type="dxa"/>
                                <w:left w:w="0" w:type="dxa"/>
                                <w:bottom w:w="0" w:type="dxa"/>
                                <w:right w:w="0" w:type="dxa"/>
                              </w:tblCellMar>
                            </w:tblPr>
                            <w:tblGrid>
                              <w:gridCol w:w="125"/>
                              <w:gridCol w:w="60"/>
                              <w:gridCol w:w="4925"/>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4925" w:type="dxa"/>
                                  <w:tcBorders/>
                                  <w:vAlign w:val="center"/>
                                </w:tcPr>
                                <w:p>
                                  <w:pPr>
                                    <w:pStyle w:val="TableContents"/>
                                    <w:bidi w:val="0"/>
                                    <w:spacing w:before="0" w:after="0"/>
                                    <w:jc w:val="both"/>
                                    <w:rPr>
                                      <w:rFonts w:ascii="arial" w:hAnsi="arial"/>
                                      <w:sz w:val="19"/>
                                    </w:rPr>
                                  </w:pPr>
                                  <w:r>
                                    <w:rPr>
                                      <w:rFonts w:ascii="arial" w:hAnsi="arial"/>
                                      <w:sz w:val="19"/>
                                    </w:rPr>
                                    <w:t xml:space="preserve">The lead independent director’s performance in the role; </w:t>
                                  </w:r>
                                </w:p>
                              </w:tc>
                            </w:tr>
                          </w:tbl>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125"/>
                              <w:gridCol w:w="60"/>
                              <w:gridCol w:w="4175"/>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0"/>
                                    <w:jc w:val="both"/>
                                    <w:rPr>
                                      <w:rFonts w:ascii="arial" w:hAnsi="arial"/>
                                      <w:sz w:val="19"/>
                                    </w:rPr>
                                  </w:pPr>
                                  <w:r>
                                    <w:rPr>
                                      <w:rFonts w:ascii="arial" w:hAnsi="arial"/>
                                      <w:sz w:val="19"/>
                                    </w:rPr>
                                    <w:t xml:space="preserve">The views of the Company’s stockholders; and </w:t>
                                  </w:r>
                                </w:p>
                              </w:tc>
                            </w:tr>
                          </w:tbl>
                          <w:p>
                            <w:pPr>
                              <w:pStyle w:val="TextBody"/>
                              <w:bidi w:val="0"/>
                              <w:spacing w:before="0" w:after="0"/>
                              <w:jc w:val="left"/>
                              <w:rPr/>
                            </w:pPr>
                            <w:r>
                              <w:rPr/>
                              <w:t> </w:t>
                            </w:r>
                          </w:p>
                          <w:tbl>
                            <w:tblPr>
                              <w:tblW w:w="5500" w:type="dxa"/>
                              <w:jc w:val="left"/>
                              <w:tblInd w:w="0" w:type="dxa"/>
                              <w:tblLayout w:type="fixed"/>
                              <w:tblCellMar>
                                <w:top w:w="0" w:type="dxa"/>
                                <w:left w:w="0" w:type="dxa"/>
                                <w:bottom w:w="0" w:type="dxa"/>
                                <w:right w:w="0" w:type="dxa"/>
                              </w:tblCellMar>
                            </w:tblPr>
                            <w:tblGrid>
                              <w:gridCol w:w="125"/>
                              <w:gridCol w:w="60"/>
                              <w:gridCol w:w="5315"/>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0"/>
                                    <w:jc w:val="both"/>
                                    <w:rPr>
                                      <w:rFonts w:ascii="arial" w:hAnsi="arial"/>
                                      <w:sz w:val="19"/>
                                    </w:rPr>
                                  </w:pPr>
                                  <w:r>
                                    <w:rPr>
                                      <w:rFonts w:ascii="arial" w:hAnsi="arial"/>
                                      <w:sz w:val="19"/>
                                    </w:rPr>
                                    <w:t xml:space="preserve">The practices at other companies and trends in governance.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31.9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Our current Board leadership structure and governing documents permit the roles of Chairman and CEO to be filled by the same or different individuals. </w:t>
                      </w:r>
                    </w:p>
                    <w:p>
                      <w:pPr>
                        <w:pStyle w:val="TextBody"/>
                        <w:bidi w:val="0"/>
                        <w:spacing w:before="120" w:after="0"/>
                        <w:jc w:val="both"/>
                        <w:rPr>
                          <w:rFonts w:ascii="arial" w:hAnsi="arial"/>
                          <w:sz w:val="19"/>
                        </w:rPr>
                      </w:pPr>
                      <w:r>
                        <w:rPr>
                          <w:rFonts w:ascii="arial" w:hAnsi="arial"/>
                          <w:b/>
                          <w:i/>
                          <w:color w:val="0171B9"/>
                          <w:sz w:val="19"/>
                        </w:rPr>
                        <w:t>Annual Evaluation of Board Leadership Structure and Annual Election of Lead Independent Director.</w:t>
                      </w:r>
                      <w:r>
                        <w:rPr>
                          <w:rFonts w:ascii="arial" w:hAnsi="arial"/>
                          <w:sz w:val="19"/>
                        </w:rPr>
                        <w:t xml:space="preserve"> The Board evaluates the leadership structure annually. As part of this annual evaluation process, the Board reviews its leadership structure, including whether combining or separating the roles of Chairman and CEO is in the best interests of the Company and our stockholders. The Board also considers: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The effectiveness of the policies, practices, and people in place at the Company to help ensure strong, independent Board oversight; </w:t>
                            </w:r>
                          </w:p>
                        </w:tc>
                      </w:tr>
                    </w:tbl>
                    <w:p>
                      <w:pPr>
                        <w:pStyle w:val="TextBody"/>
                        <w:bidi w:val="0"/>
                        <w:spacing w:before="0" w:after="0"/>
                        <w:jc w:val="left"/>
                        <w:rPr/>
                      </w:pPr>
                      <w:r>
                        <w:rPr/>
                        <w:t> </w:t>
                      </w:r>
                    </w:p>
                    <w:tbl>
                      <w:tblPr>
                        <w:tblW w:w="8890" w:type="dxa"/>
                        <w:jc w:val="left"/>
                        <w:tblInd w:w="0" w:type="dxa"/>
                        <w:tblLayout w:type="fixed"/>
                        <w:tblCellMar>
                          <w:top w:w="0" w:type="dxa"/>
                          <w:left w:w="0" w:type="dxa"/>
                          <w:bottom w:w="0" w:type="dxa"/>
                          <w:right w:w="0" w:type="dxa"/>
                        </w:tblCellMar>
                      </w:tblPr>
                      <w:tblGrid>
                        <w:gridCol w:w="125"/>
                        <w:gridCol w:w="60"/>
                        <w:gridCol w:w="8705"/>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0"/>
                              <w:jc w:val="both"/>
                              <w:rPr>
                                <w:rFonts w:ascii="arial" w:hAnsi="arial"/>
                                <w:sz w:val="19"/>
                              </w:rPr>
                            </w:pPr>
                            <w:r>
                              <w:rPr>
                                <w:rFonts w:ascii="arial" w:hAnsi="arial"/>
                                <w:sz w:val="19"/>
                              </w:rPr>
                              <w:t xml:space="preserve">The Company’s performance and the effect the leadership structure could have on its performance; </w:t>
                            </w:r>
                          </w:p>
                        </w:tc>
                      </w:tr>
                    </w:tbl>
                    <w:p>
                      <w:pPr>
                        <w:pStyle w:val="TextBody"/>
                        <w:bidi w:val="0"/>
                        <w:spacing w:before="0" w:after="0"/>
                        <w:jc w:val="left"/>
                        <w:rPr/>
                      </w:pPr>
                      <w:r>
                        <w:rPr/>
                        <w:t> </w:t>
                      </w:r>
                    </w:p>
                    <w:tbl>
                      <w:tblPr>
                        <w:tblW w:w="9355" w:type="dxa"/>
                        <w:jc w:val="left"/>
                        <w:tblInd w:w="0" w:type="dxa"/>
                        <w:tblLayout w:type="fixed"/>
                        <w:tblCellMar>
                          <w:top w:w="0" w:type="dxa"/>
                          <w:left w:w="0" w:type="dxa"/>
                          <w:bottom w:w="0" w:type="dxa"/>
                          <w:right w:w="0" w:type="dxa"/>
                        </w:tblCellMar>
                      </w:tblPr>
                      <w:tblGrid>
                        <w:gridCol w:w="125"/>
                        <w:gridCol w:w="60"/>
                        <w:gridCol w:w="917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9170" w:type="dxa"/>
                            <w:tcBorders/>
                            <w:vAlign w:val="center"/>
                          </w:tcPr>
                          <w:p>
                            <w:pPr>
                              <w:pStyle w:val="TableContents"/>
                              <w:bidi w:val="0"/>
                              <w:spacing w:before="0" w:after="0"/>
                              <w:jc w:val="both"/>
                              <w:rPr>
                                <w:rFonts w:ascii="arial" w:hAnsi="arial"/>
                                <w:sz w:val="19"/>
                              </w:rPr>
                            </w:pPr>
                            <w:r>
                              <w:rPr>
                                <w:rFonts w:ascii="arial" w:hAnsi="arial"/>
                                <w:sz w:val="19"/>
                              </w:rPr>
                              <w:t xml:space="preserve">The Board’s performance and the effect the leadership structure could have on the Board’s performance; </w:t>
                            </w:r>
                          </w:p>
                        </w:tc>
                      </w:tr>
                    </w:tbl>
                    <w:p>
                      <w:pPr>
                        <w:pStyle w:val="TextBody"/>
                        <w:bidi w:val="0"/>
                        <w:spacing w:before="0" w:after="0"/>
                        <w:jc w:val="left"/>
                        <w:rPr/>
                      </w:pPr>
                      <w:r>
                        <w:rPr/>
                        <w:t> </w:t>
                      </w:r>
                    </w:p>
                    <w:tbl>
                      <w:tblPr>
                        <w:tblW w:w="3760" w:type="dxa"/>
                        <w:jc w:val="left"/>
                        <w:tblInd w:w="0" w:type="dxa"/>
                        <w:tblLayout w:type="fixed"/>
                        <w:tblCellMar>
                          <w:top w:w="0" w:type="dxa"/>
                          <w:left w:w="0" w:type="dxa"/>
                          <w:bottom w:w="0" w:type="dxa"/>
                          <w:right w:w="0" w:type="dxa"/>
                        </w:tblCellMar>
                      </w:tblPr>
                      <w:tblGrid>
                        <w:gridCol w:w="125"/>
                        <w:gridCol w:w="60"/>
                        <w:gridCol w:w="3575"/>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0"/>
                              <w:jc w:val="both"/>
                              <w:rPr>
                                <w:rFonts w:ascii="arial" w:hAnsi="arial"/>
                                <w:sz w:val="19"/>
                              </w:rPr>
                            </w:pPr>
                            <w:r>
                              <w:rPr>
                                <w:rFonts w:ascii="arial" w:hAnsi="arial"/>
                                <w:sz w:val="19"/>
                              </w:rPr>
                              <w:t xml:space="preserve">The Chairman’s performance in the role; </w:t>
                            </w:r>
                          </w:p>
                        </w:tc>
                      </w:tr>
                    </w:tbl>
                    <w:p>
                      <w:pPr>
                        <w:pStyle w:val="TextBody"/>
                        <w:bidi w:val="0"/>
                        <w:spacing w:before="0" w:after="0"/>
                        <w:jc w:val="left"/>
                        <w:rPr/>
                      </w:pPr>
                      <w:r>
                        <w:rPr/>
                        <w:t> </w:t>
                      </w:r>
                    </w:p>
                    <w:tbl>
                      <w:tblPr>
                        <w:tblW w:w="5110" w:type="dxa"/>
                        <w:jc w:val="left"/>
                        <w:tblInd w:w="0" w:type="dxa"/>
                        <w:tblLayout w:type="fixed"/>
                        <w:tblCellMar>
                          <w:top w:w="0" w:type="dxa"/>
                          <w:left w:w="0" w:type="dxa"/>
                          <w:bottom w:w="0" w:type="dxa"/>
                          <w:right w:w="0" w:type="dxa"/>
                        </w:tblCellMar>
                      </w:tblPr>
                      <w:tblGrid>
                        <w:gridCol w:w="125"/>
                        <w:gridCol w:w="60"/>
                        <w:gridCol w:w="4925"/>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4925" w:type="dxa"/>
                            <w:tcBorders/>
                            <w:vAlign w:val="center"/>
                          </w:tcPr>
                          <w:p>
                            <w:pPr>
                              <w:pStyle w:val="TableContents"/>
                              <w:bidi w:val="0"/>
                              <w:spacing w:before="0" w:after="0"/>
                              <w:jc w:val="both"/>
                              <w:rPr>
                                <w:rFonts w:ascii="arial" w:hAnsi="arial"/>
                                <w:sz w:val="19"/>
                              </w:rPr>
                            </w:pPr>
                            <w:r>
                              <w:rPr>
                                <w:rFonts w:ascii="arial" w:hAnsi="arial"/>
                                <w:sz w:val="19"/>
                              </w:rPr>
                              <w:t xml:space="preserve">The lead independent director’s performance in the role; </w:t>
                            </w:r>
                          </w:p>
                        </w:tc>
                      </w:tr>
                    </w:tbl>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125"/>
                        <w:gridCol w:w="60"/>
                        <w:gridCol w:w="4175"/>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0"/>
                              <w:jc w:val="both"/>
                              <w:rPr>
                                <w:rFonts w:ascii="arial" w:hAnsi="arial"/>
                                <w:sz w:val="19"/>
                              </w:rPr>
                            </w:pPr>
                            <w:r>
                              <w:rPr>
                                <w:rFonts w:ascii="arial" w:hAnsi="arial"/>
                                <w:sz w:val="19"/>
                              </w:rPr>
                              <w:t xml:space="preserve">The views of the Company’s stockholders; and </w:t>
                            </w:r>
                          </w:p>
                        </w:tc>
                      </w:tr>
                    </w:tbl>
                    <w:p>
                      <w:pPr>
                        <w:pStyle w:val="TextBody"/>
                        <w:bidi w:val="0"/>
                        <w:spacing w:before="0" w:after="0"/>
                        <w:jc w:val="left"/>
                        <w:rPr/>
                      </w:pPr>
                      <w:r>
                        <w:rPr/>
                        <w:t> </w:t>
                      </w:r>
                    </w:p>
                    <w:tbl>
                      <w:tblPr>
                        <w:tblW w:w="5500" w:type="dxa"/>
                        <w:jc w:val="left"/>
                        <w:tblInd w:w="0" w:type="dxa"/>
                        <w:tblLayout w:type="fixed"/>
                        <w:tblCellMar>
                          <w:top w:w="0" w:type="dxa"/>
                          <w:left w:w="0" w:type="dxa"/>
                          <w:bottom w:w="0" w:type="dxa"/>
                          <w:right w:w="0" w:type="dxa"/>
                        </w:tblCellMar>
                      </w:tblPr>
                      <w:tblGrid>
                        <w:gridCol w:w="125"/>
                        <w:gridCol w:w="60"/>
                        <w:gridCol w:w="5315"/>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0"/>
                              <w:jc w:val="both"/>
                              <w:rPr>
                                <w:rFonts w:ascii="arial" w:hAnsi="arial"/>
                                <w:sz w:val="19"/>
                              </w:rPr>
                            </w:pPr>
                            <w:r>
                              <w:rPr>
                                <w:rFonts w:ascii="arial" w:hAnsi="arial"/>
                                <w:sz w:val="19"/>
                              </w:rPr>
                              <w:t xml:space="preserve">The practices at other companies and trends in governance.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61">
                <wp:simplePos x="0" y="0"/>
                <wp:positionH relativeFrom="column">
                  <wp:align>left</wp:align>
                </wp:positionH>
                <wp:positionV relativeFrom="line">
                  <wp:posOffset>635</wp:posOffset>
                </wp:positionV>
                <wp:extent cx="3175000" cy="3435350"/>
                <wp:effectExtent l="0" t="0" r="0" b="0"/>
                <wp:wrapSquare wrapText="right"/>
                <wp:docPr id="68" name="Frame16"/>
                <a:graphic xmlns:a="http://schemas.openxmlformats.org/drawingml/2006/main">
                  <a:graphicData uri="http://schemas.microsoft.com/office/word/2010/wordprocessingShape">
                    <wps:wsp>
                      <wps:cNvSpPr txBox="1"/>
                      <wps:spPr>
                        <a:xfrm>
                          <a:off x="0" y="0"/>
                          <a:ext cx="3175000" cy="343535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In the circumstance that the Board determines that it remains in the best interests of the Company and its stockholders that the CEO serve as Chairman, the independent members of the Board then elect a lead independent director from the independent members of the Board. The last review was completed in March 2024, and as a result of such review, the Board has determined that it continues to be in the best interests of the Company and our stockholders to have Robert A. Bradway, our CEO and President, serve as Chairman, coupled with an active lead independent director. As such, Mr. Bradway holds the position of Chairman, CEO, and President, and Mr. Eckert serves as the lead independent director. </w:t>
                            </w:r>
                          </w:p>
                          <w:p>
                            <w:pPr>
                              <w:pStyle w:val="TextBody"/>
                              <w:bidi w:val="0"/>
                              <w:spacing w:before="120" w:after="0"/>
                              <w:jc w:val="both"/>
                              <w:rPr>
                                <w:rFonts w:ascii="arial" w:hAnsi="arial"/>
                                <w:sz w:val="19"/>
                              </w:rPr>
                            </w:pPr>
                            <w:r>
                              <w:rPr>
                                <w:rFonts w:ascii="arial" w:hAnsi="arial"/>
                                <w:b/>
                                <w:i/>
                                <w:color w:val="0171B9"/>
                                <w:sz w:val="19"/>
                              </w:rPr>
                              <w:t xml:space="preserve">Overview of Lead Independent Director Responsibilities. </w:t>
                            </w:r>
                            <w:r>
                              <w:rPr>
                                <w:rFonts w:ascii="arial" w:hAnsi="arial"/>
                                <w:sz w:val="19"/>
                              </w:rPr>
                              <w:t xml:space="preserve">The responsibilities of the lead independent director are well-defined. The lead independent director engages in regular communication with the independent directors, including in independent directors sessions. The lead independent director keeps Mr. Bradway apprised of any concerns, issues, or determinations made during the independent sessions, and consults with Mr. Bradway on other matters pertinent to the Company and the Board. </w:t>
                            </w:r>
                          </w:p>
                          <w:p>
                            <w:pPr>
                              <w:pStyle w:val="TextBody"/>
                              <w:bidi w:val="0"/>
                              <w:spacing w:before="0" w:after="0"/>
                              <w:jc w:val="left"/>
                              <w:rPr/>
                            </w:pPr>
                            <w:r>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70.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In the circumstance that the Board determines that it remains in the best interests of the Company and its stockholders that the CEO serve as Chairman, the independent members of the Board then elect a lead independent director from the independent members of the Board. The last review was completed in March 2024, and as a result of such review, the Board has determined that it continues to be in the best interests of the Company and our stockholders to have Robert A. Bradway, our CEO and President, serve as Chairman, coupled with an active lead independent director. As such, Mr. Bradway holds the position of Chairman, CEO, and President, and Mr. Eckert serves as the lead independent director. </w:t>
                      </w:r>
                    </w:p>
                    <w:p>
                      <w:pPr>
                        <w:pStyle w:val="TextBody"/>
                        <w:bidi w:val="0"/>
                        <w:spacing w:before="120" w:after="0"/>
                        <w:jc w:val="both"/>
                        <w:rPr>
                          <w:rFonts w:ascii="arial" w:hAnsi="arial"/>
                          <w:sz w:val="19"/>
                        </w:rPr>
                      </w:pPr>
                      <w:r>
                        <w:rPr>
                          <w:rFonts w:ascii="arial" w:hAnsi="arial"/>
                          <w:b/>
                          <w:i/>
                          <w:color w:val="0171B9"/>
                          <w:sz w:val="19"/>
                        </w:rPr>
                        <w:t xml:space="preserve">Overview of Lead Independent Director Responsibilities. </w:t>
                      </w:r>
                      <w:r>
                        <w:rPr>
                          <w:rFonts w:ascii="arial" w:hAnsi="arial"/>
                          <w:sz w:val="19"/>
                        </w:rPr>
                        <w:t xml:space="preserve">The responsibilities of the lead independent director are well-defined. The lead independent director engages in regular communication with the independent directors, including in independent directors sessions. The lead independent director keeps Mr. Bradway apprised of any concerns, issues, or determinations made during the independent sessions, and consults with Mr. Bradway on other matters pertinent to the Company and the Board. </w:t>
                      </w:r>
                    </w:p>
                    <w:p>
                      <w:pPr>
                        <w:pStyle w:val="TextBody"/>
                        <w:bidi w:val="0"/>
                        <w:spacing w:before="0" w:after="0"/>
                        <w:jc w:val="left"/>
                        <w:rPr/>
                      </w:pPr>
                      <w:r>
                        <w:rPr/>
                        <w:t>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69"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53" descr=""/>
                    <pic:cNvPicPr>
                      <a:picLocks noChangeAspect="1" noChangeArrowheads="1"/>
                    </pic:cNvPicPr>
                  </pic:nvPicPr>
                  <pic:blipFill>
                    <a:blip r:embed="rId54"/>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23</w:t>
      </w:r>
      <w:r>
        <w:rPr>
          <w:rFonts w:ascii="arial" w:hAnsi="arial"/>
          <w:b/>
          <w:sz w:val="22"/>
        </w:rPr>
        <w:t xml:space="preserve"> </w:t>
      </w:r>
      <w:r>
        <w:br w:type="page"/>
      </w:r>
    </w:p>
    <w:p>
      <w:pPr>
        <w:pStyle w:val="HorizontalLine"/>
        <w:bidi w:val="0"/>
        <w:jc w:val="left"/>
        <w:rPr/>
      </w:pPr>
      <w:r>
        <w:rPr/>
      </w:r>
    </w:p>
    <w:tbl>
      <w:tblPr>
        <w:tblW w:w="311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263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263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Corporate Governance</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62">
                <wp:simplePos x="0" y="0"/>
                <wp:positionH relativeFrom="column">
                  <wp:align>left</wp:align>
                </wp:positionH>
                <wp:positionV relativeFrom="line">
                  <wp:posOffset>635</wp:posOffset>
                </wp:positionV>
                <wp:extent cx="3110230" cy="9678670"/>
                <wp:effectExtent l="0" t="0" r="0" b="0"/>
                <wp:wrapSquare wrapText="right"/>
                <wp:docPr id="70" name="Frame17"/>
                <a:graphic xmlns:a="http://schemas.openxmlformats.org/drawingml/2006/main">
                  <a:graphicData uri="http://schemas.microsoft.com/office/word/2010/wordprocessingShape">
                    <wps:wsp>
                      <wps:cNvSpPr txBox="1"/>
                      <wps:spPr>
                        <a:xfrm>
                          <a:off x="0" y="0"/>
                          <a:ext cx="3110230" cy="9678670"/>
                        </a:xfrm>
                        <a:prstGeom prst="rect"/>
                        <a:solidFill>
                          <a:srgbClr val="FFFFFF"/>
                        </a:solidFill>
                      </wps:spPr>
                      <wps:txbx>
                        <w:txbxContent>
                          <w:tbl>
                            <w:tblPr>
                              <w:tblW w:w="10205" w:type="dxa"/>
                              <w:jc w:val="left"/>
                              <w:tblInd w:w="0" w:type="dxa"/>
                              <w:shd w:fill="CCE2F1" w:val="clear"/>
                              <w:tblLayout w:type="fixed"/>
                              <w:tblCellMar>
                                <w:top w:w="0" w:type="dxa"/>
                                <w:left w:w="0" w:type="dxa"/>
                                <w:bottom w:w="0" w:type="dxa"/>
                                <w:right w:w="0" w:type="dxa"/>
                              </w:tblCellMar>
                            </w:tblPr>
                            <w:tblGrid>
                              <w:gridCol w:w="10205"/>
                            </w:tblGrid>
                            <w:tr>
                              <w:trPr/>
                              <w:tc>
                                <w:tcPr>
                                  <w:tcW w:w="10205" w:type="dxa"/>
                                  <w:tcBorders/>
                                  <w:shd w:fill="CCE2F1" w:val="clear"/>
                                  <w:vAlign w:val="center"/>
                                </w:tcPr>
                                <w:p>
                                  <w:pPr>
                                    <w:pStyle w:val="TableContents"/>
                                    <w:bidi w:val="0"/>
                                    <w:spacing w:before="0" w:after="283"/>
                                    <w:jc w:val="left"/>
                                    <w:rPr>
                                      <w:sz w:val="4"/>
                                      <w:szCs w:val="4"/>
                                    </w:rPr>
                                  </w:pPr>
                                  <w:r>
                                    <w:rPr>
                                      <w:sz w:val="4"/>
                                      <w:szCs w:val="4"/>
                                    </w:rPr>
                                  </w:r>
                                </w:p>
                              </w:tc>
                            </w:tr>
                            <w:tr>
                              <w:trPr/>
                              <w:tc>
                                <w:tcPr>
                                  <w:tcW w:w="10205" w:type="dxa"/>
                                  <w:tcBorders>
                                    <w:top w:val="single" w:sz="8" w:space="0" w:color="666666"/>
                                    <w:left w:val="single" w:sz="8" w:space="0" w:color="666666"/>
                                    <w:bottom w:val="single" w:sz="8" w:space="0" w:color="666666"/>
                                    <w:right w:val="single" w:sz="8" w:space="0" w:color="666666"/>
                                  </w:tcBorders>
                                  <w:shd w:fill="CCE2F1" w:val="clear"/>
                                  <w:tcMar>
                                    <w:top w:w="28" w:type="dxa"/>
                                    <w:left w:w="160"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171B9"/>
                                      <w:sz w:val="19"/>
                                    </w:rPr>
                                  </w:pPr>
                                  <w:r>
                                    <w:rPr>
                                      <w:rFonts w:ascii="arial" w:hAnsi="arial"/>
                                      <w:b/>
                                      <w:color w:val="0171B9"/>
                                      <w:sz w:val="19"/>
                                    </w:rPr>
                                    <w:t>Lead Independent Director Responsibilities</w:t>
                                  </w:r>
                                </w:p>
                                <w:p>
                                  <w:pPr>
                                    <w:pStyle w:val="TableContents"/>
                                    <w:bidi w:val="0"/>
                                    <w:spacing w:before="0" w:after="0"/>
                                    <w:jc w:val="left"/>
                                    <w:rPr/>
                                  </w:pPr>
                                  <w:r>
                                    <w:rPr/>
                                    <w:t> </w:t>
                                  </w:r>
                                </w:p>
                                <w:p>
                                  <w:pPr>
                                    <w:pStyle w:val="TableContents"/>
                                    <w:bidi w:val="0"/>
                                    <w:spacing w:before="0" w:after="0"/>
                                    <w:jc w:val="both"/>
                                    <w:rPr>
                                      <w:rFonts w:ascii="arial" w:hAnsi="arial"/>
                                      <w:sz w:val="19"/>
                                    </w:rPr>
                                  </w:pPr>
                                  <w:r>
                                    <w:rPr>
                                      <w:rFonts w:ascii="arial" w:hAnsi="arial"/>
                                      <w:sz w:val="19"/>
                                    </w:rPr>
                                    <w:t>The lead independent director’s responsibilities outlined in our Corporate Governance Principles include:</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Approving meeting agendas for the Board;</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Assuring that there is sufficient time for discussion of all meeting agenda items;</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Previewing the information to be provided to the Board;</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Having the authority to call meetings of the independent directors;</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Organizing and leading the Board’s evaluation of the CEO;</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Serving as a liaison between the Chairman and the independent directors;</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Leading the Board’s annual self-evaluation;</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Ensuring that he/she is available for consultation and direct communication, if requested by major stockholders; and</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Presiding at meetings of the Board at which the Chairman is not present, including executive sessions of the independent directors.</w:t>
                                  </w:r>
                                </w:p>
                                <w:p>
                                  <w:pPr>
                                    <w:pStyle w:val="TableContents"/>
                                    <w:bidi w:val="0"/>
                                    <w:spacing w:before="0" w:after="20"/>
                                    <w:jc w:val="left"/>
                                    <w:rPr/>
                                  </w:pPr>
                                  <w:r>
                                    <w:rPr/>
                                    <w:t> </w:t>
                                  </w:r>
                                </w:p>
                              </w:tc>
                            </w:tr>
                          </w:tbl>
                          <w:p>
                            <w:pPr>
                              <w:pStyle w:val="TextBody"/>
                              <w:bidi w:val="0"/>
                              <w:spacing w:before="120" w:after="0"/>
                              <w:jc w:val="both"/>
                              <w:rPr>
                                <w:rFonts w:ascii="arial" w:hAnsi="arial"/>
                                <w:sz w:val="19"/>
                              </w:rPr>
                            </w:pPr>
                            <w:r>
                              <w:rPr>
                                <w:rFonts w:ascii="arial" w:hAnsi="arial"/>
                                <w:color w:val="0171B9"/>
                                <w:sz w:val="19"/>
                              </w:rPr>
                              <w:t>In addition to the responsibilities outlined above, our lead independent director also:</w:t>
                            </w:r>
                            <w:r>
                              <w:rPr>
                                <w:rFonts w:ascii="arial" w:hAnsi="arial"/>
                                <w:sz w:val="19"/>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Meets with the Chairman prior to each regular meeting of the Board and its committees to discuss, provide input on, and approve the agendas;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With the Chairman, determines who attends Board meetings, such as members of management or outside advisors, and presenters;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Has one-on-one discussions with each independent director, including as part of the Board’s annual evaluation process;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Attends all committee meetings, including those committees for which he is not a member (at his discretion) and has access to all committee materials;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Attends significant management events (such as meetings of executives), providing opportunities for leadership effectiveness assessments; </w:t>
                                  </w:r>
                                </w:p>
                              </w:tc>
                            </w:tr>
                          </w:tbl>
                          <w:p>
                            <w:pPr>
                              <w:pStyle w:val="TextBody"/>
                              <w:bidi w:val="0"/>
                              <w:spacing w:before="0" w:after="0"/>
                              <w:jc w:val="left"/>
                              <w:rPr/>
                            </w:pPr>
                            <w:r>
                              <w:rPr/>
                              <w:t> </w:t>
                            </w:r>
                          </w:p>
                          <w:tbl>
                            <w:tblPr>
                              <w:tblW w:w="4915" w:type="dxa"/>
                              <w:jc w:val="left"/>
                              <w:tblInd w:w="0" w:type="dxa"/>
                              <w:tblLayout w:type="fixed"/>
                              <w:tblCellMar>
                                <w:top w:w="0" w:type="dxa"/>
                                <w:left w:w="0" w:type="dxa"/>
                                <w:bottom w:w="0" w:type="dxa"/>
                                <w:right w:w="0" w:type="dxa"/>
                              </w:tblCellMar>
                            </w:tblPr>
                            <w:tblGrid>
                              <w:gridCol w:w="125"/>
                              <w:gridCol w:w="60"/>
                              <w:gridCol w:w="473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0"/>
                                    <w:jc w:val="both"/>
                                    <w:rPr>
                                      <w:rFonts w:ascii="arial" w:hAnsi="arial"/>
                                      <w:sz w:val="19"/>
                                    </w:rPr>
                                  </w:pPr>
                                  <w:r>
                                    <w:rPr>
                                      <w:rFonts w:ascii="arial" w:hAnsi="arial"/>
                                      <w:sz w:val="19"/>
                                    </w:rPr>
                                    <w:t xml:space="preserve">Has the authority to engage independent consultants; </w:t>
                                  </w:r>
                                </w:p>
                              </w:tc>
                            </w:tr>
                          </w:tbl>
                          <w:p>
                            <w:pPr>
                              <w:pStyle w:val="TextBody"/>
                              <w:bidi w:val="0"/>
                              <w:spacing w:before="0" w:after="0"/>
                              <w:jc w:val="left"/>
                              <w:rPr/>
                            </w:pPr>
                            <w:r>
                              <w:rPr/>
                              <w:t> </w:t>
                            </w:r>
                          </w:p>
                          <w:tbl>
                            <w:tblPr>
                              <w:tblW w:w="4720" w:type="dxa"/>
                              <w:jc w:val="left"/>
                              <w:tblInd w:w="0" w:type="dxa"/>
                              <w:tblLayout w:type="fixed"/>
                              <w:tblCellMar>
                                <w:top w:w="0" w:type="dxa"/>
                                <w:left w:w="0" w:type="dxa"/>
                                <w:bottom w:w="0" w:type="dxa"/>
                                <w:right w:w="0" w:type="dxa"/>
                              </w:tblCellMar>
                            </w:tblPr>
                            <w:tblGrid>
                              <w:gridCol w:w="125"/>
                              <w:gridCol w:w="60"/>
                              <w:gridCol w:w="4535"/>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0"/>
                                    <w:jc w:val="both"/>
                                    <w:rPr>
                                      <w:rFonts w:ascii="arial" w:hAnsi="arial"/>
                                      <w:sz w:val="19"/>
                                    </w:rPr>
                                  </w:pPr>
                                  <w:r>
                                    <w:rPr>
                                      <w:rFonts w:ascii="arial" w:hAnsi="arial"/>
                                      <w:sz w:val="19"/>
                                    </w:rPr>
                                    <w:t xml:space="preserve">Is regularly apprised of inquiries from stockholders; </w:t>
                                  </w:r>
                                </w:p>
                              </w:tc>
                            </w:tr>
                          </w:tbl>
                          <w:p>
                            <w:pPr>
                              <w:pStyle w:val="TextBody"/>
                              <w:bidi w:val="0"/>
                              <w:spacing w:before="0" w:after="0"/>
                              <w:jc w:val="left"/>
                              <w:rPr/>
                            </w:pPr>
                            <w:r>
                              <w:rPr/>
                              <w:t> </w:t>
                            </w:r>
                          </w:p>
                          <w:tbl>
                            <w:tblPr>
                              <w:tblW w:w="3175" w:type="dxa"/>
                              <w:jc w:val="left"/>
                              <w:tblInd w:w="0" w:type="dxa"/>
                              <w:tblLayout w:type="fixed"/>
                              <w:tblCellMar>
                                <w:top w:w="0" w:type="dxa"/>
                                <w:left w:w="0" w:type="dxa"/>
                                <w:bottom w:w="0" w:type="dxa"/>
                                <w:right w:w="0" w:type="dxa"/>
                              </w:tblCellMar>
                            </w:tblPr>
                            <w:tblGrid>
                              <w:gridCol w:w="125"/>
                              <w:gridCol w:w="60"/>
                              <w:gridCol w:w="299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0"/>
                                    <w:jc w:val="both"/>
                                    <w:rPr>
                                      <w:rFonts w:ascii="arial" w:hAnsi="arial"/>
                                      <w:sz w:val="19"/>
                                    </w:rPr>
                                  </w:pPr>
                                  <w:r>
                                    <w:rPr>
                                      <w:rFonts w:ascii="arial" w:hAnsi="arial"/>
                                      <w:sz w:val="19"/>
                                    </w:rPr>
                                    <w:t xml:space="preserve">Interviews Board candidates; and </w:t>
                                  </w:r>
                                </w:p>
                              </w:tc>
                            </w:tr>
                          </w:tbl>
                          <w:p>
                            <w:pPr>
                              <w:pStyle w:val="TextBody"/>
                              <w:bidi w:val="0"/>
                              <w:spacing w:before="0" w:after="0"/>
                              <w:jc w:val="left"/>
                              <w:rPr/>
                            </w:pPr>
                            <w:r>
                              <w:rPr/>
                              <w:t> </w:t>
                            </w:r>
                          </w:p>
                          <w:tbl>
                            <w:tblPr>
                              <w:tblW w:w="6250" w:type="dxa"/>
                              <w:jc w:val="left"/>
                              <w:tblInd w:w="0" w:type="dxa"/>
                              <w:tblLayout w:type="fixed"/>
                              <w:tblCellMar>
                                <w:top w:w="0" w:type="dxa"/>
                                <w:left w:w="0" w:type="dxa"/>
                                <w:bottom w:w="0" w:type="dxa"/>
                                <w:right w:w="0" w:type="dxa"/>
                              </w:tblCellMar>
                            </w:tblPr>
                            <w:tblGrid>
                              <w:gridCol w:w="125"/>
                              <w:gridCol w:w="60"/>
                              <w:gridCol w:w="6065"/>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0"/>
                                    <w:jc w:val="both"/>
                                    <w:rPr>
                                      <w:rFonts w:ascii="arial" w:hAnsi="arial"/>
                                      <w:sz w:val="19"/>
                                    </w:rPr>
                                  </w:pPr>
                                  <w:r>
                                    <w:rPr>
                                      <w:rFonts w:ascii="arial" w:hAnsi="arial"/>
                                      <w:sz w:val="19"/>
                                    </w:rPr>
                                    <w:t xml:space="preserve">Has an increased role in crisis and risk management, as appropriate. </w:t>
                                  </w:r>
                                </w:p>
                              </w:tc>
                            </w:tr>
                          </w:tbl>
                          <w:p>
                            <w:pPr>
                              <w:pStyle w:val="TextBody"/>
                              <w:bidi w:val="0"/>
                              <w:spacing w:before="0" w:after="0"/>
                              <w:jc w:val="left"/>
                              <w:rPr/>
                            </w:pPr>
                            <w:r>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62.1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shd w:fill="CCE2F1" w:val="clear"/>
                        <w:tblLayout w:type="fixed"/>
                        <w:tblCellMar>
                          <w:top w:w="0" w:type="dxa"/>
                          <w:left w:w="0" w:type="dxa"/>
                          <w:bottom w:w="0" w:type="dxa"/>
                          <w:right w:w="0" w:type="dxa"/>
                        </w:tblCellMar>
                      </w:tblPr>
                      <w:tblGrid>
                        <w:gridCol w:w="10205"/>
                      </w:tblGrid>
                      <w:tr>
                        <w:trPr/>
                        <w:tc>
                          <w:tcPr>
                            <w:tcW w:w="10205" w:type="dxa"/>
                            <w:tcBorders/>
                            <w:shd w:fill="CCE2F1" w:val="clear"/>
                            <w:vAlign w:val="center"/>
                          </w:tcPr>
                          <w:p>
                            <w:pPr>
                              <w:pStyle w:val="TableContents"/>
                              <w:bidi w:val="0"/>
                              <w:spacing w:before="0" w:after="283"/>
                              <w:jc w:val="left"/>
                              <w:rPr>
                                <w:sz w:val="4"/>
                                <w:szCs w:val="4"/>
                              </w:rPr>
                            </w:pPr>
                            <w:r>
                              <w:rPr>
                                <w:sz w:val="4"/>
                                <w:szCs w:val="4"/>
                              </w:rPr>
                            </w:r>
                          </w:p>
                        </w:tc>
                      </w:tr>
                      <w:tr>
                        <w:trPr/>
                        <w:tc>
                          <w:tcPr>
                            <w:tcW w:w="10205" w:type="dxa"/>
                            <w:tcBorders>
                              <w:top w:val="single" w:sz="8" w:space="0" w:color="666666"/>
                              <w:left w:val="single" w:sz="8" w:space="0" w:color="666666"/>
                              <w:bottom w:val="single" w:sz="8" w:space="0" w:color="666666"/>
                              <w:right w:val="single" w:sz="8" w:space="0" w:color="666666"/>
                            </w:tcBorders>
                            <w:shd w:fill="CCE2F1" w:val="clear"/>
                            <w:tcMar>
                              <w:top w:w="28" w:type="dxa"/>
                              <w:left w:w="160"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0171B9"/>
                                <w:sz w:val="19"/>
                              </w:rPr>
                            </w:pPr>
                            <w:r>
                              <w:rPr>
                                <w:rFonts w:ascii="arial" w:hAnsi="arial"/>
                                <w:b/>
                                <w:color w:val="0171B9"/>
                                <w:sz w:val="19"/>
                              </w:rPr>
                              <w:t>Lead Independent Director Responsibilities</w:t>
                            </w:r>
                          </w:p>
                          <w:p>
                            <w:pPr>
                              <w:pStyle w:val="TableContents"/>
                              <w:bidi w:val="0"/>
                              <w:spacing w:before="0" w:after="0"/>
                              <w:jc w:val="left"/>
                              <w:rPr/>
                            </w:pPr>
                            <w:r>
                              <w:rPr/>
                              <w:t> </w:t>
                            </w:r>
                          </w:p>
                          <w:p>
                            <w:pPr>
                              <w:pStyle w:val="TableContents"/>
                              <w:bidi w:val="0"/>
                              <w:spacing w:before="0" w:after="0"/>
                              <w:jc w:val="both"/>
                              <w:rPr>
                                <w:rFonts w:ascii="arial" w:hAnsi="arial"/>
                                <w:sz w:val="19"/>
                              </w:rPr>
                            </w:pPr>
                            <w:r>
                              <w:rPr>
                                <w:rFonts w:ascii="arial" w:hAnsi="arial"/>
                                <w:sz w:val="19"/>
                              </w:rPr>
                              <w:t>The lead independent director’s responsibilities outlined in our Corporate Governance Principles include:</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Approving meeting agendas for the Board;</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Assuring that there is sufficient time for discussion of all meeting agenda items;</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Previewing the information to be provided to the Board;</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Having the authority to call meetings of the independent directors;</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Organizing and leading the Board’s evaluation of the CEO;</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Serving as a liaison between the Chairman and the independent directors;</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Leading the Board’s annual self-evaluation;</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Ensuring that he/she is available for consultation and direct communication, if requested by major stockholders; and</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Presiding at meetings of the Board at which the Chairman is not present, including executive sessions of the independent directors.</w:t>
                            </w:r>
                          </w:p>
                          <w:p>
                            <w:pPr>
                              <w:pStyle w:val="TableContents"/>
                              <w:bidi w:val="0"/>
                              <w:spacing w:before="0" w:after="20"/>
                              <w:jc w:val="left"/>
                              <w:rPr/>
                            </w:pPr>
                            <w:r>
                              <w:rPr/>
                              <w:t> </w:t>
                            </w:r>
                          </w:p>
                        </w:tc>
                      </w:tr>
                    </w:tbl>
                    <w:p>
                      <w:pPr>
                        <w:pStyle w:val="TextBody"/>
                        <w:bidi w:val="0"/>
                        <w:spacing w:before="120" w:after="0"/>
                        <w:jc w:val="both"/>
                        <w:rPr>
                          <w:rFonts w:ascii="arial" w:hAnsi="arial"/>
                          <w:sz w:val="19"/>
                        </w:rPr>
                      </w:pPr>
                      <w:r>
                        <w:rPr>
                          <w:rFonts w:ascii="arial" w:hAnsi="arial"/>
                          <w:color w:val="0171B9"/>
                          <w:sz w:val="19"/>
                        </w:rPr>
                        <w:t>In addition to the responsibilities outlined above, our lead independent director also:</w:t>
                      </w:r>
                      <w:r>
                        <w:rPr>
                          <w:rFonts w:ascii="arial" w:hAnsi="arial"/>
                          <w:sz w:val="19"/>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Meets with the Chairman prior to each regular meeting of the Board and its committees to discuss, provide input on, and approve the agendas;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With the Chairman, determines who attends Board meetings, such as members of management or outside advisors, and presenters;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Has one-on-one discussions with each independent director, including as part of the Board’s annual evaluation process;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Attends all committee meetings, including those committees for which he is not a member (at his discretion) and has access to all committee materials;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Attends significant management events (such as meetings of executives), providing opportunities for leadership effectiveness assessments; </w:t>
                            </w:r>
                          </w:p>
                        </w:tc>
                      </w:tr>
                    </w:tbl>
                    <w:p>
                      <w:pPr>
                        <w:pStyle w:val="TextBody"/>
                        <w:bidi w:val="0"/>
                        <w:spacing w:before="0" w:after="0"/>
                        <w:jc w:val="left"/>
                        <w:rPr/>
                      </w:pPr>
                      <w:r>
                        <w:rPr/>
                        <w:t> </w:t>
                      </w:r>
                    </w:p>
                    <w:tbl>
                      <w:tblPr>
                        <w:tblW w:w="4915" w:type="dxa"/>
                        <w:jc w:val="left"/>
                        <w:tblInd w:w="0" w:type="dxa"/>
                        <w:tblLayout w:type="fixed"/>
                        <w:tblCellMar>
                          <w:top w:w="0" w:type="dxa"/>
                          <w:left w:w="0" w:type="dxa"/>
                          <w:bottom w:w="0" w:type="dxa"/>
                          <w:right w:w="0" w:type="dxa"/>
                        </w:tblCellMar>
                      </w:tblPr>
                      <w:tblGrid>
                        <w:gridCol w:w="125"/>
                        <w:gridCol w:w="60"/>
                        <w:gridCol w:w="473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0"/>
                              <w:jc w:val="both"/>
                              <w:rPr>
                                <w:rFonts w:ascii="arial" w:hAnsi="arial"/>
                                <w:sz w:val="19"/>
                              </w:rPr>
                            </w:pPr>
                            <w:r>
                              <w:rPr>
                                <w:rFonts w:ascii="arial" w:hAnsi="arial"/>
                                <w:sz w:val="19"/>
                              </w:rPr>
                              <w:t xml:space="preserve">Has the authority to engage independent consultants; </w:t>
                            </w:r>
                          </w:p>
                        </w:tc>
                      </w:tr>
                    </w:tbl>
                    <w:p>
                      <w:pPr>
                        <w:pStyle w:val="TextBody"/>
                        <w:bidi w:val="0"/>
                        <w:spacing w:before="0" w:after="0"/>
                        <w:jc w:val="left"/>
                        <w:rPr/>
                      </w:pPr>
                      <w:r>
                        <w:rPr/>
                        <w:t> </w:t>
                      </w:r>
                    </w:p>
                    <w:tbl>
                      <w:tblPr>
                        <w:tblW w:w="4720" w:type="dxa"/>
                        <w:jc w:val="left"/>
                        <w:tblInd w:w="0" w:type="dxa"/>
                        <w:tblLayout w:type="fixed"/>
                        <w:tblCellMar>
                          <w:top w:w="0" w:type="dxa"/>
                          <w:left w:w="0" w:type="dxa"/>
                          <w:bottom w:w="0" w:type="dxa"/>
                          <w:right w:w="0" w:type="dxa"/>
                        </w:tblCellMar>
                      </w:tblPr>
                      <w:tblGrid>
                        <w:gridCol w:w="125"/>
                        <w:gridCol w:w="60"/>
                        <w:gridCol w:w="4535"/>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0"/>
                              <w:jc w:val="both"/>
                              <w:rPr>
                                <w:rFonts w:ascii="arial" w:hAnsi="arial"/>
                                <w:sz w:val="19"/>
                              </w:rPr>
                            </w:pPr>
                            <w:r>
                              <w:rPr>
                                <w:rFonts w:ascii="arial" w:hAnsi="arial"/>
                                <w:sz w:val="19"/>
                              </w:rPr>
                              <w:t xml:space="preserve">Is regularly apprised of inquiries from stockholders; </w:t>
                            </w:r>
                          </w:p>
                        </w:tc>
                      </w:tr>
                    </w:tbl>
                    <w:p>
                      <w:pPr>
                        <w:pStyle w:val="TextBody"/>
                        <w:bidi w:val="0"/>
                        <w:spacing w:before="0" w:after="0"/>
                        <w:jc w:val="left"/>
                        <w:rPr/>
                      </w:pPr>
                      <w:r>
                        <w:rPr/>
                        <w:t> </w:t>
                      </w:r>
                    </w:p>
                    <w:tbl>
                      <w:tblPr>
                        <w:tblW w:w="3175" w:type="dxa"/>
                        <w:jc w:val="left"/>
                        <w:tblInd w:w="0" w:type="dxa"/>
                        <w:tblLayout w:type="fixed"/>
                        <w:tblCellMar>
                          <w:top w:w="0" w:type="dxa"/>
                          <w:left w:w="0" w:type="dxa"/>
                          <w:bottom w:w="0" w:type="dxa"/>
                          <w:right w:w="0" w:type="dxa"/>
                        </w:tblCellMar>
                      </w:tblPr>
                      <w:tblGrid>
                        <w:gridCol w:w="125"/>
                        <w:gridCol w:w="60"/>
                        <w:gridCol w:w="299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0"/>
                              <w:jc w:val="both"/>
                              <w:rPr>
                                <w:rFonts w:ascii="arial" w:hAnsi="arial"/>
                                <w:sz w:val="19"/>
                              </w:rPr>
                            </w:pPr>
                            <w:r>
                              <w:rPr>
                                <w:rFonts w:ascii="arial" w:hAnsi="arial"/>
                                <w:sz w:val="19"/>
                              </w:rPr>
                              <w:t xml:space="preserve">Interviews Board candidates; and </w:t>
                            </w:r>
                          </w:p>
                        </w:tc>
                      </w:tr>
                    </w:tbl>
                    <w:p>
                      <w:pPr>
                        <w:pStyle w:val="TextBody"/>
                        <w:bidi w:val="0"/>
                        <w:spacing w:before="0" w:after="0"/>
                        <w:jc w:val="left"/>
                        <w:rPr/>
                      </w:pPr>
                      <w:r>
                        <w:rPr/>
                        <w:t> </w:t>
                      </w:r>
                    </w:p>
                    <w:tbl>
                      <w:tblPr>
                        <w:tblW w:w="6250" w:type="dxa"/>
                        <w:jc w:val="left"/>
                        <w:tblInd w:w="0" w:type="dxa"/>
                        <w:tblLayout w:type="fixed"/>
                        <w:tblCellMar>
                          <w:top w:w="0" w:type="dxa"/>
                          <w:left w:w="0" w:type="dxa"/>
                          <w:bottom w:w="0" w:type="dxa"/>
                          <w:right w:w="0" w:type="dxa"/>
                        </w:tblCellMar>
                      </w:tblPr>
                      <w:tblGrid>
                        <w:gridCol w:w="125"/>
                        <w:gridCol w:w="60"/>
                        <w:gridCol w:w="6065"/>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0"/>
                              <w:jc w:val="both"/>
                              <w:rPr>
                                <w:rFonts w:ascii="arial" w:hAnsi="arial"/>
                                <w:sz w:val="19"/>
                              </w:rPr>
                            </w:pPr>
                            <w:r>
                              <w:rPr>
                                <w:rFonts w:ascii="arial" w:hAnsi="arial"/>
                                <w:sz w:val="19"/>
                              </w:rPr>
                              <w:t xml:space="preserve">Has an increased role in crisis and risk management, as appropriate. </w:t>
                            </w:r>
                          </w:p>
                        </w:tc>
                      </w:tr>
                    </w:tbl>
                    <w:p>
                      <w:pPr>
                        <w:pStyle w:val="TextBody"/>
                        <w:bidi w:val="0"/>
                        <w:spacing w:before="0" w:after="0"/>
                        <w:jc w:val="left"/>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263">
                <wp:simplePos x="0" y="0"/>
                <wp:positionH relativeFrom="column">
                  <wp:align>left</wp:align>
                </wp:positionH>
                <wp:positionV relativeFrom="line">
                  <wp:posOffset>635</wp:posOffset>
                </wp:positionV>
                <wp:extent cx="3175000" cy="6831965"/>
                <wp:effectExtent l="0" t="0" r="0" b="0"/>
                <wp:wrapSquare wrapText="right"/>
                <wp:docPr id="71" name="Frame18"/>
                <a:graphic xmlns:a="http://schemas.openxmlformats.org/drawingml/2006/main">
                  <a:graphicData uri="http://schemas.microsoft.com/office/word/2010/wordprocessingShape">
                    <wps:wsp>
                      <wps:cNvSpPr txBox="1"/>
                      <wps:spPr>
                        <a:xfrm>
                          <a:off x="0" y="0"/>
                          <a:ext cx="3175000" cy="6831965"/>
                        </a:xfrm>
                        <a:prstGeom prst="rect"/>
                        <a:solidFill>
                          <a:srgbClr val="FFFFFF"/>
                        </a:solidFill>
                      </wps:spPr>
                      <wps:txbx>
                        <w:txbxContent>
                          <w:p>
                            <w:pPr>
                              <w:pStyle w:val="TextBody"/>
                              <w:bidi w:val="0"/>
                              <w:spacing w:before="0" w:after="0"/>
                              <w:jc w:val="both"/>
                              <w:rPr>
                                <w:rFonts w:ascii="arial" w:hAnsi="arial"/>
                                <w:sz w:val="19"/>
                              </w:rPr>
                            </w:pPr>
                            <w:r>
                              <w:rPr>
                                <w:rFonts w:ascii="arial" w:hAnsi="arial"/>
                                <w:b/>
                                <w:i/>
                                <w:color w:val="0171B9"/>
                                <w:sz w:val="19"/>
                              </w:rPr>
                              <w:t>Independent Directors Roles and Responsibilities.</w:t>
                            </w:r>
                            <w:r>
                              <w:rPr>
                                <w:rFonts w:ascii="arial" w:hAnsi="arial"/>
                                <w:sz w:val="19"/>
                              </w:rPr>
                              <w:t xml:space="preserve"> Our highly independent Board (11 of our 12 director nominees) possesses a deep and broad set of skills and experiences. </w:t>
                            </w:r>
                          </w:p>
                          <w:p>
                            <w:pPr>
                              <w:pStyle w:val="TextBody"/>
                              <w:bidi w:val="0"/>
                              <w:spacing w:before="120" w:after="0"/>
                              <w:jc w:val="both"/>
                              <w:rPr>
                                <w:rFonts w:ascii="arial" w:hAnsi="arial"/>
                                <w:sz w:val="19"/>
                              </w:rPr>
                            </w:pPr>
                            <w:r>
                              <w:rPr>
                                <w:rFonts w:ascii="arial" w:hAnsi="arial"/>
                                <w:i/>
                                <w:color w:val="0171B9"/>
                                <w:sz w:val="19"/>
                              </w:rPr>
                              <w:t>Independent Directors Sessions</w:t>
                            </w:r>
                            <w:r>
                              <w:rPr>
                                <w:rFonts w:ascii="arial" w:hAnsi="arial"/>
                                <w:i/>
                                <w:sz w:val="19"/>
                              </w:rPr>
                              <w:t>.</w:t>
                            </w:r>
                            <w:r>
                              <w:rPr>
                                <w:rFonts w:ascii="arial" w:hAnsi="arial"/>
                                <w:sz w:val="19"/>
                              </w:rPr>
                              <w:t xml:space="preserve"> A meeting of the independent directors is scheduled at every regular Board meeting and the independent directors meet in an executive session without Mr. Bradway to review matters, including Company performance, management effectiveness, proposed programs and transactions, and the Board meeting agenda items. These independent sessions are organized and chaired by our lead independent director and our lead independent director provides direct feedback to Mr. Bradway after these executive sessions. </w:t>
                            </w:r>
                          </w:p>
                          <w:p>
                            <w:pPr>
                              <w:pStyle w:val="TextBody"/>
                              <w:bidi w:val="0"/>
                              <w:spacing w:before="120" w:after="0"/>
                              <w:jc w:val="both"/>
                              <w:rPr>
                                <w:rFonts w:ascii="arial" w:hAnsi="arial"/>
                                <w:sz w:val="19"/>
                              </w:rPr>
                            </w:pPr>
                            <w:r>
                              <w:rPr>
                                <w:rFonts w:ascii="arial" w:hAnsi="arial"/>
                                <w:i/>
                                <w:color w:val="0171B9"/>
                                <w:sz w:val="19"/>
                              </w:rPr>
                              <w:t>Independent Committee Leadership</w:t>
                            </w:r>
                            <w:r>
                              <w:rPr>
                                <w:rFonts w:ascii="arial" w:hAnsi="arial"/>
                                <w:i/>
                                <w:sz w:val="19"/>
                              </w:rPr>
                              <w:t>.</w:t>
                            </w:r>
                            <w:r>
                              <w:rPr>
                                <w:rFonts w:ascii="arial" w:hAnsi="arial"/>
                                <w:sz w:val="19"/>
                              </w:rPr>
                              <w:t xml:space="preserve"> The Audit, Compensation, Compliance, and Governance Committees are each composed solely of, and led by, independent directors and provide independent oversight of management and its Board-delegated duties. In addition: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Each committee Chair meets with management in advance of meetings to review and refine agendas, add topics of interest, and review and comment on materials to be delivered to the committee;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Each committee Chair provides a report summarizing committee meetings to the full Board at each regular meeting of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Each committee meeting includes adequate time for executive session and the committees meet in executive session on a regular basis with no members of management present (unless otherwise requested by the committee);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Each committee effectively manages its Board-delegated duties and communicates regularly with the Chairman, lead independent director, the Board, and members of management; and </w:t>
                                  </w:r>
                                </w:p>
                              </w:tc>
                            </w:tr>
                          </w:tbl>
                          <w:p>
                            <w:pPr>
                              <w:pStyle w:val="TextBody"/>
                              <w:bidi w:val="0"/>
                              <w:spacing w:before="0" w:after="0"/>
                              <w:jc w:val="left"/>
                              <w:rPr/>
                            </w:pPr>
                            <w:r>
                              <w:rPr/>
                              <w:t> </w:t>
                            </w:r>
                          </w:p>
                          <w:tbl>
                            <w:tblPr>
                              <w:tblW w:w="4930" w:type="dxa"/>
                              <w:jc w:val="left"/>
                              <w:tblInd w:w="0" w:type="dxa"/>
                              <w:tblLayout w:type="fixed"/>
                              <w:tblCellMar>
                                <w:top w:w="0" w:type="dxa"/>
                                <w:left w:w="0" w:type="dxa"/>
                                <w:bottom w:w="0" w:type="dxa"/>
                                <w:right w:w="0" w:type="dxa"/>
                              </w:tblCellMar>
                            </w:tblPr>
                            <w:tblGrid>
                              <w:gridCol w:w="125"/>
                              <w:gridCol w:w="60"/>
                              <w:gridCol w:w="4745"/>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0"/>
                                    <w:jc w:val="both"/>
                                    <w:rPr>
                                      <w:rFonts w:ascii="arial" w:hAnsi="arial"/>
                                      <w:sz w:val="19"/>
                                    </w:rPr>
                                  </w:pPr>
                                  <w:r>
                                    <w:rPr>
                                      <w:rFonts w:ascii="arial" w:hAnsi="arial"/>
                                      <w:sz w:val="19"/>
                                    </w:rPr>
                                    <w:t xml:space="preserve">Every director has access to all committee materials. </w:t>
                                  </w:r>
                                </w:p>
                              </w:tc>
                            </w:tr>
                          </w:tbl>
                          <w:p>
                            <w:pPr>
                              <w:pStyle w:val="TextBody"/>
                              <w:bidi w:val="0"/>
                              <w:spacing w:before="120" w:after="0"/>
                              <w:jc w:val="both"/>
                              <w:rPr>
                                <w:rFonts w:ascii="arial" w:hAnsi="arial"/>
                                <w:sz w:val="19"/>
                              </w:rPr>
                            </w:pPr>
                            <w:r>
                              <w:rPr>
                                <w:rFonts w:ascii="arial" w:hAnsi="arial"/>
                                <w:b/>
                                <w:i/>
                                <w:color w:val="0171B9"/>
                                <w:sz w:val="19"/>
                              </w:rPr>
                              <w:t>Corporate Governance Structure.</w:t>
                            </w:r>
                            <w:r>
                              <w:rPr>
                                <w:rFonts w:ascii="arial" w:hAnsi="arial"/>
                                <w:sz w:val="19"/>
                              </w:rPr>
                              <w:t xml:space="preserve"> The Board believes our corporate governance structure, with its strong emphasis on independence, an active lead independent director, and strong Board and committee involvement, provides sound and robust oversight of management. </w:t>
                            </w:r>
                          </w:p>
                          <w:p>
                            <w:pPr>
                              <w:pStyle w:val="TextBody"/>
                              <w:bidi w:val="0"/>
                              <w:spacing w:before="120" w:after="0"/>
                              <w:jc w:val="both"/>
                              <w:rPr>
                                <w:rFonts w:ascii="arial" w:hAnsi="arial"/>
                                <w:sz w:val="19"/>
                              </w:rPr>
                            </w:pPr>
                            <w:r>
                              <w:rPr>
                                <w:rFonts w:ascii="arial" w:hAnsi="arial"/>
                                <w:i/>
                                <w:color w:val="0171B9"/>
                                <w:sz w:val="19"/>
                              </w:rPr>
                              <w:t>Benefits of Combined Leadership Structure.</w:t>
                            </w:r>
                            <w:r>
                              <w:rPr>
                                <w:rFonts w:ascii="arial" w:hAnsi="arial"/>
                                <w:sz w:val="19"/>
                              </w:rPr>
                              <w:t xml:space="preserve"> Following the annual evaluation of the governance structure, the Board continues to believe that the Company and our stockholders are best served by having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37.9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b/>
                          <w:i/>
                          <w:color w:val="0171B9"/>
                          <w:sz w:val="19"/>
                        </w:rPr>
                        <w:t>Independent Directors Roles and Responsibilities.</w:t>
                      </w:r>
                      <w:r>
                        <w:rPr>
                          <w:rFonts w:ascii="arial" w:hAnsi="arial"/>
                          <w:sz w:val="19"/>
                        </w:rPr>
                        <w:t xml:space="preserve"> Our highly independent Board (11 of our 12 director nominees) possesses a deep and broad set of skills and experiences. </w:t>
                      </w:r>
                    </w:p>
                    <w:p>
                      <w:pPr>
                        <w:pStyle w:val="TextBody"/>
                        <w:bidi w:val="0"/>
                        <w:spacing w:before="120" w:after="0"/>
                        <w:jc w:val="both"/>
                        <w:rPr>
                          <w:rFonts w:ascii="arial" w:hAnsi="arial"/>
                          <w:sz w:val="19"/>
                        </w:rPr>
                      </w:pPr>
                      <w:r>
                        <w:rPr>
                          <w:rFonts w:ascii="arial" w:hAnsi="arial"/>
                          <w:i/>
                          <w:color w:val="0171B9"/>
                          <w:sz w:val="19"/>
                        </w:rPr>
                        <w:t>Independent Directors Sessions</w:t>
                      </w:r>
                      <w:r>
                        <w:rPr>
                          <w:rFonts w:ascii="arial" w:hAnsi="arial"/>
                          <w:i/>
                          <w:sz w:val="19"/>
                        </w:rPr>
                        <w:t>.</w:t>
                      </w:r>
                      <w:r>
                        <w:rPr>
                          <w:rFonts w:ascii="arial" w:hAnsi="arial"/>
                          <w:sz w:val="19"/>
                        </w:rPr>
                        <w:t xml:space="preserve"> A meeting of the independent directors is scheduled at every regular Board meeting and the independent directors meet in an executive session without Mr. Bradway to review matters, including Company performance, management effectiveness, proposed programs and transactions, and the Board meeting agenda items. These independent sessions are organized and chaired by our lead independent director and our lead independent director provides direct feedback to Mr. Bradway after these executive sessions. </w:t>
                      </w:r>
                    </w:p>
                    <w:p>
                      <w:pPr>
                        <w:pStyle w:val="TextBody"/>
                        <w:bidi w:val="0"/>
                        <w:spacing w:before="120" w:after="0"/>
                        <w:jc w:val="both"/>
                        <w:rPr>
                          <w:rFonts w:ascii="arial" w:hAnsi="arial"/>
                          <w:sz w:val="19"/>
                        </w:rPr>
                      </w:pPr>
                      <w:r>
                        <w:rPr>
                          <w:rFonts w:ascii="arial" w:hAnsi="arial"/>
                          <w:i/>
                          <w:color w:val="0171B9"/>
                          <w:sz w:val="19"/>
                        </w:rPr>
                        <w:t>Independent Committee Leadership</w:t>
                      </w:r>
                      <w:r>
                        <w:rPr>
                          <w:rFonts w:ascii="arial" w:hAnsi="arial"/>
                          <w:i/>
                          <w:sz w:val="19"/>
                        </w:rPr>
                        <w:t>.</w:t>
                      </w:r>
                      <w:r>
                        <w:rPr>
                          <w:rFonts w:ascii="arial" w:hAnsi="arial"/>
                          <w:sz w:val="19"/>
                        </w:rPr>
                        <w:t xml:space="preserve"> The Audit, Compensation, Compliance, and Governance Committees are each composed solely of, and led by, independent directors and provide independent oversight of management and its Board-delegated duties. In addition: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Each committee Chair meets with management in advance of meetings to review and refine agendas, add topics of interest, and review and comment on materials to be delivered to the committee;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Each committee Chair provides a report summarizing committee meetings to the full Board at each regular meeting of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Each committee meeting includes adequate time for executive session and the committees meet in executive session on a regular basis with no members of management present (unless otherwise requested by the committee);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Each committee effectively manages its Board-delegated duties and communicates regularly with the Chairman, lead independent director, the Board, and members of management; and </w:t>
                            </w:r>
                          </w:p>
                        </w:tc>
                      </w:tr>
                    </w:tbl>
                    <w:p>
                      <w:pPr>
                        <w:pStyle w:val="TextBody"/>
                        <w:bidi w:val="0"/>
                        <w:spacing w:before="0" w:after="0"/>
                        <w:jc w:val="left"/>
                        <w:rPr/>
                      </w:pPr>
                      <w:r>
                        <w:rPr/>
                        <w:t> </w:t>
                      </w:r>
                    </w:p>
                    <w:tbl>
                      <w:tblPr>
                        <w:tblW w:w="4930" w:type="dxa"/>
                        <w:jc w:val="left"/>
                        <w:tblInd w:w="0" w:type="dxa"/>
                        <w:tblLayout w:type="fixed"/>
                        <w:tblCellMar>
                          <w:top w:w="0" w:type="dxa"/>
                          <w:left w:w="0" w:type="dxa"/>
                          <w:bottom w:w="0" w:type="dxa"/>
                          <w:right w:w="0" w:type="dxa"/>
                        </w:tblCellMar>
                      </w:tblPr>
                      <w:tblGrid>
                        <w:gridCol w:w="125"/>
                        <w:gridCol w:w="60"/>
                        <w:gridCol w:w="4745"/>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0"/>
                              <w:jc w:val="both"/>
                              <w:rPr>
                                <w:rFonts w:ascii="arial" w:hAnsi="arial"/>
                                <w:sz w:val="19"/>
                              </w:rPr>
                            </w:pPr>
                            <w:r>
                              <w:rPr>
                                <w:rFonts w:ascii="arial" w:hAnsi="arial"/>
                                <w:sz w:val="19"/>
                              </w:rPr>
                              <w:t xml:space="preserve">Every director has access to all committee materials. </w:t>
                            </w:r>
                          </w:p>
                        </w:tc>
                      </w:tr>
                    </w:tbl>
                    <w:p>
                      <w:pPr>
                        <w:pStyle w:val="TextBody"/>
                        <w:bidi w:val="0"/>
                        <w:spacing w:before="120" w:after="0"/>
                        <w:jc w:val="both"/>
                        <w:rPr>
                          <w:rFonts w:ascii="arial" w:hAnsi="arial"/>
                          <w:sz w:val="19"/>
                        </w:rPr>
                      </w:pPr>
                      <w:r>
                        <w:rPr>
                          <w:rFonts w:ascii="arial" w:hAnsi="arial"/>
                          <w:b/>
                          <w:i/>
                          <w:color w:val="0171B9"/>
                          <w:sz w:val="19"/>
                        </w:rPr>
                        <w:t>Corporate Governance Structure.</w:t>
                      </w:r>
                      <w:r>
                        <w:rPr>
                          <w:rFonts w:ascii="arial" w:hAnsi="arial"/>
                          <w:sz w:val="19"/>
                        </w:rPr>
                        <w:t xml:space="preserve"> The Board believes our corporate governance structure, with its strong emphasis on independence, an active lead independent director, and strong Board and committee involvement, provides sound and robust oversight of management. </w:t>
                      </w:r>
                    </w:p>
                    <w:p>
                      <w:pPr>
                        <w:pStyle w:val="TextBody"/>
                        <w:bidi w:val="0"/>
                        <w:spacing w:before="120" w:after="0"/>
                        <w:jc w:val="both"/>
                        <w:rPr>
                          <w:rFonts w:ascii="arial" w:hAnsi="arial"/>
                          <w:sz w:val="19"/>
                        </w:rPr>
                      </w:pPr>
                      <w:r>
                        <w:rPr>
                          <w:rFonts w:ascii="arial" w:hAnsi="arial"/>
                          <w:i/>
                          <w:color w:val="0171B9"/>
                          <w:sz w:val="19"/>
                        </w:rPr>
                        <w:t>Benefits of Combined Leadership Structure.</w:t>
                      </w:r>
                      <w:r>
                        <w:rPr>
                          <w:rFonts w:ascii="arial" w:hAnsi="arial"/>
                          <w:sz w:val="19"/>
                        </w:rPr>
                        <w:t xml:space="preserve"> Following the annual evaluation of the governance structure, the Board continues to believe that the Company and our stockholders are best served by having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24  </w:t>
      </w:r>
      <w:r>
        <w:rPr>
          <w:rFonts w:ascii="arial" w:hAnsi="arial"/>
          <w:b/>
          <w:color w:val="474747"/>
          <w:sz w:val="22"/>
        </w:rPr>
        <w:drawing>
          <wp:inline distT="0" distB="0" distL="0" distR="0">
            <wp:extent cx="64770" cy="15240"/>
            <wp:effectExtent l="0" t="0" r="0" b="0"/>
            <wp:docPr id="72"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54" descr=""/>
                    <pic:cNvPicPr>
                      <a:picLocks noChangeAspect="1" noChangeArrowheads="1"/>
                    </pic:cNvPicPr>
                  </pic:nvPicPr>
                  <pic:blipFill>
                    <a:blip r:embed="rId55"/>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311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263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263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Corporate Governance</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64">
                <wp:simplePos x="0" y="0"/>
                <wp:positionH relativeFrom="column">
                  <wp:align>left</wp:align>
                </wp:positionH>
                <wp:positionV relativeFrom="line">
                  <wp:posOffset>635</wp:posOffset>
                </wp:positionV>
                <wp:extent cx="3110230" cy="2440305"/>
                <wp:effectExtent l="0" t="0" r="0" b="0"/>
                <wp:wrapSquare wrapText="right"/>
                <wp:docPr id="73" name="Frame19"/>
                <a:graphic xmlns:a="http://schemas.openxmlformats.org/drawingml/2006/main">
                  <a:graphicData uri="http://schemas.microsoft.com/office/word/2010/wordprocessingShape">
                    <wps:wsp>
                      <wps:cNvSpPr txBox="1"/>
                      <wps:spPr>
                        <a:xfrm>
                          <a:off x="0" y="0"/>
                          <a:ext cx="3110230" cy="2440305"/>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Mr. Bradway in the role of Chairman (subject to his re-election to the Board) and CEO for the following reasons: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Mr. Bradway is most familiar with our business and the unique challenges we face. Mr. Bradway’s day-to-day insight into our challenges facilitates timely deliberation by the Board of important matters.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Mr. Bradway has and will continue to identify agenda items and lead effective discussions on the important matters affecting us. Mr. Bradway’s knowledge and extensive experience regarding our operations and the highly-regulated industries and markets in which we compete position him to identify and prioritize matters for Board review and deliberation.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As Chairman and CEO, Mr. Bradway serves as an important bridge between the Board and management and provides critical leadership for carrying out our strategic initiatives and confronting our challenges. The Board believes that Mr. Bradway brings a unique, stockholder-focused insight to assist the Company to most effectively execute its strategy and business plans to maximize stockholder value.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92.1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Mr. Bradway in the role of Chairman (subject to his re-election to the Board) and CEO for the following reasons: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Mr. Bradway is most familiar with our business and the unique challenges we face. Mr. Bradway’s day-to-day insight into our challenges facilitates timely deliberation by the Board of important matters.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Mr. Bradway has and will continue to identify agenda items and lead effective discussions on the important matters affecting us. Mr. Bradway’s knowledge and extensive experience regarding our operations and the highly-regulated industries and markets in which we compete position him to identify and prioritize matters for Board review and deliberation.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As Chairman and CEO, Mr. Bradway serves as an important bridge between the Board and management and provides critical leadership for carrying out our strategic initiatives and confronting our challenges. The Board believes that Mr. Bradway brings a unique, stockholder-focused insight to assist the Company to most effectively execute its strategy and business plans to maximize stockholder value.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65">
                <wp:simplePos x="0" y="0"/>
                <wp:positionH relativeFrom="column">
                  <wp:align>left</wp:align>
                </wp:positionH>
                <wp:positionV relativeFrom="line">
                  <wp:posOffset>635</wp:posOffset>
                </wp:positionV>
                <wp:extent cx="3175000" cy="2466340"/>
                <wp:effectExtent l="0" t="0" r="0" b="0"/>
                <wp:wrapSquare wrapText="right"/>
                <wp:docPr id="74" name="Frame20"/>
                <a:graphic xmlns:a="http://schemas.openxmlformats.org/drawingml/2006/main">
                  <a:graphicData uri="http://schemas.microsoft.com/office/word/2010/wordprocessingShape">
                    <wps:wsp>
                      <wps:cNvSpPr txBox="1"/>
                      <wps:spPr>
                        <a:xfrm>
                          <a:off x="0" y="0"/>
                          <a:ext cx="3175000" cy="24663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The strength and effectiveness of the communications between Mr. Bradway as our Chairman and Mr. Eckert as our lead independent director result in comprehensive Board oversight of the issues, plans, and prospects of our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This leadership structure provides the Board with more complete and timely information about the Company, a unified structure and consistent leadership direction internally and externally and provides a collaborative and collegial environment for Board decision making. </w:t>
                                  </w:r>
                                </w:p>
                              </w:tc>
                            </w:tr>
                          </w:tbl>
                          <w:p>
                            <w:pPr>
                              <w:pStyle w:val="TextBody"/>
                              <w:bidi w:val="0"/>
                              <w:spacing w:before="120" w:after="0"/>
                              <w:jc w:val="both"/>
                              <w:rPr>
                                <w:rFonts w:ascii="arial" w:hAnsi="arial"/>
                                <w:sz w:val="19"/>
                              </w:rPr>
                            </w:pPr>
                            <w:r>
                              <w:rPr>
                                <w:rFonts w:ascii="arial" w:hAnsi="arial"/>
                                <w:i/>
                                <w:color w:val="0171B9"/>
                                <w:sz w:val="19"/>
                              </w:rPr>
                              <w:t>Flexibility of the Leadership Structure.</w:t>
                            </w:r>
                            <w:r>
                              <w:rPr>
                                <w:rFonts w:ascii="arial" w:hAnsi="arial"/>
                                <w:sz w:val="19"/>
                              </w:rPr>
                              <w:t xml:space="preserve"> The Board is committed to high standards of corporate governance. The Board values its flexibility to select its optimal leadership structure to best serve the Company’s and stockholders’ best interests based on the qualifications of individuals available, circumstances existing at the time, and Company’s particular needs. As such, the Board annually evaluates whether combining or separating the roles of Chairman and CEO is in the best interests of the Company and our stockholders.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94.2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The strength and effectiveness of the communications between Mr. Bradway as our Chairman and Mr. Eckert as our lead independent director result in comprehensive Board oversight of the issues, plans, and prospects of our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This leadership structure provides the Board with more complete and timely information about the Company, a unified structure and consistent leadership direction internally and externally and provides a collaborative and collegial environment for Board decision making. </w:t>
                            </w:r>
                          </w:p>
                        </w:tc>
                      </w:tr>
                    </w:tbl>
                    <w:p>
                      <w:pPr>
                        <w:pStyle w:val="TextBody"/>
                        <w:bidi w:val="0"/>
                        <w:spacing w:before="120" w:after="0"/>
                        <w:jc w:val="both"/>
                        <w:rPr>
                          <w:rFonts w:ascii="arial" w:hAnsi="arial"/>
                          <w:sz w:val="19"/>
                        </w:rPr>
                      </w:pPr>
                      <w:r>
                        <w:rPr>
                          <w:rFonts w:ascii="arial" w:hAnsi="arial"/>
                          <w:i/>
                          <w:color w:val="0171B9"/>
                          <w:sz w:val="19"/>
                        </w:rPr>
                        <w:t>Flexibility of the Leadership Structure.</w:t>
                      </w:r>
                      <w:r>
                        <w:rPr>
                          <w:rFonts w:ascii="arial" w:hAnsi="arial"/>
                          <w:sz w:val="19"/>
                        </w:rPr>
                        <w:t xml:space="preserve"> The Board is committed to high standards of corporate governance. The Board values its flexibility to select its optimal leadership structure to best serve the Company’s and stockholders’ best interests based on the qualifications of individuals available, circumstances existing at the time, and Company’s particular needs. As such, the Board annually evaluates whether combining or separating the roles of Chairman and CEO is in the best interests of the Company and our stockholders.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b/>
          <w:color w:val="0171B9"/>
          <w:sz w:val="28"/>
        </w:rPr>
      </w:pPr>
      <w:bookmarkStart w:id="8" w:name="toc445034_6"/>
      <w:bookmarkEnd w:id="8"/>
      <w:r>
        <w:rPr>
          <w:rFonts w:ascii="arial" w:hAnsi="arial"/>
          <w:b/>
          <w:color w:val="0171B9"/>
          <w:sz w:val="28"/>
        </w:rPr>
        <w:t xml:space="preserve">The Board’s Role in Risk Oversight </w:t>
      </w:r>
    </w:p>
    <w:p>
      <w:pPr>
        <w:pStyle w:val="TextBody"/>
        <w:pBdr>
          <w:bottom w:val="single" w:sz="2" w:space="1" w:color="666666"/>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66">
                <wp:simplePos x="0" y="0"/>
                <wp:positionH relativeFrom="column">
                  <wp:align>left</wp:align>
                </wp:positionH>
                <wp:positionV relativeFrom="line">
                  <wp:posOffset>635</wp:posOffset>
                </wp:positionV>
                <wp:extent cx="3110230" cy="3260090"/>
                <wp:effectExtent l="0" t="0" r="0" b="0"/>
                <wp:wrapSquare wrapText="right"/>
                <wp:docPr id="75" name="Frame21"/>
                <a:graphic xmlns:a="http://schemas.openxmlformats.org/drawingml/2006/main">
                  <a:graphicData uri="http://schemas.microsoft.com/office/word/2010/wordprocessingShape">
                    <wps:wsp>
                      <wps:cNvSpPr txBox="1"/>
                      <wps:spPr>
                        <a:xfrm>
                          <a:off x="0" y="0"/>
                          <a:ext cx="3110230" cy="326009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Our Board oversees an enterprise-wide approach to risk management, which is designed to support execution of our strategy and achievement of the Company’s objectives to improve long-term operational and financial performance and enhance stockholder interests. Our Board believes that a fundamental part of risk management is understanding the risks that we face, adopting appropriate controls and mitigation activities for such risks, monitoring these risks, and responding to emerging developments for such risks. </w:t>
                            </w:r>
                          </w:p>
                          <w:p>
                            <w:pPr>
                              <w:pStyle w:val="TextBody"/>
                              <w:bidi w:val="0"/>
                              <w:spacing w:before="120" w:after="0"/>
                              <w:jc w:val="both"/>
                              <w:rPr>
                                <w:rFonts w:ascii="arial" w:hAnsi="arial"/>
                                <w:sz w:val="19"/>
                              </w:rPr>
                            </w:pPr>
                            <w:r>
                              <w:rPr>
                                <w:rFonts w:ascii="arial" w:hAnsi="arial"/>
                                <w:sz w:val="19"/>
                              </w:rPr>
                              <w:t xml:space="preserve">We have a Company-wide Enterprise Risk Management, or ERM, program, to identify, assess, manage, report, and monitor enterprise-level risks that may affect our ability to achieve the Company’s objectives. The ERM program is overseen by our Executive Vice President and Chief Financial Officer and, in 2023, was chaired by our Chief Audit Executive. Annually, we evaluate the greatest risks to our business, their underlying risk drivers, and the associated mitigation activities, maturity, and controls. Our Enterprise Risk Council, a cross-functional group of the Company’s business leaders representing all key business functions, works to identify and assess risks that meet the pre-established criteria constituting an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56.7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Our Board oversees an enterprise-wide approach to risk management, which is designed to support execution of our strategy and achievement of the Company’s objectives to improve long-term operational and financial performance and enhance stockholder interests. Our Board believes that a fundamental part of risk management is understanding the risks that we face, adopting appropriate controls and mitigation activities for such risks, monitoring these risks, and responding to emerging developments for such risks. </w:t>
                      </w:r>
                    </w:p>
                    <w:p>
                      <w:pPr>
                        <w:pStyle w:val="TextBody"/>
                        <w:bidi w:val="0"/>
                        <w:spacing w:before="120" w:after="0"/>
                        <w:jc w:val="both"/>
                        <w:rPr>
                          <w:rFonts w:ascii="arial" w:hAnsi="arial"/>
                          <w:sz w:val="19"/>
                        </w:rPr>
                      </w:pPr>
                      <w:r>
                        <w:rPr>
                          <w:rFonts w:ascii="arial" w:hAnsi="arial"/>
                          <w:sz w:val="19"/>
                        </w:rPr>
                        <w:t xml:space="preserve">We have a Company-wide Enterprise Risk Management, or ERM, program, to identify, assess, manage, report, and monitor enterprise-level risks that may affect our ability to achieve the Company’s objectives. The ERM program is overseen by our Executive Vice President and Chief Financial Officer and, in 2023, was chaired by our Chief Audit Executive. Annually, we evaluate the greatest risks to our business, their underlying risk drivers, and the associated mitigation activities, maturity, and controls. Our Enterprise Risk Council, a cross-functional group of the Company’s business leaders representing all key business functions, works to identify and assess risks that meet the pre-established criteria constituting an </w:t>
                      </w:r>
                    </w:p>
                  </w:txbxContent>
                </v:textbox>
                <w10:wrap type="square" side="right"/>
              </v:rect>
            </w:pict>
          </mc:Fallback>
        </mc:AlternateContent>
      </w:r>
      <w:r>
        <mc:AlternateContent>
          <mc:Choice Requires="wps">
            <w:drawing>
              <wp:anchor behindDoc="0" distT="0" distB="0" distL="0" distR="0" simplePos="0" locked="0" layoutInCell="1" allowOverlap="1" relativeHeight="267">
                <wp:simplePos x="0" y="0"/>
                <wp:positionH relativeFrom="column">
                  <wp:align>left</wp:align>
                </wp:positionH>
                <wp:positionV relativeFrom="line">
                  <wp:posOffset>635</wp:posOffset>
                </wp:positionV>
                <wp:extent cx="3175000" cy="3322320"/>
                <wp:effectExtent l="0" t="0" r="0" b="0"/>
                <wp:wrapSquare wrapText="right"/>
                <wp:docPr id="76" name="Frame22"/>
                <a:graphic xmlns:a="http://schemas.openxmlformats.org/drawingml/2006/main">
                  <a:graphicData uri="http://schemas.microsoft.com/office/word/2010/wordprocessingShape">
                    <wps:wsp>
                      <wps:cNvSpPr txBox="1"/>
                      <wps:spPr>
                        <a:xfrm>
                          <a:off x="0" y="0"/>
                          <a:ext cx="3175000" cy="332232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enterprise-level risk, and confirms that there is clear accountability and appropriate mitigation plans are in place, including monitoring and reporting. Additionally, emerging risks that do not rise to the level of enterprise-level risks, are assessed, discussed, and actively managed and monitored. We believe that the areas of risk that are fundamental to the success of our enterprise and rise to enterprise-level risks include the areas of product development, safety and surveillance, supply and quality, value (which includes pricing) and access, sales and promotion, business development (including the optimization and integration of our October 2023 acquisition of Horizon Therapeutics plc, or Horizon), as well as protecting our assets (financial, intellectual property, and information, including cybersecurity and artificial intelligence), all of which are managed by senior executive management reporting directly to our CEO. The enterprise-level risks are overseen by the Board and the appropriate Board committee (as discussed further below). The Board receives regular risk reporting from senior management, including an annual detailed review of the ERM program and key enterprise-level and emerging risks, as well as during the Board’s strategic planning activities, budget reviews and approvals, capital plan reviews and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61.6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enterprise-level risk, and confirms that there is clear accountability and appropriate mitigation plans are in place, including monitoring and reporting. Additionally, emerging risks that do not rise to the level of enterprise-level risks, are assessed, discussed, and actively managed and monitored. We believe that the areas of risk that are fundamental to the success of our enterprise and rise to enterprise-level risks include the areas of product development, safety and surveillance, supply and quality, value (which includes pricing) and access, sales and promotion, business development (including the optimization and integration of our October 2023 acquisition of Horizon Therapeutics plc, or Horizon), as well as protecting our assets (financial, intellectual property, and information, including cybersecurity and artificial intelligence), all of which are managed by senior executive management reporting directly to our CEO. The enterprise-level risks are overseen by the Board and the appropriate Board committee (as discussed further below). The Board receives regular risk reporting from senior management, including an annual detailed review of the ERM program and key enterprise-level and emerging risks, as well as during the Board’s strategic planning activities, budget reviews and approvals, capital plan reviews and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77"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55" descr=""/>
                    <pic:cNvPicPr>
                      <a:picLocks noChangeAspect="1" noChangeArrowheads="1"/>
                    </pic:cNvPicPr>
                  </pic:nvPicPr>
                  <pic:blipFill>
                    <a:blip r:embed="rId56"/>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25</w:t>
      </w:r>
      <w:r>
        <w:rPr>
          <w:rFonts w:ascii="arial" w:hAnsi="arial"/>
          <w:b/>
          <w:sz w:val="22"/>
        </w:rPr>
        <w:t xml:space="preserve"> </w:t>
      </w:r>
      <w:r>
        <w:br w:type="page"/>
      </w:r>
    </w:p>
    <w:p>
      <w:pPr>
        <w:pStyle w:val="HorizontalLine"/>
        <w:bidi w:val="0"/>
        <w:jc w:val="left"/>
        <w:rPr/>
      </w:pPr>
      <w:r>
        <w:rPr/>
      </w:r>
    </w:p>
    <w:tbl>
      <w:tblPr>
        <w:tblW w:w="311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263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263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Corporate Governance</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68">
                <wp:simplePos x="0" y="0"/>
                <wp:positionH relativeFrom="column">
                  <wp:align>left</wp:align>
                </wp:positionH>
                <wp:positionV relativeFrom="line">
                  <wp:posOffset>635</wp:posOffset>
                </wp:positionV>
                <wp:extent cx="3110230" cy="1384300"/>
                <wp:effectExtent l="0" t="0" r="0" b="0"/>
                <wp:wrapSquare wrapText="right"/>
                <wp:docPr id="78" name="Frame23"/>
                <a:graphic xmlns:a="http://schemas.openxmlformats.org/drawingml/2006/main">
                  <a:graphicData uri="http://schemas.microsoft.com/office/word/2010/wordprocessingShape">
                    <wps:wsp>
                      <wps:cNvSpPr txBox="1"/>
                      <wps:spPr>
                        <a:xfrm>
                          <a:off x="0" y="0"/>
                          <a:ext cx="3110230" cy="138430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approvals, and through reviews of compliance issues at the applicable committees of our Board, as appropriate. For example, given the large size and scope of our Horizon acquisition, our risk mitigation plans for our integration of Horizon have been a topic regularly brought to and reviewed by the Board and its committees. For topics allocated to specific committees for their oversight (as discussed below), that committee’s Chair oversees the committee’s annual calendar and meeting agendas so that the Company’s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09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approvals, and through reviews of compliance issues at the applicable committees of our Board, as appropriate. For example, given the large size and scope of our Horizon acquisition, our risk mitigation plans for our integration of Horizon have been a topic regularly brought to and reviewed by the Board and its committees. For topics allocated to specific committees for their oversight (as discussed below), that committee’s Chair oversees the committee’s annual calendar and meeting agendas so that the Company’s </w:t>
                      </w:r>
                    </w:p>
                  </w:txbxContent>
                </v:textbox>
                <w10:wrap type="square" side="right"/>
              </v:rect>
            </w:pict>
          </mc:Fallback>
        </mc:AlternateContent>
      </w:r>
      <w:r>
        <mc:AlternateContent>
          <mc:Choice Requires="wps">
            <w:drawing>
              <wp:anchor behindDoc="0" distT="0" distB="0" distL="0" distR="0" simplePos="0" locked="0" layoutInCell="1" allowOverlap="1" relativeHeight="269">
                <wp:simplePos x="0" y="0"/>
                <wp:positionH relativeFrom="column">
                  <wp:align>left</wp:align>
                </wp:positionH>
                <wp:positionV relativeFrom="line">
                  <wp:posOffset>635</wp:posOffset>
                </wp:positionV>
                <wp:extent cx="3175000" cy="1384300"/>
                <wp:effectExtent l="0" t="0" r="0" b="0"/>
                <wp:wrapSquare wrapText="right"/>
                <wp:docPr id="79" name="Frame24"/>
                <a:graphic xmlns:a="http://schemas.openxmlformats.org/drawingml/2006/main">
                  <a:graphicData uri="http://schemas.microsoft.com/office/word/2010/wordprocessingShape">
                    <wps:wsp>
                      <wps:cNvSpPr txBox="1"/>
                      <wps:spPr>
                        <a:xfrm>
                          <a:off x="0" y="0"/>
                          <a:ext cx="3175000" cy="138430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activities in support of its compliance are assessed regularly. For example, Amgen’s policies and processes regarding antitrust and competition regulation are reviewed with the Compliance Committee as one of its areas of oversight. Committee activities and discussions are reported to the Board by each of the committee Chairs for the Board’s information and oversight at each regular Board meeting, or more frequently as needed, and such reports can provide additional detail on risk management issues and management’s response.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09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activities in support of its compliance are assessed regularly. For example, Amgen’s policies and processes regarding antitrust and competition regulation are reviewed with the Compliance Committee as one of its areas of oversight. Committee activities and discussions are reported to the Board by each of the committee Chairs for the Board’s information and oversight at each regular Board meeting, or more frequently as needed, and such reports can provide additional detail on risk management issues and management’s response. </w:t>
                      </w:r>
                    </w:p>
                  </w:txbxContent>
                </v:textbox>
                <w10:wrap type="square" side="right"/>
              </v:rect>
            </w:pict>
          </mc:Fallback>
        </mc:AlternateContent>
      </w:r>
    </w:p>
    <w:p>
      <w:pPr>
        <w:pStyle w:val="TextBody"/>
        <w:bidi w:val="0"/>
        <w:spacing w:before="240" w:after="0"/>
        <w:jc w:val="both"/>
        <w:rPr>
          <w:rFonts w:ascii="arial" w:hAnsi="arial"/>
          <w:sz w:val="19"/>
        </w:rPr>
      </w:pPr>
      <w:r>
        <w:rPr>
          <w:rFonts w:ascii="arial" w:hAnsi="arial"/>
          <w:sz w:val="19"/>
        </w:rPr>
        <w:t xml:space="preserve">Each Board committee has primary risk oversight responsibilities aligned with its areas of focus described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08"/>
        <w:gridCol w:w="120"/>
        <w:gridCol w:w="8361"/>
        <w:gridCol w:w="60"/>
        <w:gridCol w:w="156"/>
      </w:tblGrid>
      <w:tr>
        <w:trPr/>
        <w:tc>
          <w:tcPr>
            <w:tcW w:w="15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08" w:type="dxa"/>
            <w:tcBorders>
              <w:bottom w:val="single" w:sz="8" w:space="0" w:color="FFFFFF"/>
            </w:tcBorders>
            <w:shd w:fill="0171B9" w:val="clear"/>
            <w:tcMar>
              <w:bottom w:w="28" w:type="dxa"/>
            </w:tcMar>
            <w:vAlign w:val="center"/>
          </w:tcPr>
          <w:p>
            <w:pPr>
              <w:pStyle w:val="TableContents"/>
              <w:bidi w:val="0"/>
              <w:spacing w:before="0" w:after="283"/>
              <w:jc w:val="left"/>
              <w:rPr>
                <w:color w:val="FFFFFF"/>
              </w:rPr>
            </w:pPr>
            <w:r>
              <w:rPr>
                <w:color w:val="FFFFFF"/>
              </w:rPr>
              <w:t> </w:t>
            </w:r>
            <w:r>
              <w:rPr>
                <w:b/>
                <w:color w:val="FFFFFF"/>
              </w:rPr>
              <w:t>Committee</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8361" w:type="dxa"/>
            <w:tcBorders>
              <w:bottom w:val="single" w:sz="8" w:space="0" w:color="FFFFFF"/>
            </w:tcBorders>
            <w:shd w:fill="0171B9" w:val="clear"/>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FFFFFF"/>
                <w:sz w:val="18"/>
              </w:rPr>
            </w:pPr>
            <w:r>
              <w:rPr>
                <w:rFonts w:ascii="arial" w:hAnsi="arial"/>
                <w:b/>
                <w:color w:val="FFFFFF"/>
                <w:sz w:val="18"/>
              </w:rPr>
              <w:t>Primary Risk Oversight Responsibilities</w:t>
            </w:r>
          </w:p>
          <w:p>
            <w:pPr>
              <w:pStyle w:val="TableContents"/>
              <w:bidi w:val="0"/>
              <w:spacing w:before="0" w:after="20"/>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56" w:type="dxa"/>
            <w:tcBorders>
              <w:bottom w:val="single" w:sz="8" w:space="0" w:color="FFFFFF"/>
            </w:tcBorders>
            <w:shd w:fill="0171B9" w:val="clear"/>
            <w:tcMar>
              <w:bottom w:w="28" w:type="dxa"/>
            </w:tcMar>
            <w:vAlign w:val="center"/>
          </w:tcPr>
          <w:p>
            <w:pPr>
              <w:pStyle w:val="TableContents"/>
              <w:bidi w:val="0"/>
              <w:spacing w:before="0" w:after="283"/>
              <w:jc w:val="left"/>
              <w:rPr>
                <w:color w:val="FFFFFF"/>
              </w:rPr>
            </w:pPr>
            <w:r>
              <w:rPr>
                <w:color w:val="FFFFFF"/>
              </w:rPr>
              <w:t> </w:t>
            </w:r>
          </w:p>
        </w:tc>
      </w:tr>
      <w:tr>
        <w:trPr/>
        <w:tc>
          <w:tcPr>
            <w:tcW w:w="1508" w:type="dxa"/>
            <w:tcBorders/>
            <w:shd w:fill="CCE2F1" w:val="clear"/>
            <w:vAlign w:val="center"/>
          </w:tcPr>
          <w:p>
            <w:pPr>
              <w:pStyle w:val="TableContents"/>
              <w:bidi w:val="0"/>
              <w:spacing w:before="0" w:after="283"/>
              <w:jc w:val="left"/>
              <w:rPr>
                <w:sz w:val="4"/>
                <w:szCs w:val="4"/>
              </w:rPr>
            </w:pPr>
            <w:r>
              <w:rPr>
                <w:sz w:val="4"/>
                <w:szCs w:val="4"/>
              </w:rPr>
            </w:r>
          </w:p>
        </w:tc>
        <w:tc>
          <w:tcPr>
            <w:tcW w:w="8481" w:type="dxa"/>
            <w:gridSpan w:val="2"/>
            <w:tcBorders/>
            <w:shd w:fill="CCE2F1" w:val="clear"/>
            <w:vAlign w:val="center"/>
          </w:tcPr>
          <w:p>
            <w:pPr>
              <w:pStyle w:val="TableContents"/>
              <w:bidi w:val="0"/>
              <w:spacing w:before="0" w:after="283"/>
              <w:jc w:val="left"/>
              <w:rPr>
                <w:sz w:val="4"/>
                <w:szCs w:val="4"/>
              </w:rPr>
            </w:pPr>
            <w:r>
              <w:rPr>
                <w:sz w:val="4"/>
                <w:szCs w:val="4"/>
              </w:rPr>
            </w:r>
          </w:p>
        </w:tc>
        <w:tc>
          <w:tcPr>
            <w:tcW w:w="216" w:type="dxa"/>
            <w:gridSpan w:val="2"/>
            <w:tcBorders/>
            <w:shd w:fill="CCE2F1" w:val="clear"/>
            <w:vAlign w:val="center"/>
          </w:tcPr>
          <w:p>
            <w:pPr>
              <w:pStyle w:val="TableContents"/>
              <w:bidi w:val="0"/>
              <w:spacing w:before="0" w:after="283"/>
              <w:jc w:val="left"/>
              <w:rPr>
                <w:sz w:val="4"/>
                <w:szCs w:val="4"/>
              </w:rPr>
            </w:pPr>
            <w:r>
              <w:rPr>
                <w:sz w:val="4"/>
                <w:szCs w:val="4"/>
              </w:rPr>
            </w:r>
          </w:p>
        </w:tc>
      </w:tr>
      <w:tr>
        <w:trPr/>
        <w:tc>
          <w:tcPr>
            <w:tcW w:w="1508" w:type="dxa"/>
            <w:tcBorders/>
            <w:shd w:fill="CCE2F1" w:val="clear"/>
            <w:vAlign w:val="center"/>
          </w:tcPr>
          <w:p>
            <w:pPr>
              <w:pStyle w:val="TableContents"/>
              <w:bidi w:val="0"/>
              <w:spacing w:before="0" w:after="0"/>
              <w:jc w:val="left"/>
              <w:rPr/>
            </w:pPr>
            <w:r>
              <w:rPr/>
              <w:t> </w:t>
            </w:r>
            <w:r>
              <w:rPr>
                <w:rFonts w:ascii="arial" w:hAnsi="arial"/>
                <w:b/>
                <w:sz w:val="18"/>
              </w:rPr>
              <w:t>Governance and Nominating</w:t>
            </w:r>
          </w:p>
        </w:tc>
        <w:tc>
          <w:tcPr>
            <w:tcW w:w="120" w:type="dxa"/>
            <w:tcBorders/>
            <w:shd w:fill="CCE2F1" w:val="clear"/>
            <w:vAlign w:val="center"/>
          </w:tcPr>
          <w:p>
            <w:pPr>
              <w:pStyle w:val="TableContents"/>
              <w:bidi w:val="0"/>
              <w:spacing w:before="0" w:after="283"/>
              <w:jc w:val="left"/>
              <w:rPr/>
            </w:pPr>
            <w:r>
              <w:rPr/>
              <w:t>  </w:t>
            </w:r>
          </w:p>
        </w:tc>
        <w:tc>
          <w:tcPr>
            <w:tcW w:w="8361" w:type="dxa"/>
            <w:tcBorders/>
            <w:shd w:fill="CCE2F1" w:val="clear"/>
            <w:vAlign w:val="center"/>
          </w:tcPr>
          <w:p>
            <w:pPr>
              <w:pStyle w:val="TableContents"/>
              <w:bidi w:val="0"/>
              <w:spacing w:before="0" w:after="0"/>
              <w:jc w:val="both"/>
              <w:rPr/>
            </w:pPr>
            <w:r>
              <w:rPr>
                <w:color w:val="0171B9"/>
              </w:rPr>
              <w:t>•</w:t>
            </w:r>
            <w:r>
              <w:rPr/>
              <w:t>   </w:t>
            </w:r>
            <w:r>
              <w:rPr>
                <w:rFonts w:ascii="arial" w:hAnsi="arial"/>
                <w:sz w:val="19"/>
              </w:rPr>
              <w:t>Oversees governance risk, including Board membership and the assessment of each member of the Board’s independence, as well as the compliance with our Corporate Governance Principles and Board of Directors’ Code of Conduct. Also oversees Board and committee effectiveness, including annual evaluations, director commitment levels, and Board succession planning.</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283"/>
              <w:jc w:val="left"/>
              <w:rPr/>
            </w:pPr>
            <w:r>
              <w:rPr/>
              <w:t> </w:t>
            </w:r>
          </w:p>
        </w:tc>
        <w:tc>
          <w:tcPr>
            <w:tcW w:w="156" w:type="dxa"/>
            <w:tcBorders/>
            <w:shd w:fill="CCE2F1" w:val="clear"/>
            <w:vAlign w:val="center"/>
          </w:tcPr>
          <w:p>
            <w:pPr>
              <w:pStyle w:val="TableContents"/>
              <w:bidi w:val="0"/>
              <w:spacing w:before="0" w:after="283"/>
              <w:jc w:val="left"/>
              <w:rPr>
                <w:sz w:val="4"/>
                <w:szCs w:val="4"/>
              </w:rPr>
            </w:pPr>
            <w:r>
              <w:rPr>
                <w:sz w:val="4"/>
                <w:szCs w:val="4"/>
              </w:rPr>
            </w:r>
          </w:p>
        </w:tc>
      </w:tr>
      <w:tr>
        <w:trPr/>
        <w:tc>
          <w:tcPr>
            <w:tcW w:w="1508" w:type="dxa"/>
            <w:tcBorders/>
            <w:vAlign w:val="center"/>
          </w:tcPr>
          <w:p>
            <w:pPr>
              <w:pStyle w:val="TableContents"/>
              <w:bidi w:val="0"/>
              <w:spacing w:before="0" w:after="283"/>
              <w:jc w:val="left"/>
              <w:rPr>
                <w:sz w:val="4"/>
                <w:szCs w:val="4"/>
              </w:rPr>
            </w:pPr>
            <w:r>
              <w:rPr>
                <w:sz w:val="4"/>
                <w:szCs w:val="4"/>
              </w:rPr>
            </w:r>
          </w:p>
        </w:tc>
        <w:tc>
          <w:tcPr>
            <w:tcW w:w="8481" w:type="dxa"/>
            <w:gridSpan w:val="2"/>
            <w:tcBorders/>
            <w:vAlign w:val="center"/>
          </w:tcPr>
          <w:p>
            <w:pPr>
              <w:pStyle w:val="TableContents"/>
              <w:bidi w:val="0"/>
              <w:spacing w:before="0" w:after="283"/>
              <w:jc w:val="left"/>
              <w:rPr>
                <w:sz w:val="4"/>
                <w:szCs w:val="4"/>
              </w:rPr>
            </w:pPr>
            <w:r>
              <w:rPr>
                <w:sz w:val="4"/>
                <w:szCs w:val="4"/>
              </w:rPr>
            </w:r>
          </w:p>
        </w:tc>
        <w:tc>
          <w:tcPr>
            <w:tcW w:w="216" w:type="dxa"/>
            <w:gridSpan w:val="2"/>
            <w:tcBorders/>
            <w:vAlign w:val="center"/>
          </w:tcPr>
          <w:p>
            <w:pPr>
              <w:pStyle w:val="TableContents"/>
              <w:bidi w:val="0"/>
              <w:spacing w:before="0" w:after="283"/>
              <w:jc w:val="left"/>
              <w:rPr>
                <w:sz w:val="4"/>
                <w:szCs w:val="4"/>
              </w:rPr>
            </w:pPr>
            <w:r>
              <w:rPr>
                <w:sz w:val="4"/>
                <w:szCs w:val="4"/>
              </w:rPr>
            </w:r>
          </w:p>
        </w:tc>
      </w:tr>
      <w:tr>
        <w:trPr/>
        <w:tc>
          <w:tcPr>
            <w:tcW w:w="1508" w:type="dxa"/>
            <w:tcBorders/>
            <w:vAlign w:val="center"/>
          </w:tcPr>
          <w:p>
            <w:pPr>
              <w:pStyle w:val="TableContents"/>
              <w:bidi w:val="0"/>
              <w:spacing w:before="0" w:after="0"/>
              <w:jc w:val="left"/>
              <w:rPr/>
            </w:pPr>
            <w:r>
              <w:rPr/>
              <w:t> </w:t>
            </w:r>
            <w:r>
              <w:rPr>
                <w:rFonts w:ascii="arial" w:hAnsi="arial"/>
                <w:b/>
                <w:sz w:val="18"/>
              </w:rPr>
              <w:t>Audit</w:t>
            </w:r>
          </w:p>
        </w:tc>
        <w:tc>
          <w:tcPr>
            <w:tcW w:w="120" w:type="dxa"/>
            <w:tcBorders/>
            <w:vAlign w:val="center"/>
          </w:tcPr>
          <w:p>
            <w:pPr>
              <w:pStyle w:val="TableContents"/>
              <w:bidi w:val="0"/>
              <w:spacing w:before="0" w:after="283"/>
              <w:jc w:val="left"/>
              <w:rPr/>
            </w:pPr>
            <w:r>
              <w:rPr/>
              <w:t>  </w:t>
            </w:r>
          </w:p>
        </w:tc>
        <w:tc>
          <w:tcPr>
            <w:tcW w:w="8361" w:type="dxa"/>
            <w:tcBorders/>
            <w:vAlign w:val="center"/>
          </w:tcPr>
          <w:p>
            <w:pPr>
              <w:pStyle w:val="TableContents"/>
              <w:bidi w:val="0"/>
              <w:spacing w:before="0" w:after="0"/>
              <w:jc w:val="both"/>
              <w:rPr/>
            </w:pPr>
            <w:r>
              <w:rPr>
                <w:color w:val="0171B9"/>
              </w:rPr>
              <w:t>•</w:t>
            </w:r>
            <w:r>
              <w:rPr/>
              <w:t>   </w:t>
            </w:r>
            <w:r>
              <w:rPr>
                <w:rFonts w:ascii="arial" w:hAnsi="arial"/>
                <w:sz w:val="19"/>
              </w:rPr>
              <w:t>Oversees internal controls over financial reporting, as well as internal audit and independent registered public accountants, as well as financial risk, such as capital risk, tax risk, sourcing risk, and financial artificial intelligence and assurance compliance risk.</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508" w:type="dxa"/>
            <w:tcBorders/>
            <w:shd w:fill="CCE2F1" w:val="clear"/>
            <w:vAlign w:val="center"/>
          </w:tcPr>
          <w:p>
            <w:pPr>
              <w:pStyle w:val="TableContents"/>
              <w:bidi w:val="0"/>
              <w:spacing w:before="0" w:after="283"/>
              <w:jc w:val="left"/>
              <w:rPr>
                <w:sz w:val="4"/>
                <w:szCs w:val="4"/>
              </w:rPr>
            </w:pPr>
            <w:r>
              <w:rPr>
                <w:sz w:val="4"/>
                <w:szCs w:val="4"/>
              </w:rPr>
            </w:r>
          </w:p>
        </w:tc>
        <w:tc>
          <w:tcPr>
            <w:tcW w:w="8481" w:type="dxa"/>
            <w:gridSpan w:val="2"/>
            <w:tcBorders/>
            <w:shd w:fill="CCE2F1" w:val="clear"/>
            <w:vAlign w:val="center"/>
          </w:tcPr>
          <w:p>
            <w:pPr>
              <w:pStyle w:val="TableContents"/>
              <w:bidi w:val="0"/>
              <w:spacing w:before="0" w:after="283"/>
              <w:jc w:val="left"/>
              <w:rPr>
                <w:sz w:val="4"/>
                <w:szCs w:val="4"/>
              </w:rPr>
            </w:pPr>
            <w:r>
              <w:rPr>
                <w:sz w:val="4"/>
                <w:szCs w:val="4"/>
              </w:rPr>
            </w:r>
          </w:p>
        </w:tc>
        <w:tc>
          <w:tcPr>
            <w:tcW w:w="216" w:type="dxa"/>
            <w:gridSpan w:val="2"/>
            <w:tcBorders/>
            <w:shd w:fill="CCE2F1" w:val="clear"/>
            <w:vAlign w:val="center"/>
          </w:tcPr>
          <w:p>
            <w:pPr>
              <w:pStyle w:val="TableContents"/>
              <w:bidi w:val="0"/>
              <w:spacing w:before="0" w:after="283"/>
              <w:jc w:val="left"/>
              <w:rPr>
                <w:sz w:val="4"/>
                <w:szCs w:val="4"/>
              </w:rPr>
            </w:pPr>
            <w:r>
              <w:rPr>
                <w:sz w:val="4"/>
                <w:szCs w:val="4"/>
              </w:rPr>
            </w:r>
          </w:p>
        </w:tc>
      </w:tr>
      <w:tr>
        <w:trPr/>
        <w:tc>
          <w:tcPr>
            <w:tcW w:w="1508" w:type="dxa"/>
            <w:tcBorders/>
            <w:shd w:fill="CCE2F1" w:val="clear"/>
            <w:vAlign w:val="center"/>
          </w:tcPr>
          <w:p>
            <w:pPr>
              <w:pStyle w:val="TableContents"/>
              <w:bidi w:val="0"/>
              <w:spacing w:before="0" w:after="0"/>
              <w:jc w:val="left"/>
              <w:rPr/>
            </w:pPr>
            <w:r>
              <w:rPr/>
              <w:t> </w:t>
            </w:r>
            <w:r>
              <w:rPr>
                <w:rFonts w:ascii="arial" w:hAnsi="arial"/>
                <w:b/>
                <w:sz w:val="18"/>
              </w:rPr>
              <w:t>Compensation and Management Development</w:t>
            </w:r>
          </w:p>
        </w:tc>
        <w:tc>
          <w:tcPr>
            <w:tcW w:w="120" w:type="dxa"/>
            <w:tcBorders/>
            <w:shd w:fill="CCE2F1" w:val="clear"/>
            <w:vAlign w:val="center"/>
          </w:tcPr>
          <w:p>
            <w:pPr>
              <w:pStyle w:val="TableContents"/>
              <w:bidi w:val="0"/>
              <w:spacing w:before="0" w:after="283"/>
              <w:jc w:val="left"/>
              <w:rPr/>
            </w:pPr>
            <w:r>
              <w:rPr/>
              <w:t>  </w:t>
            </w:r>
          </w:p>
        </w:tc>
        <w:tc>
          <w:tcPr>
            <w:tcW w:w="8361" w:type="dxa"/>
            <w:tcBorders/>
            <w:shd w:fill="CCE2F1" w:val="clear"/>
            <w:vAlign w:val="center"/>
          </w:tcPr>
          <w:p>
            <w:pPr>
              <w:pStyle w:val="TableContents"/>
              <w:bidi w:val="0"/>
              <w:spacing w:before="0" w:after="0"/>
              <w:jc w:val="both"/>
              <w:rPr/>
            </w:pPr>
            <w:r>
              <w:rPr>
                <w:color w:val="0171B9"/>
              </w:rPr>
              <w:t>•</w:t>
            </w:r>
            <w:r>
              <w:rPr/>
              <w:t>   </w:t>
            </w:r>
            <w:r>
              <w:rPr>
                <w:rFonts w:ascii="arial" w:hAnsi="arial"/>
                <w:sz w:val="19"/>
              </w:rPr>
              <w:t>Oversees human capital management, as well as executive talent management, development, and succession planning. Also oversees labor and employment and diversity, inclusion, and belonging activities, our compensation policies and practices and incentive program administration and design, including whether such policies, practices, and incentive programs balance risk-taking and rewards in an appropriate manner (as discussed further below), align with stockholders’ interests, and are consistent with emerging best practices.</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283"/>
              <w:jc w:val="left"/>
              <w:rPr/>
            </w:pPr>
            <w:r>
              <w:rPr/>
              <w:t> </w:t>
            </w:r>
          </w:p>
        </w:tc>
        <w:tc>
          <w:tcPr>
            <w:tcW w:w="156" w:type="dxa"/>
            <w:tcBorders/>
            <w:shd w:fill="CCE2F1" w:val="clear"/>
            <w:vAlign w:val="center"/>
          </w:tcPr>
          <w:p>
            <w:pPr>
              <w:pStyle w:val="TableContents"/>
              <w:bidi w:val="0"/>
              <w:spacing w:before="0" w:after="283"/>
              <w:jc w:val="left"/>
              <w:rPr>
                <w:sz w:val="4"/>
                <w:szCs w:val="4"/>
              </w:rPr>
            </w:pPr>
            <w:r>
              <w:rPr>
                <w:sz w:val="4"/>
                <w:szCs w:val="4"/>
              </w:rPr>
            </w:r>
          </w:p>
        </w:tc>
      </w:tr>
      <w:tr>
        <w:trPr/>
        <w:tc>
          <w:tcPr>
            <w:tcW w:w="1508" w:type="dxa"/>
            <w:tcBorders/>
            <w:vAlign w:val="center"/>
          </w:tcPr>
          <w:p>
            <w:pPr>
              <w:pStyle w:val="TableContents"/>
              <w:bidi w:val="0"/>
              <w:spacing w:before="0" w:after="283"/>
              <w:jc w:val="left"/>
              <w:rPr>
                <w:sz w:val="4"/>
                <w:szCs w:val="4"/>
              </w:rPr>
            </w:pPr>
            <w:r>
              <w:rPr>
                <w:sz w:val="4"/>
                <w:szCs w:val="4"/>
              </w:rPr>
            </w:r>
          </w:p>
        </w:tc>
        <w:tc>
          <w:tcPr>
            <w:tcW w:w="8481" w:type="dxa"/>
            <w:gridSpan w:val="2"/>
            <w:tcBorders/>
            <w:vAlign w:val="center"/>
          </w:tcPr>
          <w:p>
            <w:pPr>
              <w:pStyle w:val="TableContents"/>
              <w:bidi w:val="0"/>
              <w:spacing w:before="0" w:after="283"/>
              <w:jc w:val="left"/>
              <w:rPr>
                <w:sz w:val="4"/>
                <w:szCs w:val="4"/>
              </w:rPr>
            </w:pPr>
            <w:r>
              <w:rPr>
                <w:sz w:val="4"/>
                <w:szCs w:val="4"/>
              </w:rPr>
            </w:r>
          </w:p>
        </w:tc>
        <w:tc>
          <w:tcPr>
            <w:tcW w:w="216" w:type="dxa"/>
            <w:gridSpan w:val="2"/>
            <w:tcBorders/>
            <w:vAlign w:val="center"/>
          </w:tcPr>
          <w:p>
            <w:pPr>
              <w:pStyle w:val="TableContents"/>
              <w:bidi w:val="0"/>
              <w:spacing w:before="0" w:after="283"/>
              <w:jc w:val="left"/>
              <w:rPr>
                <w:sz w:val="4"/>
                <w:szCs w:val="4"/>
              </w:rPr>
            </w:pPr>
            <w:r>
              <w:rPr>
                <w:sz w:val="4"/>
                <w:szCs w:val="4"/>
              </w:rPr>
            </w:r>
          </w:p>
        </w:tc>
      </w:tr>
      <w:tr>
        <w:trPr/>
        <w:tc>
          <w:tcPr>
            <w:tcW w:w="1508" w:type="dxa"/>
            <w:tcBorders>
              <w:bottom w:val="single" w:sz="8" w:space="0" w:color="0171B9"/>
            </w:tcBorders>
            <w:tcMar>
              <w:bottom w:w="28" w:type="dxa"/>
            </w:tcMar>
            <w:vAlign w:val="center"/>
          </w:tcPr>
          <w:p>
            <w:pPr>
              <w:pStyle w:val="TableContents"/>
              <w:bidi w:val="0"/>
              <w:spacing w:before="0" w:after="0"/>
              <w:jc w:val="left"/>
              <w:rPr/>
            </w:pPr>
            <w:r>
              <w:rPr/>
              <w:t> </w:t>
            </w:r>
            <w:r>
              <w:rPr>
                <w:rFonts w:ascii="arial" w:hAnsi="arial"/>
                <w:b/>
                <w:sz w:val="18"/>
              </w:rPr>
              <w:t>Corporate Responsibility and Compliance</w:t>
            </w:r>
          </w:p>
        </w:tc>
        <w:tc>
          <w:tcPr>
            <w:tcW w:w="120" w:type="dxa"/>
            <w:tcBorders>
              <w:bottom w:val="single" w:sz="8" w:space="0" w:color="0171B9"/>
            </w:tcBorders>
            <w:tcMar>
              <w:bottom w:w="28" w:type="dxa"/>
            </w:tcMar>
            <w:vAlign w:val="center"/>
          </w:tcPr>
          <w:p>
            <w:pPr>
              <w:pStyle w:val="TableContents"/>
              <w:bidi w:val="0"/>
              <w:spacing w:before="0" w:after="283"/>
              <w:jc w:val="left"/>
              <w:rPr/>
            </w:pPr>
            <w:r>
              <w:rPr/>
              <w:t>  </w:t>
            </w:r>
          </w:p>
        </w:tc>
        <w:tc>
          <w:tcPr>
            <w:tcW w:w="8361" w:type="dxa"/>
            <w:tcBorders>
              <w:bottom w:val="single" w:sz="8" w:space="0" w:color="0171B9"/>
            </w:tcBorders>
            <w:tcMar>
              <w:bottom w:w="28" w:type="dxa"/>
            </w:tcMar>
            <w:vAlign w:val="center"/>
          </w:tcPr>
          <w:p>
            <w:pPr>
              <w:pStyle w:val="TableContents"/>
              <w:bidi w:val="0"/>
              <w:spacing w:before="0" w:after="0"/>
              <w:jc w:val="both"/>
              <w:rPr/>
            </w:pPr>
            <w:r>
              <w:rPr>
                <w:color w:val="0171B9"/>
              </w:rPr>
              <w:t>•</w:t>
            </w:r>
            <w:r>
              <w:rPr/>
              <w:t>   </w:t>
            </w:r>
            <w:r>
              <w:rPr>
                <w:rFonts w:ascii="arial" w:hAnsi="arial"/>
                <w:sz w:val="19"/>
              </w:rPr>
              <w:t>Oversees non-financial compliance risk, such as regulatory risks associated with the requirements of U.S. federal health care programs, the FDA and other regulatory agencies, and risks associated with privacy, trade compliance, antitrust and competition, anti-bribery and anti-corruption, information systems and security (including artificial intelligence and cybersecurity), value (which includes pricing philosophy and practice) and access, government affairs, public policy, and aspects of environmental sustainability, social responsibility, and corporate governance, or ESG (including environmental sustainability and corporate philanthropy), and our reputation. Also oversees staff member compliance with the global Code of Conduct.</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156" w:type="dxa"/>
            <w:tcBorders>
              <w:bottom w:val="single" w:sz="8" w:space="0" w:color="0171B9"/>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26  </w:t>
      </w:r>
      <w:r>
        <w:rPr>
          <w:rFonts w:ascii="arial" w:hAnsi="arial"/>
          <w:b/>
          <w:color w:val="474747"/>
          <w:sz w:val="22"/>
        </w:rPr>
        <w:drawing>
          <wp:inline distT="0" distB="0" distL="0" distR="0">
            <wp:extent cx="64770" cy="15240"/>
            <wp:effectExtent l="0" t="0" r="0" b="0"/>
            <wp:docPr id="80"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56" descr=""/>
                    <pic:cNvPicPr>
                      <a:picLocks noChangeAspect="1" noChangeArrowheads="1"/>
                    </pic:cNvPicPr>
                  </pic:nvPicPr>
                  <pic:blipFill>
                    <a:blip r:embed="rId57"/>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311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263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263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Corporate Governance</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171B9"/>
          <w:sz w:val="28"/>
        </w:rPr>
      </w:pPr>
      <w:bookmarkStart w:id="9" w:name="toc445034_7"/>
      <w:bookmarkEnd w:id="9"/>
      <w:r>
        <w:rPr>
          <w:rFonts w:ascii="arial" w:hAnsi="arial"/>
          <w:b/>
          <w:color w:val="0171B9"/>
          <w:sz w:val="28"/>
        </w:rPr>
        <w:t xml:space="preserve">Codes of Business Conduct </w:t>
      </w:r>
    </w:p>
    <w:p>
      <w:pPr>
        <w:pStyle w:val="TextBody"/>
        <w:pBdr>
          <w:bottom w:val="single" w:sz="2" w:space="1" w:color="666666"/>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70">
                <wp:simplePos x="0" y="0"/>
                <wp:positionH relativeFrom="column">
                  <wp:align>left</wp:align>
                </wp:positionH>
                <wp:positionV relativeFrom="line">
                  <wp:posOffset>635</wp:posOffset>
                </wp:positionV>
                <wp:extent cx="3110230" cy="1245870"/>
                <wp:effectExtent l="0" t="0" r="0" b="0"/>
                <wp:wrapSquare wrapText="right"/>
                <wp:docPr id="81" name="Frame25"/>
                <a:graphic xmlns:a="http://schemas.openxmlformats.org/drawingml/2006/main">
                  <a:graphicData uri="http://schemas.microsoft.com/office/word/2010/wordprocessingShape">
                    <wps:wsp>
                      <wps:cNvSpPr txBox="1"/>
                      <wps:spPr>
                        <a:xfrm>
                          <a:off x="0" y="0"/>
                          <a:ext cx="3110230" cy="124587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Our Board has adopted an Amgen Board of Directors’ Code of Conduct (that applies to our Board) and a global Code of Conduct (that applies to our Board, all our staff, and others conducting business on our behalf). Annual training on the global Code of Conduct is required of all of our staff and our Board participates in such training. We also have a code of ethics for senior financial officers. To view our codes of business conduct and ethics, please visit our website at </w:t>
                            </w:r>
                            <w:r>
                              <w:rPr>
                                <w:rFonts w:ascii="arial" w:hAnsi="arial"/>
                                <w:i/>
                                <w:color w:val="0171B9"/>
                                <w:sz w:val="19"/>
                              </w:rPr>
                              <w:t>www.amgen.com</w:t>
                            </w:r>
                            <w:r>
                              <w:rPr>
                                <w:rFonts w:ascii="arial" w:hAnsi="arial"/>
                                <w:sz w:val="19"/>
                              </w:rPr>
                              <w:t xml:space="preserve">.(1)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98.1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Our Board has adopted an Amgen Board of Directors’ Code of Conduct (that applies to our Board) and a global Code of Conduct (that applies to our Board, all our staff, and others conducting business on our behalf). Annual training on the global Code of Conduct is required of all of our staff and our Board participates in such training. We also have a code of ethics for senior financial officers. To view our codes of business conduct and ethics, please visit our website at </w:t>
                      </w:r>
                      <w:r>
                        <w:rPr>
                          <w:rFonts w:ascii="arial" w:hAnsi="arial"/>
                          <w:i/>
                          <w:color w:val="0171B9"/>
                          <w:sz w:val="19"/>
                        </w:rPr>
                        <w:t>www.amgen.com</w:t>
                      </w:r>
                      <w:r>
                        <w:rPr>
                          <w:rFonts w:ascii="arial" w:hAnsi="arial"/>
                          <w:sz w:val="19"/>
                        </w:rPr>
                        <w:t xml:space="preserve">.(1) </w:t>
                      </w:r>
                    </w:p>
                  </w:txbxContent>
                </v:textbox>
                <w10:wrap type="square" side="right"/>
              </v:rect>
            </w:pict>
          </mc:Fallback>
        </mc:AlternateContent>
      </w:r>
      <w:r>
        <mc:AlternateContent>
          <mc:Choice Requires="wps">
            <w:drawing>
              <wp:anchor behindDoc="0" distT="0" distB="0" distL="0" distR="0" simplePos="0" locked="0" layoutInCell="1" allowOverlap="1" relativeHeight="271">
                <wp:simplePos x="0" y="0"/>
                <wp:positionH relativeFrom="column">
                  <wp:align>left</wp:align>
                </wp:positionH>
                <wp:positionV relativeFrom="line">
                  <wp:posOffset>635</wp:posOffset>
                </wp:positionV>
                <wp:extent cx="3175000" cy="969010"/>
                <wp:effectExtent l="0" t="0" r="0" b="0"/>
                <wp:wrapSquare wrapText="right"/>
                <wp:docPr id="82" name="Frame26"/>
                <a:graphic xmlns:a="http://schemas.openxmlformats.org/drawingml/2006/main">
                  <a:graphicData uri="http://schemas.microsoft.com/office/word/2010/wordprocessingShape">
                    <wps:wsp>
                      <wps:cNvSpPr txBox="1"/>
                      <wps:spPr>
                        <a:xfrm>
                          <a:off x="0" y="0"/>
                          <a:ext cx="3175000" cy="96901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We intend to disclose any future amendments to certain provisions of our codes of business conduct and ethics, or waivers of such provisions, applicable to our directors and executive officers on our website if such disclosure is required by SEC or NASDAQ rules. There were no waivers of any of our codes of business conduct or code of ethics in 2023.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6.3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We intend to disclose any future amendments to certain provisions of our codes of business conduct and ethics, or waivers of such provisions, applicable to our directors and executive officers on our website if such disclosure is required by SEC or NASDAQ rules. There were no waivers of any of our codes of business conduct or code of ethics in 2023.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b/>
          <w:color w:val="0171B9"/>
          <w:sz w:val="28"/>
        </w:rPr>
      </w:pPr>
      <w:bookmarkStart w:id="10" w:name="toc445034_8"/>
      <w:bookmarkEnd w:id="10"/>
      <w:r>
        <w:rPr>
          <w:rFonts w:ascii="arial" w:hAnsi="arial"/>
          <w:b/>
          <w:color w:val="0171B9"/>
          <w:sz w:val="28"/>
        </w:rPr>
        <w:t xml:space="preserve">Board Meetings </w:t>
      </w:r>
    </w:p>
    <w:p>
      <w:pPr>
        <w:pStyle w:val="TextBody"/>
        <w:pBdr>
          <w:bottom w:val="single" w:sz="2" w:space="1" w:color="666666"/>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72">
                <wp:simplePos x="0" y="0"/>
                <wp:positionH relativeFrom="column">
                  <wp:align>left</wp:align>
                </wp:positionH>
                <wp:positionV relativeFrom="line">
                  <wp:posOffset>635</wp:posOffset>
                </wp:positionV>
                <wp:extent cx="3110230" cy="692150"/>
                <wp:effectExtent l="0" t="0" r="0" b="0"/>
                <wp:wrapSquare wrapText="right"/>
                <wp:docPr id="83" name="Frame27"/>
                <a:graphic xmlns:a="http://schemas.openxmlformats.org/drawingml/2006/main">
                  <a:graphicData uri="http://schemas.microsoft.com/office/word/2010/wordprocessingShape">
                    <wps:wsp>
                      <wps:cNvSpPr txBox="1"/>
                      <wps:spPr>
                        <a:xfrm>
                          <a:off x="0" y="0"/>
                          <a:ext cx="3110230" cy="69215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The Board held 7 meetings in 2023 and all of the directors attended at least 75% of the total number of meetings of the Board and committees on which they served. It is the Company’s policy that all current directors attend our annual meetings of stockholders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4.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The Board held 7 meetings in 2023 and all of the directors attended at least 75% of the total number of meetings of the Board and committees on which they served. It is the Company’s policy that all current directors attend our annual meetings of stockholders </w:t>
                      </w:r>
                    </w:p>
                  </w:txbxContent>
                </v:textbox>
                <w10:wrap type="square" side="right"/>
              </v:rect>
            </w:pict>
          </mc:Fallback>
        </mc:AlternateContent>
      </w:r>
      <w:r>
        <mc:AlternateContent>
          <mc:Choice Requires="wps">
            <w:drawing>
              <wp:anchor behindDoc="0" distT="0" distB="0" distL="0" distR="0" simplePos="0" locked="0" layoutInCell="1" allowOverlap="1" relativeHeight="273">
                <wp:simplePos x="0" y="0"/>
                <wp:positionH relativeFrom="column">
                  <wp:align>left</wp:align>
                </wp:positionH>
                <wp:positionV relativeFrom="line">
                  <wp:posOffset>635</wp:posOffset>
                </wp:positionV>
                <wp:extent cx="3175000" cy="415290"/>
                <wp:effectExtent l="0" t="0" r="0" b="0"/>
                <wp:wrapSquare wrapText="right"/>
                <wp:docPr id="84" name="Frame28"/>
                <a:graphic xmlns:a="http://schemas.openxmlformats.org/drawingml/2006/main">
                  <a:graphicData uri="http://schemas.microsoft.com/office/word/2010/wordprocessingShape">
                    <wps:wsp>
                      <wps:cNvSpPr txBox="1"/>
                      <wps:spPr>
                        <a:xfrm>
                          <a:off x="0" y="0"/>
                          <a:ext cx="3175000" cy="41529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barring unforeseen circumstances or irresolvable conflicts. Each of our directors serving at the time of our 2023 Annual Meeting attended our 2023 Annual Meeting.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2.7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barring unforeseen circumstances or irresolvable conflicts. Each of our directors serving at the time of our 2023 Annual Meeting attended our 2023 Annual Meeting.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b/>
          <w:color w:val="0171B9"/>
          <w:sz w:val="28"/>
        </w:rPr>
      </w:pPr>
      <w:bookmarkStart w:id="11" w:name="toc445034_9"/>
      <w:bookmarkEnd w:id="11"/>
      <w:r>
        <w:rPr>
          <w:rFonts w:ascii="arial" w:hAnsi="arial"/>
          <w:b/>
          <w:color w:val="0171B9"/>
          <w:sz w:val="28"/>
        </w:rPr>
        <w:t xml:space="preserve">Communication with the Board </w:t>
      </w:r>
    </w:p>
    <w:p>
      <w:pPr>
        <w:pStyle w:val="TextBody"/>
        <w:pBdr>
          <w:bottom w:val="single" w:sz="2" w:space="1" w:color="666666"/>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74">
                <wp:simplePos x="0" y="0"/>
                <wp:positionH relativeFrom="column">
                  <wp:align>left</wp:align>
                </wp:positionH>
                <wp:positionV relativeFrom="line">
                  <wp:posOffset>635</wp:posOffset>
                </wp:positionV>
                <wp:extent cx="3110230" cy="2214880"/>
                <wp:effectExtent l="0" t="0" r="0" b="0"/>
                <wp:wrapSquare wrapText="right"/>
                <wp:docPr id="85" name="Frame29"/>
                <a:graphic xmlns:a="http://schemas.openxmlformats.org/drawingml/2006/main">
                  <a:graphicData uri="http://schemas.microsoft.com/office/word/2010/wordprocessingShape">
                    <wps:wsp>
                      <wps:cNvSpPr txBox="1"/>
                      <wps:spPr>
                        <a:xfrm>
                          <a:off x="0" y="0"/>
                          <a:ext cx="3110230" cy="221488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Our annual meeting of stockholders provides an opportunity each year for stockholders to ask questions of our lead independent director and other members of the Board on appropriate matters. In addition, stockholders may communicate in writing with any particular director, any committee of the Board, or the directors as a group, by sending such written communication to our Secretary at our principal executive offices at One Amgen Center Drive, Thousand Oaks, California 91320-1799. Copies of written communications received at such address will be provided to the Board or the relevant director unless such communications are considered, in the reasonable judgment of our Secretary, to be inappropriate for submission to the intended recipient(s). Examples of stockholder communications that would be considered inappropriate for submission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74.4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Our annual meeting of stockholders provides an opportunity each year for stockholders to ask questions of our lead independent director and other members of the Board on appropriate matters. In addition, stockholders may communicate in writing with any particular director, any committee of the Board, or the directors as a group, by sending such written communication to our Secretary at our principal executive offices at One Amgen Center Drive, Thousand Oaks, California 91320-1799. Copies of written communications received at such address will be provided to the Board or the relevant director unless such communications are considered, in the reasonable judgment of our Secretary, to be inappropriate for submission to the intended recipient(s). Examples of stockholder communications that would be considered inappropriate for submission </w:t>
                      </w:r>
                    </w:p>
                  </w:txbxContent>
                </v:textbox>
                <w10:wrap type="square" side="right"/>
              </v:rect>
            </w:pict>
          </mc:Fallback>
        </mc:AlternateContent>
      </w:r>
      <w:r>
        <mc:AlternateContent>
          <mc:Choice Requires="wps">
            <w:drawing>
              <wp:anchor behindDoc="0" distT="0" distB="0" distL="0" distR="0" simplePos="0" locked="0" layoutInCell="1" allowOverlap="1" relativeHeight="275">
                <wp:simplePos x="0" y="0"/>
                <wp:positionH relativeFrom="column">
                  <wp:align>left</wp:align>
                </wp:positionH>
                <wp:positionV relativeFrom="line">
                  <wp:posOffset>635</wp:posOffset>
                </wp:positionV>
                <wp:extent cx="3175000" cy="2076450"/>
                <wp:effectExtent l="0" t="0" r="0" b="0"/>
                <wp:wrapSquare wrapText="right"/>
                <wp:docPr id="86" name="Frame30"/>
                <a:graphic xmlns:a="http://schemas.openxmlformats.org/drawingml/2006/main">
                  <a:graphicData uri="http://schemas.microsoft.com/office/word/2010/wordprocessingShape">
                    <wps:wsp>
                      <wps:cNvSpPr txBox="1"/>
                      <wps:spPr>
                        <a:xfrm>
                          <a:off x="0" y="0"/>
                          <a:ext cx="3175000" cy="207645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to the Board include, without limitation, customer complaints, solicitations, communications that do not relate directly or indirectly to our business, or communications that relate to improper or irrelevant topics. The Secretary or his designee may analyze and prepare a response to the information contained in communications received and may deliver a copy of the communication to other Company staff members or agents who are responsible for analyzing or responding to complaints or requests. Communications concerning potential director nominees submitted by any of our stockholders will be forwarded to the Chair of the Governance Committee. For information on our engagement with our stockholders since the 2023 Annual Meeting, please see pages 60-61 of our Compensation Discussion and Analysis.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63.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to the Board include, without limitation, customer complaints, solicitations, communications that do not relate directly or indirectly to our business, or communications that relate to improper or irrelevant topics. The Secretary or his designee may analyze and prepare a response to the information contained in communications received and may deliver a copy of the communication to other Company staff members or agents who are responsible for analyzing or responding to complaints or requests. Communications concerning potential director nominees submitted by any of our stockholders will be forwarded to the Chair of the Governance Committee. For information on our engagement with our stockholders since the 2023 Annual Meeting, please see pages 60-61 of our Compensation Discussion and Analysis. </w:t>
                      </w:r>
                    </w:p>
                  </w:txbxContent>
                </v:textbox>
                <w10:wrap type="square" side="right"/>
              </v:rect>
            </w:pict>
          </mc:Fallback>
        </mc:AlternateContent>
      </w:r>
    </w:p>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341"/>
        <w:gridCol w:w="9864"/>
      </w:tblGrid>
      <w:tr>
        <w:trPr/>
        <w:tc>
          <w:tcPr>
            <w:tcW w:w="341" w:type="dxa"/>
            <w:tcBorders/>
            <w:vAlign w:val="center"/>
          </w:tcPr>
          <w:p>
            <w:pPr>
              <w:pStyle w:val="TableContents"/>
              <w:bidi w:val="0"/>
              <w:spacing w:before="0" w:after="283"/>
              <w:jc w:val="left"/>
              <w:rPr/>
            </w:pPr>
            <w:r>
              <w:rPr/>
              <w:t>(1) </w:t>
            </w:r>
          </w:p>
        </w:tc>
        <w:tc>
          <w:tcPr>
            <w:tcW w:w="9864" w:type="dxa"/>
            <w:tcBorders/>
            <w:vAlign w:val="center"/>
          </w:tcPr>
          <w:p>
            <w:pPr>
              <w:pStyle w:val="TableContents"/>
              <w:bidi w:val="0"/>
              <w:spacing w:before="0" w:after="0"/>
              <w:jc w:val="both"/>
              <w:rPr>
                <w:rFonts w:ascii="arial" w:hAnsi="arial"/>
                <w:sz w:val="16"/>
              </w:rPr>
            </w:pPr>
            <w:r>
              <w:rPr>
                <w:rFonts w:ascii="arial" w:hAnsi="arial"/>
                <w:sz w:val="16"/>
              </w:rPr>
              <w:t xml:space="preserve">Reference to our website is not intended to function as a hyperlink and the information contained on our website is not intended to be part of this proxy statement. </w:t>
            </w:r>
          </w:p>
        </w:tc>
      </w:tr>
    </w:tbl>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8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57" descr=""/>
                    <pic:cNvPicPr>
                      <a:picLocks noChangeAspect="1" noChangeArrowheads="1"/>
                    </pic:cNvPicPr>
                  </pic:nvPicPr>
                  <pic:blipFill>
                    <a:blip r:embed="rId58"/>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27</w:t>
      </w:r>
      <w:r>
        <w:rPr>
          <w:rFonts w:ascii="arial" w:hAnsi="arial"/>
          <w:b/>
          <w:sz w:val="22"/>
        </w:rPr>
        <w:t xml:space="preserve"> </w:t>
      </w:r>
      <w:r>
        <w:br w:type="page"/>
      </w:r>
    </w:p>
    <w:p>
      <w:pPr>
        <w:pStyle w:val="HorizontalLine"/>
        <w:bidi w:val="0"/>
        <w:jc w:val="left"/>
        <w:rPr/>
      </w:pPr>
      <w:r>
        <w:rPr/>
      </w:r>
    </w:p>
    <w:tbl>
      <w:tblPr>
        <w:tblW w:w="311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263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263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Corporate Governance</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171B9"/>
          <w:sz w:val="28"/>
        </w:rPr>
      </w:pPr>
      <w:bookmarkStart w:id="12" w:name="toc445034_10"/>
      <w:bookmarkEnd w:id="12"/>
      <w:r>
        <w:rPr>
          <w:rFonts w:ascii="arial" w:hAnsi="arial"/>
          <w:b/>
          <w:color w:val="0171B9"/>
          <w:sz w:val="28"/>
        </w:rPr>
        <w:t xml:space="preserve">Board Committees and Charters </w:t>
      </w:r>
    </w:p>
    <w:p>
      <w:pPr>
        <w:pStyle w:val="TextBody"/>
        <w:pBdr>
          <w:bottom w:val="single" w:sz="2" w:space="1" w:color="666666"/>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76">
                <wp:simplePos x="0" y="0"/>
                <wp:positionH relativeFrom="column">
                  <wp:align>left</wp:align>
                </wp:positionH>
                <wp:positionV relativeFrom="line">
                  <wp:posOffset>635</wp:posOffset>
                </wp:positionV>
                <wp:extent cx="3110230" cy="1938020"/>
                <wp:effectExtent l="0" t="0" r="0" b="0"/>
                <wp:wrapSquare wrapText="right"/>
                <wp:docPr id="88" name="Frame31"/>
                <a:graphic xmlns:a="http://schemas.openxmlformats.org/drawingml/2006/main">
                  <a:graphicData uri="http://schemas.microsoft.com/office/word/2010/wordprocessingShape">
                    <wps:wsp>
                      <wps:cNvSpPr txBox="1"/>
                      <wps:spPr>
                        <a:xfrm>
                          <a:off x="0" y="0"/>
                          <a:ext cx="3110230" cy="193802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The Board has four key standing committees: Governance; Audit; Compliance; and Compensation. The Board maintains charters for each of these standing committees and these charters are evaluated annually. The Compensation Committee has delegated certain responsibilities to an Equity Award Committee. In addition, an Executive Committee of the Board has all of the powers and authority of the Board in the management of our business and affairs, except with respect to certain enumerated matters, including Board composition and compensation, changes to our Certificate of Incorporation, or any other matter expressly prohibited by law or our Certificate of Incorporation. The Executive Committee did not meet in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52.6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The Board has four key standing committees: Governance; Audit; Compliance; and Compensation. The Board maintains charters for each of these standing committees and these charters are evaluated annually. The Compensation Committee has delegated certain responsibilities to an Equity Award Committee. In addition, an Executive Committee of the Board has all of the powers and authority of the Board in the management of our business and affairs, except with respect to certain enumerated matters, including Board composition and compensation, changes to our Certificate of Incorporation, or any other matter expressly prohibited by law or our Certificate of Incorporation. The Executive Committee did not meet in </w:t>
                      </w:r>
                    </w:p>
                  </w:txbxContent>
                </v:textbox>
                <w10:wrap type="square" side="right"/>
              </v:rect>
            </w:pict>
          </mc:Fallback>
        </mc:AlternateContent>
      </w:r>
      <w:r>
        <mc:AlternateContent>
          <mc:Choice Requires="wps">
            <w:drawing>
              <wp:anchor behindDoc="0" distT="0" distB="0" distL="0" distR="0" simplePos="0" locked="0" layoutInCell="1" allowOverlap="1" relativeHeight="277">
                <wp:simplePos x="0" y="0"/>
                <wp:positionH relativeFrom="column">
                  <wp:align>left</wp:align>
                </wp:positionH>
                <wp:positionV relativeFrom="line">
                  <wp:posOffset>635</wp:posOffset>
                </wp:positionV>
                <wp:extent cx="3175000" cy="969010"/>
                <wp:effectExtent l="0" t="0" r="0" b="0"/>
                <wp:wrapSquare wrapText="right"/>
                <wp:docPr id="89" name="Frame32"/>
                <a:graphic xmlns:a="http://schemas.openxmlformats.org/drawingml/2006/main">
                  <a:graphicData uri="http://schemas.microsoft.com/office/word/2010/wordprocessingShape">
                    <wps:wsp>
                      <wps:cNvSpPr txBox="1"/>
                      <wps:spPr>
                        <a:xfrm>
                          <a:off x="0" y="0"/>
                          <a:ext cx="3175000" cy="96901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2023. In addition, the Board has adopted a written set of Corporate Governance Principles and the Amgen Board of Directors’ Code of Conduct that generally formalize practices we have in place. To view the charters of our standing Board committees, our Corporate Governance Principles, and the Board of Directors’ Code of Conduct, please visit our website at </w:t>
                            </w:r>
                            <w:r>
                              <w:rPr>
                                <w:rFonts w:ascii="arial" w:hAnsi="arial"/>
                                <w:i/>
                                <w:color w:val="0171B9"/>
                                <w:sz w:val="19"/>
                              </w:rPr>
                              <w:t>www.amgen.com</w:t>
                            </w:r>
                            <w:r>
                              <w:rPr>
                                <w:rFonts w:ascii="arial" w:hAnsi="arial"/>
                                <w:sz w:val="19"/>
                              </w:rPr>
                              <w:t xml:space="preserve">.(1)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6.3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2023. In addition, the Board has adopted a written set of Corporate Governance Principles and the Amgen Board of Directors’ Code of Conduct that generally formalize practices we have in place. To view the charters of our standing Board committees, our Corporate Governance Principles, and the Board of Directors’ Code of Conduct, please visit our website at </w:t>
                      </w:r>
                      <w:r>
                        <w:rPr>
                          <w:rFonts w:ascii="arial" w:hAnsi="arial"/>
                          <w:i/>
                          <w:color w:val="0171B9"/>
                          <w:sz w:val="19"/>
                        </w:rPr>
                        <w:t>www.amgen.com</w:t>
                      </w:r>
                      <w:r>
                        <w:rPr>
                          <w:rFonts w:ascii="arial" w:hAnsi="arial"/>
                          <w:sz w:val="19"/>
                        </w:rPr>
                        <w:t xml:space="preserve">.(1) </w:t>
                      </w:r>
                    </w:p>
                  </w:txbxContent>
                </v:textbox>
                <w10:wrap type="square" side="right"/>
              </v:rect>
            </w:pict>
          </mc:Fallback>
        </mc:AlternateConten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625"/>
        <w:gridCol w:w="60"/>
        <w:gridCol w:w="60"/>
        <w:gridCol w:w="120"/>
        <w:gridCol w:w="6340"/>
      </w:tblGrid>
      <w:tr>
        <w:trPr/>
        <w:tc>
          <w:tcPr>
            <w:tcW w:w="36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40" w:type="dxa"/>
            <w:tcBorders/>
            <w:vAlign w:val="center"/>
          </w:tcPr>
          <w:p>
            <w:pPr>
              <w:pStyle w:val="TableContents"/>
              <w:bidi w:val="0"/>
              <w:spacing w:before="0" w:after="283"/>
              <w:jc w:val="left"/>
              <w:rPr>
                <w:sz w:val="4"/>
                <w:szCs w:val="4"/>
              </w:rPr>
            </w:pPr>
            <w:r>
              <w:rPr>
                <w:sz w:val="4"/>
                <w:szCs w:val="4"/>
              </w:rPr>
            </w:r>
          </w:p>
        </w:tc>
      </w:tr>
      <w:tr>
        <w:trPr/>
        <w:tc>
          <w:tcPr>
            <w:tcW w:w="3625" w:type="dxa"/>
            <w:tcBorders>
              <w:top w:val="single" w:sz="12" w:space="0" w:color="0171B9"/>
              <w:bottom w:val="single" w:sz="12" w:space="0" w:color="0171B9"/>
            </w:tcBorders>
            <w:shd w:fill="B2D4EA"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b/>
                <w:i/>
                <w:color w:val="0171B9"/>
                <w:sz w:val="28"/>
              </w:rPr>
            </w:pPr>
            <w:bookmarkStart w:id="13" w:name="toc445034_11"/>
            <w:bookmarkEnd w:id="13"/>
            <w:r>
              <w:rPr>
                <w:rFonts w:ascii="arial" w:hAnsi="arial"/>
                <w:b/>
                <w:i/>
                <w:color w:val="0171B9"/>
                <w:sz w:val="28"/>
              </w:rPr>
              <w:t>Governance and Nominating Committee</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Current Members:</w:t>
            </w:r>
          </w:p>
          <w:p>
            <w:pPr>
              <w:pStyle w:val="TableContents"/>
              <w:bidi w:val="0"/>
              <w:spacing w:before="0" w:after="0"/>
              <w:jc w:val="left"/>
              <w:rPr>
                <w:rFonts w:ascii="arial" w:hAnsi="arial"/>
                <w:sz w:val="19"/>
              </w:rPr>
            </w:pPr>
            <w:r>
              <w:rPr>
                <w:rFonts w:ascii="arial" w:hAnsi="arial"/>
                <w:sz w:val="19"/>
              </w:rPr>
              <w:t>Greg C. Garland (Chair)</w:t>
            </w:r>
          </w:p>
          <w:p>
            <w:pPr>
              <w:pStyle w:val="TableContents"/>
              <w:bidi w:val="0"/>
              <w:spacing w:before="0" w:after="0"/>
              <w:jc w:val="left"/>
              <w:rPr>
                <w:rFonts w:ascii="arial" w:hAnsi="arial"/>
                <w:sz w:val="19"/>
              </w:rPr>
            </w:pPr>
            <w:r>
              <w:rPr>
                <w:rFonts w:ascii="arial" w:hAnsi="arial"/>
                <w:sz w:val="19"/>
              </w:rPr>
              <w:t>Michael V. Drake</w:t>
            </w:r>
          </w:p>
          <w:p>
            <w:pPr>
              <w:pStyle w:val="TableContents"/>
              <w:bidi w:val="0"/>
              <w:spacing w:before="0" w:after="0"/>
              <w:jc w:val="left"/>
              <w:rPr>
                <w:rFonts w:ascii="arial" w:hAnsi="arial"/>
                <w:sz w:val="19"/>
              </w:rPr>
            </w:pPr>
            <w:r>
              <w:rPr>
                <w:rFonts w:ascii="arial" w:hAnsi="arial"/>
                <w:sz w:val="19"/>
              </w:rPr>
              <w:t>Robert A. Eckert</w:t>
            </w:r>
          </w:p>
          <w:p>
            <w:pPr>
              <w:pStyle w:val="TableContents"/>
              <w:bidi w:val="0"/>
              <w:spacing w:before="0" w:after="0"/>
              <w:jc w:val="left"/>
              <w:rPr>
                <w:rFonts w:ascii="arial" w:hAnsi="arial"/>
                <w:sz w:val="19"/>
              </w:rPr>
            </w:pPr>
            <w:r>
              <w:rPr>
                <w:rFonts w:ascii="arial" w:hAnsi="arial"/>
                <w:sz w:val="19"/>
              </w:rPr>
              <w:t>Charles M. Holley, Jr.</w:t>
            </w:r>
          </w:p>
          <w:p>
            <w:pPr>
              <w:pStyle w:val="TableContents"/>
              <w:bidi w:val="0"/>
              <w:spacing w:before="0" w:after="0"/>
              <w:jc w:val="left"/>
              <w:rPr>
                <w:rFonts w:ascii="arial" w:hAnsi="arial"/>
                <w:sz w:val="19"/>
              </w:rPr>
            </w:pPr>
            <w:r>
              <w:rPr>
                <w:rFonts w:ascii="arial" w:hAnsi="arial"/>
                <w:sz w:val="19"/>
              </w:rPr>
              <w:t>Ellen J. Kullman</w:t>
            </w:r>
          </w:p>
          <w:p>
            <w:pPr>
              <w:pStyle w:val="TableContents"/>
              <w:bidi w:val="0"/>
              <w:spacing w:before="0" w:after="0"/>
              <w:jc w:val="left"/>
              <w:rPr>
                <w:rFonts w:ascii="arial" w:hAnsi="arial"/>
                <w:sz w:val="19"/>
              </w:rPr>
            </w:pPr>
            <w:r>
              <w:rPr>
                <w:rFonts w:ascii="arial" w:hAnsi="arial"/>
                <w:sz w:val="19"/>
              </w:rPr>
              <w:t>Amy E. Miles</w:t>
            </w:r>
          </w:p>
          <w:p>
            <w:pPr>
              <w:pStyle w:val="TableContents"/>
              <w:bidi w:val="0"/>
              <w:spacing w:before="0" w:after="0"/>
              <w:jc w:val="left"/>
              <w:rPr>
                <w:rFonts w:ascii="arial" w:hAnsi="arial"/>
                <w:sz w:val="19"/>
              </w:rPr>
            </w:pPr>
            <w:r>
              <w:rPr>
                <w:rFonts w:ascii="arial" w:hAnsi="arial"/>
                <w:sz w:val="19"/>
              </w:rPr>
              <w:t>Ronald D. Sugar</w:t>
            </w:r>
          </w:p>
          <w:p>
            <w:pPr>
              <w:pStyle w:val="TableContents"/>
              <w:bidi w:val="0"/>
              <w:spacing w:before="0" w:after="0"/>
              <w:jc w:val="left"/>
              <w:rPr>
                <w:rFonts w:ascii="arial" w:hAnsi="arial"/>
                <w:sz w:val="19"/>
              </w:rPr>
            </w:pPr>
            <w:r>
              <w:rPr>
                <w:rFonts w:ascii="arial" w:hAnsi="arial"/>
                <w:sz w:val="19"/>
              </w:rPr>
              <w:t>R. Sanders Williams</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 xml:space="preserve">Number of Meetings Held in 2023: </w:t>
            </w:r>
            <w:r>
              <w:rPr>
                <w:rFonts w:ascii="arial" w:hAnsi="arial"/>
                <w:b/>
                <w:color w:val="0171B9"/>
                <w:sz w:val="20"/>
              </w:rPr>
              <w:t>5</w:t>
            </w:r>
          </w:p>
          <w:p>
            <w:pPr>
              <w:pStyle w:val="TableContents"/>
              <w:bidi w:val="0"/>
              <w:spacing w:before="0" w:after="0"/>
              <w:jc w:val="left"/>
              <w:rPr/>
            </w:pPr>
            <w:r>
              <w:rPr/>
              <w:t> </w:t>
            </w:r>
          </w:p>
          <w:p>
            <w:pPr>
              <w:pStyle w:val="TableContents"/>
              <w:bidi w:val="0"/>
              <w:spacing w:before="0" w:after="20"/>
              <w:jc w:val="both"/>
              <w:rPr>
                <w:rFonts w:ascii="arial" w:hAnsi="arial"/>
                <w:i/>
                <w:sz w:val="19"/>
              </w:rPr>
            </w:pPr>
            <w:r>
              <w:rPr>
                <w:rFonts w:ascii="arial" w:hAnsi="arial"/>
                <w:i/>
                <w:sz w:val="19"/>
              </w:rPr>
              <w:t>Each member has been determined by the Board to be independent under The NASDAQ Stock Market listing standards and the requirements of the SEC.</w:t>
            </w:r>
          </w:p>
        </w:tc>
        <w:tc>
          <w:tcPr>
            <w:tcW w:w="60" w:type="dxa"/>
            <w:tcBorders>
              <w:top w:val="single" w:sz="12" w:space="0" w:color="0171B9"/>
              <w:bottom w:val="single" w:sz="12" w:space="0" w:color="0171B9"/>
            </w:tcBorders>
            <w:shd w:fill="B2D4EA" w:val="clear"/>
            <w:tcMar>
              <w:top w:w="28" w:type="dxa"/>
              <w:bottom w:w="28" w:type="dxa"/>
            </w:tcMar>
            <w:vAlign w:val="center"/>
          </w:tcPr>
          <w:p>
            <w:pPr>
              <w:pStyle w:val="TableContents"/>
              <w:bidi w:val="0"/>
              <w:spacing w:before="0" w:after="283"/>
              <w:jc w:val="left"/>
              <w:rPr/>
            </w:pPr>
            <w:r>
              <w:rPr/>
              <w:t> </w:t>
            </w:r>
          </w:p>
        </w:tc>
        <w:tc>
          <w:tcPr>
            <w:tcW w:w="60" w:type="dxa"/>
            <w:tcBorders>
              <w:top w:val="single" w:sz="12" w:space="0" w:color="0171B9"/>
              <w:bottom w:val="single" w:sz="12" w:space="0" w:color="0171B9"/>
            </w:tcBorders>
            <w:shd w:fill="B2D4EA" w:val="clear"/>
            <w:tcMar>
              <w:top w:w="28" w:type="dxa"/>
              <w:bottom w:w="28" w:type="dxa"/>
            </w:tcMar>
            <w:vAlign w:val="center"/>
          </w:tcPr>
          <w:p>
            <w:pPr>
              <w:pStyle w:val="TableContents"/>
              <w:bidi w:val="0"/>
              <w:spacing w:before="0" w:after="283"/>
              <w:jc w:val="left"/>
              <w:rPr/>
            </w:pPr>
            <w:r>
              <w:rPr/>
              <w:t> </w:t>
            </w:r>
          </w:p>
        </w:tc>
        <w:tc>
          <w:tcPr>
            <w:tcW w:w="120" w:type="dxa"/>
            <w:tcBorders>
              <w:top w:val="single" w:sz="12" w:space="0" w:color="0171B9"/>
              <w:bottom w:val="single" w:sz="12" w:space="0" w:color="0171B9"/>
            </w:tcBorders>
            <w:tcMar>
              <w:top w:w="28" w:type="dxa"/>
              <w:bottom w:w="28" w:type="dxa"/>
            </w:tcMar>
            <w:vAlign w:val="center"/>
          </w:tcPr>
          <w:p>
            <w:pPr>
              <w:pStyle w:val="TableContents"/>
              <w:bidi w:val="0"/>
              <w:spacing w:before="0" w:after="283"/>
              <w:jc w:val="left"/>
              <w:rPr/>
            </w:pPr>
            <w:r>
              <w:rPr/>
              <w:t>  </w:t>
            </w:r>
          </w:p>
        </w:tc>
        <w:tc>
          <w:tcPr>
            <w:tcW w:w="6340" w:type="dxa"/>
            <w:tcBorders>
              <w:top w:val="single" w:sz="12" w:space="0" w:color="0171B9"/>
              <w:bottom w:val="single" w:sz="12" w:space="0" w:color="0171B9"/>
            </w:tcBorders>
            <w:tcMar>
              <w:top w:w="28" w:type="dxa"/>
              <w:bottom w:w="28" w:type="dxa"/>
            </w:tcMar>
            <w:vAlign w:val="center"/>
          </w:tcPr>
          <w:p>
            <w:pPr>
              <w:pStyle w:val="TableContents"/>
              <w:bidi w:val="0"/>
              <w:spacing w:before="0" w:after="0"/>
              <w:jc w:val="center"/>
              <w:rPr>
                <w:rFonts w:ascii="arial" w:hAnsi="arial"/>
                <w:b/>
                <w:color w:val="FFFFFF"/>
                <w:sz w:val="18"/>
              </w:rPr>
            </w:pPr>
            <w:r>
              <w:rPr>
                <w:rFonts w:ascii="arial" w:hAnsi="arial"/>
                <w:b/>
                <w:color w:val="FFFFFF"/>
                <w:sz w:val="18"/>
              </w:rPr>
              <w:t>Description and Key Responsibilities:</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Description and Key Responsibilities:</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 xml:space="preserve">Determines Board membership qualifications and maintains, with the approval of the Board, guidelines for selecting nominees to serve on the Board and considering stockholder recommendations for nominees. The Amgen Inc. Board of Directors Guidelines for Director Qualifications and Evaluations are included in this proxy statement as </w:t>
            </w:r>
            <w:r>
              <w:rPr>
                <w:rFonts w:ascii="arial" w:hAnsi="arial"/>
                <w:b/>
                <w:sz w:val="19"/>
              </w:rPr>
              <w:t>Appendix A</w:t>
            </w:r>
            <w:r>
              <w:rPr>
                <w:rFonts w:ascii="arial" w:hAnsi="arial"/>
                <w:sz w:val="19"/>
              </w:rPr>
              <w:t>.</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Selects, evaluates, and recommends to the Board nominees to stand for election at the annual meeting of stockholders and to fill vacancies as they arise as more fully described in “Process for Selecting Directors, Director Qualifications, and Board Diversity” below.</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Recommends to the Board the appointment of a lead director.</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Reviews the performance of the Board and its committees and is responsible for ensuring the availability of an orientation program for new Board members and director education.</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Recommends to the Board nominees for appointment as executive officers and certain other officers.</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Evaluates and makes recommendations to our Board regarding compensation for non-employee Board members, including minimum retention and ownership levels of Company stock by Board members. (Any Board member who is also an employee of the Company does not receive separate compensation for service on the Board.)</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Monitors the independence of the Board and evaluates questions of possible conflicts of interest of members of the Board.</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Oversees the Board’s Corporate Governance Principles and the Amgen Board of Directors’ Code of Conduct applicable to members of the Board.</w:t>
            </w:r>
          </w:p>
          <w:p>
            <w:pPr>
              <w:pStyle w:val="TableContents"/>
              <w:bidi w:val="0"/>
              <w:spacing w:before="0" w:after="0"/>
              <w:jc w:val="left"/>
              <w:rPr/>
            </w:pPr>
            <w:r>
              <w:rPr/>
              <w:t> </w:t>
            </w:r>
          </w:p>
          <w:p>
            <w:pPr>
              <w:pStyle w:val="TableContents"/>
              <w:bidi w:val="0"/>
              <w:spacing w:before="0" w:after="0"/>
              <w:jc w:val="both"/>
              <w:rPr>
                <w:rFonts w:ascii="arial" w:hAnsi="arial"/>
                <w:sz w:val="19"/>
              </w:rPr>
            </w:pPr>
            <w:r>
              <w:rPr>
                <w:rFonts w:ascii="arial" w:hAnsi="arial"/>
                <w:sz w:val="19"/>
              </w:rPr>
              <w:t>The Governance Committee has authority to delegate these functions to a subcommittee of its members, but no delegation of authority was made in 2023.</w:t>
            </w:r>
          </w:p>
          <w:p>
            <w:pPr>
              <w:pStyle w:val="TableContents"/>
              <w:bidi w:val="0"/>
              <w:spacing w:before="0" w:after="20"/>
              <w:jc w:val="left"/>
              <w:rPr/>
            </w:pPr>
            <w:r>
              <w:rPr/>
              <w:t> </w:t>
            </w:r>
          </w:p>
        </w:tc>
      </w:tr>
    </w:tbl>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341"/>
        <w:gridCol w:w="9864"/>
      </w:tblGrid>
      <w:tr>
        <w:trPr/>
        <w:tc>
          <w:tcPr>
            <w:tcW w:w="341" w:type="dxa"/>
            <w:tcBorders/>
            <w:vAlign w:val="center"/>
          </w:tcPr>
          <w:p>
            <w:pPr>
              <w:pStyle w:val="TableContents"/>
              <w:bidi w:val="0"/>
              <w:spacing w:before="0" w:after="283"/>
              <w:jc w:val="left"/>
              <w:rPr/>
            </w:pPr>
            <w:r>
              <w:rPr/>
              <w:t>(1) </w:t>
            </w:r>
          </w:p>
        </w:tc>
        <w:tc>
          <w:tcPr>
            <w:tcW w:w="9864" w:type="dxa"/>
            <w:tcBorders/>
            <w:vAlign w:val="center"/>
          </w:tcPr>
          <w:p>
            <w:pPr>
              <w:pStyle w:val="TableContents"/>
              <w:bidi w:val="0"/>
              <w:spacing w:before="0" w:after="0"/>
              <w:jc w:val="both"/>
              <w:rPr>
                <w:rFonts w:ascii="arial" w:hAnsi="arial"/>
                <w:sz w:val="16"/>
              </w:rPr>
            </w:pPr>
            <w:r>
              <w:rPr>
                <w:rFonts w:ascii="arial" w:hAnsi="arial"/>
                <w:sz w:val="16"/>
              </w:rPr>
              <w:t xml:space="preserve">Reference to our website is not intended to function as a hyperlink and the information contained on our website is not intended to be part of this proxy statement. </w:t>
            </w:r>
          </w:p>
        </w:tc>
      </w:tr>
    </w:tbl>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28  </w:t>
      </w:r>
      <w:r>
        <w:rPr>
          <w:rFonts w:ascii="arial" w:hAnsi="arial"/>
          <w:b/>
          <w:color w:val="474747"/>
          <w:sz w:val="22"/>
        </w:rPr>
        <w:drawing>
          <wp:inline distT="0" distB="0" distL="0" distR="0">
            <wp:extent cx="64770" cy="15240"/>
            <wp:effectExtent l="0" t="0" r="0" b="0"/>
            <wp:docPr id="90"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58" descr=""/>
                    <pic:cNvPicPr>
                      <a:picLocks noChangeAspect="1" noChangeArrowheads="1"/>
                    </pic:cNvPicPr>
                  </pic:nvPicPr>
                  <pic:blipFill>
                    <a:blip r:embed="rId59"/>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311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263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263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Corporate Governance</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171B9"/>
          <w:sz w:val="28"/>
        </w:rPr>
      </w:pPr>
      <w:bookmarkStart w:id="14" w:name="toc445034_12"/>
      <w:bookmarkEnd w:id="14"/>
      <w:r>
        <w:rPr>
          <w:rFonts w:ascii="arial" w:hAnsi="arial"/>
          <w:b/>
          <w:color w:val="0171B9"/>
          <w:sz w:val="28"/>
        </w:rPr>
        <w:t xml:space="preserve">Summary of Director Nominee Core Experiences and Skills </w:t>
      </w:r>
    </w:p>
    <w:p>
      <w:pPr>
        <w:pStyle w:val="TextBody"/>
        <w:pBdr>
          <w:bottom w:val="single" w:sz="2" w:space="1" w:color="666666"/>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78">
                <wp:simplePos x="0" y="0"/>
                <wp:positionH relativeFrom="column">
                  <wp:align>left</wp:align>
                </wp:positionH>
                <wp:positionV relativeFrom="line">
                  <wp:posOffset>635</wp:posOffset>
                </wp:positionV>
                <wp:extent cx="3110230" cy="1661160"/>
                <wp:effectExtent l="0" t="0" r="0" b="0"/>
                <wp:wrapSquare wrapText="right"/>
                <wp:docPr id="91" name="Frame33"/>
                <a:graphic xmlns:a="http://schemas.openxmlformats.org/drawingml/2006/main">
                  <a:graphicData uri="http://schemas.microsoft.com/office/word/2010/wordprocessingShape">
                    <wps:wsp>
                      <wps:cNvSpPr txBox="1"/>
                      <wps:spPr>
                        <a:xfrm>
                          <a:off x="0" y="0"/>
                          <a:ext cx="3110230" cy="166116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Our Board consists of a diverse group of highly qualified leaders in their respective fields. All of our director nominees have senior leadership experience at large organizations, and have gained significant and diverse management experience (including strategic and financial planning, public company financial reporting, compliance, risk management, and leadership development). Many of our director nominees also have public company experience (serving as chief executive officers or chief financial officers, on boards of directors and board committees), an understanding of corporate governance practices and trends, and bring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30.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Our Board consists of a diverse group of highly qualified leaders in their respective fields. All of our director nominees have senior leadership experience at large organizations, and have gained significant and diverse management experience (including strategic and financial planning, public company financial reporting, compliance, risk management, and leadership development). Many of our director nominees also have public company experience (serving as chief executive officers or chief financial officers, on boards of directors and board committees), an understanding of corporate governance practices and trends, and bring </w:t>
                      </w:r>
                    </w:p>
                  </w:txbxContent>
                </v:textbox>
                <w10:wrap type="square" side="right"/>
              </v:rect>
            </w:pict>
          </mc:Fallback>
        </mc:AlternateContent>
      </w:r>
      <w:r>
        <mc:AlternateContent>
          <mc:Choice Requires="wps">
            <w:drawing>
              <wp:anchor behindDoc="0" distT="0" distB="0" distL="0" distR="0" simplePos="0" locked="0" layoutInCell="1" allowOverlap="1" relativeHeight="279">
                <wp:simplePos x="0" y="0"/>
                <wp:positionH relativeFrom="column">
                  <wp:align>left</wp:align>
                </wp:positionH>
                <wp:positionV relativeFrom="line">
                  <wp:posOffset>635</wp:posOffset>
                </wp:positionV>
                <wp:extent cx="3175000" cy="1384300"/>
                <wp:effectExtent l="0" t="0" r="0" b="0"/>
                <wp:wrapSquare wrapText="right"/>
                <wp:docPr id="92" name="Frame34"/>
                <a:graphic xmlns:a="http://schemas.openxmlformats.org/drawingml/2006/main">
                  <a:graphicData uri="http://schemas.microsoft.com/office/word/2010/wordprocessingShape">
                    <wps:wsp>
                      <wps:cNvSpPr txBox="1"/>
                      <wps:spPr>
                        <a:xfrm>
                          <a:off x="0" y="0"/>
                          <a:ext cx="3175000" cy="138430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unique perspectives to the Board. A number of our director nominees have extensive scientific and healthcare expertise relevant to our industry, including pioneering scientific research and experience leading important academic and healthcare institutions. The Board and the Governance Committee believe the skills, qualities, attributes, experience, and diversity of our director nominees provide us with a wide range of perspectives to address our Company’s evolving needs and represent the best interests of our stockholders.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09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unique perspectives to the Board. A number of our director nominees have extensive scientific and healthcare expertise relevant to our industry, including pioneering scientific research and experience leading important academic and healthcare institutions. The Board and the Governance Committee believe the skills, qualities, attributes, experience, and diversity of our director nominees provide us with a wide range of perspectives to address our Company’s evolving needs and represent the best interests of our stockholders.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both"/>
        <w:rPr>
          <w:rFonts w:ascii="arial" w:hAnsi="arial"/>
          <w:sz w:val="19"/>
        </w:rPr>
      </w:pPr>
      <w:r>
        <w:rPr>
          <w:rFonts w:ascii="arial" w:hAnsi="arial"/>
          <w:b/>
          <w:i/>
          <w:color w:val="0171B9"/>
          <w:sz w:val="19"/>
        </w:rPr>
        <w:t>Our Board possesses a deep and broad set of skills and experiences that facilitate strong oversight and strategic direction for a leading global innovator in biotechnology.</w:t>
      </w:r>
      <w:r>
        <w:rPr>
          <w:rFonts w:ascii="arial" w:hAnsi="arial"/>
          <w:sz w:val="19"/>
        </w:rPr>
        <w:t xml:space="preserve"> The following chart summarizes the competencies of each director nominee and the details of each nominee’s competencies are included in each nominee’s biography. </w:t>
      </w:r>
    </w:p>
    <w:p>
      <w:pPr>
        <w:pStyle w:val="TextBody"/>
        <w:bidi w:val="0"/>
        <w:spacing w:before="0" w:after="0"/>
        <w:jc w:val="left"/>
        <w:rPr/>
      </w:pPr>
      <w:r>
        <w:rPr/>
        <w:t> </w:t>
      </w:r>
    </w:p>
    <w:p>
      <w:pPr>
        <w:pStyle w:val="TextBody"/>
        <w:bidi w:val="0"/>
        <w:spacing w:before="0" w:after="0"/>
        <w:jc w:val="center"/>
        <w:rPr/>
      </w:pPr>
      <w:r>
        <w:rPr/>
        <w:drawing>
          <wp:inline distT="0" distB="0" distL="0" distR="0">
            <wp:extent cx="7800975" cy="2762250"/>
            <wp:effectExtent l="0" t="0" r="0" b="0"/>
            <wp:docPr id="93"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59" descr=""/>
                    <pic:cNvPicPr>
                      <a:picLocks noChangeAspect="1" noChangeArrowheads="1"/>
                    </pic:cNvPicPr>
                  </pic:nvPicPr>
                  <pic:blipFill>
                    <a:blip r:embed="rId60"/>
                    <a:stretch>
                      <a:fillRect/>
                    </a:stretch>
                  </pic:blipFill>
                  <pic:spPr bwMode="auto">
                    <a:xfrm>
                      <a:off x="0" y="0"/>
                      <a:ext cx="7800975" cy="2762250"/>
                    </a:xfrm>
                    <a:prstGeom prst="rect">
                      <a:avLst/>
                    </a:prstGeom>
                  </pic:spPr>
                </pic:pic>
              </a:graphicData>
            </a:graphic>
          </wp:inline>
        </w:drawing>
      </w:r>
      <w:r>
        <w:rPr/>
        <w:t xml:space="preserve"> </w:t>
      </w:r>
    </w:p>
    <w:p>
      <w:pPr>
        <w:pStyle w:val="TextBody"/>
        <w:bidi w:val="0"/>
        <w:spacing w:before="240" w:after="0"/>
        <w:jc w:val="both"/>
        <w:rPr>
          <w:rFonts w:ascii="arial" w:hAnsi="arial"/>
          <w:sz w:val="19"/>
        </w:rPr>
      </w:pPr>
      <w:r>
        <w:rPr>
          <w:rFonts w:ascii="arial" w:hAnsi="arial"/>
          <w:sz w:val="19"/>
        </w:rPr>
        <w:t xml:space="preserve">The lack of a “✓” for a particular item does not mean that the director nominee does not possess that qualification, characteristic, skill, or experience. Each of our Board members have experience and/or skills in the enumerated areas, however, the ✓ is designed to indicate that a director nominee has a particular strength in that area. </w:t>
      </w:r>
    </w:p>
    <w:p>
      <w:pPr>
        <w:pStyle w:val="TextBody"/>
        <w:bidi w:val="0"/>
        <w:spacing w:before="0" w:after="0"/>
        <w:jc w:val="left"/>
        <w:rPr/>
      </w:pPr>
      <w:r>
        <w:rPr/>
        <w:t> </w:t>
      </w:r>
    </w:p>
    <w:p>
      <w:pPr>
        <w:pStyle w:val="TextBody"/>
        <w:bidi w:val="0"/>
        <w:spacing w:before="0" w:after="0"/>
        <w:jc w:val="both"/>
        <w:rPr/>
      </w:pPr>
      <w:r>
        <w:rPr/>
        <w:drawing>
          <wp:inline distT="0" distB="0" distL="0" distR="0">
            <wp:extent cx="7810500" cy="2466975"/>
            <wp:effectExtent l="0" t="0" r="0" b="0"/>
            <wp:docPr id="94"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60" descr=""/>
                    <pic:cNvPicPr>
                      <a:picLocks noChangeAspect="1" noChangeArrowheads="1"/>
                    </pic:cNvPicPr>
                  </pic:nvPicPr>
                  <pic:blipFill>
                    <a:blip r:embed="rId61"/>
                    <a:stretch>
                      <a:fillRect/>
                    </a:stretch>
                  </pic:blipFill>
                  <pic:spPr bwMode="auto">
                    <a:xfrm>
                      <a:off x="0" y="0"/>
                      <a:ext cx="7810500" cy="2466975"/>
                    </a:xfrm>
                    <a:prstGeom prst="rect">
                      <a:avLst/>
                    </a:prstGeom>
                  </pic:spPr>
                </pic:pic>
              </a:graphicData>
            </a:graphic>
          </wp:inline>
        </w:drawing>
      </w:r>
      <w:r>
        <w:rPr/>
        <w:t xml:space="preserve"> </w:t>
      </w:r>
    </w:p>
    <w:p>
      <w:pPr>
        <w:pStyle w:val="TextBody"/>
        <w:bidi w:val="0"/>
        <w:spacing w:before="0" w:after="0"/>
        <w:jc w:val="left"/>
        <w:rPr/>
      </w:pPr>
      <w:r>
        <w:rPr/>
        <w:t> </w:t>
      </w:r>
    </w:p>
    <w:tbl>
      <w:tblPr>
        <w:tblW w:w="8320" w:type="dxa"/>
        <w:jc w:val="left"/>
        <w:tblInd w:w="0" w:type="dxa"/>
        <w:tblLayout w:type="fixed"/>
        <w:tblCellMar>
          <w:top w:w="0" w:type="dxa"/>
          <w:left w:w="0" w:type="dxa"/>
          <w:bottom w:w="0" w:type="dxa"/>
          <w:right w:w="0" w:type="dxa"/>
        </w:tblCellMar>
      </w:tblPr>
      <w:tblGrid>
        <w:gridCol w:w="365"/>
        <w:gridCol w:w="7955"/>
      </w:tblGrid>
      <w:tr>
        <w:trPr/>
        <w:tc>
          <w:tcPr>
            <w:tcW w:w="365" w:type="dxa"/>
            <w:tcBorders/>
            <w:vAlign w:val="center"/>
          </w:tcPr>
          <w:p>
            <w:pPr>
              <w:pStyle w:val="TableContents"/>
              <w:bidi w:val="0"/>
              <w:spacing w:before="0" w:after="283"/>
              <w:jc w:val="left"/>
              <w:rPr/>
            </w:pPr>
            <w:r>
              <w:rPr/>
              <w:t>(1) </w:t>
            </w:r>
          </w:p>
        </w:tc>
        <w:tc>
          <w:tcPr>
            <w:tcW w:w="7955" w:type="dxa"/>
            <w:tcBorders/>
            <w:vAlign w:val="center"/>
          </w:tcPr>
          <w:p>
            <w:pPr>
              <w:pStyle w:val="TableContents"/>
              <w:bidi w:val="0"/>
              <w:spacing w:before="0" w:after="0"/>
              <w:jc w:val="both"/>
              <w:rPr>
                <w:rFonts w:ascii="arial" w:hAnsi="arial"/>
                <w:sz w:val="16"/>
              </w:rPr>
            </w:pPr>
            <w:r>
              <w:rPr>
                <w:rFonts w:ascii="arial" w:hAnsi="arial"/>
                <w:sz w:val="16"/>
              </w:rPr>
              <w:t xml:space="preserve">Includes Dr. Mary E. Klotman as a director nominee, who is standing for initial election at this Annual Meeting. </w:t>
            </w:r>
          </w:p>
        </w:tc>
      </w:tr>
    </w:tbl>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95"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61" descr=""/>
                    <pic:cNvPicPr>
                      <a:picLocks noChangeAspect="1" noChangeArrowheads="1"/>
                    </pic:cNvPicPr>
                  </pic:nvPicPr>
                  <pic:blipFill>
                    <a:blip r:embed="rId62"/>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29</w:t>
      </w:r>
      <w:r>
        <w:rPr>
          <w:rFonts w:ascii="arial" w:hAnsi="arial"/>
          <w:b/>
          <w:sz w:val="22"/>
        </w:rPr>
        <w:t xml:space="preserve"> </w:t>
      </w:r>
      <w:r>
        <w:br w:type="page"/>
      </w:r>
    </w:p>
    <w:p>
      <w:pPr>
        <w:pStyle w:val="HorizontalLine"/>
        <w:bidi w:val="0"/>
        <w:jc w:val="left"/>
        <w:rPr/>
      </w:pPr>
      <w:r>
        <w:rPr/>
      </w:r>
    </w:p>
    <w:tbl>
      <w:tblPr>
        <w:tblW w:w="311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263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263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Corporate Governance</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both"/>
        <w:rPr>
          <w:rFonts w:ascii="arial" w:hAnsi="arial"/>
          <w:sz w:val="19"/>
        </w:rPr>
      </w:pPr>
      <w:r>
        <w:rPr>
          <w:rFonts w:ascii="arial" w:hAnsi="arial"/>
          <w:sz w:val="19"/>
        </w:rPr>
        <w:t xml:space="preserve">In compliance with NASDAQ’s Board Diversity Rule, the table below provides certain highlights of the composition of our current Board members. </w:t>
      </w:r>
    </w:p>
    <w:p>
      <w:pPr>
        <w:pStyle w:val="TextBody"/>
        <w:bidi w:val="0"/>
        <w:spacing w:before="0" w:after="0"/>
        <w:jc w:val="left"/>
        <w:rPr/>
      </w:pPr>
      <w:r>
        <w:rPr/>
        <w:t> </w:t>
      </w:r>
    </w:p>
    <w:tbl>
      <w:tblPr>
        <w:tblW w:w="6090" w:type="dxa"/>
        <w:jc w:val="left"/>
        <w:tblInd w:w="0" w:type="dxa"/>
        <w:tblLayout w:type="fixed"/>
        <w:tblCellMar>
          <w:top w:w="0" w:type="dxa"/>
          <w:left w:w="0" w:type="dxa"/>
          <w:bottom w:w="0" w:type="dxa"/>
          <w:right w:w="0" w:type="dxa"/>
        </w:tblCellMar>
      </w:tblPr>
      <w:tblGrid>
        <w:gridCol w:w="2315"/>
        <w:gridCol w:w="60"/>
        <w:gridCol w:w="1021"/>
        <w:gridCol w:w="81"/>
        <w:gridCol w:w="718"/>
        <w:gridCol w:w="60"/>
        <w:gridCol w:w="1018"/>
        <w:gridCol w:w="80"/>
        <w:gridCol w:w="737"/>
      </w:tblGrid>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2315" w:type="dxa"/>
            <w:tcBorders>
              <w:top w:val="single" w:sz="6" w:space="0" w:color="000000"/>
              <w:left w:val="single" w:sz="6" w:space="0" w:color="000000"/>
              <w:bottom w:val="single" w:sz="6" w:space="0" w:color="000000"/>
              <w:right w:val="single" w:sz="6" w:space="0" w:color="000000"/>
            </w:tcBorders>
            <w:shd w:fill="0171B9" w:val="clear"/>
            <w:tcMar>
              <w:top w:w="28" w:type="dxa"/>
              <w:left w:w="160"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0171B9" w:val="clear"/>
            <w:tcMar>
              <w:top w:w="28" w:type="dxa"/>
              <w:bottom w:w="28" w:type="dxa"/>
            </w:tcMar>
            <w:vAlign w:val="center"/>
          </w:tcPr>
          <w:p>
            <w:pPr>
              <w:pStyle w:val="TableContents"/>
              <w:bidi w:val="0"/>
              <w:spacing w:before="0" w:after="283"/>
              <w:jc w:val="left"/>
              <w:rPr/>
            </w:pPr>
            <w:r>
              <w:rPr/>
              <w:t> </w:t>
            </w:r>
          </w:p>
        </w:tc>
        <w:tc>
          <w:tcPr>
            <w:tcW w:w="1820" w:type="dxa"/>
            <w:gridSpan w:val="3"/>
            <w:tcBorders>
              <w:top w:val="single" w:sz="6" w:space="0" w:color="000000"/>
              <w:bottom w:val="single" w:sz="6" w:space="0" w:color="000000"/>
              <w:right w:val="single" w:sz="6" w:space="0" w:color="000000"/>
            </w:tcBorders>
            <w:shd w:fill="0171B9" w:val="clear"/>
            <w:tcMar>
              <w:top w:w="28" w:type="dxa"/>
              <w:bottom w:w="28" w:type="dxa"/>
              <w:right w:w="28" w:type="dxa"/>
            </w:tcMar>
            <w:vAlign w:val="center"/>
          </w:tcPr>
          <w:p>
            <w:pPr>
              <w:pStyle w:val="TableContents"/>
              <w:bidi w:val="0"/>
              <w:spacing w:before="0" w:after="283"/>
              <w:jc w:val="center"/>
              <w:rPr>
                <w:b/>
                <w:color w:val="FFFFFF"/>
              </w:rPr>
            </w:pPr>
            <w:r>
              <w:rPr>
                <w:b/>
                <w:color w:val="FFFFFF"/>
              </w:rPr>
              <w:t>As of January 20,</w:t>
              <w:br/>
              <w:t>2023</w:t>
            </w:r>
          </w:p>
        </w:tc>
        <w:tc>
          <w:tcPr>
            <w:tcW w:w="60" w:type="dxa"/>
            <w:tcBorders>
              <w:top w:val="single" w:sz="6" w:space="0" w:color="000000"/>
              <w:bottom w:val="single" w:sz="6" w:space="0" w:color="000000"/>
            </w:tcBorders>
            <w:shd w:fill="0171B9" w:val="clear"/>
            <w:tcMar>
              <w:top w:w="28" w:type="dxa"/>
              <w:bottom w:w="28" w:type="dxa"/>
            </w:tcMar>
            <w:vAlign w:val="center"/>
          </w:tcPr>
          <w:p>
            <w:pPr>
              <w:pStyle w:val="TableContents"/>
              <w:bidi w:val="0"/>
              <w:spacing w:before="0" w:after="283"/>
              <w:jc w:val="left"/>
              <w:rPr/>
            </w:pPr>
            <w:r>
              <w:rPr/>
              <w:t> </w:t>
            </w:r>
          </w:p>
        </w:tc>
        <w:tc>
          <w:tcPr>
            <w:tcW w:w="1835" w:type="dxa"/>
            <w:gridSpan w:val="3"/>
            <w:tcBorders>
              <w:top w:val="single" w:sz="6" w:space="0" w:color="000000"/>
              <w:bottom w:val="single" w:sz="6" w:space="0" w:color="000000"/>
              <w:right w:val="single" w:sz="6" w:space="0" w:color="000000"/>
            </w:tcBorders>
            <w:shd w:fill="0171B9" w:val="clear"/>
            <w:tcMar>
              <w:top w:w="28" w:type="dxa"/>
              <w:bottom w:w="28" w:type="dxa"/>
              <w:right w:w="40" w:type="dxa"/>
            </w:tcMar>
            <w:vAlign w:val="center"/>
          </w:tcPr>
          <w:p>
            <w:pPr>
              <w:pStyle w:val="TableContents"/>
              <w:bidi w:val="0"/>
              <w:spacing w:before="0" w:after="283"/>
              <w:jc w:val="center"/>
              <w:rPr>
                <w:b/>
                <w:color w:val="FFFFFF"/>
              </w:rPr>
            </w:pPr>
            <w:r>
              <w:rPr>
                <w:b/>
                <w:color w:val="FFFFFF"/>
              </w:rPr>
              <w:t>As of January 20,</w:t>
              <w:br/>
              <w:t>2024(1)</w:t>
            </w:r>
          </w:p>
        </w:tc>
      </w:tr>
      <w:tr>
        <w:trPr/>
        <w:tc>
          <w:tcPr>
            <w:tcW w:w="2315" w:type="dxa"/>
            <w:tcBorders>
              <w:left w:val="single" w:sz="6" w:space="0" w:color="000000"/>
              <w:right w:val="single" w:sz="6" w:space="0" w:color="000000"/>
            </w:tcBorders>
            <w:tcMar>
              <w:left w:w="160" w:type="dxa"/>
              <w:right w:w="28" w:type="dxa"/>
            </w:tcMar>
            <w:vAlign w:val="center"/>
          </w:tcPr>
          <w:p>
            <w:pPr>
              <w:pStyle w:val="TableContents"/>
              <w:bidi w:val="0"/>
              <w:spacing w:before="0" w:after="283"/>
              <w:jc w:val="left"/>
              <w:rPr/>
            </w:pPr>
            <w:r>
              <w:rPr/>
              <w:t> </w:t>
            </w:r>
          </w:p>
        </w:tc>
        <w:tc>
          <w:tcPr>
            <w:tcW w:w="1880" w:type="dxa"/>
            <w:gridSpan w:val="4"/>
            <w:tcBorders>
              <w:right w:val="single" w:sz="6" w:space="0" w:color="000000"/>
            </w:tcBorders>
            <w:tcMar>
              <w:right w:w="28" w:type="dxa"/>
            </w:tcMar>
            <w:vAlign w:val="center"/>
          </w:tcPr>
          <w:p>
            <w:pPr>
              <w:pStyle w:val="TableContents"/>
              <w:bidi w:val="0"/>
              <w:spacing w:before="0" w:after="283"/>
              <w:jc w:val="left"/>
              <w:rPr/>
            </w:pPr>
            <w:r>
              <w:rPr/>
              <w:t> </w:t>
            </w:r>
          </w:p>
        </w:tc>
        <w:tc>
          <w:tcPr>
            <w:tcW w:w="1895" w:type="dxa"/>
            <w:gridSpan w:val="4"/>
            <w:tcBorders>
              <w:right w:val="single" w:sz="6" w:space="0" w:color="000000"/>
            </w:tcBorders>
            <w:tcMar>
              <w:right w:w="28" w:type="dxa"/>
            </w:tcMar>
            <w:vAlign w:val="center"/>
          </w:tcPr>
          <w:p>
            <w:pPr>
              <w:pStyle w:val="TableContents"/>
              <w:bidi w:val="0"/>
              <w:spacing w:before="0" w:after="283"/>
              <w:jc w:val="left"/>
              <w:rPr/>
            </w:pPr>
            <w:r>
              <w:rPr/>
              <w:t> </w:t>
            </w:r>
          </w:p>
        </w:tc>
      </w:tr>
      <w:tr>
        <w:trPr/>
        <w:tc>
          <w:tcPr>
            <w:tcW w:w="2315" w:type="dxa"/>
            <w:tcBorders>
              <w:left w:val="single" w:sz="6" w:space="0" w:color="000000"/>
              <w:bottom w:val="single" w:sz="6" w:space="0" w:color="000000"/>
              <w:right w:val="single" w:sz="6" w:space="0" w:color="000000"/>
            </w:tcBorders>
            <w:tcMar>
              <w:left w:w="160" w:type="dxa"/>
              <w:bottom w:w="60" w:type="dxa"/>
              <w:right w:w="28" w:type="dxa"/>
            </w:tcMar>
            <w:vAlign w:val="center"/>
          </w:tcPr>
          <w:p>
            <w:pPr>
              <w:pStyle w:val="TableContents"/>
              <w:bidi w:val="0"/>
              <w:spacing w:before="0" w:after="0"/>
              <w:jc w:val="left"/>
              <w:rPr>
                <w:rFonts w:ascii="arial" w:hAnsi="arial"/>
                <w:sz w:val="19"/>
              </w:rPr>
            </w:pPr>
            <w:r>
              <w:rPr>
                <w:rFonts w:ascii="arial" w:hAnsi="arial"/>
                <w:sz w:val="19"/>
              </w:rPr>
              <w:t>Total Number of Directors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820" w:type="dxa"/>
            <w:gridSpan w:val="3"/>
            <w:tcBorders>
              <w:bottom w:val="single" w:sz="6" w:space="0" w:color="000000"/>
              <w:right w:val="single" w:sz="6" w:space="0" w:color="000000"/>
            </w:tcBorders>
            <w:tcMar>
              <w:bottom w:w="60" w:type="dxa"/>
              <w:right w:w="28" w:type="dxa"/>
            </w:tcMar>
            <w:vAlign w:val="center"/>
          </w:tcPr>
          <w:p>
            <w:pPr>
              <w:pStyle w:val="TableContents"/>
              <w:bidi w:val="0"/>
              <w:spacing w:before="0" w:after="283"/>
              <w:jc w:val="center"/>
              <w:rPr/>
            </w:pPr>
            <w:r>
              <w:rPr/>
              <w:t>13</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835" w:type="dxa"/>
            <w:gridSpan w:val="3"/>
            <w:tcBorders>
              <w:bottom w:val="single" w:sz="6" w:space="0" w:color="000000"/>
              <w:right w:val="single" w:sz="6" w:space="0" w:color="000000"/>
            </w:tcBorders>
            <w:tcMar>
              <w:bottom w:w="60" w:type="dxa"/>
              <w:right w:w="28" w:type="dxa"/>
            </w:tcMar>
            <w:vAlign w:val="center"/>
          </w:tcPr>
          <w:p>
            <w:pPr>
              <w:pStyle w:val="TableContents"/>
              <w:bidi w:val="0"/>
              <w:spacing w:before="0" w:after="283"/>
              <w:jc w:val="center"/>
              <w:rPr/>
            </w:pPr>
            <w:r>
              <w:rPr/>
              <w:t>13</w:t>
            </w:r>
          </w:p>
        </w:tc>
      </w:tr>
      <w:tr>
        <w:trPr/>
        <w:tc>
          <w:tcPr>
            <w:tcW w:w="2315" w:type="dxa"/>
            <w:tcBorders>
              <w:left w:val="single" w:sz="6" w:space="0" w:color="000000"/>
              <w:right w:val="single" w:sz="6" w:space="0" w:color="000000"/>
            </w:tcBorders>
            <w:shd w:fill="CCCCCC" w:val="clear"/>
            <w:tcMar>
              <w:left w:w="160" w:type="dxa"/>
              <w:right w:w="28" w:type="dxa"/>
            </w:tcMar>
            <w:vAlign w:val="center"/>
          </w:tcPr>
          <w:p>
            <w:pPr>
              <w:pStyle w:val="TableContents"/>
              <w:bidi w:val="0"/>
              <w:spacing w:before="0" w:after="283"/>
              <w:jc w:val="left"/>
              <w:rPr/>
            </w:pPr>
            <w:r>
              <w:rPr/>
              <w:t> </w:t>
            </w:r>
          </w:p>
        </w:tc>
        <w:tc>
          <w:tcPr>
            <w:tcW w:w="1081" w:type="dxa"/>
            <w:gridSpan w:val="2"/>
            <w:tcBorders>
              <w:right w:val="single" w:sz="6" w:space="0" w:color="000000"/>
            </w:tcBorders>
            <w:shd w:fill="CCCCCC" w:val="clear"/>
            <w:tcMar>
              <w:right w:w="28" w:type="dxa"/>
            </w:tcMar>
            <w:vAlign w:val="center"/>
          </w:tcPr>
          <w:p>
            <w:pPr>
              <w:pStyle w:val="TableContents"/>
              <w:bidi w:val="0"/>
              <w:spacing w:before="0" w:after="283"/>
              <w:jc w:val="left"/>
              <w:rPr/>
            </w:pPr>
            <w:r>
              <w:rPr/>
              <w:t> </w:t>
            </w:r>
          </w:p>
        </w:tc>
        <w:tc>
          <w:tcPr>
            <w:tcW w:w="799" w:type="dxa"/>
            <w:gridSpan w:val="2"/>
            <w:tcBorders>
              <w:right w:val="single" w:sz="6" w:space="0" w:color="000000"/>
            </w:tcBorders>
            <w:shd w:fill="CCCCCC" w:val="clear"/>
            <w:tcMar>
              <w:right w:w="28" w:type="dxa"/>
            </w:tcMar>
            <w:vAlign w:val="center"/>
          </w:tcPr>
          <w:p>
            <w:pPr>
              <w:pStyle w:val="TableContents"/>
              <w:bidi w:val="0"/>
              <w:spacing w:before="0" w:after="283"/>
              <w:jc w:val="left"/>
              <w:rPr/>
            </w:pPr>
            <w:r>
              <w:rPr/>
              <w:t> </w:t>
            </w:r>
          </w:p>
        </w:tc>
        <w:tc>
          <w:tcPr>
            <w:tcW w:w="1078" w:type="dxa"/>
            <w:gridSpan w:val="2"/>
            <w:tcBorders>
              <w:right w:val="single" w:sz="6" w:space="0" w:color="000000"/>
            </w:tcBorders>
            <w:shd w:fill="CCCCCC" w:val="clear"/>
            <w:tcMar>
              <w:right w:w="28" w:type="dxa"/>
            </w:tcMar>
            <w:vAlign w:val="center"/>
          </w:tcPr>
          <w:p>
            <w:pPr>
              <w:pStyle w:val="TableContents"/>
              <w:bidi w:val="0"/>
              <w:spacing w:before="0" w:after="283"/>
              <w:jc w:val="left"/>
              <w:rPr/>
            </w:pPr>
            <w:r>
              <w:rPr/>
              <w:t> </w:t>
            </w:r>
          </w:p>
        </w:tc>
        <w:tc>
          <w:tcPr>
            <w:tcW w:w="817" w:type="dxa"/>
            <w:gridSpan w:val="2"/>
            <w:tcBorders>
              <w:right w:val="single" w:sz="6" w:space="0" w:color="000000"/>
            </w:tcBorders>
            <w:shd w:fill="CCCCCC" w:val="clear"/>
            <w:tcMar>
              <w:right w:w="28" w:type="dxa"/>
            </w:tcMar>
            <w:vAlign w:val="center"/>
          </w:tcPr>
          <w:p>
            <w:pPr>
              <w:pStyle w:val="TableContents"/>
              <w:bidi w:val="0"/>
              <w:spacing w:before="0" w:after="283"/>
              <w:jc w:val="left"/>
              <w:rPr/>
            </w:pPr>
            <w:r>
              <w:rPr/>
              <w:t> </w:t>
            </w:r>
          </w:p>
        </w:tc>
      </w:tr>
      <w:tr>
        <w:trPr/>
        <w:tc>
          <w:tcPr>
            <w:tcW w:w="2315" w:type="dxa"/>
            <w:tcBorders>
              <w:left w:val="single" w:sz="6" w:space="0" w:color="000000"/>
              <w:bottom w:val="single" w:sz="6" w:space="0" w:color="000000"/>
              <w:right w:val="single" w:sz="6" w:space="0" w:color="000000"/>
            </w:tcBorders>
            <w:shd w:fill="CCCCCC" w:val="clear"/>
            <w:tcMar>
              <w:left w:w="160" w:type="dxa"/>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shd w:fill="CCCCCC" w:val="clear"/>
            <w:tcMar>
              <w:bottom w:w="28" w:type="dxa"/>
            </w:tcMar>
            <w:vAlign w:val="center"/>
          </w:tcPr>
          <w:p>
            <w:pPr>
              <w:pStyle w:val="TableContents"/>
              <w:bidi w:val="0"/>
              <w:spacing w:before="0" w:after="283"/>
              <w:jc w:val="left"/>
              <w:rPr/>
            </w:pPr>
            <w:r>
              <w:rPr/>
              <w:t> </w:t>
            </w:r>
          </w:p>
        </w:tc>
        <w:tc>
          <w:tcPr>
            <w:tcW w:w="1021" w:type="dxa"/>
            <w:tcBorders>
              <w:bottom w:val="single" w:sz="6" w:space="0" w:color="000000"/>
              <w:right w:val="single" w:sz="6" w:space="0" w:color="000000"/>
            </w:tcBorders>
            <w:shd w:fill="CCCCCC" w:val="clear"/>
            <w:tcMar>
              <w:bottom w:w="60" w:type="dxa"/>
              <w:right w:w="28" w:type="dxa"/>
            </w:tcMar>
            <w:vAlign w:val="center"/>
          </w:tcPr>
          <w:p>
            <w:pPr>
              <w:pStyle w:val="TableContents"/>
              <w:bidi w:val="0"/>
              <w:spacing w:before="0" w:after="283"/>
              <w:jc w:val="center"/>
              <w:rPr>
                <w:b/>
              </w:rPr>
            </w:pPr>
            <w:r>
              <w:rPr>
                <w:b/>
              </w:rPr>
              <w:t>Female </w:t>
            </w:r>
          </w:p>
        </w:tc>
        <w:tc>
          <w:tcPr>
            <w:tcW w:w="81" w:type="dxa"/>
            <w:tcBorders>
              <w:bottom w:val="single" w:sz="6" w:space="0" w:color="000000"/>
            </w:tcBorders>
            <w:shd w:fill="CCCCCC" w:val="clear"/>
            <w:tcMar>
              <w:bottom w:w="28" w:type="dxa"/>
            </w:tcMar>
            <w:vAlign w:val="center"/>
          </w:tcPr>
          <w:p>
            <w:pPr>
              <w:pStyle w:val="TableContents"/>
              <w:bidi w:val="0"/>
              <w:spacing w:before="0" w:after="283"/>
              <w:jc w:val="left"/>
              <w:rPr/>
            </w:pPr>
            <w:r>
              <w:rPr/>
              <w:t> </w:t>
            </w:r>
          </w:p>
        </w:tc>
        <w:tc>
          <w:tcPr>
            <w:tcW w:w="718" w:type="dxa"/>
            <w:tcBorders>
              <w:bottom w:val="single" w:sz="6" w:space="0" w:color="000000"/>
              <w:right w:val="single" w:sz="6" w:space="0" w:color="000000"/>
            </w:tcBorders>
            <w:shd w:fill="CCCCCC" w:val="clear"/>
            <w:tcMar>
              <w:bottom w:w="60" w:type="dxa"/>
              <w:right w:w="28" w:type="dxa"/>
            </w:tcMar>
            <w:vAlign w:val="center"/>
          </w:tcPr>
          <w:p>
            <w:pPr>
              <w:pStyle w:val="TableContents"/>
              <w:bidi w:val="0"/>
              <w:spacing w:before="0" w:after="283"/>
              <w:jc w:val="center"/>
              <w:rPr>
                <w:b/>
              </w:rPr>
            </w:pPr>
            <w:r>
              <w:rPr>
                <w:b/>
              </w:rPr>
              <w:t>Male </w:t>
            </w:r>
          </w:p>
        </w:tc>
        <w:tc>
          <w:tcPr>
            <w:tcW w:w="60" w:type="dxa"/>
            <w:tcBorders>
              <w:bottom w:val="single" w:sz="6" w:space="0" w:color="000000"/>
            </w:tcBorders>
            <w:shd w:fill="CCCCCC" w:val="clear"/>
            <w:tcMar>
              <w:bottom w:w="28" w:type="dxa"/>
            </w:tcMar>
            <w:vAlign w:val="center"/>
          </w:tcPr>
          <w:p>
            <w:pPr>
              <w:pStyle w:val="TableContents"/>
              <w:bidi w:val="0"/>
              <w:spacing w:before="0" w:after="283"/>
              <w:jc w:val="left"/>
              <w:rPr/>
            </w:pPr>
            <w:r>
              <w:rPr/>
              <w:t> </w:t>
            </w:r>
          </w:p>
        </w:tc>
        <w:tc>
          <w:tcPr>
            <w:tcW w:w="1018" w:type="dxa"/>
            <w:tcBorders>
              <w:bottom w:val="single" w:sz="6" w:space="0" w:color="000000"/>
              <w:right w:val="single" w:sz="6" w:space="0" w:color="000000"/>
            </w:tcBorders>
            <w:shd w:fill="CCCCCC" w:val="clear"/>
            <w:tcMar>
              <w:bottom w:w="60" w:type="dxa"/>
              <w:right w:w="28" w:type="dxa"/>
            </w:tcMar>
            <w:vAlign w:val="center"/>
          </w:tcPr>
          <w:p>
            <w:pPr>
              <w:pStyle w:val="TableContents"/>
              <w:bidi w:val="0"/>
              <w:spacing w:before="0" w:after="283"/>
              <w:jc w:val="center"/>
              <w:rPr>
                <w:b/>
              </w:rPr>
            </w:pPr>
            <w:r>
              <w:rPr>
                <w:b/>
              </w:rPr>
              <w:t>Female </w:t>
            </w:r>
          </w:p>
        </w:tc>
        <w:tc>
          <w:tcPr>
            <w:tcW w:w="80" w:type="dxa"/>
            <w:tcBorders>
              <w:bottom w:val="single" w:sz="6" w:space="0" w:color="000000"/>
            </w:tcBorders>
            <w:shd w:fill="CCCCCC" w:val="clear"/>
            <w:tcMar>
              <w:bottom w:w="28" w:type="dxa"/>
            </w:tcMar>
            <w:vAlign w:val="center"/>
          </w:tcPr>
          <w:p>
            <w:pPr>
              <w:pStyle w:val="TableContents"/>
              <w:bidi w:val="0"/>
              <w:spacing w:before="0" w:after="283"/>
              <w:jc w:val="left"/>
              <w:rPr/>
            </w:pPr>
            <w:r>
              <w:rPr/>
              <w:t> </w:t>
            </w:r>
          </w:p>
        </w:tc>
        <w:tc>
          <w:tcPr>
            <w:tcW w:w="737" w:type="dxa"/>
            <w:tcBorders>
              <w:bottom w:val="single" w:sz="6" w:space="0" w:color="000000"/>
              <w:right w:val="single" w:sz="6" w:space="0" w:color="000000"/>
            </w:tcBorders>
            <w:shd w:fill="CCCCCC" w:val="clear"/>
            <w:tcMar>
              <w:bottom w:w="60" w:type="dxa"/>
              <w:right w:w="28" w:type="dxa"/>
            </w:tcMar>
            <w:vAlign w:val="center"/>
          </w:tcPr>
          <w:p>
            <w:pPr>
              <w:pStyle w:val="TableContents"/>
              <w:bidi w:val="0"/>
              <w:spacing w:before="0" w:after="283"/>
              <w:jc w:val="center"/>
              <w:rPr>
                <w:b/>
              </w:rPr>
            </w:pPr>
            <w:r>
              <w:rPr>
                <w:b/>
              </w:rPr>
              <w:t>Male </w:t>
            </w:r>
          </w:p>
        </w:tc>
      </w:tr>
      <w:tr>
        <w:trPr/>
        <w:tc>
          <w:tcPr>
            <w:tcW w:w="5273" w:type="dxa"/>
            <w:gridSpan w:val="7"/>
            <w:tcBorders>
              <w:left w:val="single" w:sz="6" w:space="0" w:color="000000"/>
            </w:tcBorders>
            <w:shd w:fill="CCCCCC" w:val="clear"/>
            <w:tcMar>
              <w:left w:w="160" w:type="dxa"/>
            </w:tcMar>
            <w:vAlign w:val="center"/>
          </w:tcPr>
          <w:p>
            <w:pPr>
              <w:pStyle w:val="TableContents"/>
              <w:bidi w:val="0"/>
              <w:spacing w:before="0" w:after="283"/>
              <w:jc w:val="left"/>
              <w:rPr/>
            </w:pPr>
            <w:r>
              <w:rPr/>
              <w:t> </w:t>
            </w:r>
          </w:p>
        </w:tc>
        <w:tc>
          <w:tcPr>
            <w:tcW w:w="817" w:type="dxa"/>
            <w:gridSpan w:val="2"/>
            <w:tcBorders>
              <w:right w:val="single" w:sz="6" w:space="0" w:color="000000"/>
            </w:tcBorders>
            <w:shd w:fill="CCCCCC" w:val="clear"/>
            <w:tcMar>
              <w:right w:w="28" w:type="dxa"/>
            </w:tcMar>
            <w:vAlign w:val="center"/>
          </w:tcPr>
          <w:p>
            <w:pPr>
              <w:pStyle w:val="TableContents"/>
              <w:bidi w:val="0"/>
              <w:spacing w:before="0" w:after="283"/>
              <w:jc w:val="left"/>
              <w:rPr/>
            </w:pPr>
            <w:r>
              <w:rPr/>
              <w:t> </w:t>
            </w:r>
          </w:p>
        </w:tc>
      </w:tr>
      <w:tr>
        <w:trPr/>
        <w:tc>
          <w:tcPr>
            <w:tcW w:w="5273" w:type="dxa"/>
            <w:gridSpan w:val="7"/>
            <w:tcBorders>
              <w:left w:val="single" w:sz="6" w:space="0" w:color="000000"/>
              <w:bottom w:val="single" w:sz="6" w:space="0" w:color="000000"/>
            </w:tcBorders>
            <w:shd w:fill="CCCCCC" w:val="clear"/>
            <w:tcMar>
              <w:left w:w="160" w:type="dxa"/>
              <w:bottom w:w="60" w:type="dxa"/>
            </w:tcMar>
            <w:vAlign w:val="center"/>
          </w:tcPr>
          <w:p>
            <w:pPr>
              <w:pStyle w:val="TableContents"/>
              <w:bidi w:val="0"/>
              <w:spacing w:before="0" w:after="0"/>
              <w:jc w:val="left"/>
              <w:rPr>
                <w:rFonts w:ascii="arial" w:hAnsi="arial"/>
                <w:b/>
                <w:sz w:val="19"/>
              </w:rPr>
            </w:pPr>
            <w:r>
              <w:rPr>
                <w:rFonts w:ascii="arial" w:hAnsi="arial"/>
                <w:b/>
                <w:sz w:val="19"/>
              </w:rPr>
              <w:t>Part I: Gender Identity</w:t>
            </w:r>
          </w:p>
        </w:tc>
        <w:tc>
          <w:tcPr>
            <w:tcW w:w="80" w:type="dxa"/>
            <w:tcBorders>
              <w:bottom w:val="single" w:sz="6" w:space="0" w:color="000000"/>
            </w:tcBorders>
            <w:shd w:fill="CCCCCC" w:val="clear"/>
            <w:tcMar>
              <w:bottom w:w="28" w:type="dxa"/>
            </w:tcMar>
            <w:vAlign w:val="center"/>
          </w:tcPr>
          <w:p>
            <w:pPr>
              <w:pStyle w:val="TableContents"/>
              <w:bidi w:val="0"/>
              <w:spacing w:before="0" w:after="283"/>
              <w:jc w:val="left"/>
              <w:rPr/>
            </w:pPr>
            <w:r>
              <w:rPr/>
              <w:t> </w:t>
            </w:r>
          </w:p>
        </w:tc>
        <w:tc>
          <w:tcPr>
            <w:tcW w:w="737" w:type="dxa"/>
            <w:tcBorders>
              <w:bottom w:val="single" w:sz="6" w:space="0" w:color="000000"/>
              <w:right w:val="single" w:sz="6" w:space="0" w:color="000000"/>
            </w:tcBorders>
            <w:shd w:fill="CCCCCC" w:val="clear"/>
            <w:tcMar>
              <w:bottom w:w="28" w:type="dxa"/>
              <w:right w:w="28" w:type="dxa"/>
            </w:tcMar>
            <w:vAlign w:val="center"/>
          </w:tcPr>
          <w:p>
            <w:pPr>
              <w:pStyle w:val="TableContents"/>
              <w:bidi w:val="0"/>
              <w:spacing w:before="0" w:after="283"/>
              <w:jc w:val="left"/>
              <w:rPr/>
            </w:pPr>
            <w:r>
              <w:rPr/>
              <w:t> </w:t>
            </w:r>
          </w:p>
        </w:tc>
      </w:tr>
      <w:tr>
        <w:trPr/>
        <w:tc>
          <w:tcPr>
            <w:tcW w:w="2315" w:type="dxa"/>
            <w:tcBorders>
              <w:left w:val="single" w:sz="6" w:space="0" w:color="000000"/>
              <w:right w:val="single" w:sz="6" w:space="0" w:color="000000"/>
            </w:tcBorders>
            <w:tcMar>
              <w:left w:w="160" w:type="dxa"/>
              <w:right w:w="28" w:type="dxa"/>
            </w:tcMar>
            <w:vAlign w:val="center"/>
          </w:tcPr>
          <w:p>
            <w:pPr>
              <w:pStyle w:val="TableContents"/>
              <w:bidi w:val="0"/>
              <w:spacing w:before="0" w:after="283"/>
              <w:jc w:val="left"/>
              <w:rPr/>
            </w:pPr>
            <w:r>
              <w:rPr/>
              <w:t> </w:t>
            </w:r>
          </w:p>
        </w:tc>
        <w:tc>
          <w:tcPr>
            <w:tcW w:w="1081"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799"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1078"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817" w:type="dxa"/>
            <w:gridSpan w:val="2"/>
            <w:tcBorders>
              <w:right w:val="single" w:sz="6" w:space="0" w:color="000000"/>
            </w:tcBorders>
            <w:tcMar>
              <w:right w:w="28" w:type="dxa"/>
            </w:tcMar>
            <w:vAlign w:val="center"/>
          </w:tcPr>
          <w:p>
            <w:pPr>
              <w:pStyle w:val="TableContents"/>
              <w:bidi w:val="0"/>
              <w:spacing w:before="0" w:after="283"/>
              <w:jc w:val="left"/>
              <w:rPr/>
            </w:pPr>
            <w:r>
              <w:rPr/>
              <w:t> </w:t>
            </w:r>
          </w:p>
        </w:tc>
      </w:tr>
      <w:tr>
        <w:trPr/>
        <w:tc>
          <w:tcPr>
            <w:tcW w:w="2315" w:type="dxa"/>
            <w:tcBorders>
              <w:left w:val="single" w:sz="6" w:space="0" w:color="000000"/>
              <w:bottom w:val="single" w:sz="6" w:space="0" w:color="000000"/>
              <w:right w:val="single" w:sz="6" w:space="0" w:color="000000"/>
            </w:tcBorders>
            <w:tcMar>
              <w:left w:w="160" w:type="dxa"/>
              <w:bottom w:w="60" w:type="dxa"/>
              <w:right w:w="28" w:type="dxa"/>
            </w:tcMar>
            <w:vAlign w:val="center"/>
          </w:tcPr>
          <w:p>
            <w:pPr>
              <w:pStyle w:val="TableContents"/>
              <w:bidi w:val="0"/>
              <w:spacing w:before="0" w:after="0"/>
              <w:jc w:val="left"/>
              <w:rPr>
                <w:rFonts w:ascii="arial" w:hAnsi="arial"/>
                <w:sz w:val="19"/>
              </w:rPr>
            </w:pPr>
            <w:r>
              <w:rPr>
                <w:rFonts w:ascii="arial" w:hAnsi="arial"/>
                <w:sz w:val="19"/>
              </w:rPr>
              <w:t>Directors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21" w:type="dxa"/>
            <w:tcBorders>
              <w:bottom w:val="single" w:sz="6" w:space="0" w:color="000000"/>
              <w:right w:val="single" w:sz="6" w:space="0" w:color="000000"/>
            </w:tcBorders>
            <w:tcMar>
              <w:bottom w:w="60" w:type="dxa"/>
              <w:right w:w="28" w:type="dxa"/>
            </w:tcMar>
            <w:vAlign w:val="center"/>
          </w:tcPr>
          <w:p>
            <w:pPr>
              <w:pStyle w:val="TableContents"/>
              <w:bidi w:val="0"/>
              <w:spacing w:before="0" w:after="283"/>
              <w:jc w:val="center"/>
              <w:rPr/>
            </w:pPr>
            <w:r>
              <w:rPr/>
              <w:t>3 </w:t>
            </w:r>
          </w:p>
        </w:tc>
        <w:tc>
          <w:tcPr>
            <w:tcW w:w="81" w:type="dxa"/>
            <w:tcBorders>
              <w:bottom w:val="single" w:sz="6" w:space="0" w:color="000000"/>
            </w:tcBorders>
            <w:tcMar>
              <w:bottom w:w="28" w:type="dxa"/>
            </w:tcMar>
            <w:vAlign w:val="center"/>
          </w:tcPr>
          <w:p>
            <w:pPr>
              <w:pStyle w:val="TableContents"/>
              <w:bidi w:val="0"/>
              <w:spacing w:before="0" w:after="283"/>
              <w:jc w:val="left"/>
              <w:rPr/>
            </w:pPr>
            <w:r>
              <w:rPr/>
              <w:t> </w:t>
            </w:r>
          </w:p>
        </w:tc>
        <w:tc>
          <w:tcPr>
            <w:tcW w:w="718" w:type="dxa"/>
            <w:tcBorders>
              <w:bottom w:val="single" w:sz="6" w:space="0" w:color="000000"/>
              <w:right w:val="single" w:sz="6" w:space="0" w:color="000000"/>
            </w:tcBorders>
            <w:tcMar>
              <w:bottom w:w="60" w:type="dxa"/>
              <w:right w:w="28" w:type="dxa"/>
            </w:tcMar>
            <w:vAlign w:val="center"/>
          </w:tcPr>
          <w:p>
            <w:pPr>
              <w:pStyle w:val="TableContents"/>
              <w:bidi w:val="0"/>
              <w:spacing w:before="0" w:after="283"/>
              <w:jc w:val="center"/>
              <w:rPr/>
            </w:pPr>
            <w:r>
              <w:rPr/>
              <w:t>10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8" w:type="dxa"/>
            <w:tcBorders>
              <w:bottom w:val="single" w:sz="6" w:space="0" w:color="000000"/>
              <w:right w:val="single" w:sz="6" w:space="0" w:color="000000"/>
            </w:tcBorders>
            <w:tcMar>
              <w:bottom w:w="60" w:type="dxa"/>
              <w:right w:w="28" w:type="dxa"/>
            </w:tcMar>
            <w:vAlign w:val="center"/>
          </w:tcPr>
          <w:p>
            <w:pPr>
              <w:pStyle w:val="TableContents"/>
              <w:bidi w:val="0"/>
              <w:spacing w:before="0" w:after="283"/>
              <w:jc w:val="center"/>
              <w:rPr/>
            </w:pPr>
            <w:r>
              <w:rPr/>
              <w:t>3 </w:t>
            </w:r>
          </w:p>
        </w:tc>
        <w:tc>
          <w:tcPr>
            <w:tcW w:w="80" w:type="dxa"/>
            <w:tcBorders>
              <w:bottom w:val="single" w:sz="6" w:space="0" w:color="000000"/>
            </w:tcBorders>
            <w:tcMar>
              <w:bottom w:w="28" w:type="dxa"/>
            </w:tcMar>
            <w:vAlign w:val="center"/>
          </w:tcPr>
          <w:p>
            <w:pPr>
              <w:pStyle w:val="TableContents"/>
              <w:bidi w:val="0"/>
              <w:spacing w:before="0" w:after="283"/>
              <w:jc w:val="left"/>
              <w:rPr/>
            </w:pPr>
            <w:r>
              <w:rPr/>
              <w:t> </w:t>
            </w:r>
          </w:p>
        </w:tc>
        <w:tc>
          <w:tcPr>
            <w:tcW w:w="737" w:type="dxa"/>
            <w:tcBorders>
              <w:bottom w:val="single" w:sz="6" w:space="0" w:color="000000"/>
              <w:right w:val="single" w:sz="6" w:space="0" w:color="000000"/>
            </w:tcBorders>
            <w:tcMar>
              <w:bottom w:w="60" w:type="dxa"/>
              <w:right w:w="28" w:type="dxa"/>
            </w:tcMar>
            <w:vAlign w:val="center"/>
          </w:tcPr>
          <w:p>
            <w:pPr>
              <w:pStyle w:val="TableContents"/>
              <w:bidi w:val="0"/>
              <w:spacing w:before="0" w:after="283"/>
              <w:jc w:val="center"/>
              <w:rPr/>
            </w:pPr>
            <w:r>
              <w:rPr/>
              <w:t>10</w:t>
            </w:r>
          </w:p>
        </w:tc>
      </w:tr>
      <w:tr>
        <w:trPr/>
        <w:tc>
          <w:tcPr>
            <w:tcW w:w="5273" w:type="dxa"/>
            <w:gridSpan w:val="7"/>
            <w:tcBorders>
              <w:left w:val="single" w:sz="6" w:space="0" w:color="000000"/>
            </w:tcBorders>
            <w:shd w:fill="CCCCCC" w:val="clear"/>
            <w:tcMar>
              <w:left w:w="160" w:type="dxa"/>
            </w:tcMar>
            <w:vAlign w:val="center"/>
          </w:tcPr>
          <w:p>
            <w:pPr>
              <w:pStyle w:val="TableContents"/>
              <w:bidi w:val="0"/>
              <w:spacing w:before="0" w:after="283"/>
              <w:jc w:val="left"/>
              <w:rPr/>
            </w:pPr>
            <w:r>
              <w:rPr/>
              <w:t> </w:t>
            </w:r>
          </w:p>
        </w:tc>
        <w:tc>
          <w:tcPr>
            <w:tcW w:w="817" w:type="dxa"/>
            <w:gridSpan w:val="2"/>
            <w:tcBorders>
              <w:right w:val="single" w:sz="6" w:space="0" w:color="000000"/>
            </w:tcBorders>
            <w:shd w:fill="CCCCCC" w:val="clear"/>
            <w:tcMar>
              <w:right w:w="28" w:type="dxa"/>
            </w:tcMar>
            <w:vAlign w:val="center"/>
          </w:tcPr>
          <w:p>
            <w:pPr>
              <w:pStyle w:val="TableContents"/>
              <w:bidi w:val="0"/>
              <w:spacing w:before="0" w:after="283"/>
              <w:jc w:val="left"/>
              <w:rPr/>
            </w:pPr>
            <w:r>
              <w:rPr/>
              <w:t> </w:t>
            </w:r>
          </w:p>
        </w:tc>
      </w:tr>
      <w:tr>
        <w:trPr/>
        <w:tc>
          <w:tcPr>
            <w:tcW w:w="5273" w:type="dxa"/>
            <w:gridSpan w:val="7"/>
            <w:tcBorders>
              <w:left w:val="single" w:sz="6" w:space="0" w:color="000000"/>
              <w:bottom w:val="single" w:sz="6" w:space="0" w:color="000000"/>
            </w:tcBorders>
            <w:shd w:fill="CCCCCC" w:val="clear"/>
            <w:tcMar>
              <w:left w:w="160" w:type="dxa"/>
              <w:bottom w:w="60" w:type="dxa"/>
            </w:tcMar>
            <w:vAlign w:val="center"/>
          </w:tcPr>
          <w:p>
            <w:pPr>
              <w:pStyle w:val="TableContents"/>
              <w:bidi w:val="0"/>
              <w:spacing w:before="0" w:after="0"/>
              <w:jc w:val="left"/>
              <w:rPr>
                <w:rFonts w:ascii="arial" w:hAnsi="arial"/>
                <w:b/>
                <w:sz w:val="19"/>
              </w:rPr>
            </w:pPr>
            <w:r>
              <w:rPr>
                <w:rFonts w:ascii="arial" w:hAnsi="arial"/>
                <w:b/>
                <w:sz w:val="19"/>
              </w:rPr>
              <w:t>Part II: Demographic Background</w:t>
            </w:r>
          </w:p>
        </w:tc>
        <w:tc>
          <w:tcPr>
            <w:tcW w:w="80" w:type="dxa"/>
            <w:tcBorders>
              <w:bottom w:val="single" w:sz="6" w:space="0" w:color="000000"/>
            </w:tcBorders>
            <w:shd w:fill="CCCCCC" w:val="clear"/>
            <w:tcMar>
              <w:bottom w:w="28" w:type="dxa"/>
            </w:tcMar>
            <w:vAlign w:val="center"/>
          </w:tcPr>
          <w:p>
            <w:pPr>
              <w:pStyle w:val="TableContents"/>
              <w:bidi w:val="0"/>
              <w:spacing w:before="0" w:after="283"/>
              <w:jc w:val="left"/>
              <w:rPr/>
            </w:pPr>
            <w:r>
              <w:rPr/>
              <w:t> </w:t>
            </w:r>
          </w:p>
        </w:tc>
        <w:tc>
          <w:tcPr>
            <w:tcW w:w="737" w:type="dxa"/>
            <w:tcBorders>
              <w:bottom w:val="single" w:sz="6" w:space="0" w:color="000000"/>
              <w:right w:val="single" w:sz="6" w:space="0" w:color="000000"/>
            </w:tcBorders>
            <w:shd w:fill="CCCCCC" w:val="clear"/>
            <w:tcMar>
              <w:bottom w:w="28" w:type="dxa"/>
              <w:right w:w="28" w:type="dxa"/>
            </w:tcMar>
            <w:vAlign w:val="center"/>
          </w:tcPr>
          <w:p>
            <w:pPr>
              <w:pStyle w:val="TableContents"/>
              <w:bidi w:val="0"/>
              <w:spacing w:before="0" w:after="283"/>
              <w:jc w:val="left"/>
              <w:rPr/>
            </w:pPr>
            <w:r>
              <w:rPr/>
              <w:t> </w:t>
            </w:r>
          </w:p>
        </w:tc>
      </w:tr>
      <w:tr>
        <w:trPr/>
        <w:tc>
          <w:tcPr>
            <w:tcW w:w="2315" w:type="dxa"/>
            <w:tcBorders>
              <w:left w:val="single" w:sz="6" w:space="0" w:color="000000"/>
              <w:right w:val="single" w:sz="6" w:space="0" w:color="000000"/>
            </w:tcBorders>
            <w:tcMar>
              <w:left w:w="160" w:type="dxa"/>
              <w:right w:w="28" w:type="dxa"/>
            </w:tcMar>
            <w:vAlign w:val="center"/>
          </w:tcPr>
          <w:p>
            <w:pPr>
              <w:pStyle w:val="TableContents"/>
              <w:bidi w:val="0"/>
              <w:spacing w:before="0" w:after="283"/>
              <w:jc w:val="left"/>
              <w:rPr/>
            </w:pPr>
            <w:r>
              <w:rPr/>
              <w:t> </w:t>
            </w:r>
          </w:p>
        </w:tc>
        <w:tc>
          <w:tcPr>
            <w:tcW w:w="1081"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799"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1078"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817" w:type="dxa"/>
            <w:gridSpan w:val="2"/>
            <w:tcBorders>
              <w:right w:val="single" w:sz="6" w:space="0" w:color="000000"/>
            </w:tcBorders>
            <w:tcMar>
              <w:right w:w="28" w:type="dxa"/>
            </w:tcMar>
            <w:vAlign w:val="center"/>
          </w:tcPr>
          <w:p>
            <w:pPr>
              <w:pStyle w:val="TableContents"/>
              <w:bidi w:val="0"/>
              <w:spacing w:before="0" w:after="283"/>
              <w:jc w:val="left"/>
              <w:rPr/>
            </w:pPr>
            <w:r>
              <w:rPr/>
              <w:t> </w:t>
            </w:r>
          </w:p>
        </w:tc>
      </w:tr>
      <w:tr>
        <w:trPr/>
        <w:tc>
          <w:tcPr>
            <w:tcW w:w="2315" w:type="dxa"/>
            <w:tcBorders>
              <w:left w:val="single" w:sz="6" w:space="0" w:color="000000"/>
              <w:bottom w:val="single" w:sz="6" w:space="0" w:color="000000"/>
              <w:right w:val="single" w:sz="6" w:space="0" w:color="000000"/>
            </w:tcBorders>
            <w:tcMar>
              <w:left w:w="160" w:type="dxa"/>
              <w:bottom w:w="60" w:type="dxa"/>
              <w:right w:w="28" w:type="dxa"/>
            </w:tcMar>
            <w:vAlign w:val="center"/>
          </w:tcPr>
          <w:p>
            <w:pPr>
              <w:pStyle w:val="TableContents"/>
              <w:bidi w:val="0"/>
              <w:spacing w:before="0" w:after="0"/>
              <w:jc w:val="left"/>
              <w:rPr>
                <w:rFonts w:ascii="arial" w:hAnsi="arial"/>
                <w:sz w:val="19"/>
              </w:rPr>
            </w:pPr>
            <w:r>
              <w:rPr>
                <w:rFonts w:ascii="arial" w:hAnsi="arial"/>
                <w:sz w:val="19"/>
              </w:rPr>
              <w:t>African American or Black</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21" w:type="dxa"/>
            <w:tcBorders>
              <w:bottom w:val="single" w:sz="6" w:space="0" w:color="000000"/>
              <w:right w:val="single" w:sz="6" w:space="0" w:color="000000"/>
            </w:tcBorders>
            <w:tcMar>
              <w:bottom w:w="60" w:type="dxa"/>
              <w:right w:w="28" w:type="dxa"/>
            </w:tcMar>
            <w:vAlign w:val="center"/>
          </w:tcPr>
          <w:p>
            <w:pPr>
              <w:pStyle w:val="TableContents"/>
              <w:bidi w:val="0"/>
              <w:spacing w:before="0" w:after="283"/>
              <w:jc w:val="center"/>
              <w:rPr/>
            </w:pPr>
            <w:r>
              <w:rPr/>
              <w:t>1 </w:t>
            </w:r>
          </w:p>
        </w:tc>
        <w:tc>
          <w:tcPr>
            <w:tcW w:w="81" w:type="dxa"/>
            <w:tcBorders>
              <w:bottom w:val="single" w:sz="6" w:space="0" w:color="000000"/>
            </w:tcBorders>
            <w:tcMar>
              <w:bottom w:w="28" w:type="dxa"/>
            </w:tcMar>
            <w:vAlign w:val="center"/>
          </w:tcPr>
          <w:p>
            <w:pPr>
              <w:pStyle w:val="TableContents"/>
              <w:bidi w:val="0"/>
              <w:spacing w:before="0" w:after="283"/>
              <w:jc w:val="left"/>
              <w:rPr/>
            </w:pPr>
            <w:r>
              <w:rPr/>
              <w:t> </w:t>
            </w:r>
          </w:p>
        </w:tc>
        <w:tc>
          <w:tcPr>
            <w:tcW w:w="718" w:type="dxa"/>
            <w:tcBorders>
              <w:bottom w:val="single" w:sz="6" w:space="0" w:color="000000"/>
              <w:right w:val="single" w:sz="6" w:space="0" w:color="000000"/>
            </w:tcBorders>
            <w:tcMar>
              <w:bottom w:w="60" w:type="dxa"/>
              <w:right w:w="28" w:type="dxa"/>
            </w:tcMar>
            <w:vAlign w:val="center"/>
          </w:tcPr>
          <w:p>
            <w:pPr>
              <w:pStyle w:val="TableContents"/>
              <w:bidi w:val="0"/>
              <w:spacing w:before="0" w:after="283"/>
              <w:jc w:val="center"/>
              <w:rPr/>
            </w:pPr>
            <w:r>
              <w:rPr/>
              <w:t>1 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8" w:type="dxa"/>
            <w:tcBorders>
              <w:bottom w:val="single" w:sz="6" w:space="0" w:color="000000"/>
              <w:right w:val="single" w:sz="6" w:space="0" w:color="000000"/>
            </w:tcBorders>
            <w:tcMar>
              <w:bottom w:w="60" w:type="dxa"/>
              <w:right w:w="28" w:type="dxa"/>
            </w:tcMar>
            <w:vAlign w:val="center"/>
          </w:tcPr>
          <w:p>
            <w:pPr>
              <w:pStyle w:val="TableContents"/>
              <w:bidi w:val="0"/>
              <w:spacing w:before="0" w:after="283"/>
              <w:jc w:val="center"/>
              <w:rPr/>
            </w:pPr>
            <w:r>
              <w:rPr/>
              <w:t>1 </w:t>
            </w:r>
          </w:p>
        </w:tc>
        <w:tc>
          <w:tcPr>
            <w:tcW w:w="80" w:type="dxa"/>
            <w:tcBorders>
              <w:bottom w:val="single" w:sz="6" w:space="0" w:color="000000"/>
            </w:tcBorders>
            <w:tcMar>
              <w:bottom w:w="28" w:type="dxa"/>
            </w:tcMar>
            <w:vAlign w:val="center"/>
          </w:tcPr>
          <w:p>
            <w:pPr>
              <w:pStyle w:val="TableContents"/>
              <w:bidi w:val="0"/>
              <w:spacing w:before="0" w:after="283"/>
              <w:jc w:val="left"/>
              <w:rPr/>
            </w:pPr>
            <w:r>
              <w:rPr/>
              <w:t> </w:t>
            </w:r>
          </w:p>
        </w:tc>
        <w:tc>
          <w:tcPr>
            <w:tcW w:w="737" w:type="dxa"/>
            <w:tcBorders>
              <w:bottom w:val="single" w:sz="6" w:space="0" w:color="000000"/>
              <w:right w:val="single" w:sz="6" w:space="0" w:color="000000"/>
            </w:tcBorders>
            <w:tcMar>
              <w:bottom w:w="60" w:type="dxa"/>
              <w:right w:w="28" w:type="dxa"/>
            </w:tcMar>
            <w:vAlign w:val="center"/>
          </w:tcPr>
          <w:p>
            <w:pPr>
              <w:pStyle w:val="TableContents"/>
              <w:bidi w:val="0"/>
              <w:spacing w:before="0" w:after="283"/>
              <w:jc w:val="center"/>
              <w:rPr/>
            </w:pPr>
            <w:r>
              <w:rPr/>
              <w:t>1 </w:t>
            </w:r>
          </w:p>
        </w:tc>
      </w:tr>
      <w:tr>
        <w:trPr/>
        <w:tc>
          <w:tcPr>
            <w:tcW w:w="2315" w:type="dxa"/>
            <w:tcBorders>
              <w:left w:val="single" w:sz="6" w:space="0" w:color="000000"/>
              <w:right w:val="single" w:sz="6" w:space="0" w:color="000000"/>
            </w:tcBorders>
            <w:tcMar>
              <w:left w:w="160" w:type="dxa"/>
              <w:right w:w="28" w:type="dxa"/>
            </w:tcMar>
            <w:vAlign w:val="center"/>
          </w:tcPr>
          <w:p>
            <w:pPr>
              <w:pStyle w:val="TableContents"/>
              <w:bidi w:val="0"/>
              <w:spacing w:before="0" w:after="283"/>
              <w:jc w:val="left"/>
              <w:rPr/>
            </w:pPr>
            <w:r>
              <w:rPr/>
              <w:t> </w:t>
            </w:r>
          </w:p>
        </w:tc>
        <w:tc>
          <w:tcPr>
            <w:tcW w:w="1081"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799"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1078"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817" w:type="dxa"/>
            <w:gridSpan w:val="2"/>
            <w:tcBorders>
              <w:right w:val="single" w:sz="6" w:space="0" w:color="000000"/>
            </w:tcBorders>
            <w:tcMar>
              <w:right w:w="28" w:type="dxa"/>
            </w:tcMar>
            <w:vAlign w:val="center"/>
          </w:tcPr>
          <w:p>
            <w:pPr>
              <w:pStyle w:val="TableContents"/>
              <w:bidi w:val="0"/>
              <w:spacing w:before="0" w:after="283"/>
              <w:jc w:val="left"/>
              <w:rPr/>
            </w:pPr>
            <w:r>
              <w:rPr/>
              <w:t> </w:t>
            </w:r>
          </w:p>
        </w:tc>
      </w:tr>
      <w:tr>
        <w:trPr/>
        <w:tc>
          <w:tcPr>
            <w:tcW w:w="2315" w:type="dxa"/>
            <w:tcBorders>
              <w:left w:val="single" w:sz="6" w:space="0" w:color="000000"/>
              <w:bottom w:val="single" w:sz="6" w:space="0" w:color="000000"/>
              <w:right w:val="single" w:sz="6" w:space="0" w:color="000000"/>
            </w:tcBorders>
            <w:tcMar>
              <w:left w:w="160" w:type="dxa"/>
              <w:bottom w:w="60" w:type="dxa"/>
              <w:right w:w="28" w:type="dxa"/>
            </w:tcMar>
            <w:vAlign w:val="center"/>
          </w:tcPr>
          <w:p>
            <w:pPr>
              <w:pStyle w:val="TableContents"/>
              <w:bidi w:val="0"/>
              <w:spacing w:before="0" w:after="0"/>
              <w:jc w:val="left"/>
              <w:rPr>
                <w:rFonts w:ascii="arial" w:hAnsi="arial"/>
                <w:sz w:val="19"/>
              </w:rPr>
            </w:pPr>
            <w:r>
              <w:rPr>
                <w:rFonts w:ascii="arial" w:hAnsi="arial"/>
                <w:sz w:val="19"/>
              </w:rPr>
              <w:t>Asian</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21" w:type="dxa"/>
            <w:tcBorders>
              <w:bottom w:val="single" w:sz="6" w:space="0" w:color="000000"/>
              <w:right w:val="single" w:sz="6" w:space="0" w:color="000000"/>
            </w:tcBorders>
            <w:tcMar>
              <w:bottom w:w="60" w:type="dxa"/>
              <w:right w:w="28" w:type="dxa"/>
            </w:tcMar>
            <w:vAlign w:val="center"/>
          </w:tcPr>
          <w:p>
            <w:pPr>
              <w:pStyle w:val="TableContents"/>
              <w:bidi w:val="0"/>
              <w:spacing w:before="0" w:after="283"/>
              <w:jc w:val="center"/>
              <w:rPr/>
            </w:pPr>
            <w:r>
              <w:rPr/>
              <w:t>– </w:t>
            </w:r>
          </w:p>
        </w:tc>
        <w:tc>
          <w:tcPr>
            <w:tcW w:w="81" w:type="dxa"/>
            <w:tcBorders>
              <w:bottom w:val="single" w:sz="6" w:space="0" w:color="000000"/>
            </w:tcBorders>
            <w:tcMar>
              <w:bottom w:w="28" w:type="dxa"/>
            </w:tcMar>
            <w:vAlign w:val="center"/>
          </w:tcPr>
          <w:p>
            <w:pPr>
              <w:pStyle w:val="TableContents"/>
              <w:bidi w:val="0"/>
              <w:spacing w:before="0" w:after="283"/>
              <w:jc w:val="left"/>
              <w:rPr/>
            </w:pPr>
            <w:r>
              <w:rPr/>
              <w:t> </w:t>
            </w:r>
          </w:p>
        </w:tc>
        <w:tc>
          <w:tcPr>
            <w:tcW w:w="718" w:type="dxa"/>
            <w:tcBorders>
              <w:bottom w:val="single" w:sz="6" w:space="0" w:color="000000"/>
              <w:right w:val="single" w:sz="6" w:space="0" w:color="000000"/>
            </w:tcBorders>
            <w:tcMar>
              <w:bottom w:w="60" w:type="dxa"/>
              <w:right w:w="28" w:type="dxa"/>
            </w:tcMar>
            <w:vAlign w:val="center"/>
          </w:tcPr>
          <w:p>
            <w:pPr>
              <w:pStyle w:val="TableContents"/>
              <w:bidi w:val="0"/>
              <w:spacing w:before="0" w:after="283"/>
              <w:jc w:val="center"/>
              <w:rPr/>
            </w:pPr>
            <w:r>
              <w:rPr/>
              <w:t>1 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8" w:type="dxa"/>
            <w:tcBorders>
              <w:bottom w:val="single" w:sz="6" w:space="0" w:color="000000"/>
              <w:right w:val="single" w:sz="6" w:space="0" w:color="000000"/>
            </w:tcBorders>
            <w:tcMar>
              <w:bottom w:w="60" w:type="dxa"/>
              <w:right w:w="28" w:type="dxa"/>
            </w:tcMar>
            <w:vAlign w:val="center"/>
          </w:tcPr>
          <w:p>
            <w:pPr>
              <w:pStyle w:val="TableContents"/>
              <w:bidi w:val="0"/>
              <w:spacing w:before="0" w:after="283"/>
              <w:jc w:val="center"/>
              <w:rPr/>
            </w:pPr>
            <w:r>
              <w:rPr/>
              <w:t>– </w:t>
            </w:r>
          </w:p>
        </w:tc>
        <w:tc>
          <w:tcPr>
            <w:tcW w:w="80" w:type="dxa"/>
            <w:tcBorders>
              <w:bottom w:val="single" w:sz="6" w:space="0" w:color="000000"/>
            </w:tcBorders>
            <w:tcMar>
              <w:bottom w:w="28" w:type="dxa"/>
            </w:tcMar>
            <w:vAlign w:val="center"/>
          </w:tcPr>
          <w:p>
            <w:pPr>
              <w:pStyle w:val="TableContents"/>
              <w:bidi w:val="0"/>
              <w:spacing w:before="0" w:after="283"/>
              <w:jc w:val="left"/>
              <w:rPr/>
            </w:pPr>
            <w:r>
              <w:rPr/>
              <w:t> </w:t>
            </w:r>
          </w:p>
        </w:tc>
        <w:tc>
          <w:tcPr>
            <w:tcW w:w="737" w:type="dxa"/>
            <w:tcBorders>
              <w:bottom w:val="single" w:sz="6" w:space="0" w:color="000000"/>
              <w:right w:val="single" w:sz="6" w:space="0" w:color="000000"/>
            </w:tcBorders>
            <w:tcMar>
              <w:bottom w:w="60" w:type="dxa"/>
              <w:right w:w="28" w:type="dxa"/>
            </w:tcMar>
            <w:vAlign w:val="center"/>
          </w:tcPr>
          <w:p>
            <w:pPr>
              <w:pStyle w:val="TableContents"/>
              <w:bidi w:val="0"/>
              <w:spacing w:before="0" w:after="283"/>
              <w:jc w:val="center"/>
              <w:rPr/>
            </w:pPr>
            <w:r>
              <w:rPr/>
              <w:t>1 </w:t>
            </w:r>
          </w:p>
        </w:tc>
      </w:tr>
      <w:tr>
        <w:trPr/>
        <w:tc>
          <w:tcPr>
            <w:tcW w:w="2315" w:type="dxa"/>
            <w:tcBorders>
              <w:left w:val="single" w:sz="6" w:space="0" w:color="000000"/>
              <w:right w:val="single" w:sz="6" w:space="0" w:color="000000"/>
            </w:tcBorders>
            <w:tcMar>
              <w:left w:w="160" w:type="dxa"/>
              <w:right w:w="28" w:type="dxa"/>
            </w:tcMar>
            <w:vAlign w:val="center"/>
          </w:tcPr>
          <w:p>
            <w:pPr>
              <w:pStyle w:val="TableContents"/>
              <w:bidi w:val="0"/>
              <w:spacing w:before="0" w:after="283"/>
              <w:jc w:val="left"/>
              <w:rPr/>
            </w:pPr>
            <w:r>
              <w:rPr/>
              <w:t> </w:t>
            </w:r>
          </w:p>
        </w:tc>
        <w:tc>
          <w:tcPr>
            <w:tcW w:w="1081"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799"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1078" w:type="dxa"/>
            <w:gridSpan w:val="2"/>
            <w:tcBorders>
              <w:right w:val="single" w:sz="6" w:space="0" w:color="000000"/>
            </w:tcBorders>
            <w:tcMar>
              <w:right w:w="28" w:type="dxa"/>
            </w:tcMar>
            <w:vAlign w:val="center"/>
          </w:tcPr>
          <w:p>
            <w:pPr>
              <w:pStyle w:val="TableContents"/>
              <w:bidi w:val="0"/>
              <w:spacing w:before="0" w:after="283"/>
              <w:jc w:val="left"/>
              <w:rPr/>
            </w:pPr>
            <w:r>
              <w:rPr/>
              <w:t> </w:t>
            </w:r>
          </w:p>
        </w:tc>
        <w:tc>
          <w:tcPr>
            <w:tcW w:w="817" w:type="dxa"/>
            <w:gridSpan w:val="2"/>
            <w:tcBorders>
              <w:right w:val="single" w:sz="6" w:space="0" w:color="000000"/>
            </w:tcBorders>
            <w:tcMar>
              <w:right w:w="28" w:type="dxa"/>
            </w:tcMar>
            <w:vAlign w:val="center"/>
          </w:tcPr>
          <w:p>
            <w:pPr>
              <w:pStyle w:val="TableContents"/>
              <w:bidi w:val="0"/>
              <w:spacing w:before="0" w:after="283"/>
              <w:jc w:val="left"/>
              <w:rPr/>
            </w:pPr>
            <w:r>
              <w:rPr/>
              <w:t> </w:t>
            </w:r>
          </w:p>
        </w:tc>
      </w:tr>
      <w:tr>
        <w:trPr/>
        <w:tc>
          <w:tcPr>
            <w:tcW w:w="2315" w:type="dxa"/>
            <w:tcBorders>
              <w:left w:val="single" w:sz="6" w:space="0" w:color="000000"/>
              <w:bottom w:val="single" w:sz="6" w:space="0" w:color="000000"/>
              <w:right w:val="single" w:sz="6" w:space="0" w:color="000000"/>
            </w:tcBorders>
            <w:tcMar>
              <w:left w:w="160" w:type="dxa"/>
              <w:bottom w:w="60" w:type="dxa"/>
              <w:right w:w="28" w:type="dxa"/>
            </w:tcMar>
            <w:vAlign w:val="center"/>
          </w:tcPr>
          <w:p>
            <w:pPr>
              <w:pStyle w:val="TableContents"/>
              <w:bidi w:val="0"/>
              <w:spacing w:before="0" w:after="0"/>
              <w:jc w:val="left"/>
              <w:rPr>
                <w:rFonts w:ascii="arial" w:hAnsi="arial"/>
                <w:sz w:val="19"/>
              </w:rPr>
            </w:pPr>
            <w:r>
              <w:rPr>
                <w:rFonts w:ascii="arial" w:hAnsi="arial"/>
                <w:sz w:val="19"/>
              </w:rPr>
              <w:t>White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21" w:type="dxa"/>
            <w:tcBorders>
              <w:bottom w:val="single" w:sz="6" w:space="0" w:color="000000"/>
              <w:right w:val="single" w:sz="6" w:space="0" w:color="000000"/>
            </w:tcBorders>
            <w:tcMar>
              <w:bottom w:w="60" w:type="dxa"/>
              <w:right w:w="28" w:type="dxa"/>
            </w:tcMar>
            <w:vAlign w:val="center"/>
          </w:tcPr>
          <w:p>
            <w:pPr>
              <w:pStyle w:val="TableContents"/>
              <w:bidi w:val="0"/>
              <w:spacing w:before="0" w:after="283"/>
              <w:jc w:val="center"/>
              <w:rPr/>
            </w:pPr>
            <w:r>
              <w:rPr/>
              <w:t>2 </w:t>
            </w:r>
          </w:p>
        </w:tc>
        <w:tc>
          <w:tcPr>
            <w:tcW w:w="81" w:type="dxa"/>
            <w:tcBorders>
              <w:bottom w:val="single" w:sz="6" w:space="0" w:color="000000"/>
            </w:tcBorders>
            <w:tcMar>
              <w:bottom w:w="28" w:type="dxa"/>
            </w:tcMar>
            <w:vAlign w:val="center"/>
          </w:tcPr>
          <w:p>
            <w:pPr>
              <w:pStyle w:val="TableContents"/>
              <w:bidi w:val="0"/>
              <w:spacing w:before="0" w:after="283"/>
              <w:jc w:val="left"/>
              <w:rPr/>
            </w:pPr>
            <w:r>
              <w:rPr/>
              <w:t> </w:t>
            </w:r>
          </w:p>
        </w:tc>
        <w:tc>
          <w:tcPr>
            <w:tcW w:w="718" w:type="dxa"/>
            <w:tcBorders>
              <w:bottom w:val="single" w:sz="6" w:space="0" w:color="000000"/>
              <w:right w:val="single" w:sz="6" w:space="0" w:color="000000"/>
            </w:tcBorders>
            <w:tcMar>
              <w:bottom w:w="60" w:type="dxa"/>
              <w:right w:w="28" w:type="dxa"/>
            </w:tcMar>
            <w:vAlign w:val="center"/>
          </w:tcPr>
          <w:p>
            <w:pPr>
              <w:pStyle w:val="TableContents"/>
              <w:bidi w:val="0"/>
              <w:spacing w:before="0" w:after="283"/>
              <w:jc w:val="center"/>
              <w:rPr/>
            </w:pPr>
            <w:r>
              <w:rPr/>
              <w:t>8 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8" w:type="dxa"/>
            <w:tcBorders>
              <w:bottom w:val="single" w:sz="6" w:space="0" w:color="000000"/>
              <w:right w:val="single" w:sz="6" w:space="0" w:color="000000"/>
            </w:tcBorders>
            <w:tcMar>
              <w:bottom w:w="60" w:type="dxa"/>
              <w:right w:w="28" w:type="dxa"/>
            </w:tcMar>
            <w:vAlign w:val="center"/>
          </w:tcPr>
          <w:p>
            <w:pPr>
              <w:pStyle w:val="TableContents"/>
              <w:bidi w:val="0"/>
              <w:spacing w:before="0" w:after="283"/>
              <w:jc w:val="center"/>
              <w:rPr/>
            </w:pPr>
            <w:r>
              <w:rPr/>
              <w:t>2 </w:t>
            </w:r>
          </w:p>
        </w:tc>
        <w:tc>
          <w:tcPr>
            <w:tcW w:w="80" w:type="dxa"/>
            <w:tcBorders>
              <w:bottom w:val="single" w:sz="6" w:space="0" w:color="000000"/>
            </w:tcBorders>
            <w:tcMar>
              <w:bottom w:w="28" w:type="dxa"/>
            </w:tcMar>
            <w:vAlign w:val="center"/>
          </w:tcPr>
          <w:p>
            <w:pPr>
              <w:pStyle w:val="TableContents"/>
              <w:bidi w:val="0"/>
              <w:spacing w:before="0" w:after="283"/>
              <w:jc w:val="left"/>
              <w:rPr/>
            </w:pPr>
            <w:r>
              <w:rPr/>
              <w:t> </w:t>
            </w:r>
          </w:p>
        </w:tc>
        <w:tc>
          <w:tcPr>
            <w:tcW w:w="737" w:type="dxa"/>
            <w:tcBorders>
              <w:bottom w:val="single" w:sz="6" w:space="0" w:color="000000"/>
              <w:right w:val="single" w:sz="6" w:space="0" w:color="000000"/>
            </w:tcBorders>
            <w:tcMar>
              <w:bottom w:w="60" w:type="dxa"/>
              <w:right w:w="28" w:type="dxa"/>
            </w:tcMar>
            <w:vAlign w:val="center"/>
          </w:tcPr>
          <w:p>
            <w:pPr>
              <w:pStyle w:val="TableContents"/>
              <w:bidi w:val="0"/>
              <w:spacing w:before="0" w:after="283"/>
              <w:jc w:val="center"/>
              <w:rPr/>
            </w:pPr>
            <w:r>
              <w:rPr/>
              <w:t>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vAlign w:val="center"/>
          </w:tcPr>
          <w:p>
            <w:pPr>
              <w:pStyle w:val="TableContents"/>
              <w:bidi w:val="0"/>
              <w:spacing w:before="0" w:after="283"/>
              <w:jc w:val="left"/>
              <w:rPr/>
            </w:pPr>
            <w:r>
              <w:rPr/>
              <w:t>(1) </w:t>
            </w:r>
          </w:p>
        </w:tc>
        <w:tc>
          <w:tcPr>
            <w:tcW w:w="9887" w:type="dxa"/>
            <w:tcBorders/>
            <w:vAlign w:val="center"/>
          </w:tcPr>
          <w:p>
            <w:pPr>
              <w:pStyle w:val="TableContents"/>
              <w:bidi w:val="0"/>
              <w:spacing w:before="0" w:after="0"/>
              <w:jc w:val="both"/>
              <w:rPr>
                <w:rFonts w:ascii="arial" w:hAnsi="arial"/>
                <w:sz w:val="16"/>
              </w:rPr>
            </w:pPr>
            <w:r>
              <w:rPr>
                <w:rFonts w:ascii="arial" w:hAnsi="arial"/>
                <w:sz w:val="16"/>
              </w:rPr>
              <w:t xml:space="preserve">Given the timing of this disclosure, this table provides the current composition of our Board members and does not include Dr. Mary E. Klotman, who is standing for initial election at this Annual Meeting. </w:t>
            </w:r>
          </w:p>
        </w:tc>
      </w:tr>
    </w:tbl>
    <w:p>
      <w:pPr>
        <w:pStyle w:val="TextBody"/>
        <w:bidi w:val="0"/>
        <w:spacing w:before="360" w:after="0"/>
        <w:jc w:val="left"/>
        <w:rPr>
          <w:rFonts w:ascii="arial" w:hAnsi="arial"/>
          <w:b/>
          <w:color w:val="0171B9"/>
          <w:sz w:val="28"/>
        </w:rPr>
      </w:pPr>
      <w:bookmarkStart w:id="15" w:name="toc445034_13"/>
      <w:bookmarkEnd w:id="15"/>
      <w:r>
        <w:rPr>
          <w:rFonts w:ascii="arial" w:hAnsi="arial"/>
          <w:b/>
          <w:color w:val="0171B9"/>
          <w:sz w:val="28"/>
        </w:rPr>
        <w:t xml:space="preserve">Process for Selecting Directors, Director Qualifications, and Board Diversity </w:t>
      </w:r>
    </w:p>
    <w:p>
      <w:pPr>
        <w:pStyle w:val="TextBody"/>
        <w:bidi w:val="0"/>
        <w:spacing w:before="0" w:after="0"/>
        <w:jc w:val="left"/>
        <w:rPr/>
      </w:pPr>
      <w:r>
        <w:rPr/>
        <w:t> </w:t>
      </w:r>
    </w:p>
    <w:p>
      <w:pPr>
        <w:pStyle w:val="TextBody"/>
        <w:pBdr>
          <w:bottom w:val="single" w:sz="2" w:space="1" w:color="666666"/>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80">
                <wp:simplePos x="0" y="0"/>
                <wp:positionH relativeFrom="column">
                  <wp:align>left</wp:align>
                </wp:positionH>
                <wp:positionV relativeFrom="line">
                  <wp:posOffset>635</wp:posOffset>
                </wp:positionV>
                <wp:extent cx="3110230" cy="3474720"/>
                <wp:effectExtent l="0" t="0" r="0" b="0"/>
                <wp:wrapSquare wrapText="right"/>
                <wp:docPr id="96" name="Frame35"/>
                <a:graphic xmlns:a="http://schemas.openxmlformats.org/drawingml/2006/main">
                  <a:graphicData uri="http://schemas.microsoft.com/office/word/2010/wordprocessingShape">
                    <wps:wsp>
                      <wps:cNvSpPr txBox="1"/>
                      <wps:spPr>
                        <a:xfrm>
                          <a:off x="0" y="0"/>
                          <a:ext cx="3110230" cy="3474720"/>
                        </a:xfrm>
                        <a:prstGeom prst="rect"/>
                        <a:solidFill>
                          <a:srgbClr val="FFFFFF"/>
                        </a:solidFill>
                      </wps:spPr>
                      <wps:txbx>
                        <w:txbxContent>
                          <w:p>
                            <w:pPr>
                              <w:pStyle w:val="TextBody"/>
                              <w:bidi w:val="0"/>
                              <w:spacing w:before="0" w:after="0"/>
                              <w:jc w:val="both"/>
                              <w:rPr>
                                <w:rFonts w:ascii="arial" w:hAnsi="arial"/>
                                <w:sz w:val="19"/>
                              </w:rPr>
                            </w:pPr>
                            <w:r>
                              <w:rPr>
                                <w:rFonts w:ascii="arial" w:hAnsi="arial"/>
                                <w:b/>
                                <w:i/>
                                <w:color w:val="0171B9"/>
                                <w:sz w:val="19"/>
                              </w:rPr>
                              <w:t>Board Composition.</w:t>
                            </w:r>
                            <w:r>
                              <w:rPr>
                                <w:rFonts w:ascii="arial" w:hAnsi="arial"/>
                                <w:sz w:val="19"/>
                              </w:rPr>
                              <w:t xml:space="preserve"> Board composition is one of the most critical areas of focus for the Board. Reflecting our Board’s commitment to refreshment, the Board has appointed eight new directors since 2016.(2) </w:t>
                            </w:r>
                          </w:p>
                          <w:p>
                            <w:pPr>
                              <w:pStyle w:val="TextBody"/>
                              <w:bidi w:val="0"/>
                              <w:spacing w:before="120" w:after="0"/>
                              <w:jc w:val="both"/>
                              <w:rPr>
                                <w:rFonts w:ascii="arial" w:hAnsi="arial"/>
                                <w:sz w:val="19"/>
                              </w:rPr>
                            </w:pPr>
                            <w:r>
                              <w:rPr>
                                <w:rFonts w:ascii="arial" w:hAnsi="arial"/>
                                <w:sz w:val="19"/>
                              </w:rPr>
                              <w:t xml:space="preserve">Our Governance Committee regularly screens and recommends candidates for nomination by the full Board and, among other things, considers feedback received during the annual Board and committee evaluation process, investor feedback, our qualification guidelines and skills matrix, director commitment levels (with consideration given to public company leadership roles and outside commitments) and diversity. The Governance Committee will consider recommendations for director candidates made by stockholders and evaluate them using the same criteria as for other candidates. </w:t>
                            </w:r>
                          </w:p>
                          <w:p>
                            <w:pPr>
                              <w:pStyle w:val="TextBody"/>
                              <w:bidi w:val="0"/>
                              <w:spacing w:before="120" w:after="0"/>
                              <w:jc w:val="both"/>
                              <w:rPr>
                                <w:rFonts w:ascii="arial" w:hAnsi="arial"/>
                                <w:sz w:val="19"/>
                              </w:rPr>
                            </w:pPr>
                            <w:r>
                              <w:rPr>
                                <w:rFonts w:ascii="arial" w:hAnsi="arial"/>
                                <w:b/>
                                <w:i/>
                                <w:color w:val="0171B9"/>
                                <w:sz w:val="19"/>
                              </w:rPr>
                              <w:t xml:space="preserve">Director Qualifications and Board Diversity. </w:t>
                            </w:r>
                            <w:r>
                              <w:rPr>
                                <w:rFonts w:ascii="arial" w:hAnsi="arial"/>
                                <w:sz w:val="19"/>
                              </w:rPr>
                              <w:t xml:space="preserve">Our Governance Committee is responsible for determining Board membership qualifications and for selecting, evaluating, and recommending to the Board nominees for annual election to the Board and to fill vacancies as they arise. The Governance Committee reviews regularly and reports to the Board on the composition and size of the Board, and makes recommendations, as necessary, so that the Board maintains at least the minimum number of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73.6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b/>
                          <w:i/>
                          <w:color w:val="0171B9"/>
                          <w:sz w:val="19"/>
                        </w:rPr>
                        <w:t>Board Composition.</w:t>
                      </w:r>
                      <w:r>
                        <w:rPr>
                          <w:rFonts w:ascii="arial" w:hAnsi="arial"/>
                          <w:sz w:val="19"/>
                        </w:rPr>
                        <w:t xml:space="preserve"> Board composition is one of the most critical areas of focus for the Board. Reflecting our Board’s commitment to refreshment, the Board has appointed eight new directors since 2016.(2) </w:t>
                      </w:r>
                    </w:p>
                    <w:p>
                      <w:pPr>
                        <w:pStyle w:val="TextBody"/>
                        <w:bidi w:val="0"/>
                        <w:spacing w:before="120" w:after="0"/>
                        <w:jc w:val="both"/>
                        <w:rPr>
                          <w:rFonts w:ascii="arial" w:hAnsi="arial"/>
                          <w:sz w:val="19"/>
                        </w:rPr>
                      </w:pPr>
                      <w:r>
                        <w:rPr>
                          <w:rFonts w:ascii="arial" w:hAnsi="arial"/>
                          <w:sz w:val="19"/>
                        </w:rPr>
                        <w:t xml:space="preserve">Our Governance Committee regularly screens and recommends candidates for nomination by the full Board and, among other things, considers feedback received during the annual Board and committee evaluation process, investor feedback, our qualification guidelines and skills matrix, director commitment levels (with consideration given to public company leadership roles and outside commitments) and diversity. The Governance Committee will consider recommendations for director candidates made by stockholders and evaluate them using the same criteria as for other candidates. </w:t>
                      </w:r>
                    </w:p>
                    <w:p>
                      <w:pPr>
                        <w:pStyle w:val="TextBody"/>
                        <w:bidi w:val="0"/>
                        <w:spacing w:before="120" w:after="0"/>
                        <w:jc w:val="both"/>
                        <w:rPr>
                          <w:rFonts w:ascii="arial" w:hAnsi="arial"/>
                          <w:sz w:val="19"/>
                        </w:rPr>
                      </w:pPr>
                      <w:r>
                        <w:rPr>
                          <w:rFonts w:ascii="arial" w:hAnsi="arial"/>
                          <w:b/>
                          <w:i/>
                          <w:color w:val="0171B9"/>
                          <w:sz w:val="19"/>
                        </w:rPr>
                        <w:t xml:space="preserve">Director Qualifications and Board Diversity. </w:t>
                      </w:r>
                      <w:r>
                        <w:rPr>
                          <w:rFonts w:ascii="arial" w:hAnsi="arial"/>
                          <w:sz w:val="19"/>
                        </w:rPr>
                        <w:t xml:space="preserve">Our Governance Committee is responsible for determining Board membership qualifications and for selecting, evaluating, and recommending to the Board nominees for annual election to the Board and to fill vacancies as they arise. The Governance Committee reviews regularly and reports to the Board on the composition and size of the Board, and makes recommendations, as necessary, so that the Board maintains at least the minimum number of </w:t>
                      </w:r>
                    </w:p>
                  </w:txbxContent>
                </v:textbox>
                <w10:wrap type="square" side="right"/>
              </v:rect>
            </w:pict>
          </mc:Fallback>
        </mc:AlternateContent>
      </w:r>
      <w:r>
        <mc:AlternateContent>
          <mc:Choice Requires="wps">
            <w:drawing>
              <wp:anchor behindDoc="0" distT="0" distB="0" distL="0" distR="0" simplePos="0" locked="0" layoutInCell="1" allowOverlap="1" relativeHeight="281">
                <wp:simplePos x="0" y="0"/>
                <wp:positionH relativeFrom="column">
                  <wp:align>left</wp:align>
                </wp:positionH>
                <wp:positionV relativeFrom="line">
                  <wp:posOffset>635</wp:posOffset>
                </wp:positionV>
                <wp:extent cx="3175000" cy="2997200"/>
                <wp:effectExtent l="0" t="0" r="0" b="0"/>
                <wp:wrapSquare wrapText="right"/>
                <wp:docPr id="97" name="Frame36"/>
                <a:graphic xmlns:a="http://schemas.openxmlformats.org/drawingml/2006/main">
                  <a:graphicData uri="http://schemas.microsoft.com/office/word/2010/wordprocessingShape">
                    <wps:wsp>
                      <wps:cNvSpPr txBox="1"/>
                      <wps:spPr>
                        <a:xfrm>
                          <a:off x="0" y="0"/>
                          <a:ext cx="3175000" cy="299720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independent directors required by applicable laws and regulations, composition requirements of the Audit and Compensation Committees, and reflects the appropriate balance of knowledge, experience, skills, expertise, and diversity advisable and required by applicable laws and regulations for the Board as a whole. </w:t>
                            </w:r>
                          </w:p>
                          <w:p>
                            <w:pPr>
                              <w:pStyle w:val="TextBody"/>
                              <w:bidi w:val="0"/>
                              <w:spacing w:before="120" w:after="0"/>
                              <w:jc w:val="both"/>
                              <w:rPr>
                                <w:rFonts w:ascii="arial" w:hAnsi="arial"/>
                                <w:sz w:val="19"/>
                              </w:rPr>
                            </w:pPr>
                            <w:r>
                              <w:rPr>
                                <w:rFonts w:ascii="arial" w:hAnsi="arial"/>
                                <w:sz w:val="19"/>
                              </w:rPr>
                              <w:t xml:space="preserve">The Governance Committee and Board view diversity as a priority, consider diversity in their determinations of director candidates, and seek representation across a range of attributes. To support the diversity of our Board, our Governance Committee actively seeks diverse candidates, including women and candidates from underrepresented ethnic and racial groups, as part of its search for new directors. </w:t>
                            </w:r>
                          </w:p>
                          <w:p>
                            <w:pPr>
                              <w:pStyle w:val="TextBody"/>
                              <w:bidi w:val="0"/>
                              <w:spacing w:before="240" w:after="0"/>
                              <w:jc w:val="both"/>
                              <w:rPr>
                                <w:rFonts w:ascii="arial" w:hAnsi="arial"/>
                                <w:sz w:val="19"/>
                              </w:rPr>
                            </w:pPr>
                            <w:r>
                              <w:rPr>
                                <w:rFonts w:ascii="arial" w:hAnsi="arial"/>
                                <w:sz w:val="19"/>
                              </w:rPr>
                              <w:t xml:space="preserve">The Governance Committee determines and oversees guidelines for selecting nominees to serve on the Board and for considering stockholder recommendations for nominees. The Amgen Inc. Board of Directors Guidelines for Director Qualifications and Evaluations are included in this proxy statement as </w:t>
                            </w:r>
                            <w:r>
                              <w:rPr>
                                <w:rFonts w:ascii="arial" w:hAnsi="arial"/>
                                <w:b/>
                                <w:sz w:val="19"/>
                              </w:rPr>
                              <w:t>Appendix A</w:t>
                            </w:r>
                            <w:r>
                              <w:rPr>
                                <w:rFonts w:ascii="arial" w:hAnsi="arial"/>
                                <w:sz w:val="19"/>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36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independent directors required by applicable laws and regulations, composition requirements of the Audit and Compensation Committees, and reflects the appropriate balance of knowledge, experience, skills, expertise, and diversity advisable and required by applicable laws and regulations for the Board as a whole. </w:t>
                      </w:r>
                    </w:p>
                    <w:p>
                      <w:pPr>
                        <w:pStyle w:val="TextBody"/>
                        <w:bidi w:val="0"/>
                        <w:spacing w:before="120" w:after="0"/>
                        <w:jc w:val="both"/>
                        <w:rPr>
                          <w:rFonts w:ascii="arial" w:hAnsi="arial"/>
                          <w:sz w:val="19"/>
                        </w:rPr>
                      </w:pPr>
                      <w:r>
                        <w:rPr>
                          <w:rFonts w:ascii="arial" w:hAnsi="arial"/>
                          <w:sz w:val="19"/>
                        </w:rPr>
                        <w:t xml:space="preserve">The Governance Committee and Board view diversity as a priority, consider diversity in their determinations of director candidates, and seek representation across a range of attributes. To support the diversity of our Board, our Governance Committee actively seeks diverse candidates, including women and candidates from underrepresented ethnic and racial groups, as part of its search for new directors. </w:t>
                      </w:r>
                    </w:p>
                    <w:p>
                      <w:pPr>
                        <w:pStyle w:val="TextBody"/>
                        <w:bidi w:val="0"/>
                        <w:spacing w:before="240" w:after="0"/>
                        <w:jc w:val="both"/>
                        <w:rPr>
                          <w:rFonts w:ascii="arial" w:hAnsi="arial"/>
                          <w:sz w:val="19"/>
                        </w:rPr>
                      </w:pPr>
                      <w:r>
                        <w:rPr>
                          <w:rFonts w:ascii="arial" w:hAnsi="arial"/>
                          <w:sz w:val="19"/>
                        </w:rPr>
                        <w:t xml:space="preserve">The Governance Committee determines and oversees guidelines for selecting nominees to serve on the Board and for considering stockholder recommendations for nominees. The Amgen Inc. Board of Directors Guidelines for Director Qualifications and Evaluations are included in this proxy statement as </w:t>
                      </w:r>
                      <w:r>
                        <w:rPr>
                          <w:rFonts w:ascii="arial" w:hAnsi="arial"/>
                          <w:b/>
                          <w:sz w:val="19"/>
                        </w:rPr>
                        <w:t>Appendix A</w:t>
                      </w:r>
                      <w:r>
                        <w:rPr>
                          <w:rFonts w:ascii="arial" w:hAnsi="arial"/>
                          <w:sz w:val="19"/>
                        </w:rPr>
                        <w:t xml:space="preserve">. </w:t>
                      </w:r>
                    </w:p>
                  </w:txbxContent>
                </v:textbox>
                <w10:wrap type="square" side="right"/>
              </v:rect>
            </w:pict>
          </mc:Fallback>
        </mc:AlternateContent>
      </w:r>
    </w:p>
    <w:p>
      <w:pPr>
        <w:pStyle w:val="TextBody"/>
        <w:pBdr>
          <w:bottom w:val="single" w:sz="2" w:space="1" w:color="000000"/>
        </w:pBdr>
        <w:bidi w:val="0"/>
        <w:spacing w:lineRule="atLeast" w:line="160" w:before="0" w:after="40"/>
        <w:jc w:val="left"/>
        <w:rPr/>
      </w:pPr>
      <w:r>
        <w:rPr/>
        <w:t> </w:t>
      </w:r>
    </w:p>
    <w:tbl>
      <w:tblPr>
        <w:tblW w:w="8320" w:type="dxa"/>
        <w:jc w:val="left"/>
        <w:tblInd w:w="0" w:type="dxa"/>
        <w:tblLayout w:type="fixed"/>
        <w:tblCellMar>
          <w:top w:w="0" w:type="dxa"/>
          <w:left w:w="0" w:type="dxa"/>
          <w:bottom w:w="0" w:type="dxa"/>
          <w:right w:w="0" w:type="dxa"/>
        </w:tblCellMar>
      </w:tblPr>
      <w:tblGrid>
        <w:gridCol w:w="365"/>
        <w:gridCol w:w="7955"/>
      </w:tblGrid>
      <w:tr>
        <w:trPr/>
        <w:tc>
          <w:tcPr>
            <w:tcW w:w="365" w:type="dxa"/>
            <w:tcBorders/>
            <w:vAlign w:val="center"/>
          </w:tcPr>
          <w:p>
            <w:pPr>
              <w:pStyle w:val="TableContents"/>
              <w:bidi w:val="0"/>
              <w:spacing w:before="0" w:after="283"/>
              <w:jc w:val="left"/>
              <w:rPr/>
            </w:pPr>
            <w:r>
              <w:rPr/>
              <w:t>(2) </w:t>
            </w:r>
          </w:p>
        </w:tc>
        <w:tc>
          <w:tcPr>
            <w:tcW w:w="7955" w:type="dxa"/>
            <w:tcBorders/>
            <w:vAlign w:val="center"/>
          </w:tcPr>
          <w:p>
            <w:pPr>
              <w:pStyle w:val="TableContents"/>
              <w:bidi w:val="0"/>
              <w:spacing w:before="0" w:after="0"/>
              <w:jc w:val="both"/>
              <w:rPr>
                <w:rFonts w:ascii="arial" w:hAnsi="arial"/>
                <w:sz w:val="16"/>
              </w:rPr>
            </w:pPr>
            <w:r>
              <w:rPr>
                <w:rFonts w:ascii="arial" w:hAnsi="arial"/>
                <w:sz w:val="16"/>
              </w:rPr>
              <w:t xml:space="preserve">Includes Dr. Mary E. Klotman as a director nominee, who is standing for initial election at this Annual Meeting. </w:t>
            </w:r>
          </w:p>
        </w:tc>
      </w:tr>
    </w:tbl>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30  </w:t>
      </w:r>
      <w:r>
        <w:rPr>
          <w:rFonts w:ascii="arial" w:hAnsi="arial"/>
          <w:b/>
          <w:color w:val="474747"/>
          <w:sz w:val="22"/>
        </w:rPr>
        <w:drawing>
          <wp:inline distT="0" distB="0" distL="0" distR="0">
            <wp:extent cx="64770" cy="15240"/>
            <wp:effectExtent l="0" t="0" r="0" b="0"/>
            <wp:docPr id="98"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62" descr=""/>
                    <pic:cNvPicPr>
                      <a:picLocks noChangeAspect="1" noChangeArrowheads="1"/>
                    </pic:cNvPicPr>
                  </pic:nvPicPr>
                  <pic:blipFill>
                    <a:blip r:embed="rId63"/>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311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263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263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Corporate Governance</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82">
                <wp:simplePos x="0" y="0"/>
                <wp:positionH relativeFrom="column">
                  <wp:align>left</wp:align>
                </wp:positionH>
                <wp:positionV relativeFrom="line">
                  <wp:posOffset>635</wp:posOffset>
                </wp:positionV>
                <wp:extent cx="3110230" cy="5191125"/>
                <wp:effectExtent l="0" t="0" r="0" b="0"/>
                <wp:wrapSquare wrapText="right"/>
                <wp:docPr id="99" name="Frame37"/>
                <a:graphic xmlns:a="http://schemas.openxmlformats.org/drawingml/2006/main">
                  <a:graphicData uri="http://schemas.microsoft.com/office/word/2010/wordprocessingShape">
                    <wps:wsp>
                      <wps:cNvSpPr txBox="1"/>
                      <wps:spPr>
                        <a:xfrm>
                          <a:off x="0" y="0"/>
                          <a:ext cx="3110230" cy="5191125"/>
                        </a:xfrm>
                        <a:prstGeom prst="rect"/>
                        <a:solidFill>
                          <a:srgbClr val="FFFFFF"/>
                        </a:solidFill>
                      </wps:spPr>
                      <wps:txbx>
                        <w:txbxContent>
                          <w:p>
                            <w:pPr>
                              <w:pStyle w:val="TextBody"/>
                              <w:pBdr/>
                              <w:bidi w:val="0"/>
                              <w:spacing w:before="0" w:after="0"/>
                              <w:ind w:left="100" w:right="100" w:hanging="0"/>
                              <w:jc w:val="both"/>
                              <w:rPr>
                                <w:rFonts w:ascii="arial" w:hAnsi="arial"/>
                                <w:sz w:val="19"/>
                                <w:bdr w:val="single" w:sz="8" w:space="2" w:color="666666"/>
                                <w:shd w:fill="CCE2F1" w:val="clear"/>
                              </w:rPr>
                            </w:pPr>
                            <w:r>
                              <w:rPr>
                                <w:rFonts w:ascii="arial" w:hAnsi="arial"/>
                                <w:sz w:val="19"/>
                                <w:bdr w:val="single" w:sz="8" w:space="2" w:color="666666"/>
                                <w:shd w:fill="CCE2F1" w:val="clear"/>
                              </w:rPr>
                              <w:t xml:space="preserve">Among other things, under the Board of Directors Guidelines for Director Qualifications and Evaluations, each Board member must possess: </w:t>
                            </w:r>
                          </w:p>
                          <w:p>
                            <w:pPr>
                              <w:pStyle w:val="TextBody"/>
                              <w:bidi w:val="0"/>
                              <w:spacing w:before="0" w:after="0"/>
                              <w:jc w:val="left"/>
                              <w:rPr>
                                <w:bdr w:val="single" w:sz="8" w:space="2" w:color="666666"/>
                                <w:shd w:fill="CCE2F1" w:val="clear"/>
                              </w:rPr>
                            </w:pPr>
                            <w:r>
                              <w:rPr>
                                <w:bdr w:val="single" w:sz="8" w:space="2" w:color="666666"/>
                                <w:shd w:fill="CCE2F1" w:val="clear"/>
                              </w:rPr>
                              <w:t> </w:t>
                            </w:r>
                          </w:p>
                          <w:tbl>
                            <w:tblPr>
                              <w:tblW w:w="7195" w:type="dxa"/>
                              <w:jc w:val="left"/>
                              <w:tblInd w:w="0" w:type="dxa"/>
                              <w:tblLayout w:type="fixed"/>
                              <w:tblCellMar>
                                <w:top w:w="0" w:type="dxa"/>
                                <w:left w:w="0" w:type="dxa"/>
                                <w:bottom w:w="0" w:type="dxa"/>
                                <w:right w:w="0" w:type="dxa"/>
                              </w:tblCellMar>
                            </w:tblPr>
                            <w:tblGrid>
                              <w:gridCol w:w="75"/>
                              <w:gridCol w:w="110"/>
                              <w:gridCol w:w="60"/>
                              <w:gridCol w:w="6875"/>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6875" w:type="dxa"/>
                                  <w:tcBorders/>
                                  <w:vAlign w:val="center"/>
                                </w:tcPr>
                                <w:p>
                                  <w:pPr>
                                    <w:pStyle w:val="TableContents"/>
                                    <w:bidi w:val="0"/>
                                    <w:spacing w:before="0" w:after="0"/>
                                    <w:jc w:val="both"/>
                                    <w:rPr>
                                      <w:rFonts w:ascii="arial" w:hAnsi="arial"/>
                                      <w:sz w:val="19"/>
                                    </w:rPr>
                                  </w:pPr>
                                  <w:r>
                                    <w:rPr>
                                      <w:rFonts w:ascii="arial" w:hAnsi="arial"/>
                                      <w:sz w:val="19"/>
                                    </w:rPr>
                                    <w:t xml:space="preserve">A demonstrated breadth and depth of management and leadership experience;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8" w:space="2" w:color="666666"/>
                                <w:shd w:fill="CCE2F1" w:val="clear"/>
                              </w:rPr>
                            </w:pPr>
                            <w:r>
                              <w:rPr>
                                <w:bdr w:val="single" w:sz="8" w:space="2" w:color="666666"/>
                                <w:shd w:fill="CCE2F1" w:val="clear"/>
                              </w:rPr>
                              <w:t> </w:t>
                            </w:r>
                          </w:p>
                          <w:tbl>
                            <w:tblPr>
                              <w:tblW w:w="7225" w:type="dxa"/>
                              <w:jc w:val="left"/>
                              <w:tblInd w:w="0" w:type="dxa"/>
                              <w:tblLayout w:type="fixed"/>
                              <w:tblCellMar>
                                <w:top w:w="0" w:type="dxa"/>
                                <w:left w:w="0" w:type="dxa"/>
                                <w:bottom w:w="0" w:type="dxa"/>
                                <w:right w:w="0" w:type="dxa"/>
                              </w:tblCellMar>
                            </w:tblPr>
                            <w:tblGrid>
                              <w:gridCol w:w="75"/>
                              <w:gridCol w:w="110"/>
                              <w:gridCol w:w="60"/>
                              <w:gridCol w:w="6905"/>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6905" w:type="dxa"/>
                                  <w:tcBorders/>
                                  <w:vAlign w:val="center"/>
                                </w:tcPr>
                                <w:p>
                                  <w:pPr>
                                    <w:pStyle w:val="TableContents"/>
                                    <w:bidi w:val="0"/>
                                    <w:spacing w:before="0" w:after="0"/>
                                    <w:jc w:val="both"/>
                                    <w:rPr>
                                      <w:rFonts w:ascii="arial" w:hAnsi="arial"/>
                                      <w:sz w:val="19"/>
                                    </w:rPr>
                                  </w:pPr>
                                  <w:r>
                                    <w:rPr>
                                      <w:rFonts w:ascii="arial" w:hAnsi="arial"/>
                                      <w:sz w:val="19"/>
                                    </w:rPr>
                                    <w:t xml:space="preserve">Financial and/or business acumen or relevant industry or scientific experience;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8" w:space="2" w:color="666666"/>
                                <w:shd w:fill="CCE2F1" w:val="clear"/>
                              </w:rPr>
                            </w:pPr>
                            <w:r>
                              <w:rPr>
                                <w:bdr w:val="single" w:sz="8" w:space="2" w:color="666666"/>
                                <w:shd w:fill="CCE2F1" w:val="clear"/>
                              </w:rPr>
                              <w:t> </w:t>
                            </w:r>
                          </w:p>
                          <w:tbl>
                            <w:tblPr>
                              <w:tblW w:w="3505" w:type="dxa"/>
                              <w:jc w:val="left"/>
                              <w:tblInd w:w="0" w:type="dxa"/>
                              <w:tblLayout w:type="fixed"/>
                              <w:tblCellMar>
                                <w:top w:w="0" w:type="dxa"/>
                                <w:left w:w="0" w:type="dxa"/>
                                <w:bottom w:w="0" w:type="dxa"/>
                                <w:right w:w="0" w:type="dxa"/>
                              </w:tblCellMar>
                            </w:tblPr>
                            <w:tblGrid>
                              <w:gridCol w:w="75"/>
                              <w:gridCol w:w="110"/>
                              <w:gridCol w:w="60"/>
                              <w:gridCol w:w="3185"/>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0"/>
                                    <w:jc w:val="both"/>
                                    <w:rPr>
                                      <w:rFonts w:ascii="arial" w:hAnsi="arial"/>
                                      <w:sz w:val="19"/>
                                    </w:rPr>
                                  </w:pPr>
                                  <w:r>
                                    <w:rPr>
                                      <w:rFonts w:ascii="arial" w:hAnsi="arial"/>
                                      <w:sz w:val="19"/>
                                    </w:rPr>
                                    <w:t xml:space="preserve">Integrity and high ethical standards;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8" w:space="2" w:color="666666"/>
                                <w:shd w:fill="CCE2F1" w:val="clear"/>
                              </w:rPr>
                            </w:pPr>
                            <w:r>
                              <w:rPr>
                                <w:bdr w:val="single" w:sz="8" w:space="2" w:color="666666"/>
                                <w:shd w:fill="CCE2F1" w:val="clear"/>
                              </w:rPr>
                              <w:t> </w:t>
                            </w:r>
                          </w:p>
                          <w:tbl>
                            <w:tblPr>
                              <w:tblW w:w="5020" w:type="dxa"/>
                              <w:jc w:val="left"/>
                              <w:tblInd w:w="0" w:type="dxa"/>
                              <w:tblLayout w:type="fixed"/>
                              <w:tblCellMar>
                                <w:top w:w="0" w:type="dxa"/>
                                <w:left w:w="0" w:type="dxa"/>
                                <w:bottom w:w="0" w:type="dxa"/>
                                <w:right w:w="0" w:type="dxa"/>
                              </w:tblCellMar>
                            </w:tblPr>
                            <w:tblGrid>
                              <w:gridCol w:w="75"/>
                              <w:gridCol w:w="110"/>
                              <w:gridCol w:w="60"/>
                              <w:gridCol w:w="4700"/>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jc w:val="both"/>
                                    <w:rPr>
                                      <w:rFonts w:ascii="arial" w:hAnsi="arial"/>
                                      <w:sz w:val="19"/>
                                    </w:rPr>
                                  </w:pPr>
                                  <w:r>
                                    <w:rPr>
                                      <w:rFonts w:ascii="arial" w:hAnsi="arial"/>
                                      <w:sz w:val="19"/>
                                    </w:rPr>
                                    <w:t xml:space="preserve">Sufficient time to devote to the Company’s business;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8" w:space="2" w:color="666666"/>
                                <w:shd w:fill="CCE2F1" w:val="clear"/>
                              </w:rPr>
                            </w:pPr>
                            <w:r>
                              <w:rPr>
                                <w:bdr w:val="single" w:sz="8" w:space="2" w:color="666666"/>
                                <w:shd w:fill="CCE2F1" w:val="clear"/>
                              </w:rPr>
                              <w:t> </w:t>
                            </w:r>
                          </w:p>
                          <w:tbl>
                            <w:tblPr>
                              <w:tblW w:w="9760" w:type="dxa"/>
                              <w:jc w:val="left"/>
                              <w:tblInd w:w="0" w:type="dxa"/>
                              <w:tblLayout w:type="fixed"/>
                              <w:tblCellMar>
                                <w:top w:w="0" w:type="dxa"/>
                                <w:left w:w="0" w:type="dxa"/>
                                <w:bottom w:w="0" w:type="dxa"/>
                                <w:right w:w="0" w:type="dxa"/>
                              </w:tblCellMar>
                            </w:tblPr>
                            <w:tblGrid>
                              <w:gridCol w:w="75"/>
                              <w:gridCol w:w="110"/>
                              <w:gridCol w:w="60"/>
                              <w:gridCol w:w="9440"/>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9440" w:type="dxa"/>
                                  <w:tcBorders/>
                                  <w:vAlign w:val="center"/>
                                </w:tcPr>
                                <w:p>
                                  <w:pPr>
                                    <w:pStyle w:val="TableContents"/>
                                    <w:bidi w:val="0"/>
                                    <w:spacing w:before="0" w:after="0"/>
                                    <w:jc w:val="both"/>
                                    <w:rPr>
                                      <w:rFonts w:ascii="arial" w:hAnsi="arial"/>
                                      <w:sz w:val="19"/>
                                    </w:rPr>
                                  </w:pPr>
                                  <w:r>
                                    <w:rPr>
                                      <w:rFonts w:ascii="arial" w:hAnsi="arial"/>
                                      <w:sz w:val="19"/>
                                    </w:rPr>
                                    <w:t xml:space="preserve">The ability to oversee, as a director, the Company’s business and affairs for the benefit of our stockholders;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8" w:space="2" w:color="666666"/>
                                <w:shd w:fill="CCE2F1" w:val="clear"/>
                              </w:rPr>
                            </w:pPr>
                            <w:r>
                              <w:rPr>
                                <w:bdr w:val="single" w:sz="8" w:space="2" w:color="666666"/>
                                <w:shd w:fill="CCE2F1" w:val="clear"/>
                              </w:rPr>
                              <w:t> </w:t>
                            </w:r>
                          </w:p>
                          <w:tbl>
                            <w:tblPr>
                              <w:tblW w:w="7255" w:type="dxa"/>
                              <w:jc w:val="left"/>
                              <w:tblInd w:w="0" w:type="dxa"/>
                              <w:tblLayout w:type="fixed"/>
                              <w:tblCellMar>
                                <w:top w:w="0" w:type="dxa"/>
                                <w:left w:w="0" w:type="dxa"/>
                                <w:bottom w:w="0" w:type="dxa"/>
                                <w:right w:w="0" w:type="dxa"/>
                              </w:tblCellMar>
                            </w:tblPr>
                            <w:tblGrid>
                              <w:gridCol w:w="75"/>
                              <w:gridCol w:w="110"/>
                              <w:gridCol w:w="60"/>
                              <w:gridCol w:w="6935"/>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jc w:val="both"/>
                                    <w:rPr>
                                      <w:rFonts w:ascii="arial" w:hAnsi="arial"/>
                                      <w:sz w:val="19"/>
                                    </w:rPr>
                                  </w:pPr>
                                  <w:r>
                                    <w:rPr>
                                      <w:rFonts w:ascii="arial" w:hAnsi="arial"/>
                                      <w:sz w:val="19"/>
                                    </w:rPr>
                                    <w:t xml:space="preserve">The ability to comply with the Amgen Board of Directors’ Code of Conduct; and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8" w:space="2" w:color="666666"/>
                                <w:shd w:fill="CCE2F1" w:val="clear"/>
                              </w:rPr>
                            </w:pPr>
                            <w:r>
                              <w:rPr>
                                <w:bdr w:val="single" w:sz="8" w:space="2" w:color="666666"/>
                                <w:shd w:fill="CCE2F1" w:val="clear"/>
                              </w:rPr>
                              <w:t> </w:t>
                            </w:r>
                          </w:p>
                          <w:tbl>
                            <w:tblPr>
                              <w:tblW w:w="6520" w:type="dxa"/>
                              <w:jc w:val="left"/>
                              <w:tblInd w:w="0" w:type="dxa"/>
                              <w:tblLayout w:type="fixed"/>
                              <w:tblCellMar>
                                <w:top w:w="0" w:type="dxa"/>
                                <w:left w:w="0" w:type="dxa"/>
                                <w:bottom w:w="0" w:type="dxa"/>
                                <w:right w:w="0" w:type="dxa"/>
                              </w:tblCellMar>
                            </w:tblPr>
                            <w:tblGrid>
                              <w:gridCol w:w="75"/>
                              <w:gridCol w:w="110"/>
                              <w:gridCol w:w="60"/>
                              <w:gridCol w:w="6200"/>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6200" w:type="dxa"/>
                                  <w:tcBorders/>
                                  <w:vAlign w:val="center"/>
                                </w:tcPr>
                                <w:p>
                                  <w:pPr>
                                    <w:pStyle w:val="TableContents"/>
                                    <w:bidi w:val="0"/>
                                    <w:spacing w:before="0" w:after="0"/>
                                    <w:jc w:val="both"/>
                                    <w:rPr>
                                      <w:rFonts w:ascii="arial" w:hAnsi="arial"/>
                                      <w:sz w:val="19"/>
                                    </w:rPr>
                                  </w:pPr>
                                  <w:r>
                                    <w:rPr>
                                      <w:rFonts w:ascii="arial" w:hAnsi="arial"/>
                                      <w:sz w:val="19"/>
                                    </w:rPr>
                                    <w:t xml:space="preserve">A demonstrated ability to think independently and work collaboratively.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08.7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pBdr/>
                        <w:bidi w:val="0"/>
                        <w:spacing w:before="0" w:after="0"/>
                        <w:ind w:left="100" w:right="100" w:hanging="0"/>
                        <w:jc w:val="both"/>
                        <w:rPr>
                          <w:rFonts w:ascii="arial" w:hAnsi="arial"/>
                          <w:sz w:val="19"/>
                          <w:bdr w:val="single" w:sz="8" w:space="2" w:color="666666"/>
                          <w:shd w:fill="CCE2F1" w:val="clear"/>
                        </w:rPr>
                      </w:pPr>
                      <w:r>
                        <w:rPr>
                          <w:rFonts w:ascii="arial" w:hAnsi="arial"/>
                          <w:sz w:val="19"/>
                          <w:bdr w:val="single" w:sz="8" w:space="2" w:color="666666"/>
                          <w:shd w:fill="CCE2F1" w:val="clear"/>
                        </w:rPr>
                        <w:t xml:space="preserve">Among other things, under the Board of Directors Guidelines for Director Qualifications and Evaluations, each Board member must possess: </w:t>
                      </w:r>
                    </w:p>
                    <w:p>
                      <w:pPr>
                        <w:pStyle w:val="TextBody"/>
                        <w:bidi w:val="0"/>
                        <w:spacing w:before="0" w:after="0"/>
                        <w:jc w:val="left"/>
                        <w:rPr>
                          <w:bdr w:val="single" w:sz="8" w:space="2" w:color="666666"/>
                          <w:shd w:fill="CCE2F1" w:val="clear"/>
                        </w:rPr>
                      </w:pPr>
                      <w:r>
                        <w:rPr>
                          <w:bdr w:val="single" w:sz="8" w:space="2" w:color="666666"/>
                          <w:shd w:fill="CCE2F1" w:val="clear"/>
                        </w:rPr>
                        <w:t> </w:t>
                      </w:r>
                    </w:p>
                    <w:tbl>
                      <w:tblPr>
                        <w:tblW w:w="7195" w:type="dxa"/>
                        <w:jc w:val="left"/>
                        <w:tblInd w:w="0" w:type="dxa"/>
                        <w:tblLayout w:type="fixed"/>
                        <w:tblCellMar>
                          <w:top w:w="0" w:type="dxa"/>
                          <w:left w:w="0" w:type="dxa"/>
                          <w:bottom w:w="0" w:type="dxa"/>
                          <w:right w:w="0" w:type="dxa"/>
                        </w:tblCellMar>
                      </w:tblPr>
                      <w:tblGrid>
                        <w:gridCol w:w="75"/>
                        <w:gridCol w:w="110"/>
                        <w:gridCol w:w="60"/>
                        <w:gridCol w:w="6875"/>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6875" w:type="dxa"/>
                            <w:tcBorders/>
                            <w:vAlign w:val="center"/>
                          </w:tcPr>
                          <w:p>
                            <w:pPr>
                              <w:pStyle w:val="TableContents"/>
                              <w:bidi w:val="0"/>
                              <w:spacing w:before="0" w:after="0"/>
                              <w:jc w:val="both"/>
                              <w:rPr>
                                <w:rFonts w:ascii="arial" w:hAnsi="arial"/>
                                <w:sz w:val="19"/>
                              </w:rPr>
                            </w:pPr>
                            <w:r>
                              <w:rPr>
                                <w:rFonts w:ascii="arial" w:hAnsi="arial"/>
                                <w:sz w:val="19"/>
                              </w:rPr>
                              <w:t xml:space="preserve">A demonstrated breadth and depth of management and leadership experience;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8" w:space="2" w:color="666666"/>
                          <w:shd w:fill="CCE2F1" w:val="clear"/>
                        </w:rPr>
                      </w:pPr>
                      <w:r>
                        <w:rPr>
                          <w:bdr w:val="single" w:sz="8" w:space="2" w:color="666666"/>
                          <w:shd w:fill="CCE2F1" w:val="clear"/>
                        </w:rPr>
                        <w:t> </w:t>
                      </w:r>
                    </w:p>
                    <w:tbl>
                      <w:tblPr>
                        <w:tblW w:w="7225" w:type="dxa"/>
                        <w:jc w:val="left"/>
                        <w:tblInd w:w="0" w:type="dxa"/>
                        <w:tblLayout w:type="fixed"/>
                        <w:tblCellMar>
                          <w:top w:w="0" w:type="dxa"/>
                          <w:left w:w="0" w:type="dxa"/>
                          <w:bottom w:w="0" w:type="dxa"/>
                          <w:right w:w="0" w:type="dxa"/>
                        </w:tblCellMar>
                      </w:tblPr>
                      <w:tblGrid>
                        <w:gridCol w:w="75"/>
                        <w:gridCol w:w="110"/>
                        <w:gridCol w:w="60"/>
                        <w:gridCol w:w="6905"/>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6905" w:type="dxa"/>
                            <w:tcBorders/>
                            <w:vAlign w:val="center"/>
                          </w:tcPr>
                          <w:p>
                            <w:pPr>
                              <w:pStyle w:val="TableContents"/>
                              <w:bidi w:val="0"/>
                              <w:spacing w:before="0" w:after="0"/>
                              <w:jc w:val="both"/>
                              <w:rPr>
                                <w:rFonts w:ascii="arial" w:hAnsi="arial"/>
                                <w:sz w:val="19"/>
                              </w:rPr>
                            </w:pPr>
                            <w:r>
                              <w:rPr>
                                <w:rFonts w:ascii="arial" w:hAnsi="arial"/>
                                <w:sz w:val="19"/>
                              </w:rPr>
                              <w:t xml:space="preserve">Financial and/or business acumen or relevant industry or scientific experience;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8" w:space="2" w:color="666666"/>
                          <w:shd w:fill="CCE2F1" w:val="clear"/>
                        </w:rPr>
                      </w:pPr>
                      <w:r>
                        <w:rPr>
                          <w:bdr w:val="single" w:sz="8" w:space="2" w:color="666666"/>
                          <w:shd w:fill="CCE2F1" w:val="clear"/>
                        </w:rPr>
                        <w:t> </w:t>
                      </w:r>
                    </w:p>
                    <w:tbl>
                      <w:tblPr>
                        <w:tblW w:w="3505" w:type="dxa"/>
                        <w:jc w:val="left"/>
                        <w:tblInd w:w="0" w:type="dxa"/>
                        <w:tblLayout w:type="fixed"/>
                        <w:tblCellMar>
                          <w:top w:w="0" w:type="dxa"/>
                          <w:left w:w="0" w:type="dxa"/>
                          <w:bottom w:w="0" w:type="dxa"/>
                          <w:right w:w="0" w:type="dxa"/>
                        </w:tblCellMar>
                      </w:tblPr>
                      <w:tblGrid>
                        <w:gridCol w:w="75"/>
                        <w:gridCol w:w="110"/>
                        <w:gridCol w:w="60"/>
                        <w:gridCol w:w="3185"/>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0"/>
                              <w:jc w:val="both"/>
                              <w:rPr>
                                <w:rFonts w:ascii="arial" w:hAnsi="arial"/>
                                <w:sz w:val="19"/>
                              </w:rPr>
                            </w:pPr>
                            <w:r>
                              <w:rPr>
                                <w:rFonts w:ascii="arial" w:hAnsi="arial"/>
                                <w:sz w:val="19"/>
                              </w:rPr>
                              <w:t xml:space="preserve">Integrity and high ethical standards;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8" w:space="2" w:color="666666"/>
                          <w:shd w:fill="CCE2F1" w:val="clear"/>
                        </w:rPr>
                      </w:pPr>
                      <w:r>
                        <w:rPr>
                          <w:bdr w:val="single" w:sz="8" w:space="2" w:color="666666"/>
                          <w:shd w:fill="CCE2F1" w:val="clear"/>
                        </w:rPr>
                        <w:t> </w:t>
                      </w:r>
                    </w:p>
                    <w:tbl>
                      <w:tblPr>
                        <w:tblW w:w="5020" w:type="dxa"/>
                        <w:jc w:val="left"/>
                        <w:tblInd w:w="0" w:type="dxa"/>
                        <w:tblLayout w:type="fixed"/>
                        <w:tblCellMar>
                          <w:top w:w="0" w:type="dxa"/>
                          <w:left w:w="0" w:type="dxa"/>
                          <w:bottom w:w="0" w:type="dxa"/>
                          <w:right w:w="0" w:type="dxa"/>
                        </w:tblCellMar>
                      </w:tblPr>
                      <w:tblGrid>
                        <w:gridCol w:w="75"/>
                        <w:gridCol w:w="110"/>
                        <w:gridCol w:w="60"/>
                        <w:gridCol w:w="4700"/>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jc w:val="both"/>
                              <w:rPr>
                                <w:rFonts w:ascii="arial" w:hAnsi="arial"/>
                                <w:sz w:val="19"/>
                              </w:rPr>
                            </w:pPr>
                            <w:r>
                              <w:rPr>
                                <w:rFonts w:ascii="arial" w:hAnsi="arial"/>
                                <w:sz w:val="19"/>
                              </w:rPr>
                              <w:t xml:space="preserve">Sufficient time to devote to the Company’s business;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8" w:space="2" w:color="666666"/>
                          <w:shd w:fill="CCE2F1" w:val="clear"/>
                        </w:rPr>
                      </w:pPr>
                      <w:r>
                        <w:rPr>
                          <w:bdr w:val="single" w:sz="8" w:space="2" w:color="666666"/>
                          <w:shd w:fill="CCE2F1" w:val="clear"/>
                        </w:rPr>
                        <w:t> </w:t>
                      </w:r>
                    </w:p>
                    <w:tbl>
                      <w:tblPr>
                        <w:tblW w:w="9760" w:type="dxa"/>
                        <w:jc w:val="left"/>
                        <w:tblInd w:w="0" w:type="dxa"/>
                        <w:tblLayout w:type="fixed"/>
                        <w:tblCellMar>
                          <w:top w:w="0" w:type="dxa"/>
                          <w:left w:w="0" w:type="dxa"/>
                          <w:bottom w:w="0" w:type="dxa"/>
                          <w:right w:w="0" w:type="dxa"/>
                        </w:tblCellMar>
                      </w:tblPr>
                      <w:tblGrid>
                        <w:gridCol w:w="75"/>
                        <w:gridCol w:w="110"/>
                        <w:gridCol w:w="60"/>
                        <w:gridCol w:w="9440"/>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9440" w:type="dxa"/>
                            <w:tcBorders/>
                            <w:vAlign w:val="center"/>
                          </w:tcPr>
                          <w:p>
                            <w:pPr>
                              <w:pStyle w:val="TableContents"/>
                              <w:bidi w:val="0"/>
                              <w:spacing w:before="0" w:after="0"/>
                              <w:jc w:val="both"/>
                              <w:rPr>
                                <w:rFonts w:ascii="arial" w:hAnsi="arial"/>
                                <w:sz w:val="19"/>
                              </w:rPr>
                            </w:pPr>
                            <w:r>
                              <w:rPr>
                                <w:rFonts w:ascii="arial" w:hAnsi="arial"/>
                                <w:sz w:val="19"/>
                              </w:rPr>
                              <w:t xml:space="preserve">The ability to oversee, as a director, the Company’s business and affairs for the benefit of our stockholders;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8" w:space="2" w:color="666666"/>
                          <w:shd w:fill="CCE2F1" w:val="clear"/>
                        </w:rPr>
                      </w:pPr>
                      <w:r>
                        <w:rPr>
                          <w:bdr w:val="single" w:sz="8" w:space="2" w:color="666666"/>
                          <w:shd w:fill="CCE2F1" w:val="clear"/>
                        </w:rPr>
                        <w:t> </w:t>
                      </w:r>
                    </w:p>
                    <w:tbl>
                      <w:tblPr>
                        <w:tblW w:w="7255" w:type="dxa"/>
                        <w:jc w:val="left"/>
                        <w:tblInd w:w="0" w:type="dxa"/>
                        <w:tblLayout w:type="fixed"/>
                        <w:tblCellMar>
                          <w:top w:w="0" w:type="dxa"/>
                          <w:left w:w="0" w:type="dxa"/>
                          <w:bottom w:w="0" w:type="dxa"/>
                          <w:right w:w="0" w:type="dxa"/>
                        </w:tblCellMar>
                      </w:tblPr>
                      <w:tblGrid>
                        <w:gridCol w:w="75"/>
                        <w:gridCol w:w="110"/>
                        <w:gridCol w:w="60"/>
                        <w:gridCol w:w="6935"/>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jc w:val="both"/>
                              <w:rPr>
                                <w:rFonts w:ascii="arial" w:hAnsi="arial"/>
                                <w:sz w:val="19"/>
                              </w:rPr>
                            </w:pPr>
                            <w:r>
                              <w:rPr>
                                <w:rFonts w:ascii="arial" w:hAnsi="arial"/>
                                <w:sz w:val="19"/>
                              </w:rPr>
                              <w:t xml:space="preserve">The ability to comply with the Amgen Board of Directors’ Code of Conduct; and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8" w:space="2" w:color="666666"/>
                          <w:shd w:fill="CCE2F1" w:val="clear"/>
                        </w:rPr>
                      </w:pPr>
                      <w:r>
                        <w:rPr>
                          <w:bdr w:val="single" w:sz="8" w:space="2" w:color="666666"/>
                          <w:shd w:fill="CCE2F1" w:val="clear"/>
                        </w:rPr>
                        <w:t> </w:t>
                      </w:r>
                    </w:p>
                    <w:tbl>
                      <w:tblPr>
                        <w:tblW w:w="6520" w:type="dxa"/>
                        <w:jc w:val="left"/>
                        <w:tblInd w:w="0" w:type="dxa"/>
                        <w:tblLayout w:type="fixed"/>
                        <w:tblCellMar>
                          <w:top w:w="0" w:type="dxa"/>
                          <w:left w:w="0" w:type="dxa"/>
                          <w:bottom w:w="0" w:type="dxa"/>
                          <w:right w:w="0" w:type="dxa"/>
                        </w:tblCellMar>
                      </w:tblPr>
                      <w:tblGrid>
                        <w:gridCol w:w="75"/>
                        <w:gridCol w:w="110"/>
                        <w:gridCol w:w="60"/>
                        <w:gridCol w:w="6200"/>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6200" w:type="dxa"/>
                            <w:tcBorders/>
                            <w:vAlign w:val="center"/>
                          </w:tcPr>
                          <w:p>
                            <w:pPr>
                              <w:pStyle w:val="TableContents"/>
                              <w:bidi w:val="0"/>
                              <w:spacing w:before="0" w:after="0"/>
                              <w:jc w:val="both"/>
                              <w:rPr>
                                <w:rFonts w:ascii="arial" w:hAnsi="arial"/>
                                <w:sz w:val="19"/>
                              </w:rPr>
                            </w:pPr>
                            <w:r>
                              <w:rPr>
                                <w:rFonts w:ascii="arial" w:hAnsi="arial"/>
                                <w:sz w:val="19"/>
                              </w:rPr>
                              <w:t xml:space="preserve">A demonstrated ability to think independently and work collaboratively.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83">
                <wp:simplePos x="0" y="0"/>
                <wp:positionH relativeFrom="column">
                  <wp:align>left</wp:align>
                </wp:positionH>
                <wp:positionV relativeFrom="line">
                  <wp:posOffset>635</wp:posOffset>
                </wp:positionV>
                <wp:extent cx="3175000" cy="2036445"/>
                <wp:effectExtent l="0" t="0" r="0" b="0"/>
                <wp:wrapSquare wrapText="right"/>
                <wp:docPr id="100" name="Frame38"/>
                <a:graphic xmlns:a="http://schemas.openxmlformats.org/drawingml/2006/main">
                  <a:graphicData uri="http://schemas.microsoft.com/office/word/2010/wordprocessingShape">
                    <wps:wsp>
                      <wps:cNvSpPr txBox="1"/>
                      <wps:spPr>
                        <a:xfrm>
                          <a:off x="0" y="0"/>
                          <a:ext cx="3175000" cy="2036445"/>
                        </a:xfrm>
                        <a:prstGeom prst="rect"/>
                        <a:solidFill>
                          <a:srgbClr val="FFFFFF"/>
                        </a:solidFill>
                      </wps:spPr>
                      <wps:txbx>
                        <w:txbxContent>
                          <w:p>
                            <w:pPr>
                              <w:pStyle w:val="TextBody"/>
                              <w:bidi w:val="0"/>
                              <w:spacing w:before="0" w:after="0"/>
                              <w:jc w:val="left"/>
                              <w:rPr>
                                <w:rFonts w:ascii="arial" w:hAnsi="arial"/>
                                <w:b/>
                                <w:sz w:val="22"/>
                              </w:rPr>
                            </w:pPr>
                            <w:r>
                              <w:rPr>
                                <w:rFonts w:ascii="arial" w:hAnsi="arial"/>
                                <w:b/>
                                <w:sz w:val="22"/>
                              </w:rPr>
                              <w:t xml:space="preserve">Continuous Board Refreshment </w:t>
                            </w:r>
                          </w:p>
                          <w:p>
                            <w:pPr>
                              <w:pStyle w:val="TextBody"/>
                              <w:bidi w:val="0"/>
                              <w:spacing w:before="120" w:after="0"/>
                              <w:jc w:val="both"/>
                              <w:rPr>
                                <w:rFonts w:ascii="arial" w:hAnsi="arial"/>
                                <w:sz w:val="19"/>
                              </w:rPr>
                            </w:pPr>
                            <w:r>
                              <w:rPr>
                                <w:rFonts w:ascii="arial" w:hAnsi="arial"/>
                                <w:sz w:val="19"/>
                              </w:rPr>
                              <w:t xml:space="preserve">Our Board is committed to strong refreshment practices to continuously align the composition of the Board and its leadership structure with our long-term strategic needs. The Board, led by the Governance Committee, has an ongoing process for identifying, evaluating, and selecting directors, and these decisions are also informed by the annual Board and committee evaluation process described below. Our Governance Committee uses a variety of methods to help identify potential Board candidates and considers an assessment of current Board skills, background, diversity, independence, experience, tenure, and anticipated retirements to identify gaps that may need to be filled through the Board refreshment process.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60.3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sz w:val="22"/>
                        </w:rPr>
                      </w:pPr>
                      <w:r>
                        <w:rPr>
                          <w:rFonts w:ascii="arial" w:hAnsi="arial"/>
                          <w:b/>
                          <w:sz w:val="22"/>
                        </w:rPr>
                        <w:t xml:space="preserve">Continuous Board Refreshment </w:t>
                      </w:r>
                    </w:p>
                    <w:p>
                      <w:pPr>
                        <w:pStyle w:val="TextBody"/>
                        <w:bidi w:val="0"/>
                        <w:spacing w:before="120" w:after="0"/>
                        <w:jc w:val="both"/>
                        <w:rPr>
                          <w:rFonts w:ascii="arial" w:hAnsi="arial"/>
                          <w:sz w:val="19"/>
                        </w:rPr>
                      </w:pPr>
                      <w:r>
                        <w:rPr>
                          <w:rFonts w:ascii="arial" w:hAnsi="arial"/>
                          <w:sz w:val="19"/>
                        </w:rPr>
                        <w:t xml:space="preserve">Our Board is committed to strong refreshment practices to continuously align the composition of the Board and its leadership structure with our long-term strategic needs. The Board, led by the Governance Committee, has an ongoing process for identifying, evaluating, and selecting directors, and these decisions are also informed by the annual Board and committee evaluation process described below. Our Governance Committee uses a variety of methods to help identify potential Board candidates and considers an assessment of current Board skills, background, diversity, independence, experience, tenure, and anticipated retirements to identify gaps that may need to be filled through the Board refreshment process.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3724275"/>
            <wp:effectExtent l="0" t="0" r="0" b="0"/>
            <wp:docPr id="101"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63" descr=""/>
                    <pic:cNvPicPr>
                      <a:picLocks noChangeAspect="1" noChangeArrowheads="1"/>
                    </pic:cNvPicPr>
                  </pic:nvPicPr>
                  <pic:blipFill>
                    <a:blip r:embed="rId64"/>
                    <a:stretch>
                      <a:fillRect/>
                    </a:stretch>
                  </pic:blipFill>
                  <pic:spPr bwMode="auto">
                    <a:xfrm>
                      <a:off x="0" y="0"/>
                      <a:ext cx="7810500" cy="3724275"/>
                    </a:xfrm>
                    <a:prstGeom prst="rect">
                      <a:avLst/>
                    </a:prstGeom>
                  </pic:spPr>
                </pic:pic>
              </a:graphicData>
            </a:graphic>
          </wp:inline>
        </w:drawing>
      </w:r>
      <w:r>
        <w:rPr/>
        <w:t xml:space="preserve"> </w:t>
      </w:r>
    </w:p>
    <w:p>
      <w:pPr>
        <w:pStyle w:val="TextBody"/>
        <w:bidi w:val="0"/>
        <w:jc w:val="center"/>
        <w:rPr>
          <w:rFonts w:ascii="arial" w:hAnsi="arial"/>
          <w:color w:val="FFFFFF"/>
          <w:sz w:val="2"/>
        </w:rPr>
      </w:pPr>
      <w:r>
        <w:rPr>
          <w:rFonts w:ascii="arial" w:hAnsi="arial"/>
          <w:color w:val="FFFFFF"/>
          <w:sz w:val="2"/>
        </w:rPr>
        <w:t xml:space="preserve">Board Nominee Composition: 8 new directors since 2016 4 women 3 ethnically/racially diverse directors Review by the full Board Independent Search Firms Stockholders Independent Directors Consider Guidelines for Director Qualifications and Evaluations (Appendix A) Consider skills matrix Include women and diverse director candidates in the list from which director nominees are recommended Review independent and potential conflicts Evaluate candidates Continuous Board Refreshment Candidate Pool Sourced, Maintained and Updated Governance Committee Review Recommend Candidates to the Board Select Directors </w:t>
      </w:r>
    </w:p>
    <w:p>
      <w:pPr>
        <w:pStyle w:val="TextBody"/>
        <w:bidi w:val="0"/>
        <w:spacing w:before="240" w:after="0"/>
        <w:jc w:val="left"/>
        <w:rPr>
          <w:rFonts w:ascii="arial" w:hAnsi="arial"/>
          <w:b/>
          <w:sz w:val="22"/>
        </w:rPr>
      </w:pPr>
      <w:r>
        <w:rPr>
          <w:rFonts w:ascii="arial" w:hAnsi="arial"/>
          <w:b/>
          <w:sz w:val="22"/>
        </w:rPr>
        <w:t xml:space="preserve">Director Education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84">
                <wp:simplePos x="0" y="0"/>
                <wp:positionH relativeFrom="column">
                  <wp:align>left</wp:align>
                </wp:positionH>
                <wp:positionV relativeFrom="line">
                  <wp:posOffset>635</wp:posOffset>
                </wp:positionV>
                <wp:extent cx="3110230" cy="692150"/>
                <wp:effectExtent l="0" t="0" r="0" b="0"/>
                <wp:wrapSquare wrapText="right"/>
                <wp:docPr id="102" name="Frame39"/>
                <a:graphic xmlns:a="http://schemas.openxmlformats.org/drawingml/2006/main">
                  <a:graphicData uri="http://schemas.microsoft.com/office/word/2010/wordprocessingShape">
                    <wps:wsp>
                      <wps:cNvSpPr txBox="1"/>
                      <wps:spPr>
                        <a:xfrm>
                          <a:off x="0" y="0"/>
                          <a:ext cx="3110230" cy="69215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Our Board believes that director education is important to the ability of directors to fulfill their roles and supports Board members in their continuous learning. The Board encourages directors to participate in continuing education programs, and we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4.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Our Board believes that director education is important to the ability of directors to fulfill their roles and supports Board members in their continuous learning. The Board encourages directors to participate in continuing education programs, and we </w:t>
                      </w:r>
                    </w:p>
                  </w:txbxContent>
                </v:textbox>
                <w10:wrap type="square" side="right"/>
              </v:rect>
            </w:pict>
          </mc:Fallback>
        </mc:AlternateContent>
      </w:r>
      <w:r>
        <mc:AlternateContent>
          <mc:Choice Requires="wps">
            <w:drawing>
              <wp:anchor behindDoc="0" distT="0" distB="0" distL="0" distR="0" simplePos="0" locked="0" layoutInCell="1" allowOverlap="1" relativeHeight="285">
                <wp:simplePos x="0" y="0"/>
                <wp:positionH relativeFrom="column">
                  <wp:align>left</wp:align>
                </wp:positionH>
                <wp:positionV relativeFrom="line">
                  <wp:posOffset>635</wp:posOffset>
                </wp:positionV>
                <wp:extent cx="3175000" cy="692150"/>
                <wp:effectExtent l="0" t="0" r="0" b="0"/>
                <wp:wrapSquare wrapText="right"/>
                <wp:docPr id="103" name="Frame40"/>
                <a:graphic xmlns:a="http://schemas.openxmlformats.org/drawingml/2006/main">
                  <a:graphicData uri="http://schemas.microsoft.com/office/word/2010/wordprocessingShape">
                    <wps:wsp>
                      <wps:cNvSpPr txBox="1"/>
                      <wps:spPr>
                        <a:xfrm>
                          <a:off x="0" y="0"/>
                          <a:ext cx="3175000" cy="69215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reimburse directors for their expenses associated with this participation. During Board and committee meetings, as well as sessions to discuss strategy, education and information sessions are provided on specific subjects by internal and external experts. New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4.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reimburse directors for their expenses associated with this participation. During Board and committee meetings, as well as sessions to discuss strategy, education and information sessions are provided on specific subjects by internal and external experts. New </w:t>
                      </w:r>
                    </w:p>
                  </w:txbxContent>
                </v:textbox>
                <w10:wrap type="square" side="right"/>
              </v:rect>
            </w:pict>
          </mc:Fallback>
        </mc:AlternateContent>
      </w:r>
    </w:p>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357"/>
        <w:gridCol w:w="9848"/>
      </w:tblGrid>
      <w:tr>
        <w:trPr/>
        <w:tc>
          <w:tcPr>
            <w:tcW w:w="357" w:type="dxa"/>
            <w:tcBorders/>
            <w:vAlign w:val="center"/>
          </w:tcPr>
          <w:p>
            <w:pPr>
              <w:pStyle w:val="TableContents"/>
              <w:bidi w:val="0"/>
              <w:spacing w:before="0" w:after="283"/>
              <w:jc w:val="left"/>
              <w:rPr/>
            </w:pPr>
            <w:r>
              <w:rPr/>
              <w:t>(1) </w:t>
            </w:r>
          </w:p>
        </w:tc>
        <w:tc>
          <w:tcPr>
            <w:tcW w:w="9848" w:type="dxa"/>
            <w:tcBorders/>
            <w:vAlign w:val="center"/>
          </w:tcPr>
          <w:p>
            <w:pPr>
              <w:pStyle w:val="TableContents"/>
              <w:bidi w:val="0"/>
              <w:spacing w:before="0" w:after="0"/>
              <w:jc w:val="both"/>
              <w:rPr>
                <w:rFonts w:ascii="arial" w:hAnsi="arial"/>
                <w:sz w:val="16"/>
              </w:rPr>
            </w:pPr>
            <w:r>
              <w:rPr>
                <w:rFonts w:ascii="arial" w:hAnsi="arial"/>
                <w:sz w:val="16"/>
              </w:rPr>
              <w:t xml:space="preserve">The Amgen Inc. Board of Directors Guidelines for Director Qualifications and Evaluations are included in this proxy statement as </w:t>
            </w:r>
            <w:r>
              <w:rPr>
                <w:rFonts w:ascii="arial" w:hAnsi="arial"/>
                <w:b/>
                <w:sz w:val="16"/>
              </w:rPr>
              <w:t>Appendix A</w:t>
            </w:r>
            <w:r>
              <w:rPr>
                <w:rFonts w:ascii="arial" w:hAnsi="arial"/>
                <w:sz w:val="16"/>
              </w:rPr>
              <w:t xml:space="preserve">. </w:t>
            </w:r>
          </w:p>
        </w:tc>
      </w:tr>
    </w:tbl>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10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64" descr=""/>
                    <pic:cNvPicPr>
                      <a:picLocks noChangeAspect="1" noChangeArrowheads="1"/>
                    </pic:cNvPicPr>
                  </pic:nvPicPr>
                  <pic:blipFill>
                    <a:blip r:embed="rId65"/>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31</w:t>
      </w:r>
      <w:r>
        <w:rPr>
          <w:rFonts w:ascii="arial" w:hAnsi="arial"/>
          <w:b/>
          <w:sz w:val="22"/>
        </w:rPr>
        <w:t xml:space="preserve"> </w:t>
      </w:r>
      <w:r>
        <w:br w:type="page"/>
      </w:r>
    </w:p>
    <w:p>
      <w:pPr>
        <w:pStyle w:val="HorizontalLine"/>
        <w:bidi w:val="0"/>
        <w:jc w:val="left"/>
        <w:rPr/>
      </w:pPr>
      <w:r>
        <w:rPr/>
      </w:r>
    </w:p>
    <w:tbl>
      <w:tblPr>
        <w:tblW w:w="311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263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263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Corporate Governance</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86">
                <wp:simplePos x="0" y="0"/>
                <wp:positionH relativeFrom="column">
                  <wp:align>left</wp:align>
                </wp:positionH>
                <wp:positionV relativeFrom="line">
                  <wp:posOffset>635</wp:posOffset>
                </wp:positionV>
                <wp:extent cx="3110230" cy="415290"/>
                <wp:effectExtent l="0" t="0" r="0" b="0"/>
                <wp:wrapSquare wrapText="right"/>
                <wp:docPr id="105" name="Frame41"/>
                <a:graphic xmlns:a="http://schemas.openxmlformats.org/drawingml/2006/main">
                  <a:graphicData uri="http://schemas.microsoft.com/office/word/2010/wordprocessingShape">
                    <wps:wsp>
                      <wps:cNvSpPr txBox="1"/>
                      <wps:spPr>
                        <a:xfrm>
                          <a:off x="0" y="0"/>
                          <a:ext cx="3110230" cy="41529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directors also participate in our director orientation program. Additionally, at the director’s discretion, directors may attend any committee meetings,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2.7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directors also participate in our director orientation program. Additionally, at the director’s discretion, directors may attend any committee meetings, </w:t>
                      </w:r>
                    </w:p>
                  </w:txbxContent>
                </v:textbox>
                <w10:wrap type="square" side="right"/>
              </v:rect>
            </w:pict>
          </mc:Fallback>
        </mc:AlternateContent>
      </w:r>
      <w:r>
        <mc:AlternateContent>
          <mc:Choice Requires="wps">
            <w:drawing>
              <wp:anchor behindDoc="0" distT="0" distB="0" distL="0" distR="0" simplePos="0" locked="0" layoutInCell="1" allowOverlap="1" relativeHeight="287">
                <wp:simplePos x="0" y="0"/>
                <wp:positionH relativeFrom="column">
                  <wp:align>left</wp:align>
                </wp:positionH>
                <wp:positionV relativeFrom="line">
                  <wp:posOffset>635</wp:posOffset>
                </wp:positionV>
                <wp:extent cx="3175000" cy="276860"/>
                <wp:effectExtent l="0" t="0" r="0" b="0"/>
                <wp:wrapSquare wrapText="right"/>
                <wp:docPr id="106" name="Frame42"/>
                <a:graphic xmlns:a="http://schemas.openxmlformats.org/drawingml/2006/main">
                  <a:graphicData uri="http://schemas.microsoft.com/office/word/2010/wordprocessingShape">
                    <wps:wsp>
                      <wps:cNvSpPr txBox="1"/>
                      <wps:spPr>
                        <a:xfrm>
                          <a:off x="0" y="0"/>
                          <a:ext cx="3175000" cy="27686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including those committees for which he or she is not a member, and has access to all committee materials.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1.8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including those committees for which he or she is not a member, and has access to all committee materials. </w:t>
                      </w:r>
                    </w:p>
                  </w:txbxContent>
                </v:textbox>
                <w10:wrap type="square" side="right"/>
              </v:rect>
            </w:pict>
          </mc:Fallback>
        </mc:AlternateContent>
      </w:r>
    </w:p>
    <w:p>
      <w:pPr>
        <w:pStyle w:val="TextBody"/>
        <w:bidi w:val="0"/>
        <w:spacing w:before="240" w:after="0"/>
        <w:jc w:val="left"/>
        <w:rPr>
          <w:rFonts w:ascii="arial" w:hAnsi="arial"/>
          <w:b/>
          <w:color w:val="0171B9"/>
          <w:sz w:val="28"/>
        </w:rPr>
      </w:pPr>
      <w:bookmarkStart w:id="16" w:name="toc445034_14"/>
      <w:bookmarkEnd w:id="16"/>
      <w:r>
        <w:rPr>
          <w:rFonts w:ascii="arial" w:hAnsi="arial"/>
          <w:b/>
          <w:color w:val="0171B9"/>
          <w:sz w:val="28"/>
        </w:rPr>
        <w:t xml:space="preserve">Regular Board and Committee Evaluations </w:t>
      </w:r>
    </w:p>
    <w:p>
      <w:pPr>
        <w:pStyle w:val="TextBody"/>
        <w:bidi w:val="0"/>
        <w:spacing w:before="0" w:after="0"/>
        <w:jc w:val="left"/>
        <w:rPr/>
      </w:pPr>
      <w:r>
        <w:rPr/>
        <w:t> </w:t>
      </w:r>
    </w:p>
    <w:p>
      <w:pPr>
        <w:pStyle w:val="TextBody"/>
        <w:pBdr>
          <w:bottom w:val="single" w:sz="2" w:space="1" w:color="666666"/>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88">
                <wp:simplePos x="0" y="0"/>
                <wp:positionH relativeFrom="column">
                  <wp:align>left</wp:align>
                </wp:positionH>
                <wp:positionV relativeFrom="line">
                  <wp:posOffset>635</wp:posOffset>
                </wp:positionV>
                <wp:extent cx="3110230" cy="553720"/>
                <wp:effectExtent l="0" t="0" r="0" b="0"/>
                <wp:wrapSquare wrapText="right"/>
                <wp:docPr id="107" name="Frame43"/>
                <a:graphic xmlns:a="http://schemas.openxmlformats.org/drawingml/2006/main">
                  <a:graphicData uri="http://schemas.microsoft.com/office/word/2010/wordprocessingShape">
                    <wps:wsp>
                      <wps:cNvSpPr txBox="1"/>
                      <wps:spPr>
                        <a:xfrm>
                          <a:off x="0" y="0"/>
                          <a:ext cx="3110230" cy="55372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Board and committee evaluations play a critical role in supporting the effective functioning of our Board. Through evaluations, our directors review where they believe our Board functions effectively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3.6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Board and committee evaluations play a critical role in supporting the effective functioning of our Board. Through evaluations, our directors review where they believe our Board functions effectively </w:t>
                      </w:r>
                    </w:p>
                  </w:txbxContent>
                </v:textbox>
                <w10:wrap type="square" side="right"/>
              </v:rect>
            </w:pict>
          </mc:Fallback>
        </mc:AlternateContent>
      </w:r>
      <w:r>
        <mc:AlternateContent>
          <mc:Choice Requires="wps">
            <w:drawing>
              <wp:anchor behindDoc="0" distT="0" distB="0" distL="0" distR="0" simplePos="0" locked="0" layoutInCell="1" allowOverlap="1" relativeHeight="289">
                <wp:simplePos x="0" y="0"/>
                <wp:positionH relativeFrom="column">
                  <wp:align>left</wp:align>
                </wp:positionH>
                <wp:positionV relativeFrom="line">
                  <wp:posOffset>635</wp:posOffset>
                </wp:positionV>
                <wp:extent cx="3175000" cy="415290"/>
                <wp:effectExtent l="0" t="0" r="0" b="0"/>
                <wp:wrapSquare wrapText="right"/>
                <wp:docPr id="108" name="Frame44"/>
                <a:graphic xmlns:a="http://schemas.openxmlformats.org/drawingml/2006/main">
                  <a:graphicData uri="http://schemas.microsoft.com/office/word/2010/wordprocessingShape">
                    <wps:wsp>
                      <wps:cNvSpPr txBox="1"/>
                      <wps:spPr>
                        <a:xfrm>
                          <a:off x="0" y="0"/>
                          <a:ext cx="3175000" cy="41529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and, importantly, areas where our Board thinks there may be opportunities for improvement, including through Board refreshment.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2.7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and, importantly, areas where our Board thinks there may be opportunities for improvement, including through Board refreshment.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center"/>
        <w:rPr>
          <w:rFonts w:ascii="arial" w:hAnsi="arial"/>
          <w:b/>
          <w:color w:val="0171B9"/>
          <w:sz w:val="22"/>
        </w:rPr>
      </w:pPr>
      <w:r>
        <w:rPr>
          <w:rFonts w:ascii="arial" w:hAnsi="arial"/>
          <w:b/>
          <w:color w:val="0171B9"/>
          <w:sz w:val="22"/>
        </w:rPr>
        <w:t xml:space="preserve">Annual Board and Committee Evaluation Process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5629275"/>
            <wp:effectExtent l="0" t="0" r="0" b="0"/>
            <wp:docPr id="109"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65" descr=""/>
                    <pic:cNvPicPr>
                      <a:picLocks noChangeAspect="1" noChangeArrowheads="1"/>
                    </pic:cNvPicPr>
                  </pic:nvPicPr>
                  <pic:blipFill>
                    <a:blip r:embed="rId66"/>
                    <a:stretch>
                      <a:fillRect/>
                    </a:stretch>
                  </pic:blipFill>
                  <pic:spPr bwMode="auto">
                    <a:xfrm>
                      <a:off x="0" y="0"/>
                      <a:ext cx="7810500" cy="5629275"/>
                    </a:xfrm>
                    <a:prstGeom prst="rect">
                      <a:avLst/>
                    </a:prstGeom>
                  </pic:spPr>
                </pic:pic>
              </a:graphicData>
            </a:graphic>
          </wp:inline>
        </w:drawing>
      </w:r>
      <w:r>
        <w:rPr/>
        <w:t xml:space="preserve"> </w:t>
      </w:r>
    </w:p>
    <w:p>
      <w:pPr>
        <w:pStyle w:val="TextBody"/>
        <w:bidi w:val="0"/>
        <w:jc w:val="center"/>
        <w:rPr>
          <w:rFonts w:ascii="arial" w:hAnsi="arial"/>
          <w:color w:val="FFFFFF"/>
          <w:sz w:val="2"/>
        </w:rPr>
      </w:pPr>
      <w:r>
        <w:rPr>
          <w:rFonts w:ascii="arial" w:hAnsi="arial"/>
          <w:color w:val="FFFFFF"/>
          <w:sz w:val="2"/>
        </w:rPr>
        <w:t xml:space="preserve">Planning The Governance Committee oversees the Board evaluation process. In consultation with our lead independent director, and the committee Chairs, a framework for evaluation is established, including a review of topics for evaluation that are incorporated in the evaluation forms used by the Board and committees. Committee Evaluations and Assessment Formal annual anonymous evaluations of the Audit, Compensation, Compliance, and Governance Committees are collected, compiled, and distributed in advance of the scheduled discussion by each committee in executive session (typically in October). The evaluations include open-ended questions and space for candid commentary. All comments are unattributed, include verbatim, and shared with the full Board and each applicable committee. Each committee chair reports out to the full Board on these assessments for review and discussion. One-on-One Discussions Our lead independent director conduct one-on-one discussions with each independent director. These candid conversations allow for direct and honest feedback on varied aspects of our Boards operations. Board Evaluation and Assessment Annual anonymous evaluations of the Board are collected, complied, and distributed in advance of the scheduled discussion by the full Board in executive session (typically in December) and informed by the results of the committee-level evaluation discussions as well as the one-on-one discussions conducted by the lead independent director. Follow-up Policies, practices, and the composition of our Board and its committees are modified, as appropriate, based on evaluation findings, one-on-one discussions, are follow-up items are discussed at subsequent Boars and committee meetings. Ongoing Our directors are encouraged to convey ongoing feedback to our lead independent director or the Governance Committee during any executive session throughout the year.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90">
                <wp:simplePos x="0" y="0"/>
                <wp:positionH relativeFrom="column">
                  <wp:align>left</wp:align>
                </wp:positionH>
                <wp:positionV relativeFrom="line">
                  <wp:posOffset>635</wp:posOffset>
                </wp:positionV>
                <wp:extent cx="3110230" cy="1384300"/>
                <wp:effectExtent l="0" t="0" r="0" b="0"/>
                <wp:wrapSquare wrapText="right"/>
                <wp:docPr id="110" name="Frame45"/>
                <a:graphic xmlns:a="http://schemas.openxmlformats.org/drawingml/2006/main">
                  <a:graphicData uri="http://schemas.microsoft.com/office/word/2010/wordprocessingShape">
                    <wps:wsp>
                      <wps:cNvSpPr txBox="1"/>
                      <wps:spPr>
                        <a:xfrm>
                          <a:off x="0" y="0"/>
                          <a:ext cx="3110230" cy="1384300"/>
                        </a:xfrm>
                        <a:prstGeom prst="rect"/>
                        <a:solidFill>
                          <a:srgbClr val="FFFFFF"/>
                        </a:solidFill>
                      </wps:spPr>
                      <wps:txbx>
                        <w:txbxContent>
                          <w:p>
                            <w:pPr>
                              <w:pStyle w:val="TextBody"/>
                              <w:bidi w:val="0"/>
                              <w:spacing w:before="0" w:after="0"/>
                              <w:jc w:val="both"/>
                              <w:rPr>
                                <w:rFonts w:ascii="arial" w:hAnsi="arial"/>
                                <w:sz w:val="19"/>
                              </w:rPr>
                            </w:pPr>
                            <w:r>
                              <w:rPr>
                                <w:rFonts w:ascii="arial" w:hAnsi="arial"/>
                                <w:b/>
                                <w:i/>
                                <w:color w:val="0171B9"/>
                                <w:sz w:val="19"/>
                              </w:rPr>
                              <w:t>Evaluation Results.</w:t>
                            </w:r>
                            <w:r>
                              <w:rPr>
                                <w:rFonts w:ascii="arial" w:hAnsi="arial"/>
                                <w:sz w:val="19"/>
                              </w:rPr>
                              <w:t xml:space="preserve"> The Audit, Compensation, Compliance, and Governance Committees each completed their committee evaluations and assessments in October 2023 and such evaluations were included as part of the total evaluation by the Governance Committee in December 2023. The Board completed its evaluation in December 2023. Each committee and the Board was considered to be operating effectively, and each committee and the Board was satisfied with its performance.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09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b/>
                          <w:i/>
                          <w:color w:val="0171B9"/>
                          <w:sz w:val="19"/>
                        </w:rPr>
                        <w:t>Evaluation Results.</w:t>
                      </w:r>
                      <w:r>
                        <w:rPr>
                          <w:rFonts w:ascii="arial" w:hAnsi="arial"/>
                          <w:sz w:val="19"/>
                        </w:rPr>
                        <w:t xml:space="preserve"> The Audit, Compensation, Compliance, and Governance Committees each completed their committee evaluations and assessments in October 2023 and such evaluations were included as part of the total evaluation by the Governance Committee in December 2023. The Board completed its evaluation in December 2023. Each committee and the Board was considered to be operating effectively, and each committee and the Board was satisfied with its performance. </w:t>
                      </w:r>
                    </w:p>
                  </w:txbxContent>
                </v:textbox>
                <w10:wrap type="square" side="right"/>
              </v:rect>
            </w:pict>
          </mc:Fallback>
        </mc:AlternateContent>
      </w:r>
      <w:r>
        <mc:AlternateContent>
          <mc:Choice Requires="wps">
            <w:drawing>
              <wp:anchor behindDoc="0" distT="0" distB="0" distL="0" distR="0" simplePos="0" locked="0" layoutInCell="1" allowOverlap="1" relativeHeight="291">
                <wp:simplePos x="0" y="0"/>
                <wp:positionH relativeFrom="column">
                  <wp:align>left</wp:align>
                </wp:positionH>
                <wp:positionV relativeFrom="line">
                  <wp:posOffset>635</wp:posOffset>
                </wp:positionV>
                <wp:extent cx="3175000" cy="969010"/>
                <wp:effectExtent l="0" t="0" r="0" b="0"/>
                <wp:wrapSquare wrapText="right"/>
                <wp:docPr id="111" name="Frame46"/>
                <a:graphic xmlns:a="http://schemas.openxmlformats.org/drawingml/2006/main">
                  <a:graphicData uri="http://schemas.microsoft.com/office/word/2010/wordprocessingShape">
                    <wps:wsp>
                      <wps:cNvSpPr txBox="1"/>
                      <wps:spPr>
                        <a:xfrm>
                          <a:off x="0" y="0"/>
                          <a:ext cx="3175000" cy="969010"/>
                        </a:xfrm>
                        <a:prstGeom prst="rect"/>
                        <a:solidFill>
                          <a:srgbClr val="FFFFFF"/>
                        </a:solidFill>
                      </wps:spPr>
                      <wps:txbx>
                        <w:txbxContent>
                          <w:p>
                            <w:pPr>
                              <w:pStyle w:val="TextBody"/>
                              <w:bidi w:val="0"/>
                              <w:spacing w:before="0" w:after="0"/>
                              <w:jc w:val="both"/>
                              <w:rPr>
                                <w:rFonts w:ascii="arial" w:hAnsi="arial"/>
                                <w:sz w:val="19"/>
                              </w:rPr>
                            </w:pPr>
                            <w:r>
                              <w:rPr>
                                <w:rFonts w:ascii="arial" w:hAnsi="arial"/>
                                <w:b/>
                                <w:i/>
                                <w:color w:val="0171B9"/>
                                <w:sz w:val="19"/>
                              </w:rPr>
                              <w:t>Ongoing Feedback.</w:t>
                            </w:r>
                            <w:r>
                              <w:rPr>
                                <w:rFonts w:ascii="arial" w:hAnsi="arial"/>
                                <w:sz w:val="19"/>
                              </w:rPr>
                              <w:t xml:space="preserve"> Our directors provide real-time feedback throughout the year outside of the formal evaluation process and have open access to management and third-party advisors. Additionally, executive sessions of directors (without management) are scheduled for every regular Board and committee meeting to identify any issues and assess whether meeting objectives were satisfied.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6.3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b/>
                          <w:i/>
                          <w:color w:val="0171B9"/>
                          <w:sz w:val="19"/>
                        </w:rPr>
                        <w:t>Ongoing Feedback.</w:t>
                      </w:r>
                      <w:r>
                        <w:rPr>
                          <w:rFonts w:ascii="arial" w:hAnsi="arial"/>
                          <w:sz w:val="19"/>
                        </w:rPr>
                        <w:t xml:space="preserve"> Our directors provide real-time feedback throughout the year outside of the formal evaluation process and have open access to management and third-party advisors. Additionally, executive sessions of directors (without management) are scheduled for every regular Board and committee meeting to identify any issues and assess whether meeting objectives were satisfied.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32  </w:t>
      </w:r>
      <w:r>
        <w:rPr>
          <w:rFonts w:ascii="arial" w:hAnsi="arial"/>
          <w:b/>
          <w:color w:val="474747"/>
          <w:sz w:val="22"/>
        </w:rPr>
        <w:drawing>
          <wp:inline distT="0" distB="0" distL="0" distR="0">
            <wp:extent cx="64770" cy="15240"/>
            <wp:effectExtent l="0" t="0" r="0" b="0"/>
            <wp:docPr id="112"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66" descr=""/>
                    <pic:cNvPicPr>
                      <a:picLocks noChangeAspect="1" noChangeArrowheads="1"/>
                    </pic:cNvPicPr>
                  </pic:nvPicPr>
                  <pic:blipFill>
                    <a:blip r:embed="rId67"/>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311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263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263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Corporate Governance</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92">
                <wp:simplePos x="0" y="0"/>
                <wp:positionH relativeFrom="column">
                  <wp:align>left</wp:align>
                </wp:positionH>
                <wp:positionV relativeFrom="line">
                  <wp:posOffset>635</wp:posOffset>
                </wp:positionV>
                <wp:extent cx="3110230" cy="692150"/>
                <wp:effectExtent l="0" t="0" r="0" b="0"/>
                <wp:wrapSquare wrapText="right"/>
                <wp:docPr id="113" name="Frame47"/>
                <a:graphic xmlns:a="http://schemas.openxmlformats.org/drawingml/2006/main">
                  <a:graphicData uri="http://schemas.microsoft.com/office/word/2010/wordprocessingShape">
                    <wps:wsp>
                      <wps:cNvSpPr txBox="1"/>
                      <wps:spPr>
                        <a:xfrm>
                          <a:off x="0" y="0"/>
                          <a:ext cx="3110230" cy="692150"/>
                        </a:xfrm>
                        <a:prstGeom prst="rect"/>
                        <a:solidFill>
                          <a:srgbClr val="FFFFFF"/>
                        </a:solidFill>
                      </wps:spPr>
                      <wps:txbx>
                        <w:txbxContent>
                          <w:p>
                            <w:pPr>
                              <w:pStyle w:val="TextBody"/>
                              <w:bidi w:val="0"/>
                              <w:spacing w:before="0" w:after="0"/>
                              <w:jc w:val="both"/>
                              <w:rPr>
                                <w:rFonts w:ascii="arial" w:hAnsi="arial"/>
                                <w:sz w:val="19"/>
                              </w:rPr>
                            </w:pPr>
                            <w:r>
                              <w:rPr>
                                <w:rFonts w:ascii="arial" w:hAnsi="arial"/>
                                <w:b/>
                                <w:i/>
                                <w:color w:val="0171B9"/>
                                <w:sz w:val="19"/>
                              </w:rPr>
                              <w:t>Changes Implemented.</w:t>
                            </w:r>
                            <w:r>
                              <w:rPr>
                                <w:rFonts w:ascii="arial" w:hAnsi="arial"/>
                                <w:sz w:val="19"/>
                              </w:rPr>
                              <w:t xml:space="preserve"> Based on the annual Board and committee evaluation process, ongoing feedback provided by directors, and one-on-one discussions between our lead independent director and each independent director, changes to Board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4.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b/>
                          <w:i/>
                          <w:color w:val="0171B9"/>
                          <w:sz w:val="19"/>
                        </w:rPr>
                        <w:t>Changes Implemented.</w:t>
                      </w:r>
                      <w:r>
                        <w:rPr>
                          <w:rFonts w:ascii="arial" w:hAnsi="arial"/>
                          <w:sz w:val="19"/>
                        </w:rPr>
                        <w:t xml:space="preserve"> Based on the annual Board and committee evaluation process, ongoing feedback provided by directors, and one-on-one discussions between our lead independent director and each independent director, changes to Board </w:t>
                      </w:r>
                    </w:p>
                  </w:txbxContent>
                </v:textbox>
                <w10:wrap type="square" side="right"/>
              </v:rect>
            </w:pict>
          </mc:Fallback>
        </mc:AlternateContent>
      </w:r>
      <w:r>
        <mc:AlternateContent>
          <mc:Choice Requires="wps">
            <w:drawing>
              <wp:anchor behindDoc="0" distT="0" distB="0" distL="0" distR="0" simplePos="0" locked="0" layoutInCell="1" allowOverlap="1" relativeHeight="293">
                <wp:simplePos x="0" y="0"/>
                <wp:positionH relativeFrom="column">
                  <wp:align>left</wp:align>
                </wp:positionH>
                <wp:positionV relativeFrom="line">
                  <wp:posOffset>635</wp:posOffset>
                </wp:positionV>
                <wp:extent cx="3175000" cy="553720"/>
                <wp:effectExtent l="0" t="0" r="0" b="0"/>
                <wp:wrapSquare wrapText="right"/>
                <wp:docPr id="114" name="Frame48"/>
                <a:graphic xmlns:a="http://schemas.openxmlformats.org/drawingml/2006/main">
                  <a:graphicData uri="http://schemas.microsoft.com/office/word/2010/wordprocessingShape">
                    <wps:wsp>
                      <wps:cNvSpPr txBox="1"/>
                      <wps:spPr>
                        <a:xfrm>
                          <a:off x="0" y="0"/>
                          <a:ext cx="3175000" cy="55372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practices have included enhancements to our committee structure and composition, additional presentations on various topics, including strategy, and the addition of new directors.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3.6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practices have included enhancements to our committee structure and composition, additional presentations on various topics, including strategy, and the addition of new directors.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b/>
          <w:color w:val="0171B9"/>
          <w:sz w:val="28"/>
        </w:rPr>
      </w:pPr>
      <w:bookmarkStart w:id="17" w:name="toc445034_15"/>
      <w:bookmarkEnd w:id="17"/>
      <w:r>
        <w:rPr>
          <w:rFonts w:ascii="arial" w:hAnsi="arial"/>
          <w:b/>
          <w:color w:val="0171B9"/>
          <w:sz w:val="28"/>
        </w:rPr>
        <w:t xml:space="preserve">Director Independence </w:t>
      </w:r>
    </w:p>
    <w:p>
      <w:pPr>
        <w:pStyle w:val="TextBody"/>
        <w:bidi w:val="0"/>
        <w:spacing w:before="0" w:after="0"/>
        <w:jc w:val="left"/>
        <w:rPr/>
      </w:pPr>
      <w:r>
        <w:rPr/>
        <w:t> </w:t>
      </w:r>
    </w:p>
    <w:p>
      <w:pPr>
        <w:pStyle w:val="TextBody"/>
        <w:pBdr>
          <w:bottom w:val="single" w:sz="2" w:space="1" w:color="666666"/>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94">
                <wp:simplePos x="0" y="0"/>
                <wp:positionH relativeFrom="column">
                  <wp:align>left</wp:align>
                </wp:positionH>
                <wp:positionV relativeFrom="line">
                  <wp:posOffset>635</wp:posOffset>
                </wp:positionV>
                <wp:extent cx="3110230" cy="5627370"/>
                <wp:effectExtent l="0" t="0" r="0" b="0"/>
                <wp:wrapSquare wrapText="right"/>
                <wp:docPr id="115" name="Frame49"/>
                <a:graphic xmlns:a="http://schemas.openxmlformats.org/drawingml/2006/main">
                  <a:graphicData uri="http://schemas.microsoft.com/office/word/2010/wordprocessingShape">
                    <wps:wsp>
                      <wps:cNvSpPr txBox="1"/>
                      <wps:spPr>
                        <a:xfrm>
                          <a:off x="0" y="0"/>
                          <a:ext cx="3110230" cy="562737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At least annually, the Governance Committee reviews the independence of each non-employee director and makes recommendations to the Board and the Board affirmatively determines whether each director qualifies as independent. Each director must keep the Governance Committee fully and promptly informed as to any development that may affect the director’s independence. </w:t>
                            </w:r>
                          </w:p>
                          <w:p>
                            <w:pPr>
                              <w:pStyle w:val="TextBody"/>
                              <w:bidi w:val="0"/>
                              <w:spacing w:before="120" w:after="0"/>
                              <w:jc w:val="both"/>
                              <w:rPr>
                                <w:rFonts w:ascii="arial" w:hAnsi="arial"/>
                                <w:sz w:val="19"/>
                              </w:rPr>
                            </w:pPr>
                            <w:r>
                              <w:rPr>
                                <w:rFonts w:ascii="arial" w:hAnsi="arial"/>
                                <w:sz w:val="19"/>
                              </w:rPr>
                              <w:t xml:space="preserve">The Board has determined that each of our non-employee directors: Wanda M. Austin; Michael V. Drake; Brian J. Druker; Robert A. Eckert; Greg C. Garland; Charles M. Holley, Jr.; S. Omar Ishrak; Tyler Jacks; Ellen J. Kullman; Amy E. Miles; Ronald D. Sugar; and R. Sanders Williams was independent during 2023 under The NASDAQ Stock Market listing standards and the requirements of the SEC. The Board has also determined that Mary E. Klotman, who is standing for initial election to the Board, is independent under these listing standards and SEC requirements. Mr. Bradway is not independent based on his service as our CEO and President. Mr. Bradway is the only director who also serves in a management capacity. In making its independence determinations, the Board reviewed direct and indirect transactions and relationships between each director or any member of his or her immediate family, and us or any of our subsidiaries or affiliates based on information provided by the director, our records, and/or publicly available information. </w:t>
                            </w:r>
                          </w:p>
                          <w:p>
                            <w:pPr>
                              <w:pStyle w:val="TextBody"/>
                              <w:bidi w:val="0"/>
                              <w:spacing w:before="120" w:after="0"/>
                              <w:jc w:val="both"/>
                              <w:rPr>
                                <w:rFonts w:ascii="arial" w:hAnsi="arial"/>
                                <w:sz w:val="19"/>
                              </w:rPr>
                            </w:pPr>
                            <w:r>
                              <w:rPr>
                                <w:rFonts w:ascii="arial" w:hAnsi="arial"/>
                                <w:sz w:val="19"/>
                              </w:rPr>
                              <w:t xml:space="preserve">All of the reviewed transactions and arrangements were entered into in the ordinary course of business and none of the business transactions, donations, or grants involved an amount that (i) exceeded the greater of 5% of the recipient entity’s revenues or $200,000 with respect to transactions where a director or any member of his or her immediate family or spouse served as an employee, officer, partner, director, or controlling shareholder, or (ii) exceeded $10,000 with respect to professional or consulting services provided by entities at which directors serve as professors or employees. </w:t>
                            </w:r>
                          </w:p>
                          <w:p>
                            <w:pPr>
                              <w:pStyle w:val="TextBody"/>
                              <w:bidi w:val="0"/>
                              <w:spacing w:before="120" w:after="0"/>
                              <w:jc w:val="both"/>
                              <w:rPr>
                                <w:rFonts w:ascii="arial" w:hAnsi="arial"/>
                                <w:sz w:val="19"/>
                              </w:rPr>
                            </w:pPr>
                            <w:r>
                              <w:rPr>
                                <w:rFonts w:ascii="arial" w:hAnsi="arial"/>
                                <w:sz w:val="19"/>
                              </w:rPr>
                              <w:t xml:space="preserve">The following types and categories of transactions, relationships, and arrangements were considered by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43.1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At least annually, the Governance Committee reviews the independence of each non-employee director and makes recommendations to the Board and the Board affirmatively determines whether each director qualifies as independent. Each director must keep the Governance Committee fully and promptly informed as to any development that may affect the director’s independence. </w:t>
                      </w:r>
                    </w:p>
                    <w:p>
                      <w:pPr>
                        <w:pStyle w:val="TextBody"/>
                        <w:bidi w:val="0"/>
                        <w:spacing w:before="120" w:after="0"/>
                        <w:jc w:val="both"/>
                        <w:rPr>
                          <w:rFonts w:ascii="arial" w:hAnsi="arial"/>
                          <w:sz w:val="19"/>
                        </w:rPr>
                      </w:pPr>
                      <w:r>
                        <w:rPr>
                          <w:rFonts w:ascii="arial" w:hAnsi="arial"/>
                          <w:sz w:val="19"/>
                        </w:rPr>
                        <w:t xml:space="preserve">The Board has determined that each of our non-employee directors: Wanda M. Austin; Michael V. Drake; Brian J. Druker; Robert A. Eckert; Greg C. Garland; Charles M. Holley, Jr.; S. Omar Ishrak; Tyler Jacks; Ellen J. Kullman; Amy E. Miles; Ronald D. Sugar; and R. Sanders Williams was independent during 2023 under The NASDAQ Stock Market listing standards and the requirements of the SEC. The Board has also determined that Mary E. Klotman, who is standing for initial election to the Board, is independent under these listing standards and SEC requirements. Mr. Bradway is not independent based on his service as our CEO and President. Mr. Bradway is the only director who also serves in a management capacity. In making its independence determinations, the Board reviewed direct and indirect transactions and relationships between each director or any member of his or her immediate family, and us or any of our subsidiaries or affiliates based on information provided by the director, our records, and/or publicly available information. </w:t>
                      </w:r>
                    </w:p>
                    <w:p>
                      <w:pPr>
                        <w:pStyle w:val="TextBody"/>
                        <w:bidi w:val="0"/>
                        <w:spacing w:before="120" w:after="0"/>
                        <w:jc w:val="both"/>
                        <w:rPr>
                          <w:rFonts w:ascii="arial" w:hAnsi="arial"/>
                          <w:sz w:val="19"/>
                        </w:rPr>
                      </w:pPr>
                      <w:r>
                        <w:rPr>
                          <w:rFonts w:ascii="arial" w:hAnsi="arial"/>
                          <w:sz w:val="19"/>
                        </w:rPr>
                        <w:t xml:space="preserve">All of the reviewed transactions and arrangements were entered into in the ordinary course of business and none of the business transactions, donations, or grants involved an amount that (i) exceeded the greater of 5% of the recipient entity’s revenues or $200,000 with respect to transactions where a director or any member of his or her immediate family or spouse served as an employee, officer, partner, director, or controlling shareholder, or (ii) exceeded $10,000 with respect to professional or consulting services provided by entities at which directors serve as professors or employees. </w:t>
                      </w:r>
                    </w:p>
                    <w:p>
                      <w:pPr>
                        <w:pStyle w:val="TextBody"/>
                        <w:bidi w:val="0"/>
                        <w:spacing w:before="120" w:after="0"/>
                        <w:jc w:val="both"/>
                        <w:rPr>
                          <w:rFonts w:ascii="arial" w:hAnsi="arial"/>
                          <w:sz w:val="19"/>
                        </w:rPr>
                      </w:pPr>
                      <w:r>
                        <w:rPr>
                          <w:rFonts w:ascii="arial" w:hAnsi="arial"/>
                          <w:sz w:val="19"/>
                        </w:rPr>
                        <w:t xml:space="preserve">The following types and categories of transactions, relationships, and arrangements were considered by </w:t>
                      </w:r>
                    </w:p>
                  </w:txbxContent>
                </v:textbox>
                <w10:wrap type="square" side="right"/>
              </v:rect>
            </w:pict>
          </mc:Fallback>
        </mc:AlternateContent>
      </w:r>
      <w:r>
        <mc:AlternateContent>
          <mc:Choice Requires="wps">
            <w:drawing>
              <wp:anchor behindDoc="0" distT="0" distB="0" distL="0" distR="0" simplePos="0" locked="0" layoutInCell="1" allowOverlap="1" relativeHeight="295">
                <wp:simplePos x="0" y="0"/>
                <wp:positionH relativeFrom="column">
                  <wp:align>left</wp:align>
                </wp:positionH>
                <wp:positionV relativeFrom="line">
                  <wp:posOffset>635</wp:posOffset>
                </wp:positionV>
                <wp:extent cx="3175000" cy="3608070"/>
                <wp:effectExtent l="0" t="0" r="0" b="0"/>
                <wp:wrapSquare wrapText="right"/>
                <wp:docPr id="116" name="Frame50"/>
                <a:graphic xmlns:a="http://schemas.openxmlformats.org/drawingml/2006/main">
                  <a:graphicData uri="http://schemas.microsoft.com/office/word/2010/wordprocessingShape">
                    <wps:wsp>
                      <wps:cNvSpPr txBox="1"/>
                      <wps:spPr>
                        <a:xfrm>
                          <a:off x="0" y="0"/>
                          <a:ext cx="3175000" cy="360807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our Board in making its independence determinations: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Each of the independent directors (or their immediate family members) currently serves or has previously served within the last three years as a professor, trustee, director, or member of a board, advisory board, council, or committee for one or more colleges, universities, or non-profit charitable organizations, including research or scientific institutions, to which the Amgen Foundation has made grants or matching donations under the Amgen matching gift program that is available to all of our employees and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Each of the independent directors (or their immediate family members) currently serves, or has previously served within the last three years, as a member of the board of directors, the board of trustees, or an advisory board for an entity with which Amgen has business transactions or to which Amgen or the Amgen Foundation makes donations or grants. These business transactions include, among other things(1), purchasing of scientific, office and computing supplies and equipment, software licenses, payment of fees or memberships, and expenses relating to repair and maintenance, clinical trials, research and development and training, sponsorship of, healthcare programs, internship programs, and conferences, financial advisory, investment management, investment advisory and consulting services, and reimbursement of business-related expenses incurred by our staff (such as for transportation, gas, and food purchases).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Wanda M. Austin, Brian J. Druker, Tyler Jacks, and R. Sanders Williams currently serve as professors for universities, Mary E. Klotman currently serves as the Duke University Executive Vice President for Health Affairs and the Dean of Duke’s School of Medicine, and Michael V. Drake currently serves as the President of the University of California, to which Amgen has made payments for certain business transactions such as symposiums, conferences and exhibits, postdoctoral research programs, clinical trials, training and research and development, software licenses and maintenance, as well as for grants from the Amgen Foundation.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84.1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our Board in making its independence determinations: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Each of the independent directors (or their immediate family members) currently serves or has previously served within the last three years as a professor, trustee, director, or member of a board, advisory board, council, or committee for one or more colleges, universities, or non-profit charitable organizations, including research or scientific institutions, to which the Amgen Foundation has made grants or matching donations under the Amgen matching gift program that is available to all of our employees and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Each of the independent directors (or their immediate family members) currently serves, or has previously served within the last three years, as a member of the board of directors, the board of trustees, or an advisory board for an entity with which Amgen has business transactions or to which Amgen or the Amgen Foundation makes donations or grants. These business transactions include, among other things(1), purchasing of scientific, office and computing supplies and equipment, software licenses, payment of fees or memberships, and expenses relating to repair and maintenance, clinical trials, research and development and training, sponsorship of, healthcare programs, internship programs, and conferences, financial advisory, investment management, investment advisory and consulting services, and reimbursement of business-related expenses incurred by our staff (such as for transportation, gas, and food purchases).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Wanda M. Austin, Brian J. Druker, Tyler Jacks, and R. Sanders Williams currently serve as professors for universities, Mary E. Klotman currently serves as the Duke University Executive Vice President for Health Affairs and the Dean of Duke’s School of Medicine, and Michael V. Drake currently serves as the President of the University of California, to which Amgen has made payments for certain business transactions such as symposiums, conferences and exhibits, postdoctoral research programs, clinical trials, training and research and development, software licenses and maintenance, as well as for grants from the Amgen Foundation. </w:t>
                            </w:r>
                          </w:p>
                        </w:tc>
                      </w:tr>
                    </w:tbl>
                    <w:p>
                      <w:pPr>
                        <w:pStyle w:val="TextBody"/>
                        <w:bidi w:val="0"/>
                        <w:spacing w:before="0" w:after="283"/>
                        <w:jc w:val="left"/>
                        <w:rPr/>
                      </w:pPr>
                      <w:r>
                        <w:rPr/>
                      </w:r>
                    </w:p>
                  </w:txbxContent>
                </v:textbox>
                <w10:wrap type="square" side="right"/>
              </v:rect>
            </w:pict>
          </mc:Fallback>
        </mc:AlternateContent>
      </w:r>
    </w:p>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321"/>
        <w:gridCol w:w="9884"/>
      </w:tblGrid>
      <w:tr>
        <w:trPr/>
        <w:tc>
          <w:tcPr>
            <w:tcW w:w="321" w:type="dxa"/>
            <w:tcBorders/>
            <w:vAlign w:val="center"/>
          </w:tcPr>
          <w:p>
            <w:pPr>
              <w:pStyle w:val="TableContents"/>
              <w:bidi w:val="0"/>
              <w:spacing w:before="0" w:after="283"/>
              <w:jc w:val="left"/>
              <w:rPr/>
            </w:pPr>
            <w:r>
              <w:rPr/>
              <w:t>(1) </w:t>
            </w:r>
          </w:p>
        </w:tc>
        <w:tc>
          <w:tcPr>
            <w:tcW w:w="9884" w:type="dxa"/>
            <w:tcBorders/>
            <w:vAlign w:val="center"/>
          </w:tcPr>
          <w:p>
            <w:pPr>
              <w:pStyle w:val="TableContents"/>
              <w:bidi w:val="0"/>
              <w:spacing w:before="0" w:after="0"/>
              <w:jc w:val="both"/>
              <w:rPr>
                <w:rFonts w:ascii="arial" w:hAnsi="arial"/>
                <w:sz w:val="16"/>
              </w:rPr>
            </w:pPr>
            <w:r>
              <w:rPr>
                <w:rFonts w:ascii="arial" w:hAnsi="arial"/>
                <w:sz w:val="16"/>
              </w:rPr>
              <w:t>In connection with our acquisition of Horizon Therapeutics plc on October 6, 2023, we acquired pre-existing license agreements with academic institutions associated with certain of our directors.</w:t>
            </w:r>
          </w:p>
        </w:tc>
      </w:tr>
    </w:tbl>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11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67" descr=""/>
                    <pic:cNvPicPr>
                      <a:picLocks noChangeAspect="1" noChangeArrowheads="1"/>
                    </pic:cNvPicPr>
                  </pic:nvPicPr>
                  <pic:blipFill>
                    <a:blip r:embed="rId68"/>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33</w:t>
      </w:r>
      <w:r>
        <w:rPr>
          <w:rFonts w:ascii="arial" w:hAnsi="arial"/>
          <w:b/>
          <w:sz w:val="22"/>
        </w:rPr>
        <w:t xml:space="preserve"> </w:t>
      </w:r>
      <w:r>
        <w:br w:type="page"/>
      </w:r>
    </w:p>
    <w:p>
      <w:pPr>
        <w:pStyle w:val="HorizontalLine"/>
        <w:bidi w:val="0"/>
        <w:jc w:val="left"/>
        <w:rPr/>
      </w:pPr>
      <w:r>
        <w:rPr/>
      </w:r>
    </w:p>
    <w:tbl>
      <w:tblPr>
        <w:tblW w:w="311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263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263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Corporate Governance</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96">
                <wp:simplePos x="0" y="0"/>
                <wp:positionH relativeFrom="column">
                  <wp:align>left</wp:align>
                </wp:positionH>
                <wp:positionV relativeFrom="line">
                  <wp:posOffset>635</wp:posOffset>
                </wp:positionV>
                <wp:extent cx="3110230" cy="553720"/>
                <wp:effectExtent l="0" t="0" r="0" b="0"/>
                <wp:wrapSquare wrapText="right"/>
                <wp:docPr id="118" name="Frame51"/>
                <a:graphic xmlns:a="http://schemas.openxmlformats.org/drawingml/2006/main">
                  <a:graphicData uri="http://schemas.microsoft.com/office/word/2010/wordprocessingShape">
                    <wps:wsp>
                      <wps:cNvSpPr txBox="1"/>
                      <wps:spPr>
                        <a:xfrm>
                          <a:off x="0" y="0"/>
                          <a:ext cx="3110230" cy="55372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None of the directors, directly or indirectly, provides any professional or consulting services to us and none of the directors currently has or has had any direct or indirect material interest in any of the above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3.6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None of the directors, directly or indirectly, provides any professional or consulting services to us and none of the directors currently has or has had any direct or indirect material interest in any of the above </w:t>
                      </w:r>
                    </w:p>
                  </w:txbxContent>
                </v:textbox>
                <w10:wrap type="square" side="right"/>
              </v:rect>
            </w:pict>
          </mc:Fallback>
        </mc:AlternateContent>
      </w:r>
      <w:r>
        <mc:AlternateContent>
          <mc:Choice Requires="wps">
            <w:drawing>
              <wp:anchor behindDoc="0" distT="0" distB="0" distL="0" distR="0" simplePos="0" locked="0" layoutInCell="1" allowOverlap="1" relativeHeight="297">
                <wp:simplePos x="0" y="0"/>
                <wp:positionH relativeFrom="column">
                  <wp:align>left</wp:align>
                </wp:positionH>
                <wp:positionV relativeFrom="line">
                  <wp:posOffset>635</wp:posOffset>
                </wp:positionV>
                <wp:extent cx="3175000" cy="553720"/>
                <wp:effectExtent l="0" t="0" r="0" b="0"/>
                <wp:wrapSquare wrapText="right"/>
                <wp:docPr id="119" name="Frame52"/>
                <a:graphic xmlns:a="http://schemas.openxmlformats.org/drawingml/2006/main">
                  <a:graphicData uri="http://schemas.microsoft.com/office/word/2010/wordprocessingShape">
                    <wps:wsp>
                      <wps:cNvSpPr txBox="1"/>
                      <wps:spPr>
                        <a:xfrm>
                          <a:off x="0" y="0"/>
                          <a:ext cx="3175000" cy="55372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transactions and arrangements. The Board determined that these transactions and arrangements did not warrant a determination that any of our directors were not independent.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3.6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transactions and arrangements. The Board determined that these transactions and arrangements did not warrant a determination that any of our directors were not independent. </w:t>
                      </w:r>
                    </w:p>
                  </w:txbxContent>
                </v:textbox>
                <w10:wrap type="square" side="right"/>
              </v:rect>
            </w:pict>
          </mc:Fallback>
        </mc:AlternateContent>
      </w:r>
    </w:p>
    <w:p>
      <w:pPr>
        <w:pStyle w:val="TextBody"/>
        <w:bidi w:val="0"/>
        <w:spacing w:before="360" w:after="0"/>
        <w:jc w:val="left"/>
        <w:rPr>
          <w:rFonts w:ascii="arial" w:hAnsi="arial"/>
          <w:b/>
          <w:color w:val="0171B9"/>
          <w:sz w:val="28"/>
        </w:rPr>
      </w:pPr>
      <w:bookmarkStart w:id="18" w:name="toc445034_16"/>
      <w:bookmarkEnd w:id="18"/>
      <w:r>
        <w:rPr>
          <w:rFonts w:ascii="arial" w:hAnsi="arial"/>
          <w:b/>
          <w:color w:val="0171B9"/>
          <w:sz w:val="28"/>
        </w:rPr>
        <w:t xml:space="preserve">Governance Committee Processes and Procedures for Considering and Determining Director Compensation </w:t>
      </w:r>
    </w:p>
    <w:p>
      <w:pPr>
        <w:pStyle w:val="TextBody"/>
        <w:bidi w:val="0"/>
        <w:spacing w:before="0" w:after="0"/>
        <w:jc w:val="left"/>
        <w:rPr/>
      </w:pPr>
      <w:r>
        <w:rPr/>
        <w:t> </w:t>
      </w:r>
    </w:p>
    <w:p>
      <w:pPr>
        <w:pStyle w:val="TextBody"/>
        <w:pBdr>
          <w:bottom w:val="single" w:sz="2" w:space="1" w:color="666666"/>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98">
                <wp:simplePos x="0" y="0"/>
                <wp:positionH relativeFrom="column">
                  <wp:align>left</wp:align>
                </wp:positionH>
                <wp:positionV relativeFrom="line">
                  <wp:posOffset>635</wp:posOffset>
                </wp:positionV>
                <wp:extent cx="3110230" cy="1319530"/>
                <wp:effectExtent l="0" t="0" r="0" b="0"/>
                <wp:wrapSquare wrapText="right"/>
                <wp:docPr id="120" name="Frame53"/>
                <a:graphic xmlns:a="http://schemas.openxmlformats.org/drawingml/2006/main">
                  <a:graphicData uri="http://schemas.microsoft.com/office/word/2010/wordprocessingShape">
                    <wps:wsp>
                      <wps:cNvSpPr txBox="1"/>
                      <wps:spPr>
                        <a:xfrm>
                          <a:off x="0" y="0"/>
                          <a:ext cx="3110230" cy="131953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The Governance Committee has the authority to evaluate and make recommendations to our Board regarding director compensation.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The Governance Committee conducts this evaluation periodically by reviewing our director compensation practices against the practices of an appropriate peer group and the Governance Committee has the authority to retain consultants to advise on director compensation matters. No executive officer has any role in determining or recommending the form or amount of director compensation.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03.9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The Governance Committee has the authority to evaluate and make recommendations to our Board regarding director compensation.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The Governance Committee conducts this evaluation periodically by reviewing our director compensation practices against the practices of an appropriate peer group and the Governance Committee has the authority to retain consultants to advise on director compensation matters. No executive officer has any role in determining or recommending the form or amount of director compensation.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99">
                <wp:simplePos x="0" y="0"/>
                <wp:positionH relativeFrom="column">
                  <wp:align>left</wp:align>
                </wp:positionH>
                <wp:positionV relativeFrom="line">
                  <wp:posOffset>635</wp:posOffset>
                </wp:positionV>
                <wp:extent cx="3175000" cy="867410"/>
                <wp:effectExtent l="0" t="0" r="0" b="0"/>
                <wp:wrapSquare wrapText="right"/>
                <wp:docPr id="121" name="Frame54"/>
                <a:graphic xmlns:a="http://schemas.openxmlformats.org/drawingml/2006/main">
                  <a:graphicData uri="http://schemas.microsoft.com/office/word/2010/wordprocessingShape">
                    <wps:wsp>
                      <wps:cNvSpPr txBox="1"/>
                      <wps:spPr>
                        <a:xfrm>
                          <a:off x="0" y="0"/>
                          <a:ext cx="3175000" cy="86741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Based on the analysis provided by Frederic W. Cook and Co., or FW Cook, as consultant to the Governance Committee, the Governance Committee approved changes to director compensation effective for 2024, the first increase since 2021, to align with market practice and attract and retain high-quality director candidates in a competitive global marketplace. For more information regarding director compensation, see “Director Compensation—</w:t>
                                  </w:r>
                                  <w:r>
                                    <w:rPr>
                                      <w:rFonts w:ascii="arial" w:hAnsi="arial"/>
                                      <w:i/>
                                      <w:sz w:val="19"/>
                                    </w:rPr>
                                    <w:t>Changes to Director Compensation for 2024</w:t>
                                  </w:r>
                                  <w:r>
                                    <w:rPr>
                                      <w:rFonts w:ascii="arial" w:hAnsi="arial"/>
                                      <w:sz w:val="19"/>
                                    </w:rPr>
                                    <w:t xml:space="preserve">.”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8.3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Based on the analysis provided by Frederic W. Cook and Co., or FW Cook, as consultant to the Governance Committee, the Governance Committee approved changes to director compensation effective for 2024, the first increase since 2021, to align with market practice and attract and retain high-quality director candidates in a competitive global marketplace. For more information regarding director compensation, see “Director Compensation—</w:t>
                            </w:r>
                            <w:r>
                              <w:rPr>
                                <w:rFonts w:ascii="arial" w:hAnsi="arial"/>
                                <w:i/>
                                <w:sz w:val="19"/>
                              </w:rPr>
                              <w:t>Changes to Director Compensation for 2024</w:t>
                            </w:r>
                            <w:r>
                              <w:rPr>
                                <w:rFonts w:ascii="arial" w:hAnsi="arial"/>
                                <w:sz w:val="19"/>
                              </w:rPr>
                              <w:t xml:space="preserve">.”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647"/>
        <w:gridCol w:w="60"/>
        <w:gridCol w:w="60"/>
        <w:gridCol w:w="60"/>
        <w:gridCol w:w="60"/>
        <w:gridCol w:w="60"/>
        <w:gridCol w:w="5115"/>
        <w:gridCol w:w="62"/>
        <w:gridCol w:w="81"/>
      </w:tblGrid>
      <w:tr>
        <w:trPr/>
        <w:tc>
          <w:tcPr>
            <w:tcW w:w="46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1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r>
      <w:tr>
        <w:trPr/>
        <w:tc>
          <w:tcPr>
            <w:tcW w:w="4647" w:type="dxa"/>
            <w:vMerge w:val="restart"/>
            <w:tcBorders>
              <w:top w:val="single" w:sz="12" w:space="0" w:color="0171B9"/>
              <w:bottom w:val="single" w:sz="12" w:space="0" w:color="0171B9"/>
            </w:tcBorders>
            <w:shd w:fill="B2D4EA"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i/>
                <w:color w:val="0171B9"/>
                <w:sz w:val="28"/>
              </w:rPr>
            </w:pPr>
            <w:bookmarkStart w:id="19" w:name="toc445034_17"/>
            <w:bookmarkEnd w:id="19"/>
            <w:r>
              <w:rPr>
                <w:rFonts w:ascii="arial" w:hAnsi="arial"/>
                <w:b/>
                <w:i/>
                <w:color w:val="0171B9"/>
                <w:sz w:val="28"/>
              </w:rPr>
              <w:t>Audit Committee</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Current Members:</w:t>
            </w:r>
          </w:p>
          <w:p>
            <w:pPr>
              <w:pStyle w:val="TableContents"/>
              <w:bidi w:val="0"/>
              <w:spacing w:before="0" w:after="0"/>
              <w:jc w:val="left"/>
              <w:rPr>
                <w:rFonts w:ascii="arial" w:hAnsi="arial"/>
                <w:sz w:val="19"/>
              </w:rPr>
            </w:pPr>
            <w:r>
              <w:rPr>
                <w:rFonts w:ascii="arial" w:hAnsi="arial"/>
                <w:sz w:val="19"/>
              </w:rPr>
              <w:t>Charles M. Holley, Jr.* (Chair)</w:t>
            </w:r>
          </w:p>
          <w:p>
            <w:pPr>
              <w:pStyle w:val="TableContents"/>
              <w:bidi w:val="0"/>
              <w:spacing w:before="0" w:after="0"/>
              <w:jc w:val="left"/>
              <w:rPr>
                <w:rFonts w:ascii="arial" w:hAnsi="arial"/>
                <w:sz w:val="19"/>
              </w:rPr>
            </w:pPr>
            <w:r>
              <w:rPr>
                <w:rFonts w:ascii="arial" w:hAnsi="arial"/>
                <w:sz w:val="19"/>
              </w:rPr>
              <w:t>Wanda M. Austin</w:t>
            </w:r>
          </w:p>
          <w:p>
            <w:pPr>
              <w:pStyle w:val="TableContents"/>
              <w:bidi w:val="0"/>
              <w:spacing w:before="0" w:after="0"/>
              <w:jc w:val="left"/>
              <w:rPr>
                <w:rFonts w:ascii="arial" w:hAnsi="arial"/>
                <w:sz w:val="19"/>
              </w:rPr>
            </w:pPr>
            <w:r>
              <w:rPr>
                <w:rFonts w:ascii="arial" w:hAnsi="arial"/>
                <w:sz w:val="19"/>
              </w:rPr>
              <w:t>Ellen J. Kullman*</w:t>
            </w:r>
          </w:p>
          <w:p>
            <w:pPr>
              <w:pStyle w:val="TableContents"/>
              <w:bidi w:val="0"/>
              <w:spacing w:before="0" w:after="0"/>
              <w:jc w:val="left"/>
              <w:rPr>
                <w:rFonts w:ascii="arial" w:hAnsi="arial"/>
                <w:sz w:val="19"/>
              </w:rPr>
            </w:pPr>
            <w:r>
              <w:rPr>
                <w:rFonts w:ascii="arial" w:hAnsi="arial"/>
                <w:sz w:val="19"/>
              </w:rPr>
              <w:t>Amy E. Miles*</w:t>
            </w:r>
          </w:p>
          <w:p>
            <w:pPr>
              <w:pStyle w:val="TableContents"/>
              <w:bidi w:val="0"/>
              <w:spacing w:before="0" w:after="0"/>
              <w:jc w:val="left"/>
              <w:rPr/>
            </w:pPr>
            <w:r>
              <w:rPr/>
              <w:t> </w:t>
            </w:r>
          </w:p>
          <w:p>
            <w:pPr>
              <w:pStyle w:val="TableContents"/>
              <w:bidi w:val="0"/>
              <w:spacing w:before="0" w:after="0"/>
              <w:jc w:val="left"/>
              <w:rPr>
                <w:rFonts w:ascii="arial" w:hAnsi="arial"/>
                <w:sz w:val="19"/>
              </w:rPr>
            </w:pPr>
            <w:r>
              <w:rPr>
                <w:rFonts w:ascii="arial" w:hAnsi="arial"/>
                <w:sz w:val="19"/>
              </w:rPr>
              <w:t>*Audit Committee financial expert</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 xml:space="preserve">Number of Meetings Held in 2023: </w:t>
            </w:r>
            <w:r>
              <w:rPr>
                <w:rFonts w:ascii="arial" w:hAnsi="arial"/>
                <w:b/>
                <w:color w:val="0171B9"/>
                <w:sz w:val="20"/>
              </w:rPr>
              <w:t>10</w:t>
            </w:r>
          </w:p>
          <w:p>
            <w:pPr>
              <w:pStyle w:val="TableContents"/>
              <w:bidi w:val="0"/>
              <w:spacing w:before="0" w:after="0"/>
              <w:jc w:val="left"/>
              <w:rPr/>
            </w:pPr>
            <w:r>
              <w:rPr/>
              <w:t> </w:t>
            </w:r>
          </w:p>
          <w:p>
            <w:pPr>
              <w:pStyle w:val="TableContents"/>
              <w:bidi w:val="0"/>
              <w:spacing w:before="0" w:after="0"/>
              <w:jc w:val="both"/>
              <w:rPr>
                <w:rFonts w:ascii="arial" w:hAnsi="arial"/>
                <w:i/>
                <w:sz w:val="19"/>
              </w:rPr>
            </w:pPr>
            <w:r>
              <w:rPr>
                <w:rFonts w:ascii="arial" w:hAnsi="arial"/>
                <w:i/>
                <w:sz w:val="19"/>
              </w:rPr>
              <w:t>Each member has been determined by the Board to be independent under The NASDAQ Stock Market listing standards and the requirements of the SEC, including the requirements regarding financial literacy and sophistication.</w:t>
            </w:r>
          </w:p>
          <w:p>
            <w:pPr>
              <w:pStyle w:val="TableContents"/>
              <w:bidi w:val="0"/>
              <w:spacing w:before="0" w:after="20"/>
              <w:jc w:val="left"/>
              <w:rPr/>
            </w:pPr>
            <w:r>
              <w:rPr/>
              <w:t> </w:t>
            </w:r>
          </w:p>
        </w:tc>
        <w:tc>
          <w:tcPr>
            <w:tcW w:w="60" w:type="dxa"/>
            <w:tcBorders>
              <w:top w:val="single" w:sz="12" w:space="0" w:color="0171B9"/>
            </w:tcBorders>
            <w:shd w:fill="B2D4EA" w:val="clear"/>
            <w:tcMar>
              <w:top w:w="28" w:type="dxa"/>
            </w:tcMar>
            <w:vAlign w:val="center"/>
          </w:tcPr>
          <w:p>
            <w:pPr>
              <w:pStyle w:val="TableContents"/>
              <w:bidi w:val="0"/>
              <w:spacing w:before="0" w:after="283"/>
              <w:jc w:val="left"/>
              <w:rPr/>
            </w:pPr>
            <w:r>
              <w:rPr/>
              <w:t> </w:t>
            </w:r>
          </w:p>
        </w:tc>
        <w:tc>
          <w:tcPr>
            <w:tcW w:w="60" w:type="dxa"/>
            <w:tcBorders>
              <w:top w:val="single" w:sz="12" w:space="0" w:color="0171B9"/>
            </w:tcBorders>
            <w:shd w:fill="B2D4EA" w:val="clear"/>
            <w:tcMar>
              <w:top w:w="28" w:type="dxa"/>
            </w:tcMar>
            <w:vAlign w:val="center"/>
          </w:tcPr>
          <w:p>
            <w:pPr>
              <w:pStyle w:val="TableContents"/>
              <w:bidi w:val="0"/>
              <w:spacing w:before="0" w:after="283"/>
              <w:jc w:val="left"/>
              <w:rPr/>
            </w:pPr>
            <w:r>
              <w:rPr/>
              <w:t> </w:t>
            </w:r>
          </w:p>
        </w:tc>
        <w:tc>
          <w:tcPr>
            <w:tcW w:w="60" w:type="dxa"/>
            <w:tcBorders>
              <w:top w:val="single" w:sz="12" w:space="0" w:color="0171B9"/>
            </w:tcBorders>
            <w:tcMar>
              <w:top w:w="28" w:type="dxa"/>
            </w:tcMar>
            <w:vAlign w:val="center"/>
          </w:tcPr>
          <w:p>
            <w:pPr>
              <w:pStyle w:val="TableContents"/>
              <w:bidi w:val="0"/>
              <w:spacing w:before="0" w:after="283"/>
              <w:jc w:val="left"/>
              <w:rPr/>
            </w:pPr>
            <w:r>
              <w:rPr/>
              <w:t> </w:t>
            </w:r>
          </w:p>
        </w:tc>
        <w:tc>
          <w:tcPr>
            <w:tcW w:w="60" w:type="dxa"/>
            <w:tcBorders>
              <w:top w:val="single" w:sz="12" w:space="0" w:color="0171B9"/>
            </w:tcBorders>
            <w:tcMar>
              <w:top w:w="28" w:type="dxa"/>
            </w:tcMar>
            <w:vAlign w:val="center"/>
          </w:tcPr>
          <w:p>
            <w:pPr>
              <w:pStyle w:val="TableContents"/>
              <w:bidi w:val="0"/>
              <w:spacing w:before="0" w:after="283"/>
              <w:jc w:val="left"/>
              <w:rPr/>
            </w:pPr>
            <w:r>
              <w:rPr/>
              <w:t> </w:t>
            </w:r>
          </w:p>
        </w:tc>
        <w:tc>
          <w:tcPr>
            <w:tcW w:w="60" w:type="dxa"/>
            <w:tcBorders>
              <w:top w:val="single" w:sz="12" w:space="0" w:color="0171B9"/>
            </w:tcBorders>
            <w:tcMar>
              <w:top w:w="28" w:type="dxa"/>
            </w:tcMar>
            <w:vAlign w:val="center"/>
          </w:tcPr>
          <w:p>
            <w:pPr>
              <w:pStyle w:val="TableContents"/>
              <w:bidi w:val="0"/>
              <w:spacing w:before="0" w:after="283"/>
              <w:jc w:val="left"/>
              <w:rPr/>
            </w:pPr>
            <w:r>
              <w:rPr/>
              <w:t> </w:t>
            </w:r>
          </w:p>
        </w:tc>
        <w:tc>
          <w:tcPr>
            <w:tcW w:w="5258" w:type="dxa"/>
            <w:gridSpan w:val="3"/>
            <w:tcBorders>
              <w:top w:val="single" w:sz="12" w:space="0" w:color="0171B9"/>
            </w:tcBorders>
            <w:tcMar>
              <w:top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Description and Key Responsibilities:</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Oversees our accounting and financial reporting process and the audits of the financial statements, as required by NASDAQ.</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Assists the Board in fulfilling its fiduciary responsibilities with respect to the oversight of our financial accounting and reporting, the underlying internal controls and procedures over financial reporting, and the audits of the financial statements.</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Has sole authority for the appointment, compensation, and oversight of the work of the independent registered public accountants.</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Reviews and discusses, prior to filing or issuance, with management and the independent registered public accountants (when appropriate) our audited consolidated financial statements to be included in our Annual Report on Form 10-K and earnings press releases.</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Approves related party transactions.</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Reviews any violations or alleged violations of the Company’s Code of Ethics for the CEO and Senior Financial Officers.</w:t>
            </w:r>
          </w:p>
          <w:p>
            <w:pPr>
              <w:pStyle w:val="TableContents"/>
              <w:bidi w:val="0"/>
              <w:spacing w:before="0" w:after="20"/>
              <w:jc w:val="left"/>
              <w:rPr/>
            </w:pPr>
            <w:r>
              <w:rPr/>
              <w:t> </w:t>
            </w:r>
          </w:p>
        </w:tc>
      </w:tr>
      <w:tr>
        <w:trPr/>
        <w:tc>
          <w:tcPr>
            <w:tcW w:w="4647" w:type="dxa"/>
            <w:vMerge w:val="continue"/>
            <w:tcBorders>
              <w:top w:val="single" w:sz="12" w:space="0" w:color="0171B9"/>
              <w:bottom w:val="single" w:sz="12" w:space="0" w:color="0171B9"/>
            </w:tcBorders>
            <w:shd w:fill="B2D4EA" w:val="clear"/>
            <w:tcMar>
              <w:top w:w="28" w:type="dxa"/>
              <w:bottom w:w="28" w:type="dxa"/>
            </w:tcMar>
            <w:vAlign w:val="center"/>
          </w:tcPr>
          <w:p>
            <w:pPr>
              <w:pStyle w:val="Normal"/>
              <w:bidi w:val="0"/>
              <w:jc w:val="left"/>
              <w:rPr/>
            </w:pPr>
            <w:r>
              <w:rPr/>
            </w:r>
          </w:p>
        </w:tc>
        <w:tc>
          <w:tcPr>
            <w:tcW w:w="60" w:type="dxa"/>
            <w:tcBorders/>
            <w:shd w:fill="B2D4EA" w:val="clear"/>
            <w:vAlign w:val="center"/>
          </w:tcPr>
          <w:p>
            <w:pPr>
              <w:pStyle w:val="TableContents"/>
              <w:bidi w:val="0"/>
              <w:spacing w:before="0" w:after="283"/>
              <w:jc w:val="left"/>
              <w:rPr/>
            </w:pPr>
            <w:r>
              <w:rPr/>
              <w:t> </w:t>
            </w:r>
          </w:p>
        </w:tc>
        <w:tc>
          <w:tcPr>
            <w:tcW w:w="60" w:type="dxa"/>
            <w:tcBorders/>
            <w:shd w:fill="B2D4EA"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top w:val="single" w:sz="6" w:space="0" w:color="0171B9"/>
              <w:left w:val="single" w:sz="6" w:space="0" w:color="0171B9"/>
              <w:bottom w:val="single" w:sz="6" w:space="0" w:color="0171B9"/>
            </w:tcBorders>
            <w:tcMar>
              <w:top w:w="28" w:type="dxa"/>
              <w:left w:w="28" w:type="dxa"/>
              <w:bottom w:w="28" w:type="dxa"/>
            </w:tcMar>
            <w:vAlign w:val="center"/>
          </w:tcPr>
          <w:p>
            <w:pPr>
              <w:pStyle w:val="TableContents"/>
              <w:bidi w:val="0"/>
              <w:spacing w:before="0" w:after="283"/>
              <w:jc w:val="left"/>
              <w:rPr/>
            </w:pPr>
            <w:r>
              <w:rPr/>
              <w:t> </w:t>
            </w:r>
          </w:p>
        </w:tc>
        <w:tc>
          <w:tcPr>
            <w:tcW w:w="5115" w:type="dxa"/>
            <w:tcBorders>
              <w:top w:val="single" w:sz="6" w:space="0" w:color="0171B9"/>
              <w:bottom w:val="single" w:sz="6" w:space="0" w:color="0171B9"/>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0171B9"/>
                <w:sz w:val="20"/>
              </w:rPr>
            </w:pPr>
            <w:r>
              <w:rPr>
                <w:rFonts w:ascii="arial" w:hAnsi="arial"/>
                <w:b/>
                <w:color w:val="0171B9"/>
                <w:sz w:val="20"/>
              </w:rPr>
              <w:t>Audit Committee Oversight of the Independent Registered Public Accountants</w:t>
            </w:r>
          </w:p>
          <w:p>
            <w:pPr>
              <w:pStyle w:val="TableContents"/>
              <w:bidi w:val="0"/>
              <w:spacing w:before="0" w:after="0"/>
              <w:jc w:val="both"/>
              <w:rPr/>
            </w:pPr>
            <w:r>
              <w:rPr>
                <w:color w:val="0171B9"/>
              </w:rPr>
              <w:t>•</w:t>
            </w:r>
            <w:r>
              <w:rPr/>
              <w:t>   </w:t>
            </w:r>
            <w:r>
              <w:rPr>
                <w:rFonts w:ascii="arial" w:hAnsi="arial"/>
                <w:color w:val="0171B9"/>
                <w:sz w:val="19"/>
              </w:rPr>
              <w:t>Auditor Selection.</w:t>
            </w:r>
            <w:r>
              <w:rPr>
                <w:rFonts w:ascii="arial" w:hAnsi="arial"/>
                <w:sz w:val="19"/>
              </w:rPr>
              <w:t xml:space="preserve"> Evaluates the qualifications and performance of our independent registered public accountants each year and appoints the independent registered public accountants annually.</w:t>
            </w:r>
          </w:p>
          <w:p>
            <w:pPr>
              <w:pStyle w:val="TableContents"/>
              <w:bidi w:val="0"/>
              <w:spacing w:before="0" w:after="0"/>
              <w:jc w:val="both"/>
              <w:rPr/>
            </w:pPr>
            <w:r>
              <w:rPr>
                <w:color w:val="0171B9"/>
              </w:rPr>
              <w:t>•</w:t>
            </w:r>
            <w:r>
              <w:rPr/>
              <w:t>   </w:t>
            </w:r>
            <w:r>
              <w:rPr>
                <w:rFonts w:ascii="arial" w:hAnsi="arial"/>
                <w:color w:val="0171B9"/>
                <w:sz w:val="19"/>
              </w:rPr>
              <w:t>Audit Partner Selection.</w:t>
            </w:r>
            <w:r>
              <w:rPr>
                <w:rFonts w:ascii="arial" w:hAnsi="arial"/>
                <w:sz w:val="19"/>
              </w:rPr>
              <w:t xml:space="preserve"> Participates directly in the selection of the lead engagement partner through an interview process.</w:t>
            </w:r>
          </w:p>
          <w:p>
            <w:pPr>
              <w:pStyle w:val="TableContents"/>
              <w:bidi w:val="0"/>
              <w:spacing w:before="0" w:after="0"/>
              <w:jc w:val="both"/>
              <w:rPr/>
            </w:pPr>
            <w:r>
              <w:rPr>
                <w:color w:val="0171B9"/>
              </w:rPr>
              <w:t>•</w:t>
            </w:r>
            <w:r>
              <w:rPr/>
              <w:t>   </w:t>
            </w:r>
            <w:r>
              <w:rPr>
                <w:rFonts w:ascii="arial" w:hAnsi="arial"/>
                <w:color w:val="0171B9"/>
                <w:sz w:val="19"/>
              </w:rPr>
              <w:t>Audit Firm Evaluation.</w:t>
            </w:r>
            <w:r>
              <w:rPr>
                <w:rFonts w:ascii="arial" w:hAnsi="arial"/>
                <w:sz w:val="19"/>
              </w:rPr>
              <w:t xml:space="preserve"> Considers the quality and efficiency of the services provided, and the independent registered public accountants’ technical expertise and knowledge of our operations and industry.</w:t>
            </w:r>
          </w:p>
          <w:p>
            <w:pPr>
              <w:pStyle w:val="TableContents"/>
              <w:bidi w:val="0"/>
              <w:spacing w:before="0" w:after="0"/>
              <w:jc w:val="both"/>
              <w:rPr/>
            </w:pPr>
            <w:r>
              <w:rPr>
                <w:color w:val="0171B9"/>
              </w:rPr>
              <w:t>•</w:t>
            </w:r>
            <w:r>
              <w:rPr/>
              <w:t>   </w:t>
            </w:r>
            <w:r>
              <w:rPr>
                <w:rFonts w:ascii="arial" w:hAnsi="arial"/>
                <w:color w:val="0171B9"/>
                <w:sz w:val="19"/>
              </w:rPr>
              <w:t>Audit Firm Services.</w:t>
            </w:r>
            <w:r>
              <w:rPr>
                <w:rFonts w:ascii="arial" w:hAnsi="arial"/>
                <w:sz w:val="19"/>
              </w:rPr>
              <w:t xml:space="preserve"> Pre-approves services.</w:t>
            </w:r>
          </w:p>
          <w:p>
            <w:pPr>
              <w:pStyle w:val="TableContents"/>
              <w:bidi w:val="0"/>
              <w:spacing w:before="0" w:after="20"/>
              <w:jc w:val="left"/>
              <w:rPr/>
            </w:pPr>
            <w:r>
              <w:rPr/>
              <w:t> </w:t>
            </w:r>
          </w:p>
        </w:tc>
        <w:tc>
          <w:tcPr>
            <w:tcW w:w="62" w:type="dxa"/>
            <w:tcBorders>
              <w:top w:val="single" w:sz="6" w:space="0" w:color="0171B9"/>
              <w:bottom w:val="single" w:sz="6" w:space="0" w:color="0171B9"/>
            </w:tcBorders>
            <w:tcMar>
              <w:top w:w="28" w:type="dxa"/>
              <w:bottom w:w="28" w:type="dxa"/>
            </w:tcMar>
            <w:vAlign w:val="center"/>
          </w:tcPr>
          <w:p>
            <w:pPr>
              <w:pStyle w:val="TableContents"/>
              <w:bidi w:val="0"/>
              <w:spacing w:before="0" w:after="283"/>
              <w:jc w:val="left"/>
              <w:rPr/>
            </w:pPr>
            <w:r>
              <w:rPr/>
              <w:t> </w:t>
            </w:r>
          </w:p>
        </w:tc>
        <w:tc>
          <w:tcPr>
            <w:tcW w:w="81" w:type="dxa"/>
            <w:tcBorders>
              <w:top w:val="single" w:sz="6" w:space="0" w:color="0171B9"/>
              <w:bottom w:val="single" w:sz="6" w:space="0" w:color="0171B9"/>
              <w:right w:val="single" w:sz="6" w:space="0" w:color="0171B9"/>
            </w:tcBorders>
            <w:tcMar>
              <w:top w:w="28" w:type="dxa"/>
              <w:bottom w:w="28" w:type="dxa"/>
              <w:right w:w="40" w:type="dxa"/>
            </w:tcMar>
            <w:vAlign w:val="center"/>
          </w:tcPr>
          <w:p>
            <w:pPr>
              <w:pStyle w:val="TableContents"/>
              <w:bidi w:val="0"/>
              <w:spacing w:before="0" w:after="283"/>
              <w:jc w:val="left"/>
              <w:rPr/>
            </w:pPr>
            <w:r>
              <w:rPr/>
              <w:t> </w:t>
            </w:r>
          </w:p>
        </w:tc>
      </w:tr>
      <w:tr>
        <w:trPr/>
        <w:tc>
          <w:tcPr>
            <w:tcW w:w="4647" w:type="dxa"/>
            <w:vMerge w:val="continue"/>
            <w:tcBorders>
              <w:top w:val="single" w:sz="12" w:space="0" w:color="0171B9"/>
              <w:bottom w:val="single" w:sz="12" w:space="0" w:color="0171B9"/>
            </w:tcBorders>
            <w:shd w:fill="B2D4EA" w:val="clear"/>
            <w:tcMar>
              <w:top w:w="28" w:type="dxa"/>
              <w:bottom w:w="28" w:type="dxa"/>
            </w:tcMar>
            <w:vAlign w:val="center"/>
          </w:tcPr>
          <w:p>
            <w:pPr>
              <w:pStyle w:val="Normal"/>
              <w:bidi w:val="0"/>
              <w:jc w:val="left"/>
              <w:rPr/>
            </w:pPr>
            <w:r>
              <w:rPr/>
            </w:r>
          </w:p>
        </w:tc>
        <w:tc>
          <w:tcPr>
            <w:tcW w:w="60" w:type="dxa"/>
            <w:tcBorders>
              <w:bottom w:val="single" w:sz="12" w:space="0" w:color="0171B9"/>
            </w:tcBorders>
            <w:shd w:fill="B2D4EA" w:val="clear"/>
            <w:tcMar>
              <w:bottom w:w="28" w:type="dxa"/>
            </w:tcMar>
            <w:vAlign w:val="center"/>
          </w:tcPr>
          <w:p>
            <w:pPr>
              <w:pStyle w:val="TableContents"/>
              <w:bidi w:val="0"/>
              <w:spacing w:before="0" w:after="283"/>
              <w:jc w:val="left"/>
              <w:rPr/>
            </w:pPr>
            <w:r>
              <w:rPr/>
              <w:t> </w:t>
            </w:r>
          </w:p>
        </w:tc>
        <w:tc>
          <w:tcPr>
            <w:tcW w:w="60" w:type="dxa"/>
            <w:tcBorders>
              <w:bottom w:val="single" w:sz="12" w:space="0" w:color="0171B9"/>
            </w:tcBorders>
            <w:shd w:fill="B2D4EA" w:val="clear"/>
            <w:tcMar>
              <w:bottom w:w="28" w:type="dxa"/>
            </w:tcMar>
            <w:vAlign w:val="center"/>
          </w:tcPr>
          <w:p>
            <w:pPr>
              <w:pStyle w:val="TableContents"/>
              <w:bidi w:val="0"/>
              <w:spacing w:before="0" w:after="283"/>
              <w:jc w:val="left"/>
              <w:rPr/>
            </w:pPr>
            <w:r>
              <w:rPr/>
              <w:t> </w:t>
            </w:r>
          </w:p>
        </w:tc>
        <w:tc>
          <w:tcPr>
            <w:tcW w:w="60" w:type="dxa"/>
            <w:tcBorders>
              <w:bottom w:val="single" w:sz="12" w:space="0" w:color="0171B9"/>
            </w:tcBorders>
            <w:tcMar>
              <w:bottom w:w="28" w:type="dxa"/>
            </w:tcMar>
            <w:vAlign w:val="center"/>
          </w:tcPr>
          <w:p>
            <w:pPr>
              <w:pStyle w:val="TableContents"/>
              <w:bidi w:val="0"/>
              <w:spacing w:before="0" w:after="283"/>
              <w:jc w:val="left"/>
              <w:rPr/>
            </w:pPr>
            <w:r>
              <w:rPr/>
              <w:t> </w:t>
            </w:r>
          </w:p>
        </w:tc>
        <w:tc>
          <w:tcPr>
            <w:tcW w:w="60" w:type="dxa"/>
            <w:tcBorders>
              <w:bottom w:val="single" w:sz="12" w:space="0" w:color="0171B9"/>
            </w:tcBorders>
            <w:tcMar>
              <w:bottom w:w="28" w:type="dxa"/>
            </w:tcMar>
            <w:vAlign w:val="center"/>
          </w:tcPr>
          <w:p>
            <w:pPr>
              <w:pStyle w:val="TableContents"/>
              <w:bidi w:val="0"/>
              <w:spacing w:before="0" w:after="283"/>
              <w:jc w:val="left"/>
              <w:rPr/>
            </w:pPr>
            <w:r>
              <w:rPr/>
              <w:t> </w:t>
            </w:r>
          </w:p>
        </w:tc>
        <w:tc>
          <w:tcPr>
            <w:tcW w:w="60" w:type="dxa"/>
            <w:tcBorders>
              <w:bottom w:val="single" w:sz="12" w:space="0" w:color="0171B9"/>
            </w:tcBorders>
            <w:tcMar>
              <w:bottom w:w="28" w:type="dxa"/>
            </w:tcMar>
            <w:vAlign w:val="center"/>
          </w:tcPr>
          <w:p>
            <w:pPr>
              <w:pStyle w:val="TableContents"/>
              <w:bidi w:val="0"/>
              <w:spacing w:before="0" w:after="283"/>
              <w:jc w:val="left"/>
              <w:rPr/>
            </w:pPr>
            <w:r>
              <w:rPr/>
              <w:t> </w:t>
            </w:r>
          </w:p>
        </w:tc>
        <w:tc>
          <w:tcPr>
            <w:tcW w:w="5115" w:type="dxa"/>
            <w:tcBorders>
              <w:bottom w:val="single" w:sz="12" w:space="0" w:color="0171B9"/>
            </w:tcBorders>
            <w:tcMar>
              <w:bottom w:w="28" w:type="dxa"/>
            </w:tcMar>
            <w:vAlign w:val="center"/>
          </w:tcPr>
          <w:p>
            <w:pPr>
              <w:pStyle w:val="TableContents"/>
              <w:bidi w:val="0"/>
              <w:spacing w:before="0" w:after="283"/>
              <w:jc w:val="left"/>
              <w:rPr/>
            </w:pPr>
            <w:r>
              <w:rPr/>
              <w:t> </w:t>
            </w:r>
          </w:p>
        </w:tc>
        <w:tc>
          <w:tcPr>
            <w:tcW w:w="62" w:type="dxa"/>
            <w:tcBorders>
              <w:bottom w:val="single" w:sz="12" w:space="0" w:color="0171B9"/>
            </w:tcBorders>
            <w:tcMar>
              <w:bottom w:w="28" w:type="dxa"/>
            </w:tcMar>
            <w:vAlign w:val="center"/>
          </w:tcPr>
          <w:p>
            <w:pPr>
              <w:pStyle w:val="TableContents"/>
              <w:bidi w:val="0"/>
              <w:spacing w:before="0" w:after="283"/>
              <w:jc w:val="left"/>
              <w:rPr/>
            </w:pPr>
            <w:r>
              <w:rPr/>
              <w:t> </w:t>
            </w:r>
          </w:p>
        </w:tc>
        <w:tc>
          <w:tcPr>
            <w:tcW w:w="81" w:type="dxa"/>
            <w:tcBorders>
              <w:bottom w:val="single" w:sz="12" w:space="0" w:color="0171B9"/>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34  </w:t>
      </w:r>
      <w:r>
        <w:rPr>
          <w:rFonts w:ascii="arial" w:hAnsi="arial"/>
          <w:b/>
          <w:color w:val="474747"/>
          <w:sz w:val="22"/>
        </w:rPr>
        <w:drawing>
          <wp:inline distT="0" distB="0" distL="0" distR="0">
            <wp:extent cx="64770" cy="15240"/>
            <wp:effectExtent l="0" t="0" r="0" b="0"/>
            <wp:docPr id="122"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68" descr=""/>
                    <pic:cNvPicPr>
                      <a:picLocks noChangeAspect="1" noChangeArrowheads="1"/>
                    </pic:cNvPicPr>
                  </pic:nvPicPr>
                  <pic:blipFill>
                    <a:blip r:embed="rId69"/>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311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263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263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Corporate Governance</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45"/>
        <w:gridCol w:w="60"/>
        <w:gridCol w:w="60"/>
        <w:gridCol w:w="120"/>
        <w:gridCol w:w="5920"/>
      </w:tblGrid>
      <w:tr>
        <w:trPr/>
        <w:tc>
          <w:tcPr>
            <w:tcW w:w="4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920" w:type="dxa"/>
            <w:tcBorders/>
            <w:vAlign w:val="center"/>
          </w:tcPr>
          <w:p>
            <w:pPr>
              <w:pStyle w:val="TableContents"/>
              <w:bidi w:val="0"/>
              <w:spacing w:before="0" w:after="283"/>
              <w:jc w:val="left"/>
              <w:rPr>
                <w:sz w:val="4"/>
                <w:szCs w:val="4"/>
              </w:rPr>
            </w:pPr>
            <w:r>
              <w:rPr>
                <w:sz w:val="4"/>
                <w:szCs w:val="4"/>
              </w:rPr>
            </w:r>
          </w:p>
        </w:tc>
      </w:tr>
      <w:tr>
        <w:trPr/>
        <w:tc>
          <w:tcPr>
            <w:tcW w:w="4045" w:type="dxa"/>
            <w:tcBorders>
              <w:top w:val="single" w:sz="12" w:space="0" w:color="0171B9"/>
              <w:bottom w:val="single" w:sz="12" w:space="0" w:color="0171B9"/>
            </w:tcBorders>
            <w:shd w:fill="B2D4EA" w:val="clear"/>
            <w:tcMar>
              <w:top w:w="28" w:type="dxa"/>
              <w:bottom w:w="28" w:type="dxa"/>
            </w:tcMar>
            <w:vAlign w:val="center"/>
          </w:tcPr>
          <w:p>
            <w:pPr>
              <w:pStyle w:val="TableContents"/>
              <w:bidi w:val="0"/>
              <w:spacing w:before="0" w:after="0"/>
              <w:jc w:val="left"/>
              <w:rPr>
                <w:rFonts w:ascii="arial" w:hAnsi="arial"/>
                <w:b/>
                <w:i/>
                <w:color w:val="0171B9"/>
                <w:sz w:val="28"/>
              </w:rPr>
            </w:pPr>
            <w:bookmarkStart w:id="20" w:name="toc445034_18"/>
            <w:bookmarkEnd w:id="20"/>
            <w:r>
              <w:rPr>
                <w:rFonts w:ascii="arial" w:hAnsi="arial"/>
                <w:b/>
                <w:i/>
                <w:color w:val="0171B9"/>
                <w:sz w:val="28"/>
              </w:rPr>
              <w:t>Corporate Responsibility and Compliance Committee</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Current Members:</w:t>
            </w:r>
          </w:p>
          <w:p>
            <w:pPr>
              <w:pStyle w:val="TableContents"/>
              <w:bidi w:val="0"/>
              <w:spacing w:before="0" w:after="0"/>
              <w:jc w:val="left"/>
              <w:rPr>
                <w:rFonts w:ascii="arial" w:hAnsi="arial"/>
                <w:sz w:val="19"/>
              </w:rPr>
            </w:pPr>
            <w:r>
              <w:rPr>
                <w:rFonts w:ascii="arial" w:hAnsi="arial"/>
                <w:sz w:val="19"/>
              </w:rPr>
              <w:t>Ronald D. Sugar (Chair)</w:t>
            </w:r>
          </w:p>
          <w:p>
            <w:pPr>
              <w:pStyle w:val="TableContents"/>
              <w:bidi w:val="0"/>
              <w:spacing w:before="0" w:after="0"/>
              <w:jc w:val="left"/>
              <w:rPr>
                <w:rFonts w:ascii="arial" w:hAnsi="arial"/>
                <w:sz w:val="19"/>
              </w:rPr>
            </w:pPr>
            <w:r>
              <w:rPr>
                <w:rFonts w:ascii="arial" w:hAnsi="arial"/>
                <w:sz w:val="19"/>
              </w:rPr>
              <w:t>Michael V. Drake</w:t>
            </w:r>
          </w:p>
          <w:p>
            <w:pPr>
              <w:pStyle w:val="TableContents"/>
              <w:bidi w:val="0"/>
              <w:spacing w:before="0" w:after="0"/>
              <w:jc w:val="left"/>
              <w:rPr>
                <w:rFonts w:ascii="arial" w:hAnsi="arial"/>
                <w:sz w:val="19"/>
              </w:rPr>
            </w:pPr>
            <w:r>
              <w:rPr>
                <w:rFonts w:ascii="arial" w:hAnsi="arial"/>
                <w:sz w:val="19"/>
              </w:rPr>
              <w:t>Brian J. Druker</w:t>
            </w:r>
          </w:p>
          <w:p>
            <w:pPr>
              <w:pStyle w:val="TableContents"/>
              <w:bidi w:val="0"/>
              <w:spacing w:before="0" w:after="0"/>
              <w:jc w:val="left"/>
              <w:rPr>
                <w:rFonts w:ascii="arial" w:hAnsi="arial"/>
                <w:sz w:val="19"/>
              </w:rPr>
            </w:pPr>
            <w:r>
              <w:rPr>
                <w:rFonts w:ascii="arial" w:hAnsi="arial"/>
                <w:sz w:val="19"/>
              </w:rPr>
              <w:t>S. Omar Ishrak</w:t>
            </w:r>
          </w:p>
          <w:p>
            <w:pPr>
              <w:pStyle w:val="TableContents"/>
              <w:bidi w:val="0"/>
              <w:spacing w:before="0" w:after="0"/>
              <w:jc w:val="left"/>
              <w:rPr>
                <w:rFonts w:ascii="arial" w:hAnsi="arial"/>
                <w:sz w:val="19"/>
              </w:rPr>
            </w:pPr>
            <w:r>
              <w:rPr>
                <w:rFonts w:ascii="arial" w:hAnsi="arial"/>
                <w:sz w:val="19"/>
              </w:rPr>
              <w:t>Tyler Jacks</w:t>
            </w:r>
          </w:p>
          <w:p>
            <w:pPr>
              <w:pStyle w:val="TableContents"/>
              <w:bidi w:val="0"/>
              <w:spacing w:before="0" w:after="0"/>
              <w:jc w:val="left"/>
              <w:rPr>
                <w:rFonts w:ascii="arial" w:hAnsi="arial"/>
                <w:sz w:val="19"/>
              </w:rPr>
            </w:pPr>
            <w:r>
              <w:rPr>
                <w:rFonts w:ascii="arial" w:hAnsi="arial"/>
                <w:sz w:val="19"/>
              </w:rPr>
              <w:t>R. Sanders Williams</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 xml:space="preserve">Number of Meetings Held in 2023: </w:t>
            </w:r>
            <w:r>
              <w:rPr>
                <w:rFonts w:ascii="arial" w:hAnsi="arial"/>
                <w:b/>
                <w:color w:val="0171B9"/>
                <w:sz w:val="20"/>
              </w:rPr>
              <w:t>5</w:t>
            </w:r>
          </w:p>
          <w:p>
            <w:pPr>
              <w:pStyle w:val="TableContents"/>
              <w:bidi w:val="0"/>
              <w:spacing w:before="0" w:after="0"/>
              <w:jc w:val="left"/>
              <w:rPr/>
            </w:pPr>
            <w:r>
              <w:rPr/>
              <w:t> </w:t>
            </w:r>
          </w:p>
          <w:p>
            <w:pPr>
              <w:pStyle w:val="TableContents"/>
              <w:bidi w:val="0"/>
              <w:spacing w:before="0" w:after="0"/>
              <w:jc w:val="both"/>
              <w:rPr>
                <w:rFonts w:ascii="arial" w:hAnsi="arial"/>
                <w:i/>
                <w:sz w:val="19"/>
              </w:rPr>
            </w:pPr>
            <w:r>
              <w:rPr>
                <w:rFonts w:ascii="arial" w:hAnsi="arial"/>
                <w:i/>
                <w:sz w:val="19"/>
              </w:rPr>
              <w:t>Each member has been determined by the Board to be independent under The NASDAQ Stock Market listing standards and the requirements of the SEC.</w:t>
            </w:r>
          </w:p>
          <w:p>
            <w:pPr>
              <w:pStyle w:val="TableContents"/>
              <w:bidi w:val="0"/>
              <w:spacing w:before="0" w:after="20"/>
              <w:jc w:val="left"/>
              <w:rPr/>
            </w:pPr>
            <w:r>
              <w:rPr/>
              <w:t> </w:t>
            </w:r>
          </w:p>
        </w:tc>
        <w:tc>
          <w:tcPr>
            <w:tcW w:w="60" w:type="dxa"/>
            <w:tcBorders>
              <w:top w:val="single" w:sz="12" w:space="0" w:color="0171B9"/>
              <w:bottom w:val="single" w:sz="12" w:space="0" w:color="0171B9"/>
            </w:tcBorders>
            <w:shd w:fill="B2D4EA" w:val="clear"/>
            <w:tcMar>
              <w:top w:w="28" w:type="dxa"/>
              <w:bottom w:w="28" w:type="dxa"/>
            </w:tcMar>
            <w:vAlign w:val="center"/>
          </w:tcPr>
          <w:p>
            <w:pPr>
              <w:pStyle w:val="TableContents"/>
              <w:bidi w:val="0"/>
              <w:spacing w:before="0" w:after="283"/>
              <w:jc w:val="left"/>
              <w:rPr/>
            </w:pPr>
            <w:r>
              <w:rPr/>
              <w:t> </w:t>
            </w:r>
          </w:p>
        </w:tc>
        <w:tc>
          <w:tcPr>
            <w:tcW w:w="60" w:type="dxa"/>
            <w:tcBorders>
              <w:top w:val="single" w:sz="12" w:space="0" w:color="0171B9"/>
              <w:bottom w:val="single" w:sz="12" w:space="0" w:color="0171B9"/>
            </w:tcBorders>
            <w:shd w:fill="B2D4EA" w:val="clear"/>
            <w:tcMar>
              <w:top w:w="28" w:type="dxa"/>
              <w:bottom w:w="28" w:type="dxa"/>
            </w:tcMar>
            <w:vAlign w:val="center"/>
          </w:tcPr>
          <w:p>
            <w:pPr>
              <w:pStyle w:val="TableContents"/>
              <w:bidi w:val="0"/>
              <w:spacing w:before="0" w:after="283"/>
              <w:jc w:val="left"/>
              <w:rPr/>
            </w:pPr>
            <w:r>
              <w:rPr/>
              <w:t> </w:t>
            </w:r>
          </w:p>
        </w:tc>
        <w:tc>
          <w:tcPr>
            <w:tcW w:w="120" w:type="dxa"/>
            <w:tcBorders>
              <w:top w:val="single" w:sz="12" w:space="0" w:color="0171B9"/>
              <w:bottom w:val="single" w:sz="12" w:space="0" w:color="0171B9"/>
            </w:tcBorders>
            <w:tcMar>
              <w:top w:w="28" w:type="dxa"/>
              <w:bottom w:w="28" w:type="dxa"/>
            </w:tcMar>
            <w:vAlign w:val="center"/>
          </w:tcPr>
          <w:p>
            <w:pPr>
              <w:pStyle w:val="TableContents"/>
              <w:bidi w:val="0"/>
              <w:spacing w:before="0" w:after="283"/>
              <w:jc w:val="left"/>
              <w:rPr/>
            </w:pPr>
            <w:r>
              <w:rPr/>
              <w:t>  </w:t>
            </w:r>
          </w:p>
        </w:tc>
        <w:tc>
          <w:tcPr>
            <w:tcW w:w="5920" w:type="dxa"/>
            <w:tcBorders>
              <w:top w:val="single" w:sz="12" w:space="0" w:color="0171B9"/>
              <w:bottom w:val="single" w:sz="12" w:space="0" w:color="0171B9"/>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Description and Key Responsibilities:</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Oversees our compliance program and reviews our programs in a number of areas governing ethical conduct including:</w:t>
            </w:r>
          </w:p>
          <w:p>
            <w:pPr>
              <w:pStyle w:val="TableContents"/>
              <w:bidi w:val="0"/>
              <w:spacing w:before="0" w:after="0"/>
              <w:jc w:val="left"/>
              <w:rPr/>
            </w:pPr>
            <w:r>
              <w:rPr/>
              <w:t> </w:t>
            </w:r>
          </w:p>
          <w:p>
            <w:pPr>
              <w:pStyle w:val="TableContents"/>
              <w:bidi w:val="0"/>
              <w:spacing w:before="0" w:after="0"/>
              <w:jc w:val="both"/>
              <w:rPr>
                <w:rFonts w:ascii="arial" w:hAnsi="arial"/>
                <w:sz w:val="19"/>
              </w:rPr>
            </w:pPr>
            <w:r>
              <w:rPr>
                <w:rFonts w:ascii="SYMBOL" w:hAnsi="SYMBOL"/>
                <w:sz w:val="19"/>
              </w:rPr>
              <w:t>-</w:t>
            </w:r>
            <w:r>
              <w:rPr>
                <w:rFonts w:ascii="arial" w:hAnsi="arial"/>
                <w:sz w:val="19"/>
              </w:rPr>
              <w:t>  U.S. federal health care program requirements;</w:t>
            </w:r>
          </w:p>
          <w:p>
            <w:pPr>
              <w:pStyle w:val="TableContents"/>
              <w:bidi w:val="0"/>
              <w:spacing w:before="0" w:after="0"/>
              <w:jc w:val="left"/>
              <w:rPr/>
            </w:pPr>
            <w:r>
              <w:rPr/>
              <w:t> </w:t>
            </w:r>
          </w:p>
          <w:p>
            <w:pPr>
              <w:pStyle w:val="TableContents"/>
              <w:bidi w:val="0"/>
              <w:spacing w:before="0" w:after="0"/>
              <w:jc w:val="both"/>
              <w:rPr>
                <w:rFonts w:ascii="arial" w:hAnsi="arial"/>
                <w:sz w:val="19"/>
              </w:rPr>
            </w:pPr>
            <w:r>
              <w:rPr>
                <w:rFonts w:ascii="SYMBOL" w:hAnsi="SYMBOL"/>
                <w:sz w:val="19"/>
              </w:rPr>
              <w:t>-</w:t>
            </w:r>
            <w:r>
              <w:rPr>
                <w:rFonts w:ascii="arial" w:hAnsi="arial"/>
                <w:sz w:val="19"/>
              </w:rPr>
              <w:t>  U.S. Food and Drug Administration requirements and other regulatory agency requirements, including good manufacturing, clinical and laboratory practices, drug safety and pharmacovigilance activities;</w:t>
            </w:r>
          </w:p>
          <w:p>
            <w:pPr>
              <w:pStyle w:val="TableContents"/>
              <w:bidi w:val="0"/>
              <w:spacing w:before="0" w:after="0"/>
              <w:jc w:val="left"/>
              <w:rPr/>
            </w:pPr>
            <w:r>
              <w:rPr/>
              <w:t> </w:t>
            </w:r>
          </w:p>
          <w:p>
            <w:pPr>
              <w:pStyle w:val="TableContents"/>
              <w:bidi w:val="0"/>
              <w:spacing w:before="0" w:after="0"/>
              <w:jc w:val="both"/>
              <w:rPr>
                <w:rFonts w:ascii="arial" w:hAnsi="arial"/>
                <w:sz w:val="19"/>
              </w:rPr>
            </w:pPr>
            <w:r>
              <w:rPr>
                <w:rFonts w:ascii="SYMBOL" w:hAnsi="SYMBOL"/>
                <w:sz w:val="19"/>
              </w:rPr>
              <w:t>-</w:t>
            </w:r>
            <w:r>
              <w:rPr>
                <w:rFonts w:ascii="arial" w:hAnsi="arial"/>
                <w:sz w:val="19"/>
              </w:rPr>
              <w:t>  interactions with members of the healthcare community;</w:t>
            </w:r>
          </w:p>
          <w:p>
            <w:pPr>
              <w:pStyle w:val="TableContents"/>
              <w:bidi w:val="0"/>
              <w:spacing w:before="0" w:after="0"/>
              <w:jc w:val="left"/>
              <w:rPr/>
            </w:pPr>
            <w:r>
              <w:rPr/>
              <w:t> </w:t>
            </w:r>
          </w:p>
          <w:p>
            <w:pPr>
              <w:pStyle w:val="TableContents"/>
              <w:bidi w:val="0"/>
              <w:spacing w:before="0" w:after="0"/>
              <w:jc w:val="both"/>
              <w:rPr>
                <w:rFonts w:ascii="arial" w:hAnsi="arial"/>
                <w:sz w:val="19"/>
              </w:rPr>
            </w:pPr>
            <w:r>
              <w:rPr>
                <w:rFonts w:ascii="SYMBOL" w:hAnsi="SYMBOL"/>
                <w:sz w:val="19"/>
              </w:rPr>
              <w:t>-</w:t>
            </w:r>
            <w:r>
              <w:rPr>
                <w:rFonts w:ascii="arial" w:hAnsi="arial"/>
                <w:sz w:val="19"/>
              </w:rPr>
              <w:t>  the Company’s Corporate Integrity Agreement;</w:t>
            </w:r>
          </w:p>
          <w:p>
            <w:pPr>
              <w:pStyle w:val="TableContents"/>
              <w:bidi w:val="0"/>
              <w:spacing w:before="0" w:after="0"/>
              <w:jc w:val="left"/>
              <w:rPr/>
            </w:pPr>
            <w:r>
              <w:rPr/>
              <w:t> </w:t>
            </w:r>
          </w:p>
          <w:p>
            <w:pPr>
              <w:pStyle w:val="TableContents"/>
              <w:bidi w:val="0"/>
              <w:spacing w:before="0" w:after="0"/>
              <w:jc w:val="both"/>
              <w:rPr>
                <w:rFonts w:ascii="arial" w:hAnsi="arial"/>
                <w:sz w:val="19"/>
              </w:rPr>
            </w:pPr>
            <w:r>
              <w:rPr>
                <w:rFonts w:ascii="SYMBOL" w:hAnsi="SYMBOL"/>
                <w:sz w:val="19"/>
              </w:rPr>
              <w:t>-</w:t>
            </w:r>
            <w:r>
              <w:rPr>
                <w:rFonts w:ascii="arial" w:hAnsi="arial"/>
                <w:sz w:val="19"/>
              </w:rPr>
              <w:t>  anti-bribery/anti-corruption risks;</w:t>
            </w:r>
          </w:p>
          <w:p>
            <w:pPr>
              <w:pStyle w:val="TableContents"/>
              <w:bidi w:val="0"/>
              <w:spacing w:before="0" w:after="0"/>
              <w:jc w:val="left"/>
              <w:rPr/>
            </w:pPr>
            <w:r>
              <w:rPr/>
              <w:t> </w:t>
            </w:r>
          </w:p>
          <w:p>
            <w:pPr>
              <w:pStyle w:val="TableContents"/>
              <w:bidi w:val="0"/>
              <w:spacing w:before="0" w:after="0"/>
              <w:jc w:val="both"/>
              <w:rPr>
                <w:rFonts w:ascii="arial" w:hAnsi="arial"/>
                <w:sz w:val="19"/>
              </w:rPr>
            </w:pPr>
            <w:r>
              <w:rPr>
                <w:rFonts w:ascii="SYMBOL" w:hAnsi="SYMBOL"/>
                <w:sz w:val="19"/>
              </w:rPr>
              <w:t>-</w:t>
            </w:r>
            <w:r>
              <w:rPr>
                <w:rFonts w:ascii="arial" w:hAnsi="arial"/>
                <w:sz w:val="19"/>
              </w:rPr>
              <w:t>  environmental sustainability and social responsibility;</w:t>
            </w:r>
          </w:p>
          <w:p>
            <w:pPr>
              <w:pStyle w:val="TableContents"/>
              <w:bidi w:val="0"/>
              <w:spacing w:before="0" w:after="0"/>
              <w:jc w:val="left"/>
              <w:rPr/>
            </w:pPr>
            <w:r>
              <w:rPr/>
              <w:t> </w:t>
            </w:r>
          </w:p>
          <w:p>
            <w:pPr>
              <w:pStyle w:val="TableContents"/>
              <w:bidi w:val="0"/>
              <w:spacing w:before="0" w:after="0"/>
              <w:jc w:val="both"/>
              <w:rPr>
                <w:rFonts w:ascii="arial" w:hAnsi="arial"/>
                <w:sz w:val="19"/>
              </w:rPr>
            </w:pPr>
            <w:r>
              <w:rPr>
                <w:rFonts w:ascii="SYMBOL" w:hAnsi="SYMBOL"/>
                <w:sz w:val="19"/>
              </w:rPr>
              <w:t>-</w:t>
            </w:r>
            <w:r>
              <w:rPr>
                <w:rFonts w:ascii="arial" w:hAnsi="arial"/>
                <w:sz w:val="19"/>
              </w:rPr>
              <w:t>  employee health and safety;</w:t>
            </w:r>
          </w:p>
          <w:p>
            <w:pPr>
              <w:pStyle w:val="TableContents"/>
              <w:bidi w:val="0"/>
              <w:spacing w:before="0" w:after="0"/>
              <w:jc w:val="left"/>
              <w:rPr/>
            </w:pPr>
            <w:r>
              <w:rPr/>
              <w:t> </w:t>
            </w:r>
          </w:p>
          <w:p>
            <w:pPr>
              <w:pStyle w:val="TableContents"/>
              <w:bidi w:val="0"/>
              <w:spacing w:before="0" w:after="0"/>
              <w:jc w:val="both"/>
              <w:rPr>
                <w:rFonts w:ascii="arial" w:hAnsi="arial"/>
                <w:sz w:val="19"/>
              </w:rPr>
            </w:pPr>
            <w:r>
              <w:rPr>
                <w:rFonts w:ascii="SYMBOL" w:hAnsi="SYMBOL"/>
                <w:sz w:val="19"/>
              </w:rPr>
              <w:t>-</w:t>
            </w:r>
            <w:r>
              <w:rPr>
                <w:rFonts w:ascii="arial" w:hAnsi="arial"/>
                <w:sz w:val="19"/>
              </w:rPr>
              <w:t>  information security, including cybersecurity and artificial intelligence; and</w:t>
            </w:r>
          </w:p>
          <w:p>
            <w:pPr>
              <w:pStyle w:val="TableContents"/>
              <w:bidi w:val="0"/>
              <w:spacing w:before="0" w:after="0"/>
              <w:jc w:val="left"/>
              <w:rPr/>
            </w:pPr>
            <w:r>
              <w:rPr/>
              <w:t> </w:t>
            </w:r>
          </w:p>
          <w:p>
            <w:pPr>
              <w:pStyle w:val="TableContents"/>
              <w:bidi w:val="0"/>
              <w:spacing w:before="0" w:after="0"/>
              <w:jc w:val="both"/>
              <w:rPr>
                <w:rFonts w:ascii="arial" w:hAnsi="arial"/>
                <w:sz w:val="19"/>
              </w:rPr>
            </w:pPr>
            <w:r>
              <w:rPr>
                <w:rFonts w:ascii="SYMBOL" w:hAnsi="SYMBOL"/>
                <w:sz w:val="19"/>
              </w:rPr>
              <w:t>-</w:t>
            </w:r>
            <w:r>
              <w:rPr>
                <w:rFonts w:ascii="arial" w:hAnsi="arial"/>
                <w:sz w:val="19"/>
              </w:rPr>
              <w:t>  government and legislative affairs, including our Political Action Committee.</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Receives regular updates on value (which includes pricing) and access, political, social, and environmental trends, and public policy issues that may affect our reputation, including our business or public image, and reviews elements of our corporate responsibility, and philanthropic activities.</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240" w:after="0"/>
        <w:jc w:val="left"/>
        <w:rPr>
          <w:rFonts w:ascii="arial" w:hAnsi="arial"/>
          <w:b/>
          <w:color w:val="0171B9"/>
          <w:sz w:val="28"/>
        </w:rPr>
      </w:pPr>
      <w:bookmarkStart w:id="21" w:name="toc445034_19"/>
      <w:bookmarkEnd w:id="21"/>
      <w:r>
        <w:rPr>
          <w:rFonts w:ascii="arial" w:hAnsi="arial"/>
          <w:b/>
          <w:color w:val="0171B9"/>
          <w:sz w:val="28"/>
        </w:rPr>
        <w:t xml:space="preserve">About Our Compliance Program </w:t>
      </w:r>
    </w:p>
    <w:p>
      <w:pPr>
        <w:pStyle w:val="TextBody"/>
        <w:pBdr>
          <w:bottom w:val="single" w:sz="2" w:space="1" w:color="666666"/>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00">
                <wp:simplePos x="0" y="0"/>
                <wp:positionH relativeFrom="column">
                  <wp:align>left</wp:align>
                </wp:positionH>
                <wp:positionV relativeFrom="line">
                  <wp:posOffset>635</wp:posOffset>
                </wp:positionV>
                <wp:extent cx="3110230" cy="2849880"/>
                <wp:effectExtent l="0" t="0" r="0" b="0"/>
                <wp:wrapSquare wrapText="right"/>
                <wp:docPr id="123" name="Frame55"/>
                <a:graphic xmlns:a="http://schemas.openxmlformats.org/drawingml/2006/main">
                  <a:graphicData uri="http://schemas.microsoft.com/office/word/2010/wordprocessingShape">
                    <wps:wsp>
                      <wps:cNvSpPr txBox="1"/>
                      <wps:spPr>
                        <a:xfrm>
                          <a:off x="0" y="0"/>
                          <a:ext cx="3110230" cy="284988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Amgen’s Compliance Program is designed to promote ethical business conduct and compliance with applicable laws and regulations. The key objectives of our compliance program operations include: </w:t>
                            </w:r>
                          </w:p>
                          <w:p>
                            <w:pPr>
                              <w:pStyle w:val="TextBody"/>
                              <w:bidi w:val="0"/>
                              <w:spacing w:before="0" w:after="0"/>
                              <w:jc w:val="left"/>
                              <w:rPr/>
                            </w:pPr>
                            <w:r>
                              <w:rPr/>
                              <w:t> </w:t>
                            </w:r>
                          </w:p>
                          <w:tbl>
                            <w:tblPr>
                              <w:tblW w:w="3415" w:type="dxa"/>
                              <w:jc w:val="left"/>
                              <w:tblInd w:w="0" w:type="dxa"/>
                              <w:tblLayout w:type="fixed"/>
                              <w:tblCellMar>
                                <w:top w:w="0" w:type="dxa"/>
                                <w:left w:w="0" w:type="dxa"/>
                                <w:bottom w:w="0" w:type="dxa"/>
                                <w:right w:w="0" w:type="dxa"/>
                              </w:tblCellMar>
                            </w:tblPr>
                            <w:tblGrid>
                              <w:gridCol w:w="125"/>
                              <w:gridCol w:w="60"/>
                              <w:gridCol w:w="323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0"/>
                                    <w:jc w:val="both"/>
                                    <w:rPr>
                                      <w:rFonts w:ascii="arial" w:hAnsi="arial"/>
                                      <w:sz w:val="19"/>
                                    </w:rPr>
                                  </w:pPr>
                                  <w:r>
                                    <w:rPr>
                                      <w:rFonts w:ascii="arial" w:hAnsi="arial"/>
                                      <w:sz w:val="19"/>
                                    </w:rPr>
                                    <w:t xml:space="preserve">Developing policies and procedures; </w:t>
                                  </w:r>
                                </w:p>
                              </w:tc>
                            </w:tr>
                          </w:tbl>
                          <w:p>
                            <w:pPr>
                              <w:pStyle w:val="TextBody"/>
                              <w:bidi w:val="0"/>
                              <w:spacing w:before="0" w:after="0"/>
                              <w:jc w:val="left"/>
                              <w:rPr/>
                            </w:pPr>
                            <w:r>
                              <w:rPr/>
                              <w:t> </w:t>
                            </w:r>
                          </w:p>
                          <w:tbl>
                            <w:tblPr>
                              <w:tblW w:w="4900" w:type="dxa"/>
                              <w:jc w:val="left"/>
                              <w:tblInd w:w="0" w:type="dxa"/>
                              <w:tblLayout w:type="fixed"/>
                              <w:tblCellMar>
                                <w:top w:w="0" w:type="dxa"/>
                                <w:left w:w="0" w:type="dxa"/>
                                <w:bottom w:w="0" w:type="dxa"/>
                                <w:right w:w="0" w:type="dxa"/>
                              </w:tblCellMar>
                            </w:tblPr>
                            <w:tblGrid>
                              <w:gridCol w:w="125"/>
                              <w:gridCol w:w="60"/>
                              <w:gridCol w:w="4715"/>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4715" w:type="dxa"/>
                                  <w:tcBorders/>
                                  <w:vAlign w:val="center"/>
                                </w:tcPr>
                                <w:p>
                                  <w:pPr>
                                    <w:pStyle w:val="TableContents"/>
                                    <w:bidi w:val="0"/>
                                    <w:spacing w:before="0" w:after="0"/>
                                    <w:jc w:val="both"/>
                                    <w:rPr>
                                      <w:rFonts w:ascii="arial" w:hAnsi="arial"/>
                                      <w:sz w:val="19"/>
                                    </w:rPr>
                                  </w:pPr>
                                  <w:r>
                                    <w:rPr>
                                      <w:rFonts w:ascii="arial" w:hAnsi="arial"/>
                                      <w:sz w:val="19"/>
                                    </w:rPr>
                                    <w:t xml:space="preserve">Providing ongoing compliance training and education; </w:t>
                                  </w:r>
                                </w:p>
                              </w:tc>
                            </w:tr>
                          </w:tbl>
                          <w:p>
                            <w:pPr>
                              <w:pStyle w:val="TextBody"/>
                              <w:bidi w:val="0"/>
                              <w:spacing w:before="0" w:after="0"/>
                              <w:jc w:val="left"/>
                              <w:rPr/>
                            </w:pPr>
                            <w:r>
                              <w:rPr/>
                              <w:t> </w:t>
                            </w:r>
                          </w:p>
                          <w:tbl>
                            <w:tblPr>
                              <w:tblW w:w="3910" w:type="dxa"/>
                              <w:jc w:val="left"/>
                              <w:tblInd w:w="0" w:type="dxa"/>
                              <w:tblLayout w:type="fixed"/>
                              <w:tblCellMar>
                                <w:top w:w="0" w:type="dxa"/>
                                <w:left w:w="0" w:type="dxa"/>
                                <w:bottom w:w="0" w:type="dxa"/>
                                <w:right w:w="0" w:type="dxa"/>
                              </w:tblCellMar>
                            </w:tblPr>
                            <w:tblGrid>
                              <w:gridCol w:w="125"/>
                              <w:gridCol w:w="60"/>
                              <w:gridCol w:w="3725"/>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0"/>
                                    <w:jc w:val="both"/>
                                    <w:rPr>
                                      <w:rFonts w:ascii="arial" w:hAnsi="arial"/>
                                      <w:sz w:val="19"/>
                                    </w:rPr>
                                  </w:pPr>
                                  <w:r>
                                    <w:rPr>
                                      <w:rFonts w:ascii="arial" w:hAnsi="arial"/>
                                      <w:sz w:val="19"/>
                                    </w:rPr>
                                    <w:t xml:space="preserve">Auditing and monitoring compliance risks;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Maintaining and promoting avenues for staff to raise concerns without fear of retaliation, including anonymously through a business conduct hotline;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24.4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Amgen’s Compliance Program is designed to promote ethical business conduct and compliance with applicable laws and regulations. The key objectives of our compliance program operations include: </w:t>
                      </w:r>
                    </w:p>
                    <w:p>
                      <w:pPr>
                        <w:pStyle w:val="TextBody"/>
                        <w:bidi w:val="0"/>
                        <w:spacing w:before="0" w:after="0"/>
                        <w:jc w:val="left"/>
                        <w:rPr/>
                      </w:pPr>
                      <w:r>
                        <w:rPr/>
                        <w:t> </w:t>
                      </w:r>
                    </w:p>
                    <w:tbl>
                      <w:tblPr>
                        <w:tblW w:w="3415" w:type="dxa"/>
                        <w:jc w:val="left"/>
                        <w:tblInd w:w="0" w:type="dxa"/>
                        <w:tblLayout w:type="fixed"/>
                        <w:tblCellMar>
                          <w:top w:w="0" w:type="dxa"/>
                          <w:left w:w="0" w:type="dxa"/>
                          <w:bottom w:w="0" w:type="dxa"/>
                          <w:right w:w="0" w:type="dxa"/>
                        </w:tblCellMar>
                      </w:tblPr>
                      <w:tblGrid>
                        <w:gridCol w:w="125"/>
                        <w:gridCol w:w="60"/>
                        <w:gridCol w:w="323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0"/>
                              <w:jc w:val="both"/>
                              <w:rPr>
                                <w:rFonts w:ascii="arial" w:hAnsi="arial"/>
                                <w:sz w:val="19"/>
                              </w:rPr>
                            </w:pPr>
                            <w:r>
                              <w:rPr>
                                <w:rFonts w:ascii="arial" w:hAnsi="arial"/>
                                <w:sz w:val="19"/>
                              </w:rPr>
                              <w:t xml:space="preserve">Developing policies and procedures; </w:t>
                            </w:r>
                          </w:p>
                        </w:tc>
                      </w:tr>
                    </w:tbl>
                    <w:p>
                      <w:pPr>
                        <w:pStyle w:val="TextBody"/>
                        <w:bidi w:val="0"/>
                        <w:spacing w:before="0" w:after="0"/>
                        <w:jc w:val="left"/>
                        <w:rPr/>
                      </w:pPr>
                      <w:r>
                        <w:rPr/>
                        <w:t> </w:t>
                      </w:r>
                    </w:p>
                    <w:tbl>
                      <w:tblPr>
                        <w:tblW w:w="4900" w:type="dxa"/>
                        <w:jc w:val="left"/>
                        <w:tblInd w:w="0" w:type="dxa"/>
                        <w:tblLayout w:type="fixed"/>
                        <w:tblCellMar>
                          <w:top w:w="0" w:type="dxa"/>
                          <w:left w:w="0" w:type="dxa"/>
                          <w:bottom w:w="0" w:type="dxa"/>
                          <w:right w:w="0" w:type="dxa"/>
                        </w:tblCellMar>
                      </w:tblPr>
                      <w:tblGrid>
                        <w:gridCol w:w="125"/>
                        <w:gridCol w:w="60"/>
                        <w:gridCol w:w="4715"/>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4715" w:type="dxa"/>
                            <w:tcBorders/>
                            <w:vAlign w:val="center"/>
                          </w:tcPr>
                          <w:p>
                            <w:pPr>
                              <w:pStyle w:val="TableContents"/>
                              <w:bidi w:val="0"/>
                              <w:spacing w:before="0" w:after="0"/>
                              <w:jc w:val="both"/>
                              <w:rPr>
                                <w:rFonts w:ascii="arial" w:hAnsi="arial"/>
                                <w:sz w:val="19"/>
                              </w:rPr>
                            </w:pPr>
                            <w:r>
                              <w:rPr>
                                <w:rFonts w:ascii="arial" w:hAnsi="arial"/>
                                <w:sz w:val="19"/>
                              </w:rPr>
                              <w:t xml:space="preserve">Providing ongoing compliance training and education; </w:t>
                            </w:r>
                          </w:p>
                        </w:tc>
                      </w:tr>
                    </w:tbl>
                    <w:p>
                      <w:pPr>
                        <w:pStyle w:val="TextBody"/>
                        <w:bidi w:val="0"/>
                        <w:spacing w:before="0" w:after="0"/>
                        <w:jc w:val="left"/>
                        <w:rPr/>
                      </w:pPr>
                      <w:r>
                        <w:rPr/>
                        <w:t> </w:t>
                      </w:r>
                    </w:p>
                    <w:tbl>
                      <w:tblPr>
                        <w:tblW w:w="3910" w:type="dxa"/>
                        <w:jc w:val="left"/>
                        <w:tblInd w:w="0" w:type="dxa"/>
                        <w:tblLayout w:type="fixed"/>
                        <w:tblCellMar>
                          <w:top w:w="0" w:type="dxa"/>
                          <w:left w:w="0" w:type="dxa"/>
                          <w:bottom w:w="0" w:type="dxa"/>
                          <w:right w:w="0" w:type="dxa"/>
                        </w:tblCellMar>
                      </w:tblPr>
                      <w:tblGrid>
                        <w:gridCol w:w="125"/>
                        <w:gridCol w:w="60"/>
                        <w:gridCol w:w="3725"/>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0"/>
                              <w:jc w:val="both"/>
                              <w:rPr>
                                <w:rFonts w:ascii="arial" w:hAnsi="arial"/>
                                <w:sz w:val="19"/>
                              </w:rPr>
                            </w:pPr>
                            <w:r>
                              <w:rPr>
                                <w:rFonts w:ascii="arial" w:hAnsi="arial"/>
                                <w:sz w:val="19"/>
                              </w:rPr>
                              <w:t xml:space="preserve">Auditing and monitoring compliance risks;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Maintaining and promoting avenues for staff to raise concerns without fear of retaliation, including anonymously through a business conduct hotline;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01">
                <wp:simplePos x="0" y="0"/>
                <wp:positionH relativeFrom="column">
                  <wp:align>left</wp:align>
                </wp:positionH>
                <wp:positionV relativeFrom="line">
                  <wp:posOffset>635</wp:posOffset>
                </wp:positionV>
                <wp:extent cx="3175000" cy="2437130"/>
                <wp:effectExtent l="0" t="0" r="0" b="0"/>
                <wp:wrapSquare wrapText="right"/>
                <wp:docPr id="124" name="Frame56"/>
                <a:graphic xmlns:a="http://schemas.openxmlformats.org/drawingml/2006/main">
                  <a:graphicData uri="http://schemas.microsoft.com/office/word/2010/wordprocessingShape">
                    <wps:wsp>
                      <wps:cNvSpPr txBox="1"/>
                      <wps:spPr>
                        <a:xfrm>
                          <a:off x="0" y="0"/>
                          <a:ext cx="3175000" cy="2437130"/>
                        </a:xfrm>
                        <a:prstGeom prst="rect"/>
                        <a:solidFill>
                          <a:srgbClr val="FFFFFF"/>
                        </a:solidFill>
                      </wps:spPr>
                      <wps:txbx>
                        <w:txbxContent>
                          <w:tbl>
                            <w:tblPr>
                              <w:tblW w:w="2575" w:type="dxa"/>
                              <w:jc w:val="left"/>
                              <w:tblInd w:w="0" w:type="dxa"/>
                              <w:tblLayout w:type="fixed"/>
                              <w:tblCellMar>
                                <w:top w:w="0" w:type="dxa"/>
                                <w:left w:w="0" w:type="dxa"/>
                                <w:bottom w:w="0" w:type="dxa"/>
                                <w:right w:w="0" w:type="dxa"/>
                              </w:tblCellMar>
                            </w:tblPr>
                            <w:tblGrid>
                              <w:gridCol w:w="125"/>
                              <w:gridCol w:w="60"/>
                              <w:gridCol w:w="239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0"/>
                                    <w:jc w:val="both"/>
                                    <w:rPr>
                                      <w:rFonts w:ascii="arial" w:hAnsi="arial"/>
                                      <w:sz w:val="19"/>
                                    </w:rPr>
                                  </w:pPr>
                                  <w:r>
                                    <w:rPr>
                                      <w:rFonts w:ascii="arial" w:hAnsi="arial"/>
                                      <w:sz w:val="19"/>
                                    </w:rPr>
                                    <w:t xml:space="preserve">Conducting investigations; </w:t>
                                  </w:r>
                                </w:p>
                              </w:tc>
                            </w:tr>
                          </w:tbl>
                          <w:p>
                            <w:pPr>
                              <w:pStyle w:val="TextBody"/>
                              <w:bidi w:val="0"/>
                              <w:spacing w:before="0" w:after="0"/>
                              <w:jc w:val="left"/>
                              <w:rPr/>
                            </w:pPr>
                            <w:r>
                              <w:rPr/>
                              <w:t> </w:t>
                            </w:r>
                          </w:p>
                          <w:tbl>
                            <w:tblPr>
                              <w:tblW w:w="5065" w:type="dxa"/>
                              <w:jc w:val="left"/>
                              <w:tblInd w:w="0" w:type="dxa"/>
                              <w:tblLayout w:type="fixed"/>
                              <w:tblCellMar>
                                <w:top w:w="0" w:type="dxa"/>
                                <w:left w:w="0" w:type="dxa"/>
                                <w:bottom w:w="0" w:type="dxa"/>
                                <w:right w:w="0" w:type="dxa"/>
                              </w:tblCellMar>
                            </w:tblPr>
                            <w:tblGrid>
                              <w:gridCol w:w="125"/>
                              <w:gridCol w:w="60"/>
                              <w:gridCol w:w="488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4880" w:type="dxa"/>
                                  <w:tcBorders/>
                                  <w:vAlign w:val="center"/>
                                </w:tcPr>
                                <w:p>
                                  <w:pPr>
                                    <w:pStyle w:val="TableContents"/>
                                    <w:bidi w:val="0"/>
                                    <w:spacing w:before="0" w:after="0"/>
                                    <w:jc w:val="both"/>
                                    <w:rPr>
                                      <w:rFonts w:ascii="arial" w:hAnsi="arial"/>
                                      <w:sz w:val="19"/>
                                    </w:rPr>
                                  </w:pPr>
                                  <w:r>
                                    <w:rPr>
                                      <w:rFonts w:ascii="arial" w:hAnsi="arial"/>
                                      <w:sz w:val="19"/>
                                    </w:rPr>
                                    <w:t xml:space="preserve">Responding appropriately to any compliance violations;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Taking appropriate steps to detect and prevent recurrence, including by implementing appropriate corrective and preventive actions; and </w:t>
                                  </w:r>
                                </w:p>
                              </w:tc>
                            </w:tr>
                          </w:tbl>
                          <w:p>
                            <w:pPr>
                              <w:pStyle w:val="TextBody"/>
                              <w:bidi w:val="0"/>
                              <w:spacing w:before="0" w:after="0"/>
                              <w:jc w:val="left"/>
                              <w:rPr/>
                            </w:pPr>
                            <w:r>
                              <w:rPr/>
                              <w:t> </w:t>
                            </w:r>
                          </w:p>
                          <w:tbl>
                            <w:tblPr>
                              <w:tblW w:w="2770" w:type="dxa"/>
                              <w:jc w:val="left"/>
                              <w:tblInd w:w="0" w:type="dxa"/>
                              <w:tblLayout w:type="fixed"/>
                              <w:tblCellMar>
                                <w:top w:w="0" w:type="dxa"/>
                                <w:left w:w="0" w:type="dxa"/>
                                <w:bottom w:w="0" w:type="dxa"/>
                                <w:right w:w="0" w:type="dxa"/>
                              </w:tblCellMar>
                            </w:tblPr>
                            <w:tblGrid>
                              <w:gridCol w:w="125"/>
                              <w:gridCol w:w="60"/>
                              <w:gridCol w:w="2585"/>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0"/>
                                    <w:jc w:val="both"/>
                                    <w:rPr>
                                      <w:rFonts w:ascii="arial" w:hAnsi="arial"/>
                                      <w:sz w:val="19"/>
                                    </w:rPr>
                                  </w:pPr>
                                  <w:r>
                                    <w:rPr>
                                      <w:rFonts w:ascii="arial" w:hAnsi="arial"/>
                                      <w:sz w:val="19"/>
                                    </w:rPr>
                                    <w:t xml:space="preserve">Promoting an ethical culture. </w:t>
                                  </w:r>
                                </w:p>
                              </w:tc>
                            </w:tr>
                          </w:tbl>
                          <w:p>
                            <w:pPr>
                              <w:pStyle w:val="TextBody"/>
                              <w:bidi w:val="0"/>
                              <w:spacing w:before="120" w:after="0"/>
                              <w:jc w:val="both"/>
                              <w:rPr>
                                <w:rFonts w:ascii="arial" w:hAnsi="arial"/>
                                <w:sz w:val="19"/>
                              </w:rPr>
                            </w:pPr>
                            <w:r>
                              <w:rPr>
                                <w:rFonts w:ascii="arial" w:hAnsi="arial"/>
                                <w:sz w:val="19"/>
                              </w:rPr>
                              <w:t xml:space="preserve">Our Chief Compliance Officer, who reports to the CEO and the Compliance Committee, oversees the ongoing operations of the compliance program.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91.9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2575" w:type="dxa"/>
                        <w:jc w:val="left"/>
                        <w:tblInd w:w="0" w:type="dxa"/>
                        <w:tblLayout w:type="fixed"/>
                        <w:tblCellMar>
                          <w:top w:w="0" w:type="dxa"/>
                          <w:left w:w="0" w:type="dxa"/>
                          <w:bottom w:w="0" w:type="dxa"/>
                          <w:right w:w="0" w:type="dxa"/>
                        </w:tblCellMar>
                      </w:tblPr>
                      <w:tblGrid>
                        <w:gridCol w:w="125"/>
                        <w:gridCol w:w="60"/>
                        <w:gridCol w:w="239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0"/>
                              <w:jc w:val="both"/>
                              <w:rPr>
                                <w:rFonts w:ascii="arial" w:hAnsi="arial"/>
                                <w:sz w:val="19"/>
                              </w:rPr>
                            </w:pPr>
                            <w:r>
                              <w:rPr>
                                <w:rFonts w:ascii="arial" w:hAnsi="arial"/>
                                <w:sz w:val="19"/>
                              </w:rPr>
                              <w:t xml:space="preserve">Conducting investigations; </w:t>
                            </w:r>
                          </w:p>
                        </w:tc>
                      </w:tr>
                    </w:tbl>
                    <w:p>
                      <w:pPr>
                        <w:pStyle w:val="TextBody"/>
                        <w:bidi w:val="0"/>
                        <w:spacing w:before="0" w:after="0"/>
                        <w:jc w:val="left"/>
                        <w:rPr/>
                      </w:pPr>
                      <w:r>
                        <w:rPr/>
                        <w:t> </w:t>
                      </w:r>
                    </w:p>
                    <w:tbl>
                      <w:tblPr>
                        <w:tblW w:w="5065" w:type="dxa"/>
                        <w:jc w:val="left"/>
                        <w:tblInd w:w="0" w:type="dxa"/>
                        <w:tblLayout w:type="fixed"/>
                        <w:tblCellMar>
                          <w:top w:w="0" w:type="dxa"/>
                          <w:left w:w="0" w:type="dxa"/>
                          <w:bottom w:w="0" w:type="dxa"/>
                          <w:right w:w="0" w:type="dxa"/>
                        </w:tblCellMar>
                      </w:tblPr>
                      <w:tblGrid>
                        <w:gridCol w:w="125"/>
                        <w:gridCol w:w="60"/>
                        <w:gridCol w:w="488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4880" w:type="dxa"/>
                            <w:tcBorders/>
                            <w:vAlign w:val="center"/>
                          </w:tcPr>
                          <w:p>
                            <w:pPr>
                              <w:pStyle w:val="TableContents"/>
                              <w:bidi w:val="0"/>
                              <w:spacing w:before="0" w:after="0"/>
                              <w:jc w:val="both"/>
                              <w:rPr>
                                <w:rFonts w:ascii="arial" w:hAnsi="arial"/>
                                <w:sz w:val="19"/>
                              </w:rPr>
                            </w:pPr>
                            <w:r>
                              <w:rPr>
                                <w:rFonts w:ascii="arial" w:hAnsi="arial"/>
                                <w:sz w:val="19"/>
                              </w:rPr>
                              <w:t xml:space="preserve">Responding appropriately to any compliance violations;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Taking appropriate steps to detect and prevent recurrence, including by implementing appropriate corrective and preventive actions; and </w:t>
                            </w:r>
                          </w:p>
                        </w:tc>
                      </w:tr>
                    </w:tbl>
                    <w:p>
                      <w:pPr>
                        <w:pStyle w:val="TextBody"/>
                        <w:bidi w:val="0"/>
                        <w:spacing w:before="0" w:after="0"/>
                        <w:jc w:val="left"/>
                        <w:rPr/>
                      </w:pPr>
                      <w:r>
                        <w:rPr/>
                        <w:t> </w:t>
                      </w:r>
                    </w:p>
                    <w:tbl>
                      <w:tblPr>
                        <w:tblW w:w="2770" w:type="dxa"/>
                        <w:jc w:val="left"/>
                        <w:tblInd w:w="0" w:type="dxa"/>
                        <w:tblLayout w:type="fixed"/>
                        <w:tblCellMar>
                          <w:top w:w="0" w:type="dxa"/>
                          <w:left w:w="0" w:type="dxa"/>
                          <w:bottom w:w="0" w:type="dxa"/>
                          <w:right w:w="0" w:type="dxa"/>
                        </w:tblCellMar>
                      </w:tblPr>
                      <w:tblGrid>
                        <w:gridCol w:w="125"/>
                        <w:gridCol w:w="60"/>
                        <w:gridCol w:w="2585"/>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0"/>
                              <w:jc w:val="both"/>
                              <w:rPr>
                                <w:rFonts w:ascii="arial" w:hAnsi="arial"/>
                                <w:sz w:val="19"/>
                              </w:rPr>
                            </w:pPr>
                            <w:r>
                              <w:rPr>
                                <w:rFonts w:ascii="arial" w:hAnsi="arial"/>
                                <w:sz w:val="19"/>
                              </w:rPr>
                              <w:t xml:space="preserve">Promoting an ethical culture. </w:t>
                            </w:r>
                          </w:p>
                        </w:tc>
                      </w:tr>
                    </w:tbl>
                    <w:p>
                      <w:pPr>
                        <w:pStyle w:val="TextBody"/>
                        <w:bidi w:val="0"/>
                        <w:spacing w:before="120" w:after="0"/>
                        <w:jc w:val="both"/>
                        <w:rPr>
                          <w:rFonts w:ascii="arial" w:hAnsi="arial"/>
                          <w:sz w:val="19"/>
                        </w:rPr>
                      </w:pPr>
                      <w:r>
                        <w:rPr>
                          <w:rFonts w:ascii="arial" w:hAnsi="arial"/>
                          <w:sz w:val="19"/>
                        </w:rPr>
                        <w:t xml:space="preserve">Our Chief Compliance Officer, who reports to the CEO and the Compliance Committee, oversees the ongoing operations of the compliance program.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125"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69" descr=""/>
                    <pic:cNvPicPr>
                      <a:picLocks noChangeAspect="1" noChangeArrowheads="1"/>
                    </pic:cNvPicPr>
                  </pic:nvPicPr>
                  <pic:blipFill>
                    <a:blip r:embed="rId70"/>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35</w:t>
      </w:r>
      <w:r>
        <w:rPr>
          <w:rFonts w:ascii="arial" w:hAnsi="arial"/>
          <w:b/>
          <w:sz w:val="22"/>
        </w:rPr>
        <w:t xml:space="preserve"> </w:t>
      </w:r>
      <w:r>
        <w:br w:type="page"/>
      </w:r>
    </w:p>
    <w:p>
      <w:pPr>
        <w:pStyle w:val="HorizontalLine"/>
        <w:bidi w:val="0"/>
        <w:jc w:val="left"/>
        <w:rPr/>
      </w:pPr>
      <w:r>
        <w:rPr/>
      </w:r>
    </w:p>
    <w:tbl>
      <w:tblPr>
        <w:tblW w:w="311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263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263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Corporate Governance</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171B9"/>
          <w:sz w:val="28"/>
        </w:rPr>
      </w:pPr>
      <w:bookmarkStart w:id="22" w:name="toc445034_20"/>
      <w:bookmarkEnd w:id="22"/>
      <w:r>
        <w:rPr>
          <w:rFonts w:ascii="arial" w:hAnsi="arial"/>
          <w:b/>
          <w:color w:val="0171B9"/>
          <w:sz w:val="28"/>
        </w:rPr>
        <w:t xml:space="preserve">Our Approach to Environmental Sustainability, Social Responsibility, and Human Capital Management(1) </w:t>
      </w:r>
    </w:p>
    <w:p>
      <w:pPr>
        <w:pStyle w:val="TextBody"/>
        <w:bidi w:val="0"/>
        <w:spacing w:before="0" w:after="0"/>
        <w:jc w:val="left"/>
        <w:rPr/>
      </w:pPr>
      <w:r>
        <w:rPr/>
        <w:t> </w:t>
      </w:r>
    </w:p>
    <w:p>
      <w:pPr>
        <w:pStyle w:val="TextBody"/>
        <w:pBdr>
          <w:bottom w:val="single" w:sz="2" w:space="1" w:color="666666"/>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77">
                <wp:simplePos x="0" y="0"/>
                <wp:positionH relativeFrom="column">
                  <wp:align>left</wp:align>
                </wp:positionH>
                <wp:positionV relativeFrom="line">
                  <wp:posOffset>635</wp:posOffset>
                </wp:positionV>
                <wp:extent cx="3175000" cy="8232775"/>
                <wp:effectExtent l="0" t="0" r="0" b="0"/>
                <wp:wrapSquare wrapText="right"/>
                <wp:docPr id="126" name="Frame58"/>
                <a:graphic xmlns:a="http://schemas.openxmlformats.org/drawingml/2006/main">
                  <a:graphicData uri="http://schemas.microsoft.com/office/word/2010/wordprocessingShape">
                    <wps:wsp>
                      <wps:cNvSpPr txBox="1"/>
                      <wps:spPr>
                        <a:xfrm>
                          <a:off x="0" y="0"/>
                          <a:ext cx="3175000" cy="8232775"/>
                        </a:xfrm>
                        <a:prstGeom prst="rect"/>
                        <a:solidFill>
                          <a:srgbClr val="FFFFFF"/>
                        </a:solidFill>
                      </wps:spPr>
                      <wps:txbx>
                        <w:txbxContent>
                          <w:p>
                            <w:pPr>
                              <w:pStyle w:val="TextBody"/>
                              <w:bidi w:val="0"/>
                              <w:spacing w:before="0" w:after="0"/>
                              <w:jc w:val="center"/>
                              <w:rPr>
                                <w:rFonts w:ascii="arial" w:hAnsi="arial"/>
                                <w:b/>
                                <w:color w:val="0171B9"/>
                                <w:sz w:val="22"/>
                              </w:rPr>
                            </w:pPr>
                            <w:r>
                              <w:rPr>
                                <w:rFonts w:ascii="arial" w:hAnsi="arial"/>
                                <w:b/>
                                <w:color w:val="0171B9"/>
                                <w:sz w:val="22"/>
                                <w:u w:val="single"/>
                              </w:rPr>
                              <w:t>Amgen’s ESG Framework</w:t>
                            </w:r>
                            <w:r>
                              <w:rPr>
                                <w:rFonts w:ascii="arial" w:hAnsi="arial"/>
                                <w:b/>
                                <w:color w:val="0171B9"/>
                                <w:sz w:val="22"/>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714750" cy="4705350"/>
                                  <wp:effectExtent l="0" t="0" r="0" b="0"/>
                                  <wp:docPr id="127"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70" descr=""/>
                                          <pic:cNvPicPr>
                                            <a:picLocks noChangeAspect="1" noChangeArrowheads="1"/>
                                          </pic:cNvPicPr>
                                        </pic:nvPicPr>
                                        <pic:blipFill>
                                          <a:blip r:embed="rId71"/>
                                          <a:stretch>
                                            <a:fillRect/>
                                          </a:stretch>
                                        </pic:blipFill>
                                        <pic:spPr bwMode="auto">
                                          <a:xfrm>
                                            <a:off x="0" y="0"/>
                                            <a:ext cx="3714750" cy="4705350"/>
                                          </a:xfrm>
                                          <a:prstGeom prst="rect">
                                            <a:avLst/>
                                          </a:prstGeom>
                                        </pic:spPr>
                                      </pic:pic>
                                    </a:graphicData>
                                  </a:graphic>
                                </wp:inline>
                              </w:drawing>
                            </w:r>
                            <w:r>
                              <w:rPr/>
                              <w:t xml:space="preserve"> </w:t>
                            </w:r>
                          </w:p>
                          <w:p>
                            <w:pPr>
                              <w:pStyle w:val="TextBody"/>
                              <w:bidi w:val="0"/>
                              <w:spacing w:before="120" w:after="0"/>
                              <w:jc w:val="both"/>
                              <w:rPr>
                                <w:rFonts w:ascii="arial" w:hAnsi="arial"/>
                                <w:sz w:val="19"/>
                              </w:rPr>
                            </w:pPr>
                            <w:r>
                              <w:rPr>
                                <w:rFonts w:ascii="arial" w:hAnsi="arial"/>
                                <w:b/>
                                <w:i/>
                                <w:color w:val="0171B9"/>
                                <w:sz w:val="19"/>
                              </w:rPr>
                              <w:t>Program Implementation.</w:t>
                            </w:r>
                            <w:r>
                              <w:rPr>
                                <w:rFonts w:ascii="arial" w:hAnsi="arial"/>
                                <w:sz w:val="19"/>
                              </w:rPr>
                              <w:t xml:space="preserve"> Each pillar is supported by an initiative steering committee and, together with the oversight of our executive leadership, individual programmatic elements are managed at a business function level. Building on the successful execution of our 2022 ESG goal included as part of our Company performance goals for our annual cash incentive plans, our Compensation Committee approved an expanded ESG goal for 2023 designed to continue to hold management accountable for, and systematically advance towards, the timely achievement of our 2027 environmental sustainability targets, to drive measurable achievement of our Representation in Clinical Research (RISE) objectives (as discussed in the “Social Responsibility” section below), and to expand ownership and accountability for our culture of inclusion deeper into the organization by increasing the number of leaders accountable for action. For additional information, please see “Our Approach to Environmental Sustainability, Social Responsibility, and Corporate Governance” in our Compensation Discussion and Analysis.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48.2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center"/>
                        <w:rPr>
                          <w:rFonts w:ascii="arial" w:hAnsi="arial"/>
                          <w:b/>
                          <w:color w:val="0171B9"/>
                          <w:sz w:val="22"/>
                        </w:rPr>
                      </w:pPr>
                      <w:r>
                        <w:rPr>
                          <w:rFonts w:ascii="arial" w:hAnsi="arial"/>
                          <w:b/>
                          <w:color w:val="0171B9"/>
                          <w:sz w:val="22"/>
                          <w:u w:val="single"/>
                        </w:rPr>
                        <w:t>Amgen’s ESG Framework</w:t>
                      </w:r>
                      <w:r>
                        <w:rPr>
                          <w:rFonts w:ascii="arial" w:hAnsi="arial"/>
                          <w:b/>
                          <w:color w:val="0171B9"/>
                          <w:sz w:val="22"/>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714750" cy="4705350"/>
                            <wp:effectExtent l="0" t="0" r="0" b="0"/>
                            <wp:docPr id="128"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70" descr=""/>
                                    <pic:cNvPicPr>
                                      <a:picLocks noChangeAspect="1" noChangeArrowheads="1"/>
                                    </pic:cNvPicPr>
                                  </pic:nvPicPr>
                                  <pic:blipFill>
                                    <a:blip r:embed="rId72"/>
                                    <a:stretch>
                                      <a:fillRect/>
                                    </a:stretch>
                                  </pic:blipFill>
                                  <pic:spPr bwMode="auto">
                                    <a:xfrm>
                                      <a:off x="0" y="0"/>
                                      <a:ext cx="3714750" cy="4705350"/>
                                    </a:xfrm>
                                    <a:prstGeom prst="rect">
                                      <a:avLst/>
                                    </a:prstGeom>
                                  </pic:spPr>
                                </pic:pic>
                              </a:graphicData>
                            </a:graphic>
                          </wp:inline>
                        </w:drawing>
                      </w:r>
                      <w:r>
                        <w:rPr/>
                        <w:t xml:space="preserve"> </w:t>
                      </w:r>
                    </w:p>
                    <w:p>
                      <w:pPr>
                        <w:pStyle w:val="TextBody"/>
                        <w:bidi w:val="0"/>
                        <w:spacing w:before="120" w:after="0"/>
                        <w:jc w:val="both"/>
                        <w:rPr>
                          <w:rFonts w:ascii="arial" w:hAnsi="arial"/>
                          <w:sz w:val="19"/>
                        </w:rPr>
                      </w:pPr>
                      <w:r>
                        <w:rPr>
                          <w:rFonts w:ascii="arial" w:hAnsi="arial"/>
                          <w:b/>
                          <w:i/>
                          <w:color w:val="0171B9"/>
                          <w:sz w:val="19"/>
                        </w:rPr>
                        <w:t>Program Implementation.</w:t>
                      </w:r>
                      <w:r>
                        <w:rPr>
                          <w:rFonts w:ascii="arial" w:hAnsi="arial"/>
                          <w:sz w:val="19"/>
                        </w:rPr>
                        <w:t xml:space="preserve"> Each pillar is supported by an initiative steering committee and, together with the oversight of our executive leadership, individual programmatic elements are managed at a business function level. Building on the successful execution of our 2022 ESG goal included as part of our Company performance goals for our annual cash incentive plans, our Compensation Committee approved an expanded ESG goal for 2023 designed to continue to hold management accountable for, and systematically advance towards, the timely achievement of our 2027 environmental sustainability targets, to drive measurable achievement of our Representation in Clinical Research (RISE) objectives (as discussed in the “Social Responsibility” section below), and to expand ownership and accountability for our culture of inclusion deeper into the organization by increasing the number of leaders accountable for action. For additional information, please see “Our Approach to Environmental Sustainability, Social Responsibility, and Corporate Governance” in our Compensation Discussion and Analysis. </w:t>
                      </w:r>
                    </w:p>
                  </w:txbxContent>
                </v:textbox>
                <w10:wrap type="square" side="right"/>
              </v:rect>
            </w:pict>
          </mc:Fallback>
        </mc:AlternateContent>
      </w:r>
      <w:r>
        <mc:AlternateContent>
          <mc:Choice Requires="wps">
            <w:drawing>
              <wp:anchor behindDoc="0" distT="0" distB="0" distL="0" distR="0" simplePos="0" locked="0" layoutInCell="1" allowOverlap="1" relativeHeight="302">
                <wp:simplePos x="0" y="0"/>
                <wp:positionH relativeFrom="column">
                  <wp:align>left</wp:align>
                </wp:positionH>
                <wp:positionV relativeFrom="line">
                  <wp:posOffset>635</wp:posOffset>
                </wp:positionV>
                <wp:extent cx="3110230" cy="6912610"/>
                <wp:effectExtent l="0" t="0" r="0" b="0"/>
                <wp:wrapSquare wrapText="right"/>
                <wp:docPr id="129" name="Frame57"/>
                <a:graphic xmlns:a="http://schemas.openxmlformats.org/drawingml/2006/main">
                  <a:graphicData uri="http://schemas.microsoft.com/office/word/2010/wordprocessingShape">
                    <wps:wsp>
                      <wps:cNvSpPr txBox="1"/>
                      <wps:spPr>
                        <a:xfrm>
                          <a:off x="0" y="0"/>
                          <a:ext cx="3110230" cy="691261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Our responsibility to operate as a good corporate citizen begins with our mission to serve patients and is supported by our long-standing focus on using resources responsibly to support the sustainability of our business and the global environment. </w:t>
                            </w:r>
                          </w:p>
                          <w:p>
                            <w:pPr>
                              <w:pStyle w:val="TextBody"/>
                              <w:bidi w:val="0"/>
                              <w:spacing w:before="200" w:after="0"/>
                              <w:jc w:val="left"/>
                              <w:rPr>
                                <w:rFonts w:ascii="arial" w:hAnsi="arial"/>
                                <w:b/>
                                <w:sz w:val="24"/>
                              </w:rPr>
                            </w:pPr>
                            <w:r>
                              <w:rPr>
                                <w:rFonts w:ascii="arial" w:hAnsi="arial"/>
                                <w:b/>
                                <w:sz w:val="24"/>
                              </w:rPr>
                              <w:t xml:space="preserve">Oversight and Governance </w:t>
                            </w:r>
                          </w:p>
                          <w:p>
                            <w:pPr>
                              <w:pStyle w:val="TextBody"/>
                              <w:bidi w:val="0"/>
                              <w:spacing w:before="120" w:after="0"/>
                              <w:jc w:val="both"/>
                              <w:rPr>
                                <w:rFonts w:ascii="arial" w:hAnsi="arial"/>
                                <w:sz w:val="19"/>
                              </w:rPr>
                            </w:pPr>
                            <w:r>
                              <w:rPr>
                                <w:rFonts w:ascii="arial" w:hAnsi="arial"/>
                                <w:sz w:val="19"/>
                              </w:rPr>
                              <w:t xml:space="preserve">Our environmental sustainability, social responsibility, and corporate governance, or ESG, efforts are governed at the highest levels and includes Board and committee oversight, executive-level leadership, and subject-matter experts who lead initiatives across our business. </w:t>
                            </w:r>
                          </w:p>
                          <w:p>
                            <w:pPr>
                              <w:pStyle w:val="TextBody"/>
                              <w:bidi w:val="0"/>
                              <w:spacing w:before="120" w:after="0"/>
                              <w:jc w:val="both"/>
                              <w:rPr>
                                <w:rFonts w:ascii="arial" w:hAnsi="arial"/>
                                <w:sz w:val="19"/>
                              </w:rPr>
                            </w:pPr>
                            <w:r>
                              <w:rPr>
                                <w:rFonts w:ascii="arial" w:hAnsi="arial"/>
                                <w:b/>
                                <w:i/>
                                <w:color w:val="0171B9"/>
                                <w:sz w:val="19"/>
                              </w:rPr>
                              <w:t xml:space="preserve">Board Oversight. </w:t>
                            </w:r>
                            <w:r>
                              <w:rPr>
                                <w:rFonts w:ascii="arial" w:hAnsi="arial"/>
                                <w:sz w:val="19"/>
                              </w:rPr>
                              <w:t xml:space="preserve">The Board and its applicable committees provide guidance and oversight to management with respect to ESG matters. The Compliance Committee assists the Board in overseeing our activities in areas that include environmental sustainability and access to medicines. The Compensation Committee provides oversight of our approach to human capital management, including diversity, inclusion, and belonging. The Governance Committee oversees the Company’s corporate governance activities and Board membership. The Audit Committee provides oversight of our disclosure controls and procedures, including those that support our sustainability reporting metrics. </w:t>
                            </w:r>
                          </w:p>
                          <w:p>
                            <w:pPr>
                              <w:pStyle w:val="TextBody"/>
                              <w:bidi w:val="0"/>
                              <w:spacing w:before="120" w:after="0"/>
                              <w:jc w:val="both"/>
                              <w:rPr>
                                <w:rFonts w:ascii="arial" w:hAnsi="arial"/>
                                <w:sz w:val="19"/>
                              </w:rPr>
                            </w:pPr>
                            <w:r>
                              <w:rPr>
                                <w:rFonts w:ascii="arial" w:hAnsi="arial"/>
                                <w:sz w:val="19"/>
                              </w:rPr>
                              <w:t xml:space="preserve">Additionally, management shares feedback received from our stockholders with the Board, including in connection with our governance-focused engagement program. For additional information, please see “Feedback From our Stockholders and Responsive Actions Taken by Our Board” on page 61 of our Compensation Discussion and Analysis. </w:t>
                            </w:r>
                          </w:p>
                          <w:p>
                            <w:pPr>
                              <w:pStyle w:val="TextBody"/>
                              <w:bidi w:val="0"/>
                              <w:spacing w:before="120" w:after="0"/>
                              <w:jc w:val="both"/>
                              <w:rPr>
                                <w:rFonts w:ascii="arial" w:hAnsi="arial"/>
                                <w:sz w:val="19"/>
                              </w:rPr>
                            </w:pPr>
                            <w:r>
                              <w:rPr>
                                <w:rFonts w:ascii="arial" w:hAnsi="arial"/>
                                <w:b/>
                                <w:i/>
                                <w:color w:val="0171B9"/>
                                <w:sz w:val="19"/>
                              </w:rPr>
                              <w:t xml:space="preserve">Management Leadership. </w:t>
                            </w:r>
                            <w:r>
                              <w:rPr>
                                <w:rFonts w:ascii="arial" w:hAnsi="arial"/>
                                <w:sz w:val="19"/>
                              </w:rPr>
                              <w:t xml:space="preserve">A cross-functional, executive-level governance council sets our overall ESG strategy, provides guidance on program implementation, and oversees the continuing enhancement of our programs. This council regularly evaluates current and emerging sustainability-related risk topics that are relevant to our business, including those considered as part of our ERM program. For additional information, please see “The Board’s Role in Risk Oversight” previously discussed. </w:t>
                            </w:r>
                          </w:p>
                          <w:p>
                            <w:pPr>
                              <w:pStyle w:val="TextBody"/>
                              <w:bidi w:val="0"/>
                              <w:spacing w:before="120" w:after="0"/>
                              <w:jc w:val="both"/>
                              <w:rPr>
                                <w:rFonts w:ascii="arial" w:hAnsi="arial"/>
                                <w:sz w:val="19"/>
                              </w:rPr>
                            </w:pPr>
                            <w:r>
                              <w:rPr>
                                <w:rFonts w:ascii="arial" w:hAnsi="arial"/>
                                <w:sz w:val="19"/>
                              </w:rPr>
                              <w:t xml:space="preserve">Our ESG framework currently includes four pillars—Healthy People, Healthy Society, Healthy Planet, and A Healthy Amgen—that serve as organizing principles to address these areas in a holistic way across our business.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44.3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Our responsibility to operate as a good corporate citizen begins with our mission to serve patients and is supported by our long-standing focus on using resources responsibly to support the sustainability of our business and the global environment. </w:t>
                      </w:r>
                    </w:p>
                    <w:p>
                      <w:pPr>
                        <w:pStyle w:val="TextBody"/>
                        <w:bidi w:val="0"/>
                        <w:spacing w:before="200" w:after="0"/>
                        <w:jc w:val="left"/>
                        <w:rPr>
                          <w:rFonts w:ascii="arial" w:hAnsi="arial"/>
                          <w:b/>
                          <w:sz w:val="24"/>
                        </w:rPr>
                      </w:pPr>
                      <w:r>
                        <w:rPr>
                          <w:rFonts w:ascii="arial" w:hAnsi="arial"/>
                          <w:b/>
                          <w:sz w:val="24"/>
                        </w:rPr>
                        <w:t xml:space="preserve">Oversight and Governance </w:t>
                      </w:r>
                    </w:p>
                    <w:p>
                      <w:pPr>
                        <w:pStyle w:val="TextBody"/>
                        <w:bidi w:val="0"/>
                        <w:spacing w:before="120" w:after="0"/>
                        <w:jc w:val="both"/>
                        <w:rPr>
                          <w:rFonts w:ascii="arial" w:hAnsi="arial"/>
                          <w:sz w:val="19"/>
                        </w:rPr>
                      </w:pPr>
                      <w:r>
                        <w:rPr>
                          <w:rFonts w:ascii="arial" w:hAnsi="arial"/>
                          <w:sz w:val="19"/>
                        </w:rPr>
                        <w:t xml:space="preserve">Our environmental sustainability, social responsibility, and corporate governance, or ESG, efforts are governed at the highest levels and includes Board and committee oversight, executive-level leadership, and subject-matter experts who lead initiatives across our business. </w:t>
                      </w:r>
                    </w:p>
                    <w:p>
                      <w:pPr>
                        <w:pStyle w:val="TextBody"/>
                        <w:bidi w:val="0"/>
                        <w:spacing w:before="120" w:after="0"/>
                        <w:jc w:val="both"/>
                        <w:rPr>
                          <w:rFonts w:ascii="arial" w:hAnsi="arial"/>
                          <w:sz w:val="19"/>
                        </w:rPr>
                      </w:pPr>
                      <w:r>
                        <w:rPr>
                          <w:rFonts w:ascii="arial" w:hAnsi="arial"/>
                          <w:b/>
                          <w:i/>
                          <w:color w:val="0171B9"/>
                          <w:sz w:val="19"/>
                        </w:rPr>
                        <w:t xml:space="preserve">Board Oversight. </w:t>
                      </w:r>
                      <w:r>
                        <w:rPr>
                          <w:rFonts w:ascii="arial" w:hAnsi="arial"/>
                          <w:sz w:val="19"/>
                        </w:rPr>
                        <w:t xml:space="preserve">The Board and its applicable committees provide guidance and oversight to management with respect to ESG matters. The Compliance Committee assists the Board in overseeing our activities in areas that include environmental sustainability and access to medicines. The Compensation Committee provides oversight of our approach to human capital management, including diversity, inclusion, and belonging. The Governance Committee oversees the Company’s corporate governance activities and Board membership. The Audit Committee provides oversight of our disclosure controls and procedures, including those that support our sustainability reporting metrics. </w:t>
                      </w:r>
                    </w:p>
                    <w:p>
                      <w:pPr>
                        <w:pStyle w:val="TextBody"/>
                        <w:bidi w:val="0"/>
                        <w:spacing w:before="120" w:after="0"/>
                        <w:jc w:val="both"/>
                        <w:rPr>
                          <w:rFonts w:ascii="arial" w:hAnsi="arial"/>
                          <w:sz w:val="19"/>
                        </w:rPr>
                      </w:pPr>
                      <w:r>
                        <w:rPr>
                          <w:rFonts w:ascii="arial" w:hAnsi="arial"/>
                          <w:sz w:val="19"/>
                        </w:rPr>
                        <w:t xml:space="preserve">Additionally, management shares feedback received from our stockholders with the Board, including in connection with our governance-focused engagement program. For additional information, please see “Feedback From our Stockholders and Responsive Actions Taken by Our Board” on page 61 of our Compensation Discussion and Analysis. </w:t>
                      </w:r>
                    </w:p>
                    <w:p>
                      <w:pPr>
                        <w:pStyle w:val="TextBody"/>
                        <w:bidi w:val="0"/>
                        <w:spacing w:before="120" w:after="0"/>
                        <w:jc w:val="both"/>
                        <w:rPr>
                          <w:rFonts w:ascii="arial" w:hAnsi="arial"/>
                          <w:sz w:val="19"/>
                        </w:rPr>
                      </w:pPr>
                      <w:r>
                        <w:rPr>
                          <w:rFonts w:ascii="arial" w:hAnsi="arial"/>
                          <w:b/>
                          <w:i/>
                          <w:color w:val="0171B9"/>
                          <w:sz w:val="19"/>
                        </w:rPr>
                        <w:t xml:space="preserve">Management Leadership. </w:t>
                      </w:r>
                      <w:r>
                        <w:rPr>
                          <w:rFonts w:ascii="arial" w:hAnsi="arial"/>
                          <w:sz w:val="19"/>
                        </w:rPr>
                        <w:t xml:space="preserve">A cross-functional, executive-level governance council sets our overall ESG strategy, provides guidance on program implementation, and oversees the continuing enhancement of our programs. This council regularly evaluates current and emerging sustainability-related risk topics that are relevant to our business, including those considered as part of our ERM program. For additional information, please see “The Board’s Role in Risk Oversight” previously discussed. </w:t>
                      </w:r>
                    </w:p>
                    <w:p>
                      <w:pPr>
                        <w:pStyle w:val="TextBody"/>
                        <w:bidi w:val="0"/>
                        <w:spacing w:before="120" w:after="0"/>
                        <w:jc w:val="both"/>
                        <w:rPr>
                          <w:rFonts w:ascii="arial" w:hAnsi="arial"/>
                          <w:sz w:val="19"/>
                        </w:rPr>
                      </w:pPr>
                      <w:r>
                        <w:rPr>
                          <w:rFonts w:ascii="arial" w:hAnsi="arial"/>
                          <w:sz w:val="19"/>
                        </w:rPr>
                        <w:t xml:space="preserve">Our ESG framework currently includes four pillars—Healthy People, Healthy Society, Healthy Planet, and A Healthy Amgen—that serve as organizing principles to address these areas in a holistic way across our business. </w:t>
                      </w:r>
                    </w:p>
                  </w:txbxContent>
                </v:textbox>
                <w10:wrap type="square" side="right"/>
              </v:rect>
            </w:pict>
          </mc:Fallback>
        </mc:AlternateContent>
      </w:r>
    </w:p>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328"/>
        <w:gridCol w:w="9877"/>
      </w:tblGrid>
      <w:tr>
        <w:trPr/>
        <w:tc>
          <w:tcPr>
            <w:tcW w:w="328" w:type="dxa"/>
            <w:tcBorders/>
            <w:vAlign w:val="center"/>
          </w:tcPr>
          <w:p>
            <w:pPr>
              <w:pStyle w:val="TableContents"/>
              <w:bidi w:val="0"/>
              <w:spacing w:before="0" w:after="283"/>
              <w:jc w:val="left"/>
              <w:rPr/>
            </w:pPr>
            <w:r>
              <w:rPr/>
              <w:t>(1) </w:t>
            </w:r>
          </w:p>
        </w:tc>
        <w:tc>
          <w:tcPr>
            <w:tcW w:w="9877" w:type="dxa"/>
            <w:tcBorders/>
            <w:vAlign w:val="center"/>
          </w:tcPr>
          <w:p>
            <w:pPr>
              <w:pStyle w:val="TableContents"/>
              <w:bidi w:val="0"/>
              <w:spacing w:before="0" w:after="0"/>
              <w:jc w:val="both"/>
              <w:rPr>
                <w:rFonts w:ascii="arial" w:hAnsi="arial"/>
                <w:sz w:val="16"/>
              </w:rPr>
            </w:pPr>
            <w:r>
              <w:rPr>
                <w:rFonts w:ascii="arial" w:hAnsi="arial"/>
                <w:sz w:val="16"/>
              </w:rPr>
              <w:t xml:space="preserve">On October 6, 2023, Amgen completed its acquisition of Horizon Therapeutics Limited (formerly known as Horizon Therapeutics plc, or “Horizon”) and this section excludes Horizon. </w:t>
            </w:r>
          </w:p>
        </w:tc>
      </w:tr>
    </w:tbl>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36  </w:t>
      </w:r>
      <w:r>
        <w:rPr>
          <w:rFonts w:ascii="arial" w:hAnsi="arial"/>
          <w:b/>
          <w:color w:val="474747"/>
          <w:sz w:val="22"/>
        </w:rPr>
        <w:drawing>
          <wp:inline distT="0" distB="0" distL="0" distR="0">
            <wp:extent cx="64770" cy="15240"/>
            <wp:effectExtent l="0" t="0" r="0" b="0"/>
            <wp:docPr id="130"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71" descr=""/>
                    <pic:cNvPicPr>
                      <a:picLocks noChangeAspect="1" noChangeArrowheads="1"/>
                    </pic:cNvPicPr>
                  </pic:nvPicPr>
                  <pic:blipFill>
                    <a:blip r:embed="rId73"/>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311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263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263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Corporate Governance</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81">
                <wp:simplePos x="0" y="0"/>
                <wp:positionH relativeFrom="column">
                  <wp:align>left</wp:align>
                </wp:positionH>
                <wp:positionV relativeFrom="line">
                  <wp:posOffset>635</wp:posOffset>
                </wp:positionV>
                <wp:extent cx="3110230" cy="5588000"/>
                <wp:effectExtent l="0" t="0" r="0" b="0"/>
                <wp:wrapSquare wrapText="right"/>
                <wp:docPr id="131" name="Frame59"/>
                <a:graphic xmlns:a="http://schemas.openxmlformats.org/drawingml/2006/main">
                  <a:graphicData uri="http://schemas.microsoft.com/office/word/2010/wordprocessingShape">
                    <wps:wsp>
                      <wps:cNvSpPr txBox="1"/>
                      <wps:spPr>
                        <a:xfrm>
                          <a:off x="0" y="0"/>
                          <a:ext cx="3110230" cy="558800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In addition to our history of strong corporate governance practices, examples of initiatives that support the sustainability of our business, the industry, and our planet described below include our endeavors to strengthen science education and inspire the next generation of scientists, expand access to our medicines and support efforts to strengthen healthcare systems to better serve patients in need worldwide, and pursue a more environmentally sustainable business model. </w:t>
                            </w:r>
                          </w:p>
                          <w:p>
                            <w:pPr>
                              <w:pStyle w:val="TextBody"/>
                              <w:bidi w:val="0"/>
                              <w:spacing w:before="240" w:after="0"/>
                              <w:jc w:val="left"/>
                              <w:rPr>
                                <w:rFonts w:ascii="arial" w:hAnsi="arial"/>
                                <w:b/>
                                <w:sz w:val="24"/>
                              </w:rPr>
                            </w:pPr>
                            <w:r>
                              <w:rPr>
                                <w:rFonts w:ascii="arial" w:hAnsi="arial"/>
                                <w:b/>
                                <w:sz w:val="24"/>
                              </w:rPr>
                              <w:t xml:space="preserve">Environmental Sustainability </w:t>
                            </w:r>
                          </w:p>
                          <w:p>
                            <w:pPr>
                              <w:pStyle w:val="TextBody"/>
                              <w:bidi w:val="0"/>
                              <w:spacing w:before="120" w:after="0"/>
                              <w:jc w:val="both"/>
                              <w:rPr>
                                <w:rFonts w:ascii="arial" w:hAnsi="arial"/>
                                <w:sz w:val="19"/>
                              </w:rPr>
                            </w:pPr>
                            <w:r>
                              <w:rPr>
                                <w:rFonts w:ascii="arial" w:hAnsi="arial"/>
                                <w:sz w:val="19"/>
                              </w:rPr>
                              <w:t xml:space="preserve">As a science-based company committed to advancing human health, Amgen has a long-standing objective to conduct environmentally responsible operations and we regularly set targets to challenge ourselves to deliver further improvements. Since 2007, we have successfully advanced our environmental sustainability program while substantially increasing our global production capacity and patient reach. </w:t>
                            </w:r>
                          </w:p>
                          <w:p>
                            <w:pPr>
                              <w:pStyle w:val="TextBody"/>
                              <w:bidi w:val="0"/>
                              <w:spacing w:before="120" w:after="0"/>
                              <w:jc w:val="both"/>
                              <w:rPr>
                                <w:rFonts w:ascii="arial" w:hAnsi="arial"/>
                                <w:sz w:val="19"/>
                              </w:rPr>
                            </w:pPr>
                            <w:r>
                              <w:rPr>
                                <w:rFonts w:ascii="arial" w:hAnsi="arial"/>
                                <w:sz w:val="19"/>
                              </w:rPr>
                              <w:t xml:space="preserve">Building on the successful execution of our 2013-2020 conservation targets, our 2021-2027 environmental sustainability plan (our third since 2007) includes a target of achieving carbon neutrality in our operations by 2027, while also aiming to further reduce our water use (by 40%) and waste disposed (by 75%).(1) </w:t>
                            </w:r>
                          </w:p>
                          <w:p>
                            <w:pPr>
                              <w:pStyle w:val="TextBody"/>
                              <w:bidi w:val="0"/>
                              <w:spacing w:before="0" w:after="0"/>
                              <w:jc w:val="left"/>
                              <w:rPr/>
                            </w:pPr>
                            <w:r>
                              <w:rPr/>
                              <w:t> </w:t>
                            </w:r>
                          </w:p>
                          <w:p>
                            <w:pPr>
                              <w:pStyle w:val="TextBody"/>
                              <w:bidi w:val="0"/>
                              <w:spacing w:before="0" w:after="0"/>
                              <w:jc w:val="center"/>
                              <w:rPr/>
                            </w:pPr>
                            <w:r>
                              <w:rPr/>
                              <w:drawing>
                                <wp:inline distT="0" distB="0" distL="0" distR="0">
                                  <wp:extent cx="320675" cy="176530"/>
                                  <wp:effectExtent l="0" t="0" r="0" b="0"/>
                                  <wp:docPr id="13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72" descr=""/>
                                          <pic:cNvPicPr>
                                            <a:picLocks noChangeAspect="1" noChangeArrowheads="1"/>
                                          </pic:cNvPicPr>
                                        </pic:nvPicPr>
                                        <pic:blipFill>
                                          <a:blip r:embed="rId74"/>
                                          <a:stretch>
                                            <a:fillRect/>
                                          </a:stretch>
                                        </pic:blipFill>
                                        <pic:spPr bwMode="auto">
                                          <a:xfrm>
                                            <a:off x="0" y="0"/>
                                            <a:ext cx="320675" cy="1765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pBdr/>
                              <w:bidi w:val="0"/>
                              <w:spacing w:before="0" w:after="0"/>
                              <w:ind w:left="100" w:right="100" w:hanging="0"/>
                              <w:jc w:val="both"/>
                              <w:rPr>
                                <w:rFonts w:ascii="arial" w:hAnsi="arial"/>
                                <w:b/>
                                <w:sz w:val="19"/>
                                <w:bdr w:val="single" w:sz="8" w:space="2" w:color="666666"/>
                                <w:shd w:fill="CCE2F1" w:val="clear"/>
                              </w:rPr>
                            </w:pPr>
                            <w:r>
                              <w:rPr>
                                <w:rFonts w:ascii="arial" w:hAnsi="arial"/>
                                <w:b/>
                                <w:sz w:val="19"/>
                                <w:bdr w:val="single" w:sz="8" w:space="2" w:color="666666"/>
                                <w:shd w:fill="CCE2F1" w:val="clear"/>
                              </w:rPr>
                              <w:t xml:space="preserve">Our 2027 carbon emissions targets have been approved by the Science Based Targets Initiative (SBTi), a global body enabling businesses to set emissions reductions targets in line with the goals of the Paris Agreement (to limit global warming to 1.5°C above pre-industrial levels).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40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In addition to our history of strong corporate governance practices, examples of initiatives that support the sustainability of our business, the industry, and our planet described below include our endeavors to strengthen science education and inspire the next generation of scientists, expand access to our medicines and support efforts to strengthen healthcare systems to better serve patients in need worldwide, and pursue a more environmentally sustainable business model. </w:t>
                      </w:r>
                    </w:p>
                    <w:p>
                      <w:pPr>
                        <w:pStyle w:val="TextBody"/>
                        <w:bidi w:val="0"/>
                        <w:spacing w:before="240" w:after="0"/>
                        <w:jc w:val="left"/>
                        <w:rPr>
                          <w:rFonts w:ascii="arial" w:hAnsi="arial"/>
                          <w:b/>
                          <w:sz w:val="24"/>
                        </w:rPr>
                      </w:pPr>
                      <w:r>
                        <w:rPr>
                          <w:rFonts w:ascii="arial" w:hAnsi="arial"/>
                          <w:b/>
                          <w:sz w:val="24"/>
                        </w:rPr>
                        <w:t xml:space="preserve">Environmental Sustainability </w:t>
                      </w:r>
                    </w:p>
                    <w:p>
                      <w:pPr>
                        <w:pStyle w:val="TextBody"/>
                        <w:bidi w:val="0"/>
                        <w:spacing w:before="120" w:after="0"/>
                        <w:jc w:val="both"/>
                        <w:rPr>
                          <w:rFonts w:ascii="arial" w:hAnsi="arial"/>
                          <w:sz w:val="19"/>
                        </w:rPr>
                      </w:pPr>
                      <w:r>
                        <w:rPr>
                          <w:rFonts w:ascii="arial" w:hAnsi="arial"/>
                          <w:sz w:val="19"/>
                        </w:rPr>
                        <w:t xml:space="preserve">As a science-based company committed to advancing human health, Amgen has a long-standing objective to conduct environmentally responsible operations and we regularly set targets to challenge ourselves to deliver further improvements. Since 2007, we have successfully advanced our environmental sustainability program while substantially increasing our global production capacity and patient reach. </w:t>
                      </w:r>
                    </w:p>
                    <w:p>
                      <w:pPr>
                        <w:pStyle w:val="TextBody"/>
                        <w:bidi w:val="0"/>
                        <w:spacing w:before="120" w:after="0"/>
                        <w:jc w:val="both"/>
                        <w:rPr>
                          <w:rFonts w:ascii="arial" w:hAnsi="arial"/>
                          <w:sz w:val="19"/>
                        </w:rPr>
                      </w:pPr>
                      <w:r>
                        <w:rPr>
                          <w:rFonts w:ascii="arial" w:hAnsi="arial"/>
                          <w:sz w:val="19"/>
                        </w:rPr>
                        <w:t xml:space="preserve">Building on the successful execution of our 2013-2020 conservation targets, our 2021-2027 environmental sustainability plan (our third since 2007) includes a target of achieving carbon neutrality in our operations by 2027, while also aiming to further reduce our water use (by 40%) and waste disposed (by 75%).(1) </w:t>
                      </w:r>
                    </w:p>
                    <w:p>
                      <w:pPr>
                        <w:pStyle w:val="TextBody"/>
                        <w:bidi w:val="0"/>
                        <w:spacing w:before="0" w:after="0"/>
                        <w:jc w:val="left"/>
                        <w:rPr/>
                      </w:pPr>
                      <w:r>
                        <w:rPr/>
                        <w:t> </w:t>
                      </w:r>
                    </w:p>
                    <w:p>
                      <w:pPr>
                        <w:pStyle w:val="TextBody"/>
                        <w:bidi w:val="0"/>
                        <w:spacing w:before="0" w:after="0"/>
                        <w:jc w:val="center"/>
                        <w:rPr/>
                      </w:pPr>
                      <w:r>
                        <w:rPr/>
                        <w:drawing>
                          <wp:inline distT="0" distB="0" distL="0" distR="0">
                            <wp:extent cx="320675" cy="176530"/>
                            <wp:effectExtent l="0" t="0" r="0" b="0"/>
                            <wp:docPr id="133"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72" descr=""/>
                                    <pic:cNvPicPr>
                                      <a:picLocks noChangeAspect="1" noChangeArrowheads="1"/>
                                    </pic:cNvPicPr>
                                  </pic:nvPicPr>
                                  <pic:blipFill>
                                    <a:blip r:embed="rId75"/>
                                    <a:stretch>
                                      <a:fillRect/>
                                    </a:stretch>
                                  </pic:blipFill>
                                  <pic:spPr bwMode="auto">
                                    <a:xfrm>
                                      <a:off x="0" y="0"/>
                                      <a:ext cx="320675" cy="1765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pBdr/>
                        <w:bidi w:val="0"/>
                        <w:spacing w:before="0" w:after="0"/>
                        <w:ind w:left="100" w:right="100" w:hanging="0"/>
                        <w:jc w:val="both"/>
                        <w:rPr>
                          <w:rFonts w:ascii="arial" w:hAnsi="arial"/>
                          <w:b/>
                          <w:sz w:val="19"/>
                          <w:bdr w:val="single" w:sz="8" w:space="2" w:color="666666"/>
                          <w:shd w:fill="CCE2F1" w:val="clear"/>
                        </w:rPr>
                      </w:pPr>
                      <w:r>
                        <w:rPr>
                          <w:rFonts w:ascii="arial" w:hAnsi="arial"/>
                          <w:b/>
                          <w:sz w:val="19"/>
                          <w:bdr w:val="single" w:sz="8" w:space="2" w:color="666666"/>
                          <w:shd w:fill="CCE2F1" w:val="clear"/>
                        </w:rPr>
                        <w:t xml:space="preserve">Our 2027 carbon emissions targets have been approved by the Science Based Targets Initiative (SBTi), a global body enabling businesses to set emissions reductions targets in line with the goals of the Paris Agreement (to limit global warming to 1.5°C above pre-industrial levels). </w:t>
                      </w:r>
                    </w:p>
                  </w:txbxContent>
                </v:textbox>
                <w10:wrap type="square" side="right"/>
              </v:rect>
            </w:pict>
          </mc:Fallback>
        </mc:AlternateContent>
      </w:r>
      <w:r>
        <mc:AlternateContent>
          <mc:Choice Requires="wps">
            <w:drawing>
              <wp:anchor behindDoc="0" distT="0" distB="0" distL="0" distR="0" simplePos="0" locked="0" layoutInCell="1" allowOverlap="1" relativeHeight="303">
                <wp:simplePos x="0" y="0"/>
                <wp:positionH relativeFrom="column">
                  <wp:align>left</wp:align>
                </wp:positionH>
                <wp:positionV relativeFrom="line">
                  <wp:posOffset>635</wp:posOffset>
                </wp:positionV>
                <wp:extent cx="3175000" cy="6118860"/>
                <wp:effectExtent l="0" t="0" r="0" b="0"/>
                <wp:wrapSquare wrapText="right"/>
                <wp:docPr id="134" name="Frame60"/>
                <a:graphic xmlns:a="http://schemas.openxmlformats.org/drawingml/2006/main">
                  <a:graphicData uri="http://schemas.microsoft.com/office/word/2010/wordprocessingShape">
                    <wps:wsp>
                      <wps:cNvSpPr txBox="1"/>
                      <wps:spPr>
                        <a:xfrm>
                          <a:off x="0" y="0"/>
                          <a:ext cx="3175000" cy="6118860"/>
                        </a:xfrm>
                        <a:prstGeom prst="rect"/>
                        <a:solidFill>
                          <a:srgbClr val="FFFFFF"/>
                        </a:solidFill>
                      </wps:spPr>
                      <wps:txbx>
                        <w:txbxContent>
                          <w:p>
                            <w:pPr>
                              <w:pStyle w:val="TextBody"/>
                              <w:bidi w:val="0"/>
                              <w:spacing w:before="0" w:after="0"/>
                              <w:jc w:val="both"/>
                              <w:rPr>
                                <w:rFonts w:ascii="arial" w:hAnsi="arial"/>
                                <w:sz w:val="19"/>
                              </w:rPr>
                            </w:pPr>
                            <w:r>
                              <w:rPr>
                                <w:rFonts w:ascii="arial" w:hAnsi="arial"/>
                                <w:b/>
                                <w:i/>
                                <w:color w:val="0171B9"/>
                                <w:sz w:val="19"/>
                              </w:rPr>
                              <w:t>Our 2027 Environmental Sustainability Plan.</w:t>
                            </w:r>
                            <w:r>
                              <w:rPr>
                                <w:rFonts w:ascii="arial" w:hAnsi="arial"/>
                                <w:sz w:val="19"/>
                              </w:rPr>
                              <w:t xml:space="preserve"> To achieve our 2027 goals, we are harnessing our innovative capabilities to become, not just more environmentally sustainable, but also more flexible and productive resulting in reductions in operating costs from such efficiencies over the same period. </w:t>
                            </w:r>
                          </w:p>
                          <w:p>
                            <w:pPr>
                              <w:pStyle w:val="TextBody"/>
                              <w:bidi w:val="0"/>
                              <w:spacing w:before="120" w:after="0"/>
                              <w:jc w:val="both"/>
                              <w:rPr>
                                <w:rFonts w:ascii="arial" w:hAnsi="arial"/>
                                <w:sz w:val="19"/>
                              </w:rPr>
                            </w:pPr>
                            <w:r>
                              <w:rPr>
                                <w:rFonts w:ascii="arial" w:hAnsi="arial"/>
                                <w:sz w:val="19"/>
                              </w:rPr>
                              <w:t xml:space="preserve">Our 2027 plan is designed to drive specific environmental sustainability projects across our operations, including continued investment in highly resource efficient biomanufacturing, smart and integrated facility design, use of on-site solar and other renewable energy sources, electric vehicle fleet conversion, treatment and reuse of water, the reduction and recycling of single-use plastics, and the reduction of consumables packaging. This plan also includes activities designed to address the potential risks and integrate opportunities from climate change into our existing processes for strategic planning, analysis, and risk management. </w:t>
                            </w:r>
                          </w:p>
                          <w:p>
                            <w:pPr>
                              <w:pStyle w:val="TextBody"/>
                              <w:bidi w:val="0"/>
                              <w:spacing w:before="120" w:after="0"/>
                              <w:jc w:val="both"/>
                              <w:rPr>
                                <w:rFonts w:ascii="arial" w:hAnsi="arial"/>
                                <w:sz w:val="19"/>
                              </w:rPr>
                            </w:pPr>
                            <w:r>
                              <w:rPr>
                                <w:rFonts w:ascii="arial" w:hAnsi="arial"/>
                                <w:sz w:val="19"/>
                              </w:rPr>
                              <w:t xml:space="preserve">To support the advancement of our 2027 goals, we issued $750 million of green bonds in 2022, the net proceeds of which have been fully allocated to finance eligible projects that met specific criteria to reduce our impact on the environment. (For more information, please see our Green Bond Allocation Report available at </w:t>
                            </w:r>
                            <w:r>
                              <w:rPr>
                                <w:rFonts w:ascii="arial" w:hAnsi="arial"/>
                                <w:i/>
                                <w:color w:val="0171B9"/>
                                <w:sz w:val="19"/>
                              </w:rPr>
                              <w:t>www.amgen.com</w:t>
                            </w:r>
                            <w:r>
                              <w:rPr>
                                <w:rFonts w:ascii="arial" w:hAnsi="arial"/>
                                <w:sz w:val="19"/>
                              </w:rPr>
                              <w:t xml:space="preserve">.(2)) </w:t>
                            </w:r>
                          </w:p>
                          <w:p>
                            <w:pPr>
                              <w:pStyle w:val="TextBody"/>
                              <w:bidi w:val="0"/>
                              <w:spacing w:before="120" w:after="0"/>
                              <w:jc w:val="both"/>
                              <w:rPr>
                                <w:rFonts w:ascii="arial" w:hAnsi="arial"/>
                                <w:sz w:val="19"/>
                              </w:rPr>
                            </w:pPr>
                            <w:r>
                              <w:rPr>
                                <w:rFonts w:ascii="arial" w:hAnsi="arial"/>
                                <w:b/>
                                <w:i/>
                                <w:color w:val="0171B9"/>
                                <w:sz w:val="19"/>
                              </w:rPr>
                              <w:t>The Road to Net Zero.</w:t>
                            </w:r>
                            <w:r>
                              <w:rPr>
                                <w:rFonts w:ascii="arial" w:hAnsi="arial"/>
                                <w:sz w:val="19"/>
                              </w:rPr>
                              <w:t xml:space="preserve"> To help achieve our goal of carbon neutrality by 2027(1), Amgen is focusing on the use of innovative technologies and efficiency projects to reduce carbon emissions from our owned and operated facilities, in addition to sourcing renewable energy. Where renewable sources are not available, we expect to prioritize offsetting based on the quality of the credit or offset. </w:t>
                            </w:r>
                          </w:p>
                          <w:p>
                            <w:pPr>
                              <w:pStyle w:val="TextBody"/>
                              <w:bidi w:val="0"/>
                              <w:spacing w:before="120" w:after="0"/>
                              <w:jc w:val="both"/>
                              <w:rPr>
                                <w:rFonts w:ascii="arial" w:hAnsi="arial"/>
                                <w:sz w:val="19"/>
                              </w:rPr>
                            </w:pPr>
                            <w:r>
                              <w:rPr>
                                <w:rFonts w:ascii="arial" w:hAnsi="arial"/>
                                <w:b/>
                                <w:i/>
                                <w:color w:val="0171B9"/>
                                <w:sz w:val="19"/>
                              </w:rPr>
                              <w:t>Sustainability by Design.</w:t>
                            </w:r>
                            <w:r>
                              <w:rPr>
                                <w:rFonts w:ascii="arial" w:hAnsi="arial"/>
                                <w:sz w:val="19"/>
                              </w:rPr>
                              <w:t xml:space="preserve"> Amgen helped to invent the processes and tools that created the global biotech industry. As we continue to grow and innovate, we are pioneering advanced technologies and implementing more environmentally responsible approaches throughout the Company that also reduce costs and increase operational efficiency. Amgen Ecovation™ is our approach to innovative and sustainable manufacturing, which we integrate into the upfront design, development, and execution of all new laboratory, manufacturing, and administrative buildings.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81.8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b/>
                          <w:i/>
                          <w:color w:val="0171B9"/>
                          <w:sz w:val="19"/>
                        </w:rPr>
                        <w:t>Our 2027 Environmental Sustainability Plan.</w:t>
                      </w:r>
                      <w:r>
                        <w:rPr>
                          <w:rFonts w:ascii="arial" w:hAnsi="arial"/>
                          <w:sz w:val="19"/>
                        </w:rPr>
                        <w:t xml:space="preserve"> To achieve our 2027 goals, we are harnessing our innovative capabilities to become, not just more environmentally sustainable, but also more flexible and productive resulting in reductions in operating costs from such efficiencies over the same period. </w:t>
                      </w:r>
                    </w:p>
                    <w:p>
                      <w:pPr>
                        <w:pStyle w:val="TextBody"/>
                        <w:bidi w:val="0"/>
                        <w:spacing w:before="120" w:after="0"/>
                        <w:jc w:val="both"/>
                        <w:rPr>
                          <w:rFonts w:ascii="arial" w:hAnsi="arial"/>
                          <w:sz w:val="19"/>
                        </w:rPr>
                      </w:pPr>
                      <w:r>
                        <w:rPr>
                          <w:rFonts w:ascii="arial" w:hAnsi="arial"/>
                          <w:sz w:val="19"/>
                        </w:rPr>
                        <w:t xml:space="preserve">Our 2027 plan is designed to drive specific environmental sustainability projects across our operations, including continued investment in highly resource efficient biomanufacturing, smart and integrated facility design, use of on-site solar and other renewable energy sources, electric vehicle fleet conversion, treatment and reuse of water, the reduction and recycling of single-use plastics, and the reduction of consumables packaging. This plan also includes activities designed to address the potential risks and integrate opportunities from climate change into our existing processes for strategic planning, analysis, and risk management. </w:t>
                      </w:r>
                    </w:p>
                    <w:p>
                      <w:pPr>
                        <w:pStyle w:val="TextBody"/>
                        <w:bidi w:val="0"/>
                        <w:spacing w:before="120" w:after="0"/>
                        <w:jc w:val="both"/>
                        <w:rPr>
                          <w:rFonts w:ascii="arial" w:hAnsi="arial"/>
                          <w:sz w:val="19"/>
                        </w:rPr>
                      </w:pPr>
                      <w:r>
                        <w:rPr>
                          <w:rFonts w:ascii="arial" w:hAnsi="arial"/>
                          <w:sz w:val="19"/>
                        </w:rPr>
                        <w:t xml:space="preserve">To support the advancement of our 2027 goals, we issued $750 million of green bonds in 2022, the net proceeds of which have been fully allocated to finance eligible projects that met specific criteria to reduce our impact on the environment. (For more information, please see our Green Bond Allocation Report available at </w:t>
                      </w:r>
                      <w:r>
                        <w:rPr>
                          <w:rFonts w:ascii="arial" w:hAnsi="arial"/>
                          <w:i/>
                          <w:color w:val="0171B9"/>
                          <w:sz w:val="19"/>
                        </w:rPr>
                        <w:t>www.amgen.com</w:t>
                      </w:r>
                      <w:r>
                        <w:rPr>
                          <w:rFonts w:ascii="arial" w:hAnsi="arial"/>
                          <w:sz w:val="19"/>
                        </w:rPr>
                        <w:t xml:space="preserve">.(2)) </w:t>
                      </w:r>
                    </w:p>
                    <w:p>
                      <w:pPr>
                        <w:pStyle w:val="TextBody"/>
                        <w:bidi w:val="0"/>
                        <w:spacing w:before="120" w:after="0"/>
                        <w:jc w:val="both"/>
                        <w:rPr>
                          <w:rFonts w:ascii="arial" w:hAnsi="arial"/>
                          <w:sz w:val="19"/>
                        </w:rPr>
                      </w:pPr>
                      <w:r>
                        <w:rPr>
                          <w:rFonts w:ascii="arial" w:hAnsi="arial"/>
                          <w:b/>
                          <w:i/>
                          <w:color w:val="0171B9"/>
                          <w:sz w:val="19"/>
                        </w:rPr>
                        <w:t>The Road to Net Zero.</w:t>
                      </w:r>
                      <w:r>
                        <w:rPr>
                          <w:rFonts w:ascii="arial" w:hAnsi="arial"/>
                          <w:sz w:val="19"/>
                        </w:rPr>
                        <w:t xml:space="preserve"> To help achieve our goal of carbon neutrality by 2027(1), Amgen is focusing on the use of innovative technologies and efficiency projects to reduce carbon emissions from our owned and operated facilities, in addition to sourcing renewable energy. Where renewable sources are not available, we expect to prioritize offsetting based on the quality of the credit or offset. </w:t>
                      </w:r>
                    </w:p>
                    <w:p>
                      <w:pPr>
                        <w:pStyle w:val="TextBody"/>
                        <w:bidi w:val="0"/>
                        <w:spacing w:before="120" w:after="0"/>
                        <w:jc w:val="both"/>
                        <w:rPr>
                          <w:rFonts w:ascii="arial" w:hAnsi="arial"/>
                          <w:sz w:val="19"/>
                        </w:rPr>
                      </w:pPr>
                      <w:r>
                        <w:rPr>
                          <w:rFonts w:ascii="arial" w:hAnsi="arial"/>
                          <w:b/>
                          <w:i/>
                          <w:color w:val="0171B9"/>
                          <w:sz w:val="19"/>
                        </w:rPr>
                        <w:t>Sustainability by Design.</w:t>
                      </w:r>
                      <w:r>
                        <w:rPr>
                          <w:rFonts w:ascii="arial" w:hAnsi="arial"/>
                          <w:sz w:val="19"/>
                        </w:rPr>
                        <w:t xml:space="preserve"> Amgen helped to invent the processes and tools that created the global biotech industry. As we continue to grow and innovate, we are pioneering advanced technologies and implementing more environmentally responsible approaches throughout the Company that also reduce costs and increase operational efficiency. Amgen Ecovation™ is our approach to innovative and sustainable manufacturing, which we integrate into the upfront design, development, and execution of all new laboratory, manufacturing, and administrative buildings. </w:t>
                      </w:r>
                    </w:p>
                  </w:txbxContent>
                </v:textbox>
                <w10:wrap type="square" side="right"/>
              </v:rect>
            </w:pict>
          </mc:Fallback>
        </mc:AlternateContent>
      </w:r>
    </w:p>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pPr>
            <w:r>
              <w:rPr/>
              <w:t>(1) </w:t>
            </w:r>
          </w:p>
        </w:tc>
        <w:tc>
          <w:tcPr>
            <w:tcW w:w="9905" w:type="dxa"/>
            <w:tcBorders/>
            <w:vAlign w:val="center"/>
          </w:tcPr>
          <w:p>
            <w:pPr>
              <w:pStyle w:val="TableContents"/>
              <w:bidi w:val="0"/>
              <w:spacing w:before="0" w:after="0"/>
              <w:jc w:val="both"/>
              <w:rPr>
                <w:rFonts w:ascii="arial" w:hAnsi="arial"/>
                <w:sz w:val="16"/>
              </w:rPr>
            </w:pPr>
            <w:r>
              <w:rPr>
                <w:rFonts w:ascii="arial" w:hAnsi="arial"/>
                <w:sz w:val="16"/>
              </w:rPr>
              <w:t xml:space="preserve">Carbon neutrality goal refers to Scope 1 and 2. Reductions take into account only verified reduction projections, do not take into account changes associated with the contraction or expansion of the Company and are measured against a 2019 baseline. </w:t>
            </w:r>
          </w:p>
        </w:tc>
      </w:tr>
    </w:tbl>
    <w:tbl>
      <w:tblPr>
        <w:tblW w:w="10205" w:type="dxa"/>
        <w:jc w:val="left"/>
        <w:tblInd w:w="0" w:type="dxa"/>
        <w:tblLayout w:type="fixed"/>
        <w:tblCellMar>
          <w:top w:w="0" w:type="dxa"/>
          <w:left w:w="0" w:type="dxa"/>
          <w:bottom w:w="0" w:type="dxa"/>
          <w:right w:w="0" w:type="dxa"/>
        </w:tblCellMar>
      </w:tblPr>
      <w:tblGrid>
        <w:gridCol w:w="341"/>
        <w:gridCol w:w="9864"/>
      </w:tblGrid>
      <w:tr>
        <w:trPr/>
        <w:tc>
          <w:tcPr>
            <w:tcW w:w="341" w:type="dxa"/>
            <w:tcBorders/>
            <w:vAlign w:val="center"/>
          </w:tcPr>
          <w:p>
            <w:pPr>
              <w:pStyle w:val="TableContents"/>
              <w:bidi w:val="0"/>
              <w:spacing w:before="0" w:after="283"/>
              <w:jc w:val="left"/>
              <w:rPr/>
            </w:pPr>
            <w:r>
              <w:rPr/>
              <w:t>(2) </w:t>
            </w:r>
          </w:p>
        </w:tc>
        <w:tc>
          <w:tcPr>
            <w:tcW w:w="9864" w:type="dxa"/>
            <w:tcBorders/>
            <w:vAlign w:val="center"/>
          </w:tcPr>
          <w:p>
            <w:pPr>
              <w:pStyle w:val="TableContents"/>
              <w:bidi w:val="0"/>
              <w:spacing w:before="0" w:after="0"/>
              <w:jc w:val="both"/>
              <w:rPr>
                <w:rFonts w:ascii="arial" w:hAnsi="arial"/>
                <w:sz w:val="16"/>
              </w:rPr>
            </w:pPr>
            <w:r>
              <w:rPr>
                <w:rFonts w:ascii="arial" w:hAnsi="arial"/>
                <w:sz w:val="16"/>
              </w:rPr>
              <w:t xml:space="preserve">Reference to our website is not intended to function as a hyperlink and the information contained on our website is not intended to be part of this proxy statement. </w:t>
            </w:r>
          </w:p>
        </w:tc>
      </w:tr>
    </w:tbl>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135"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73" descr=""/>
                    <pic:cNvPicPr>
                      <a:picLocks noChangeAspect="1" noChangeArrowheads="1"/>
                    </pic:cNvPicPr>
                  </pic:nvPicPr>
                  <pic:blipFill>
                    <a:blip r:embed="rId76"/>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37</w:t>
      </w:r>
      <w:r>
        <w:rPr>
          <w:rFonts w:ascii="arial" w:hAnsi="arial"/>
          <w:b/>
          <w:sz w:val="22"/>
        </w:rPr>
        <w:t xml:space="preserve"> </w:t>
      </w:r>
      <w:r>
        <w:br w:type="page"/>
      </w:r>
    </w:p>
    <w:p>
      <w:pPr>
        <w:pStyle w:val="HorizontalLine"/>
        <w:bidi w:val="0"/>
        <w:jc w:val="left"/>
        <w:rPr/>
      </w:pPr>
      <w:r>
        <w:rPr/>
      </w:r>
    </w:p>
    <w:tbl>
      <w:tblPr>
        <w:tblW w:w="311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263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263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Corporate Governance</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87">
                <wp:simplePos x="0" y="0"/>
                <wp:positionH relativeFrom="column">
                  <wp:align>left</wp:align>
                </wp:positionH>
                <wp:positionV relativeFrom="line">
                  <wp:posOffset>635</wp:posOffset>
                </wp:positionV>
                <wp:extent cx="3110230" cy="4029075"/>
                <wp:effectExtent l="0" t="0" r="0" b="0"/>
                <wp:wrapSquare wrapText="right"/>
                <wp:docPr id="136" name="Frame61"/>
                <a:graphic xmlns:a="http://schemas.openxmlformats.org/drawingml/2006/main">
                  <a:graphicData uri="http://schemas.microsoft.com/office/word/2010/wordprocessingShape">
                    <wps:wsp>
                      <wps:cNvSpPr txBox="1"/>
                      <wps:spPr>
                        <a:xfrm>
                          <a:off x="0" y="0"/>
                          <a:ext cx="3110230" cy="4029075"/>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Our innovative approach to biomanufacturing dramatically reduces the scale and costs of making biologic medicines, and vastly reduces water and energy use, while maintaining a reliable, high-quality, compliant supply of medicines. </w:t>
                            </w:r>
                          </w:p>
                          <w:p>
                            <w:pPr>
                              <w:pStyle w:val="TextBody"/>
                              <w:bidi w:val="0"/>
                              <w:spacing w:before="0" w:after="0"/>
                              <w:jc w:val="left"/>
                              <w:rPr/>
                            </w:pPr>
                            <w:r>
                              <w:rPr/>
                              <w:t> </w:t>
                            </w:r>
                          </w:p>
                          <w:p>
                            <w:pPr>
                              <w:pStyle w:val="TextBody"/>
                              <w:bidi w:val="0"/>
                              <w:spacing w:before="0" w:after="0"/>
                              <w:jc w:val="center"/>
                              <w:rPr/>
                            </w:pPr>
                            <w:r>
                              <w:rPr/>
                              <w:drawing>
                                <wp:inline distT="0" distB="0" distL="0" distR="0">
                                  <wp:extent cx="303530" cy="408305"/>
                                  <wp:effectExtent l="0" t="0" r="0" b="0"/>
                                  <wp:docPr id="137"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74" descr=""/>
                                          <pic:cNvPicPr>
                                            <a:picLocks noChangeAspect="1" noChangeArrowheads="1"/>
                                          </pic:cNvPicPr>
                                        </pic:nvPicPr>
                                        <pic:blipFill>
                                          <a:blip r:embed="rId77"/>
                                          <a:stretch>
                                            <a:fillRect/>
                                          </a:stretch>
                                        </pic:blipFill>
                                        <pic:spPr bwMode="auto">
                                          <a:xfrm>
                                            <a:off x="0" y="0"/>
                                            <a:ext cx="303530" cy="408305"/>
                                          </a:xfrm>
                                          <a:prstGeom prst="rect">
                                            <a:avLst/>
                                          </a:prstGeom>
                                        </pic:spPr>
                                      </pic:pic>
                                    </a:graphicData>
                                  </a:graphic>
                                </wp:inline>
                              </w:drawing>
                            </w:r>
                            <w:r>
                              <w:rPr/>
                              <w:t xml:space="preserve"> </w:t>
                            </w:r>
                          </w:p>
                          <w:p>
                            <w:pPr>
                              <w:pStyle w:val="TextBody"/>
                              <w:bidi w:val="0"/>
                              <w:spacing w:before="240" w:after="0"/>
                              <w:jc w:val="both"/>
                              <w:rPr>
                                <w:rFonts w:ascii="arial" w:hAnsi="arial"/>
                                <w:sz w:val="19"/>
                              </w:rPr>
                            </w:pPr>
                            <w:r>
                              <w:rPr>
                                <w:rFonts w:ascii="arial" w:hAnsi="arial"/>
                                <w:sz w:val="19"/>
                              </w:rPr>
                              <w:t xml:space="preserve">We are expanding capacity and applying innovation to our facilities with multiple ongoing projects, including in connection with the expansion of our U.S. plants. For example, Amgen Ecovation has guided the design and construction of our new state-of-the-art facilities in Ohio (recently licensed by the FDA) and North Carolina, both of which contain many examples of environmental innovation. These new sites are expected to support our ability to meet the demand for our medicines and bring hundreds of full-time jobs to these regions while expanding our access to diverse talent. </w:t>
                            </w:r>
                          </w:p>
                          <w:p>
                            <w:pPr>
                              <w:pStyle w:val="TextBody"/>
                              <w:bidi w:val="0"/>
                              <w:spacing w:before="120" w:after="0"/>
                              <w:jc w:val="both"/>
                              <w:rPr>
                                <w:rFonts w:ascii="arial" w:hAnsi="arial"/>
                                <w:sz w:val="19"/>
                              </w:rPr>
                            </w:pPr>
                            <w:r>
                              <w:rPr>
                                <w:rFonts w:ascii="arial" w:hAnsi="arial"/>
                                <w:b/>
                                <w:i/>
                                <w:color w:val="0171B9"/>
                                <w:sz w:val="19"/>
                              </w:rPr>
                              <w:t>Sustainable Value Chain.</w:t>
                            </w:r>
                            <w:r>
                              <w:rPr>
                                <w:rFonts w:ascii="arial" w:hAnsi="arial"/>
                                <w:sz w:val="19"/>
                              </w:rPr>
                              <w:t xml:space="preserve"> Our footprint and focus on sustainability extend beyond our own employees and facilities. As part of our 2027 environmental sustainability plan, in 2022, we established a Scope 3 supplier engagement target to engage with 73%(1) of our suppliers in key categories to support their adoption of science-based carbon emission reduction targets.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17.2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Our innovative approach to biomanufacturing dramatically reduces the scale and costs of making biologic medicines, and vastly reduces water and energy use, while maintaining a reliable, high-quality, compliant supply of medicines. </w:t>
                      </w:r>
                    </w:p>
                    <w:p>
                      <w:pPr>
                        <w:pStyle w:val="TextBody"/>
                        <w:bidi w:val="0"/>
                        <w:spacing w:before="0" w:after="0"/>
                        <w:jc w:val="left"/>
                        <w:rPr/>
                      </w:pPr>
                      <w:r>
                        <w:rPr/>
                        <w:t> </w:t>
                      </w:r>
                    </w:p>
                    <w:p>
                      <w:pPr>
                        <w:pStyle w:val="TextBody"/>
                        <w:bidi w:val="0"/>
                        <w:spacing w:before="0" w:after="0"/>
                        <w:jc w:val="center"/>
                        <w:rPr/>
                      </w:pPr>
                      <w:r>
                        <w:rPr/>
                        <w:drawing>
                          <wp:inline distT="0" distB="0" distL="0" distR="0">
                            <wp:extent cx="303530" cy="408305"/>
                            <wp:effectExtent l="0" t="0" r="0" b="0"/>
                            <wp:docPr id="138"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74" descr=""/>
                                    <pic:cNvPicPr>
                                      <a:picLocks noChangeAspect="1" noChangeArrowheads="1"/>
                                    </pic:cNvPicPr>
                                  </pic:nvPicPr>
                                  <pic:blipFill>
                                    <a:blip r:embed="rId78"/>
                                    <a:stretch>
                                      <a:fillRect/>
                                    </a:stretch>
                                  </pic:blipFill>
                                  <pic:spPr bwMode="auto">
                                    <a:xfrm>
                                      <a:off x="0" y="0"/>
                                      <a:ext cx="303530" cy="408305"/>
                                    </a:xfrm>
                                    <a:prstGeom prst="rect">
                                      <a:avLst/>
                                    </a:prstGeom>
                                  </pic:spPr>
                                </pic:pic>
                              </a:graphicData>
                            </a:graphic>
                          </wp:inline>
                        </w:drawing>
                      </w:r>
                      <w:r>
                        <w:rPr/>
                        <w:t xml:space="preserve"> </w:t>
                      </w:r>
                    </w:p>
                    <w:p>
                      <w:pPr>
                        <w:pStyle w:val="TextBody"/>
                        <w:bidi w:val="0"/>
                        <w:spacing w:before="240" w:after="0"/>
                        <w:jc w:val="both"/>
                        <w:rPr>
                          <w:rFonts w:ascii="arial" w:hAnsi="arial"/>
                          <w:sz w:val="19"/>
                        </w:rPr>
                      </w:pPr>
                      <w:r>
                        <w:rPr>
                          <w:rFonts w:ascii="arial" w:hAnsi="arial"/>
                          <w:sz w:val="19"/>
                        </w:rPr>
                        <w:t xml:space="preserve">We are expanding capacity and applying innovation to our facilities with multiple ongoing projects, including in connection with the expansion of our U.S. plants. For example, Amgen Ecovation has guided the design and construction of our new state-of-the-art facilities in Ohio (recently licensed by the FDA) and North Carolina, both of which contain many examples of environmental innovation. These new sites are expected to support our ability to meet the demand for our medicines and bring hundreds of full-time jobs to these regions while expanding our access to diverse talent. </w:t>
                      </w:r>
                    </w:p>
                    <w:p>
                      <w:pPr>
                        <w:pStyle w:val="TextBody"/>
                        <w:bidi w:val="0"/>
                        <w:spacing w:before="120" w:after="0"/>
                        <w:jc w:val="both"/>
                        <w:rPr>
                          <w:rFonts w:ascii="arial" w:hAnsi="arial"/>
                          <w:sz w:val="19"/>
                        </w:rPr>
                      </w:pPr>
                      <w:r>
                        <w:rPr>
                          <w:rFonts w:ascii="arial" w:hAnsi="arial"/>
                          <w:b/>
                          <w:i/>
                          <w:color w:val="0171B9"/>
                          <w:sz w:val="19"/>
                        </w:rPr>
                        <w:t>Sustainable Value Chain.</w:t>
                      </w:r>
                      <w:r>
                        <w:rPr>
                          <w:rFonts w:ascii="arial" w:hAnsi="arial"/>
                          <w:sz w:val="19"/>
                        </w:rPr>
                        <w:t xml:space="preserve"> Our footprint and focus on sustainability extend beyond our own employees and facilities. As part of our 2027 environmental sustainability plan, in 2022, we established a Scope 3 supplier engagement target to engage with 73%(1) of our suppliers in key categories to support their adoption of science-based carbon emission reduction targets. </w:t>
                      </w:r>
                    </w:p>
                  </w:txbxContent>
                </v:textbox>
                <w10:wrap type="square" side="right"/>
              </v:rect>
            </w:pict>
          </mc:Fallback>
        </mc:AlternateContent>
      </w:r>
      <w:r>
        <mc:AlternateContent>
          <mc:Choice Requires="wps">
            <w:drawing>
              <wp:anchor behindDoc="0" distT="0" distB="0" distL="0" distR="0" simplePos="0" locked="0" layoutInCell="1" allowOverlap="1" relativeHeight="304">
                <wp:simplePos x="0" y="0"/>
                <wp:positionH relativeFrom="column">
                  <wp:align>left</wp:align>
                </wp:positionH>
                <wp:positionV relativeFrom="line">
                  <wp:posOffset>635</wp:posOffset>
                </wp:positionV>
                <wp:extent cx="3175000" cy="7076440"/>
                <wp:effectExtent l="0" t="0" r="0" b="0"/>
                <wp:wrapSquare wrapText="right"/>
                <wp:docPr id="139" name="Frame62"/>
                <a:graphic xmlns:a="http://schemas.openxmlformats.org/drawingml/2006/main">
                  <a:graphicData uri="http://schemas.microsoft.com/office/word/2010/wordprocessingShape">
                    <wps:wsp>
                      <wps:cNvSpPr txBox="1"/>
                      <wps:spPr>
                        <a:xfrm>
                          <a:off x="0" y="0"/>
                          <a:ext cx="3175000" cy="7076440"/>
                        </a:xfrm>
                        <a:prstGeom prst="rect"/>
                        <a:solidFill>
                          <a:srgbClr val="FFFFFF"/>
                        </a:solidFill>
                      </wps:spPr>
                      <wps:txbx>
                        <w:txbxContent>
                          <w:p>
                            <w:pPr>
                              <w:pStyle w:val="TextBody"/>
                              <w:bidi w:val="0"/>
                              <w:spacing w:before="0" w:after="0"/>
                              <w:jc w:val="both"/>
                              <w:rPr>
                                <w:rFonts w:ascii="arial" w:hAnsi="arial"/>
                                <w:sz w:val="19"/>
                              </w:rPr>
                            </w:pPr>
                            <w:r>
                              <w:rPr>
                                <w:rFonts w:ascii="arial" w:hAnsi="arial"/>
                                <w:b/>
                                <w:i/>
                                <w:color w:val="0171B9"/>
                                <w:sz w:val="19"/>
                              </w:rPr>
                              <w:t xml:space="preserve">Sustainability Reporting. </w:t>
                            </w:r>
                            <w:r>
                              <w:rPr>
                                <w:rFonts w:ascii="arial" w:hAnsi="arial"/>
                                <w:sz w:val="19"/>
                              </w:rPr>
                              <w:t xml:space="preserve">Supported by feedback from our investors, we pursued and received SBTi approval of our 2027 Scope 1 and 2 carbon emissions and Scope 3 supplier engagement targets. Additionally, in response to investor interest, we have expanded and enhanced our sustainability reporting, including by mapping the disclosures in our annual ESG Report to the Sustainability Accounting Standards Board (SASB) standards for our industry, disclosing our annual Consolidated EEO-1 Report, and providing additional information on our approach to political engagement and the patent portfolio for our five top selling products. </w:t>
                            </w:r>
                          </w:p>
                          <w:p>
                            <w:pPr>
                              <w:pStyle w:val="TextBody"/>
                              <w:bidi w:val="0"/>
                              <w:spacing w:before="120" w:after="0"/>
                              <w:jc w:val="both"/>
                              <w:rPr>
                                <w:rFonts w:ascii="arial" w:hAnsi="arial"/>
                                <w:sz w:val="19"/>
                              </w:rPr>
                            </w:pPr>
                            <w:r>
                              <w:rPr>
                                <w:rFonts w:ascii="arial" w:hAnsi="arial"/>
                                <w:sz w:val="19"/>
                              </w:rPr>
                              <w:t xml:space="preserve">Since 2010, Amgen has reported on its alignment with the recommendations of the Task Force on Climate-related Financial Disclosures, or TCFD, through the CDP (formally the Carbon Disclosure Project) disclosure platform. We continue to report to the CDP and, in 2023, performed an initial TCFD-aligned climate scenario analysis and a risk assessment of key facilities to improve our understanding of the physical and transitional effects of climate change as well as inform our future reporting. </w:t>
                            </w:r>
                          </w:p>
                          <w:p>
                            <w:pPr>
                              <w:pStyle w:val="TextBody"/>
                              <w:bidi w:val="0"/>
                              <w:spacing w:before="120" w:after="0"/>
                              <w:jc w:val="both"/>
                              <w:rPr>
                                <w:rFonts w:ascii="arial" w:hAnsi="arial"/>
                                <w:sz w:val="19"/>
                              </w:rPr>
                            </w:pPr>
                            <w:r>
                              <w:rPr>
                                <w:rFonts w:ascii="arial" w:hAnsi="arial"/>
                                <w:b/>
                                <w:i/>
                                <w:color w:val="0171B9"/>
                                <w:sz w:val="19"/>
                              </w:rPr>
                              <w:t xml:space="preserve">United Nations Global Compact. </w:t>
                            </w:r>
                            <w:r>
                              <w:rPr>
                                <w:rFonts w:ascii="arial" w:hAnsi="arial"/>
                                <w:sz w:val="19"/>
                              </w:rPr>
                              <w:t xml:space="preserve">We are a signatory to the United Nations Global Compact, a voluntary initiative based on commitments to implement universal sustainability principles and take steps to support the United Nations Sustainable Development Goals. </w:t>
                            </w:r>
                          </w:p>
                          <w:p>
                            <w:pPr>
                              <w:pStyle w:val="TextBody"/>
                              <w:bidi w:val="0"/>
                              <w:spacing w:before="240" w:after="0"/>
                              <w:jc w:val="left"/>
                              <w:rPr>
                                <w:rFonts w:ascii="arial" w:hAnsi="arial"/>
                                <w:b/>
                                <w:sz w:val="24"/>
                              </w:rPr>
                            </w:pPr>
                            <w:r>
                              <w:rPr>
                                <w:rFonts w:ascii="arial" w:hAnsi="arial"/>
                                <w:b/>
                                <w:sz w:val="24"/>
                              </w:rPr>
                              <w:t xml:space="preserve">Social Responsibility </w:t>
                            </w:r>
                          </w:p>
                          <w:p>
                            <w:pPr>
                              <w:pStyle w:val="TextBody"/>
                              <w:bidi w:val="0"/>
                              <w:spacing w:before="120" w:after="0"/>
                              <w:jc w:val="both"/>
                              <w:rPr>
                                <w:rFonts w:ascii="arial" w:hAnsi="arial"/>
                                <w:sz w:val="19"/>
                              </w:rPr>
                            </w:pPr>
                            <w:r>
                              <w:rPr>
                                <w:rFonts w:ascii="arial" w:hAnsi="arial"/>
                                <w:b/>
                                <w:i/>
                                <w:color w:val="0171B9"/>
                                <w:sz w:val="19"/>
                              </w:rPr>
                              <w:t>Improving Patient Access to Medicines.</w:t>
                            </w:r>
                            <w:r>
                              <w:rPr>
                                <w:rFonts w:ascii="arial" w:hAnsi="arial"/>
                                <w:sz w:val="19"/>
                              </w:rPr>
                              <w:t xml:space="preserve"> Through patient assistance programs, expanded access to investigational therapies, donations, and other initiatives, Amgen has developed support programs for eligible patients around the world as they seek to obtain the medicines they need. </w:t>
                            </w:r>
                          </w:p>
                          <w:p>
                            <w:pPr>
                              <w:pStyle w:val="TextBody"/>
                              <w:bidi w:val="0"/>
                              <w:spacing w:before="120" w:after="0"/>
                              <w:jc w:val="both"/>
                              <w:rPr>
                                <w:rFonts w:ascii="arial" w:hAnsi="arial"/>
                                <w:sz w:val="19"/>
                              </w:rPr>
                            </w:pPr>
                            <w:r>
                              <w:rPr>
                                <w:rFonts w:ascii="arial" w:hAnsi="arial"/>
                                <w:sz w:val="19"/>
                              </w:rPr>
                              <w:t xml:space="preserve">Amgen Safety Net Foundation (ASNF), a separate legal entity entirely funded by Amgen, supports eligible patients in the U.S. who might go without important medicines because of financial limitations, by providing qualifying Amgen medicines at no cost. In 2023, the commercial value of Amgen’s medicines provided at no cost to uninsured or underinsured patients by ASNF was approximately $2.25 billion.(2) </w:t>
                            </w:r>
                          </w:p>
                          <w:p>
                            <w:pPr>
                              <w:pStyle w:val="TextBody"/>
                              <w:bidi w:val="0"/>
                              <w:spacing w:before="120" w:after="0"/>
                              <w:jc w:val="both"/>
                              <w:rPr>
                                <w:rFonts w:ascii="arial" w:hAnsi="arial"/>
                                <w:sz w:val="19"/>
                              </w:rPr>
                            </w:pPr>
                            <w:r>
                              <w:rPr>
                                <w:rFonts w:ascii="arial" w:hAnsi="arial"/>
                                <w:sz w:val="19"/>
                              </w:rPr>
                              <w:t xml:space="preserve">Over the last five years, Amgen has also donated approximately $278 million worth of Amgen medicines(1) for distribution via leading non-governmental organizations to patients in 24 low- and middle-income countries. These medicines supplement local healthcare system needs and are also supplied to countries in response to humanitarian crises.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57.2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b/>
                          <w:i/>
                          <w:color w:val="0171B9"/>
                          <w:sz w:val="19"/>
                        </w:rPr>
                        <w:t xml:space="preserve">Sustainability Reporting. </w:t>
                      </w:r>
                      <w:r>
                        <w:rPr>
                          <w:rFonts w:ascii="arial" w:hAnsi="arial"/>
                          <w:sz w:val="19"/>
                        </w:rPr>
                        <w:t xml:space="preserve">Supported by feedback from our investors, we pursued and received SBTi approval of our 2027 Scope 1 and 2 carbon emissions and Scope 3 supplier engagement targets. Additionally, in response to investor interest, we have expanded and enhanced our sustainability reporting, including by mapping the disclosures in our annual ESG Report to the Sustainability Accounting Standards Board (SASB) standards for our industry, disclosing our annual Consolidated EEO-1 Report, and providing additional information on our approach to political engagement and the patent portfolio for our five top selling products. </w:t>
                      </w:r>
                    </w:p>
                    <w:p>
                      <w:pPr>
                        <w:pStyle w:val="TextBody"/>
                        <w:bidi w:val="0"/>
                        <w:spacing w:before="120" w:after="0"/>
                        <w:jc w:val="both"/>
                        <w:rPr>
                          <w:rFonts w:ascii="arial" w:hAnsi="arial"/>
                          <w:sz w:val="19"/>
                        </w:rPr>
                      </w:pPr>
                      <w:r>
                        <w:rPr>
                          <w:rFonts w:ascii="arial" w:hAnsi="arial"/>
                          <w:sz w:val="19"/>
                        </w:rPr>
                        <w:t xml:space="preserve">Since 2010, Amgen has reported on its alignment with the recommendations of the Task Force on Climate-related Financial Disclosures, or TCFD, through the CDP (formally the Carbon Disclosure Project) disclosure platform. We continue to report to the CDP and, in 2023, performed an initial TCFD-aligned climate scenario analysis and a risk assessment of key facilities to improve our understanding of the physical and transitional effects of climate change as well as inform our future reporting. </w:t>
                      </w:r>
                    </w:p>
                    <w:p>
                      <w:pPr>
                        <w:pStyle w:val="TextBody"/>
                        <w:bidi w:val="0"/>
                        <w:spacing w:before="120" w:after="0"/>
                        <w:jc w:val="both"/>
                        <w:rPr>
                          <w:rFonts w:ascii="arial" w:hAnsi="arial"/>
                          <w:sz w:val="19"/>
                        </w:rPr>
                      </w:pPr>
                      <w:r>
                        <w:rPr>
                          <w:rFonts w:ascii="arial" w:hAnsi="arial"/>
                          <w:b/>
                          <w:i/>
                          <w:color w:val="0171B9"/>
                          <w:sz w:val="19"/>
                        </w:rPr>
                        <w:t xml:space="preserve">United Nations Global Compact. </w:t>
                      </w:r>
                      <w:r>
                        <w:rPr>
                          <w:rFonts w:ascii="arial" w:hAnsi="arial"/>
                          <w:sz w:val="19"/>
                        </w:rPr>
                        <w:t xml:space="preserve">We are a signatory to the United Nations Global Compact, a voluntary initiative based on commitments to implement universal sustainability principles and take steps to support the United Nations Sustainable Development Goals. </w:t>
                      </w:r>
                    </w:p>
                    <w:p>
                      <w:pPr>
                        <w:pStyle w:val="TextBody"/>
                        <w:bidi w:val="0"/>
                        <w:spacing w:before="240" w:after="0"/>
                        <w:jc w:val="left"/>
                        <w:rPr>
                          <w:rFonts w:ascii="arial" w:hAnsi="arial"/>
                          <w:b/>
                          <w:sz w:val="24"/>
                        </w:rPr>
                      </w:pPr>
                      <w:r>
                        <w:rPr>
                          <w:rFonts w:ascii="arial" w:hAnsi="arial"/>
                          <w:b/>
                          <w:sz w:val="24"/>
                        </w:rPr>
                        <w:t xml:space="preserve">Social Responsibility </w:t>
                      </w:r>
                    </w:p>
                    <w:p>
                      <w:pPr>
                        <w:pStyle w:val="TextBody"/>
                        <w:bidi w:val="0"/>
                        <w:spacing w:before="120" w:after="0"/>
                        <w:jc w:val="both"/>
                        <w:rPr>
                          <w:rFonts w:ascii="arial" w:hAnsi="arial"/>
                          <w:sz w:val="19"/>
                        </w:rPr>
                      </w:pPr>
                      <w:r>
                        <w:rPr>
                          <w:rFonts w:ascii="arial" w:hAnsi="arial"/>
                          <w:b/>
                          <w:i/>
                          <w:color w:val="0171B9"/>
                          <w:sz w:val="19"/>
                        </w:rPr>
                        <w:t>Improving Patient Access to Medicines.</w:t>
                      </w:r>
                      <w:r>
                        <w:rPr>
                          <w:rFonts w:ascii="arial" w:hAnsi="arial"/>
                          <w:sz w:val="19"/>
                        </w:rPr>
                        <w:t xml:space="preserve"> Through patient assistance programs, expanded access to investigational therapies, donations, and other initiatives, Amgen has developed support programs for eligible patients around the world as they seek to obtain the medicines they need. </w:t>
                      </w:r>
                    </w:p>
                    <w:p>
                      <w:pPr>
                        <w:pStyle w:val="TextBody"/>
                        <w:bidi w:val="0"/>
                        <w:spacing w:before="120" w:after="0"/>
                        <w:jc w:val="both"/>
                        <w:rPr>
                          <w:rFonts w:ascii="arial" w:hAnsi="arial"/>
                          <w:sz w:val="19"/>
                        </w:rPr>
                      </w:pPr>
                      <w:r>
                        <w:rPr>
                          <w:rFonts w:ascii="arial" w:hAnsi="arial"/>
                          <w:sz w:val="19"/>
                        </w:rPr>
                        <w:t xml:space="preserve">Amgen Safety Net Foundation (ASNF), a separate legal entity entirely funded by Amgen, supports eligible patients in the U.S. who might go without important medicines because of financial limitations, by providing qualifying Amgen medicines at no cost. In 2023, the commercial value of Amgen’s medicines provided at no cost to uninsured or underinsured patients by ASNF was approximately $2.25 billion.(2) </w:t>
                      </w:r>
                    </w:p>
                    <w:p>
                      <w:pPr>
                        <w:pStyle w:val="TextBody"/>
                        <w:bidi w:val="0"/>
                        <w:spacing w:before="120" w:after="0"/>
                        <w:jc w:val="both"/>
                        <w:rPr>
                          <w:rFonts w:ascii="arial" w:hAnsi="arial"/>
                          <w:sz w:val="19"/>
                        </w:rPr>
                      </w:pPr>
                      <w:r>
                        <w:rPr>
                          <w:rFonts w:ascii="arial" w:hAnsi="arial"/>
                          <w:sz w:val="19"/>
                        </w:rPr>
                        <w:t xml:space="preserve">Over the last five years, Amgen has also donated approximately $278 million worth of Amgen medicines(1) for distribution via leading non-governmental organizations to patients in 24 low- and middle-income countries. These medicines supplement local healthcare system needs and are also supplied to countries in response to humanitarian crises. </w:t>
                      </w:r>
                    </w:p>
                  </w:txbxContent>
                </v:textbox>
                <w10:wrap type="square" side="right"/>
              </v:rect>
            </w:pict>
          </mc:Fallback>
        </mc:AlternateContent>
      </w:r>
    </w:p>
    <w:p>
      <w:pPr>
        <w:pStyle w:val="TextBody"/>
        <w:pBdr>
          <w:bottom w:val="single" w:sz="2" w:space="1" w:color="000000"/>
        </w:pBdr>
        <w:bidi w:val="0"/>
        <w:spacing w:lineRule="atLeast" w:line="160" w:before="0" w:after="40"/>
        <w:jc w:val="left"/>
        <w:rPr/>
      </w:pPr>
      <w:r>
        <w:rPr/>
        <w:t> </w:t>
      </w:r>
    </w:p>
    <w:tbl>
      <w:tblPr>
        <w:tblW w:w="1180" w:type="dxa"/>
        <w:jc w:val="left"/>
        <w:tblInd w:w="0" w:type="dxa"/>
        <w:tblLayout w:type="fixed"/>
        <w:tblCellMar>
          <w:top w:w="0" w:type="dxa"/>
          <w:left w:w="0" w:type="dxa"/>
          <w:bottom w:w="0" w:type="dxa"/>
          <w:right w:w="0" w:type="dxa"/>
        </w:tblCellMar>
      </w:tblPr>
      <w:tblGrid>
        <w:gridCol w:w="365"/>
        <w:gridCol w:w="815"/>
      </w:tblGrid>
      <w:tr>
        <w:trPr/>
        <w:tc>
          <w:tcPr>
            <w:tcW w:w="365" w:type="dxa"/>
            <w:tcBorders/>
            <w:vAlign w:val="center"/>
          </w:tcPr>
          <w:p>
            <w:pPr>
              <w:pStyle w:val="TableContents"/>
              <w:bidi w:val="0"/>
              <w:spacing w:before="0" w:after="283"/>
              <w:jc w:val="left"/>
              <w:rPr/>
            </w:pPr>
            <w:r>
              <w:rPr/>
              <w:t>(1) </w:t>
            </w:r>
          </w:p>
        </w:tc>
        <w:tc>
          <w:tcPr>
            <w:tcW w:w="815" w:type="dxa"/>
            <w:tcBorders/>
            <w:vAlign w:val="center"/>
          </w:tcPr>
          <w:p>
            <w:pPr>
              <w:pStyle w:val="TableContents"/>
              <w:bidi w:val="0"/>
              <w:spacing w:before="0" w:after="0"/>
              <w:jc w:val="both"/>
              <w:rPr>
                <w:rFonts w:ascii="arial" w:hAnsi="arial"/>
                <w:sz w:val="16"/>
              </w:rPr>
            </w:pPr>
            <w:r>
              <w:rPr>
                <w:rFonts w:ascii="arial" w:hAnsi="arial"/>
                <w:sz w:val="16"/>
              </w:rPr>
              <w:t xml:space="preserve">By spend. </w:t>
            </w:r>
          </w:p>
        </w:tc>
      </w:tr>
    </w:tbl>
    <w:tbl>
      <w:tblPr>
        <w:tblW w:w="3100" w:type="dxa"/>
        <w:jc w:val="left"/>
        <w:tblInd w:w="0" w:type="dxa"/>
        <w:tblLayout w:type="fixed"/>
        <w:tblCellMar>
          <w:top w:w="0" w:type="dxa"/>
          <w:left w:w="0" w:type="dxa"/>
          <w:bottom w:w="0" w:type="dxa"/>
          <w:right w:w="0" w:type="dxa"/>
        </w:tblCellMar>
      </w:tblPr>
      <w:tblGrid>
        <w:gridCol w:w="365"/>
        <w:gridCol w:w="2735"/>
      </w:tblGrid>
      <w:tr>
        <w:trPr/>
        <w:tc>
          <w:tcPr>
            <w:tcW w:w="365" w:type="dxa"/>
            <w:tcBorders/>
            <w:vAlign w:val="center"/>
          </w:tcPr>
          <w:p>
            <w:pPr>
              <w:pStyle w:val="TableContents"/>
              <w:bidi w:val="0"/>
              <w:spacing w:before="0" w:after="283"/>
              <w:jc w:val="left"/>
              <w:rPr/>
            </w:pPr>
            <w:r>
              <w:rPr/>
              <w:t>(2) </w:t>
            </w:r>
          </w:p>
        </w:tc>
        <w:tc>
          <w:tcPr>
            <w:tcW w:w="2735" w:type="dxa"/>
            <w:tcBorders/>
            <w:vAlign w:val="center"/>
          </w:tcPr>
          <w:p>
            <w:pPr>
              <w:pStyle w:val="TableContents"/>
              <w:bidi w:val="0"/>
              <w:spacing w:before="0" w:after="0"/>
              <w:jc w:val="both"/>
              <w:rPr>
                <w:rFonts w:ascii="arial" w:hAnsi="arial"/>
                <w:sz w:val="16"/>
              </w:rPr>
            </w:pPr>
            <w:r>
              <w:rPr>
                <w:rFonts w:ascii="arial" w:hAnsi="arial"/>
                <w:sz w:val="16"/>
              </w:rPr>
              <w:t xml:space="preserve">Valued at wholesale acquisition cost. </w:t>
            </w:r>
          </w:p>
        </w:tc>
      </w:tr>
    </w:tbl>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38  </w:t>
      </w:r>
      <w:r>
        <w:rPr>
          <w:rFonts w:ascii="arial" w:hAnsi="arial"/>
          <w:b/>
          <w:color w:val="474747"/>
          <w:sz w:val="22"/>
        </w:rPr>
        <w:drawing>
          <wp:inline distT="0" distB="0" distL="0" distR="0">
            <wp:extent cx="64770" cy="15240"/>
            <wp:effectExtent l="0" t="0" r="0" b="0"/>
            <wp:docPr id="140"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75" descr=""/>
                    <pic:cNvPicPr>
                      <a:picLocks noChangeAspect="1" noChangeArrowheads="1"/>
                    </pic:cNvPicPr>
                  </pic:nvPicPr>
                  <pic:blipFill>
                    <a:blip r:embed="rId79"/>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311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263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263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Corporate Governance</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05">
                <wp:simplePos x="0" y="0"/>
                <wp:positionH relativeFrom="column">
                  <wp:align>left</wp:align>
                </wp:positionH>
                <wp:positionV relativeFrom="line">
                  <wp:posOffset>635</wp:posOffset>
                </wp:positionV>
                <wp:extent cx="3110230" cy="7364730"/>
                <wp:effectExtent l="0" t="0" r="0" b="0"/>
                <wp:wrapSquare wrapText="right"/>
                <wp:docPr id="141" name="Frame63"/>
                <a:graphic xmlns:a="http://schemas.openxmlformats.org/drawingml/2006/main">
                  <a:graphicData uri="http://schemas.microsoft.com/office/word/2010/wordprocessingShape">
                    <wps:wsp>
                      <wps:cNvSpPr txBox="1"/>
                      <wps:spPr>
                        <a:xfrm>
                          <a:off x="0" y="0"/>
                          <a:ext cx="3110230" cy="736473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We continue to offer and implement value-based contracts in an effort to help improve patient access to medicines and offer stakeholders greater budget predictability. </w:t>
                            </w:r>
                          </w:p>
                          <w:p>
                            <w:pPr>
                              <w:pStyle w:val="TextBody"/>
                              <w:bidi w:val="0"/>
                              <w:spacing w:before="120" w:after="0"/>
                              <w:jc w:val="both"/>
                              <w:rPr>
                                <w:rFonts w:ascii="arial" w:hAnsi="arial"/>
                                <w:sz w:val="19"/>
                              </w:rPr>
                            </w:pPr>
                            <w:r>
                              <w:rPr>
                                <w:rFonts w:ascii="arial" w:hAnsi="arial"/>
                                <w:b/>
                                <w:i/>
                                <w:color w:val="0171B9"/>
                                <w:sz w:val="19"/>
                              </w:rPr>
                              <w:t>Advancing Health Equity.</w:t>
                            </w:r>
                            <w:r>
                              <w:rPr>
                                <w:rFonts w:ascii="arial" w:hAnsi="arial"/>
                                <w:sz w:val="19"/>
                              </w:rPr>
                              <w:t xml:space="preserve"> As part of our mission to serve patients, Amgen is working to improve the diversity and representation of racial and ethnic minority populations in our clinical trial research and to advance dialogue regarding this area across the industry. By addressing some of the barriers to achieving representative patient enrollment in clinical trials, our Representation in Clinical Research (RISE) team is helping Amgen develop medicines studied in participants who better reflect the diverse patient populations impacted by serious illness. </w:t>
                            </w:r>
                          </w:p>
                          <w:p>
                            <w:pPr>
                              <w:pStyle w:val="TextBody"/>
                              <w:bidi w:val="0"/>
                              <w:spacing w:before="120" w:after="0"/>
                              <w:jc w:val="both"/>
                              <w:rPr>
                                <w:rFonts w:ascii="arial" w:hAnsi="arial"/>
                                <w:sz w:val="19"/>
                              </w:rPr>
                            </w:pPr>
                            <w:r>
                              <w:rPr>
                                <w:rFonts w:ascii="arial" w:hAnsi="arial"/>
                                <w:sz w:val="19"/>
                              </w:rPr>
                              <w:t xml:space="preserve">In support of our strategic priority of innovation, RISE has advanced our approach to diverse clinical trial design, site selection, and patient enrollment so that our clinical study participants are more characteristic of the broader patient population. Outside of Amgen, RISE is working with partners to connect more patients from under-represented groups to clinical trials, including through a pilot program with the American Cancer Society Cancer Action Network to screen potential patients at smaller, community-based sites and a project with the Digital Medicine Society to develop digital tools enabling clinical trial participation from home. Further, in 2023, we initiated a cardiovascular study, in collaboration with the Association of Black Cardiologists and the Morehouse School of Medicine, to evaluate the disproportionate association between lipoprotein(a) and cardiovascular risk in African Americans. </w:t>
                            </w:r>
                          </w:p>
                          <w:p>
                            <w:pPr>
                              <w:pStyle w:val="TextBody"/>
                              <w:bidi w:val="0"/>
                              <w:spacing w:before="120" w:after="0"/>
                              <w:jc w:val="both"/>
                              <w:rPr>
                                <w:rFonts w:ascii="arial" w:hAnsi="arial"/>
                                <w:sz w:val="19"/>
                              </w:rPr>
                            </w:pPr>
                            <w:r>
                              <w:rPr>
                                <w:rFonts w:ascii="arial" w:hAnsi="arial"/>
                                <w:sz w:val="19"/>
                              </w:rPr>
                              <w:t xml:space="preserve">We also continue building relationships with leaders and organizations in diverse communities to help address healthcare disparities and increase patient, caregiver, and healthcare provider access to health education. </w:t>
                            </w:r>
                          </w:p>
                          <w:p>
                            <w:pPr>
                              <w:pStyle w:val="TextBody"/>
                              <w:bidi w:val="0"/>
                              <w:spacing w:before="120" w:after="0"/>
                              <w:jc w:val="both"/>
                              <w:rPr>
                                <w:rFonts w:ascii="arial" w:hAnsi="arial"/>
                                <w:sz w:val="19"/>
                              </w:rPr>
                            </w:pPr>
                            <w:r>
                              <w:rPr>
                                <w:rFonts w:ascii="arial" w:hAnsi="arial"/>
                                <w:b/>
                                <w:i/>
                                <w:color w:val="0171B9"/>
                                <w:sz w:val="19"/>
                              </w:rPr>
                              <w:t xml:space="preserve">Supplier Diversity and Responsible Sourcing. </w:t>
                            </w:r>
                            <w:r>
                              <w:rPr>
                                <w:rFonts w:ascii="arial" w:hAnsi="arial"/>
                                <w:sz w:val="19"/>
                              </w:rPr>
                              <w:t xml:space="preserve">Through our U.S. Supplier Diversity Program, we actively engage with small and diverse suppliers, including businesses owned by minorities, service-disabled veterans, and women, as well as disadvantaged suppliers located in historically underutilized business zones. By providing mentorship and education, we are supporting economic development efforts to add jobs, advance entrepreneurship, and procure goods and services at competitive prices, while creating a broader pool of eligible suppliers for Amgen and other large companies. All our employees are guided by the Amgen Values and global Code of Conduct and, similarly, we request our suppliers to conduct their businesses in alignment with our mission and values.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79.9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We continue to offer and implement value-based contracts in an effort to help improve patient access to medicines and offer stakeholders greater budget predictability. </w:t>
                      </w:r>
                    </w:p>
                    <w:p>
                      <w:pPr>
                        <w:pStyle w:val="TextBody"/>
                        <w:bidi w:val="0"/>
                        <w:spacing w:before="120" w:after="0"/>
                        <w:jc w:val="both"/>
                        <w:rPr>
                          <w:rFonts w:ascii="arial" w:hAnsi="arial"/>
                          <w:sz w:val="19"/>
                        </w:rPr>
                      </w:pPr>
                      <w:r>
                        <w:rPr>
                          <w:rFonts w:ascii="arial" w:hAnsi="arial"/>
                          <w:b/>
                          <w:i/>
                          <w:color w:val="0171B9"/>
                          <w:sz w:val="19"/>
                        </w:rPr>
                        <w:t>Advancing Health Equity.</w:t>
                      </w:r>
                      <w:r>
                        <w:rPr>
                          <w:rFonts w:ascii="arial" w:hAnsi="arial"/>
                          <w:sz w:val="19"/>
                        </w:rPr>
                        <w:t xml:space="preserve"> As part of our mission to serve patients, Amgen is working to improve the diversity and representation of racial and ethnic minority populations in our clinical trial research and to advance dialogue regarding this area across the industry. By addressing some of the barriers to achieving representative patient enrollment in clinical trials, our Representation in Clinical Research (RISE) team is helping Amgen develop medicines studied in participants who better reflect the diverse patient populations impacted by serious illness. </w:t>
                      </w:r>
                    </w:p>
                    <w:p>
                      <w:pPr>
                        <w:pStyle w:val="TextBody"/>
                        <w:bidi w:val="0"/>
                        <w:spacing w:before="120" w:after="0"/>
                        <w:jc w:val="both"/>
                        <w:rPr>
                          <w:rFonts w:ascii="arial" w:hAnsi="arial"/>
                          <w:sz w:val="19"/>
                        </w:rPr>
                      </w:pPr>
                      <w:r>
                        <w:rPr>
                          <w:rFonts w:ascii="arial" w:hAnsi="arial"/>
                          <w:sz w:val="19"/>
                        </w:rPr>
                        <w:t xml:space="preserve">In support of our strategic priority of innovation, RISE has advanced our approach to diverse clinical trial design, site selection, and patient enrollment so that our clinical study participants are more characteristic of the broader patient population. Outside of Amgen, RISE is working with partners to connect more patients from under-represented groups to clinical trials, including through a pilot program with the American Cancer Society Cancer Action Network to screen potential patients at smaller, community-based sites and a project with the Digital Medicine Society to develop digital tools enabling clinical trial participation from home. Further, in 2023, we initiated a cardiovascular study, in collaboration with the Association of Black Cardiologists and the Morehouse School of Medicine, to evaluate the disproportionate association between lipoprotein(a) and cardiovascular risk in African Americans. </w:t>
                      </w:r>
                    </w:p>
                    <w:p>
                      <w:pPr>
                        <w:pStyle w:val="TextBody"/>
                        <w:bidi w:val="0"/>
                        <w:spacing w:before="120" w:after="0"/>
                        <w:jc w:val="both"/>
                        <w:rPr>
                          <w:rFonts w:ascii="arial" w:hAnsi="arial"/>
                          <w:sz w:val="19"/>
                        </w:rPr>
                      </w:pPr>
                      <w:r>
                        <w:rPr>
                          <w:rFonts w:ascii="arial" w:hAnsi="arial"/>
                          <w:sz w:val="19"/>
                        </w:rPr>
                        <w:t xml:space="preserve">We also continue building relationships with leaders and organizations in diverse communities to help address healthcare disparities and increase patient, caregiver, and healthcare provider access to health education. </w:t>
                      </w:r>
                    </w:p>
                    <w:p>
                      <w:pPr>
                        <w:pStyle w:val="TextBody"/>
                        <w:bidi w:val="0"/>
                        <w:spacing w:before="120" w:after="0"/>
                        <w:jc w:val="both"/>
                        <w:rPr>
                          <w:rFonts w:ascii="arial" w:hAnsi="arial"/>
                          <w:sz w:val="19"/>
                        </w:rPr>
                      </w:pPr>
                      <w:r>
                        <w:rPr>
                          <w:rFonts w:ascii="arial" w:hAnsi="arial"/>
                          <w:b/>
                          <w:i/>
                          <w:color w:val="0171B9"/>
                          <w:sz w:val="19"/>
                        </w:rPr>
                        <w:t xml:space="preserve">Supplier Diversity and Responsible Sourcing. </w:t>
                      </w:r>
                      <w:r>
                        <w:rPr>
                          <w:rFonts w:ascii="arial" w:hAnsi="arial"/>
                          <w:sz w:val="19"/>
                        </w:rPr>
                        <w:t xml:space="preserve">Through our U.S. Supplier Diversity Program, we actively engage with small and diverse suppliers, including businesses owned by minorities, service-disabled veterans, and women, as well as disadvantaged suppliers located in historically underutilized business zones. By providing mentorship and education, we are supporting economic development efforts to add jobs, advance entrepreneurship, and procure goods and services at competitive prices, while creating a broader pool of eligible suppliers for Amgen and other large companies. All our employees are guided by the Amgen Values and global Code of Conduct and, similarly, we request our suppliers to conduct their businesses in alignment with our mission and values. </w:t>
                      </w:r>
                    </w:p>
                  </w:txbxContent>
                </v:textbox>
                <w10:wrap type="square" side="right"/>
              </v:rect>
            </w:pict>
          </mc:Fallback>
        </mc:AlternateContent>
      </w:r>
      <w:r>
        <mc:AlternateContent>
          <mc:Choice Requires="wps">
            <w:drawing>
              <wp:anchor behindDoc="0" distT="0" distB="0" distL="0" distR="0" simplePos="0" locked="0" layoutInCell="1" allowOverlap="1" relativeHeight="306">
                <wp:simplePos x="0" y="0"/>
                <wp:positionH relativeFrom="column">
                  <wp:align>left</wp:align>
                </wp:positionH>
                <wp:positionV relativeFrom="line">
                  <wp:posOffset>635</wp:posOffset>
                </wp:positionV>
                <wp:extent cx="3175000" cy="5852795"/>
                <wp:effectExtent l="0" t="0" r="0" b="0"/>
                <wp:wrapSquare wrapText="right"/>
                <wp:docPr id="142" name="Frame64"/>
                <a:graphic xmlns:a="http://schemas.openxmlformats.org/drawingml/2006/main">
                  <a:graphicData uri="http://schemas.microsoft.com/office/word/2010/wordprocessingShape">
                    <wps:wsp>
                      <wps:cNvSpPr txBox="1"/>
                      <wps:spPr>
                        <a:xfrm>
                          <a:off x="0" y="0"/>
                          <a:ext cx="3175000" cy="5852795"/>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Our supplier sustainability program focuses not only on quality, cost, and reliability but also on ethical, environmental, and social considerations. Our Supplier Code of Conduct formalizes the expectations that we have of our suppliers, and we routinely monitor and measure the sustainability performance of select suppliers. </w:t>
                            </w:r>
                          </w:p>
                          <w:p>
                            <w:pPr>
                              <w:pStyle w:val="TextBody"/>
                              <w:bidi w:val="0"/>
                              <w:spacing w:before="120" w:after="0"/>
                              <w:jc w:val="both"/>
                              <w:rPr>
                                <w:rFonts w:ascii="arial" w:hAnsi="arial"/>
                                <w:sz w:val="19"/>
                              </w:rPr>
                            </w:pPr>
                            <w:r>
                              <w:rPr>
                                <w:rFonts w:ascii="arial" w:hAnsi="arial"/>
                                <w:b/>
                                <w:i/>
                                <w:color w:val="0171B9"/>
                                <w:sz w:val="19"/>
                              </w:rPr>
                              <w:t xml:space="preserve">Science Education. </w:t>
                            </w:r>
                            <w:r>
                              <w:rPr>
                                <w:rFonts w:ascii="arial" w:hAnsi="arial"/>
                                <w:sz w:val="19"/>
                              </w:rPr>
                              <w:t xml:space="preserve">The Amgen Foundation seeks to advance excellence in science education to inspire the next generation of innovators and invest in strengthening communities where our employees live and work. </w:t>
                            </w:r>
                          </w:p>
                          <w:p>
                            <w:pPr>
                              <w:pStyle w:val="TextBody"/>
                              <w:bidi w:val="0"/>
                              <w:spacing w:before="120" w:after="0"/>
                              <w:jc w:val="both"/>
                              <w:rPr>
                                <w:rFonts w:ascii="arial" w:hAnsi="arial"/>
                                <w:sz w:val="19"/>
                              </w:rPr>
                            </w:pPr>
                            <w:r>
                              <w:rPr>
                                <w:rFonts w:ascii="arial" w:hAnsi="arial"/>
                                <w:sz w:val="19"/>
                              </w:rPr>
                              <w:t xml:space="preserve">Since its inception over 30 years ago, the Amgen Foundation has committed over $450 million to non-profit organizations around the world that reflect our core values and complement Amgen’s dedication to impacting lives in inspiring and innovative ways.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LabXchange, developed at Harvard University with the financial support of the Amgen Foundation, is a free online science education platform that provides students around the world with access to personalized instruction, virtual lab simulations, and networking opportunities across the global scientific community. By making high-quality, digital science content available to learners and educators everywhere, at no cost, and across multiple disciplines, LabXchange is seeking to create authentic opportunities for young people to increase their access to and, and engagement with, science. Since its launch in 2020, over 40 million users accessed LabXchange, including more than 85% in low- or lower middle-income countries. </w:t>
                                  </w:r>
                                </w:p>
                              </w:tc>
                            </w:tr>
                          </w:tbl>
                          <w:p>
                            <w:pPr>
                              <w:pStyle w:val="TextBody"/>
                              <w:bidi w:val="0"/>
                              <w:spacing w:before="120" w:after="0"/>
                              <w:ind w:left="260" w:right="0" w:hanging="0"/>
                              <w:jc w:val="both"/>
                              <w:rPr>
                                <w:rFonts w:ascii="arial" w:hAnsi="arial"/>
                                <w:sz w:val="19"/>
                              </w:rPr>
                            </w:pPr>
                            <w:r>
                              <w:rPr>
                                <w:rFonts w:ascii="arial" w:hAnsi="arial"/>
                                <w:sz w:val="19"/>
                              </w:rPr>
                              <w:t xml:space="preserve">In 2022, the Amgen Foundation more than doubled its previous funding to LabXchange with a commitment of $30 million through 2025 to expand the platform’s interactive content offerings, deepen collaborations with STEM organizations worldwide, and pursue opportunities to engage more learners in science, particularly in communities that are underserved.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The Amgen Foundation is a biology content partner of Khan Academy, a leading online learning platform. Through new funding from the Amgen Foundation, Khan Academy is working to expand its biology content to include new life science content at the middle school level. Khan Academy’s biology resources reached nearly 11 million learners and educators worldwide in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Additionally, the Amgen Foundation continued to expand the Amgen Biotech Experience (ABE), an innovative science education program that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60.8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Our supplier sustainability program focuses not only on quality, cost, and reliability but also on ethical, environmental, and social considerations. Our Supplier Code of Conduct formalizes the expectations that we have of our suppliers, and we routinely monitor and measure the sustainability performance of select suppliers. </w:t>
                      </w:r>
                    </w:p>
                    <w:p>
                      <w:pPr>
                        <w:pStyle w:val="TextBody"/>
                        <w:bidi w:val="0"/>
                        <w:spacing w:before="120" w:after="0"/>
                        <w:jc w:val="both"/>
                        <w:rPr>
                          <w:rFonts w:ascii="arial" w:hAnsi="arial"/>
                          <w:sz w:val="19"/>
                        </w:rPr>
                      </w:pPr>
                      <w:r>
                        <w:rPr>
                          <w:rFonts w:ascii="arial" w:hAnsi="arial"/>
                          <w:b/>
                          <w:i/>
                          <w:color w:val="0171B9"/>
                          <w:sz w:val="19"/>
                        </w:rPr>
                        <w:t xml:space="preserve">Science Education. </w:t>
                      </w:r>
                      <w:r>
                        <w:rPr>
                          <w:rFonts w:ascii="arial" w:hAnsi="arial"/>
                          <w:sz w:val="19"/>
                        </w:rPr>
                        <w:t xml:space="preserve">The Amgen Foundation seeks to advance excellence in science education to inspire the next generation of innovators and invest in strengthening communities where our employees live and work. </w:t>
                      </w:r>
                    </w:p>
                    <w:p>
                      <w:pPr>
                        <w:pStyle w:val="TextBody"/>
                        <w:bidi w:val="0"/>
                        <w:spacing w:before="120" w:after="0"/>
                        <w:jc w:val="both"/>
                        <w:rPr>
                          <w:rFonts w:ascii="arial" w:hAnsi="arial"/>
                          <w:sz w:val="19"/>
                        </w:rPr>
                      </w:pPr>
                      <w:r>
                        <w:rPr>
                          <w:rFonts w:ascii="arial" w:hAnsi="arial"/>
                          <w:sz w:val="19"/>
                        </w:rPr>
                        <w:t xml:space="preserve">Since its inception over 30 years ago, the Amgen Foundation has committed over $450 million to non-profit organizations around the world that reflect our core values and complement Amgen’s dedication to impacting lives in inspiring and innovative ways.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LabXchange, developed at Harvard University with the financial support of the Amgen Foundation, is a free online science education platform that provides students around the world with access to personalized instruction, virtual lab simulations, and networking opportunities across the global scientific community. By making high-quality, digital science content available to learners and educators everywhere, at no cost, and across multiple disciplines, LabXchange is seeking to create authentic opportunities for young people to increase their access to and, and engagement with, science. Since its launch in 2020, over 40 million users accessed LabXchange, including more than 85% in low- or lower middle-income countries. </w:t>
                            </w:r>
                          </w:p>
                        </w:tc>
                      </w:tr>
                    </w:tbl>
                    <w:p>
                      <w:pPr>
                        <w:pStyle w:val="TextBody"/>
                        <w:bidi w:val="0"/>
                        <w:spacing w:before="120" w:after="0"/>
                        <w:ind w:left="260" w:right="0" w:hanging="0"/>
                        <w:jc w:val="both"/>
                        <w:rPr>
                          <w:rFonts w:ascii="arial" w:hAnsi="arial"/>
                          <w:sz w:val="19"/>
                        </w:rPr>
                      </w:pPr>
                      <w:r>
                        <w:rPr>
                          <w:rFonts w:ascii="arial" w:hAnsi="arial"/>
                          <w:sz w:val="19"/>
                        </w:rPr>
                        <w:t xml:space="preserve">In 2022, the Amgen Foundation more than doubled its previous funding to LabXchange with a commitment of $30 million through 2025 to expand the platform’s interactive content offerings, deepen collaborations with STEM organizations worldwide, and pursue opportunities to engage more learners in science, particularly in communities that are underserved.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The Amgen Foundation is a biology content partner of Khan Academy, a leading online learning platform. Through new funding from the Amgen Foundation, Khan Academy is working to expand its biology content to include new life science content at the middle school level. Khan Academy’s biology resources reached nearly 11 million learners and educators worldwide in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Additionally, the Amgen Foundation continued to expand the Amgen Biotech Experience (ABE), an innovative science education program that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143"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76" descr=""/>
                    <pic:cNvPicPr>
                      <a:picLocks noChangeAspect="1" noChangeArrowheads="1"/>
                    </pic:cNvPicPr>
                  </pic:nvPicPr>
                  <pic:blipFill>
                    <a:blip r:embed="rId80"/>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39</w:t>
      </w:r>
      <w:r>
        <w:rPr>
          <w:rFonts w:ascii="arial" w:hAnsi="arial"/>
          <w:b/>
          <w:sz w:val="22"/>
        </w:rPr>
        <w:t xml:space="preserve"> </w:t>
      </w:r>
      <w:r>
        <w:br w:type="page"/>
      </w:r>
    </w:p>
    <w:p>
      <w:pPr>
        <w:pStyle w:val="HorizontalLine"/>
        <w:bidi w:val="0"/>
        <w:jc w:val="left"/>
        <w:rPr/>
      </w:pPr>
      <w:r>
        <w:rPr/>
      </w:r>
    </w:p>
    <w:tbl>
      <w:tblPr>
        <w:tblW w:w="311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263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263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Corporate Governance</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07">
                <wp:simplePos x="0" y="0"/>
                <wp:positionH relativeFrom="column">
                  <wp:align>left</wp:align>
                </wp:positionH>
                <wp:positionV relativeFrom="line">
                  <wp:posOffset>635</wp:posOffset>
                </wp:positionV>
                <wp:extent cx="3110230" cy="5485765"/>
                <wp:effectExtent l="0" t="0" r="0" b="0"/>
                <wp:wrapSquare wrapText="right"/>
                <wp:docPr id="144" name="Frame65"/>
                <a:graphic xmlns:a="http://schemas.openxmlformats.org/drawingml/2006/main">
                  <a:graphicData uri="http://schemas.microsoft.com/office/word/2010/wordprocessingShape">
                    <wps:wsp>
                      <wps:cNvSpPr txBox="1"/>
                      <wps:spPr>
                        <a:xfrm>
                          <a:off x="0" y="0"/>
                          <a:ext cx="3110230" cy="548576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0"/>
                                    <w:jc w:val="both"/>
                                    <w:rPr>
                                      <w:rFonts w:ascii="arial" w:hAnsi="arial"/>
                                      <w:sz w:val="19"/>
                                    </w:rPr>
                                  </w:pPr>
                                  <w:r>
                                    <w:rPr>
                                      <w:rFonts w:ascii="arial" w:hAnsi="arial"/>
                                      <w:sz w:val="19"/>
                                    </w:rPr>
                                    <w:t xml:space="preserve">empowers high school teachers to bring biotechnology education into their classrooms across Amgen communities. Supported by a new $12.4 million commitment announced by the Amgen Foundation in 2023, ABE will execute on a strategy to reach more students across communities around the world, including through new pilot programming in Brazil, Mexico, and South Africa.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The Amgen Scholars Program makes it possible for undergraduate students around the globe to engage in cutting-edge research experiences at some of the world’s premier research universities and institutions and learn more about biotechnology and drug discovery. In 2023, the Amgen Foundation announced an over $8 million commitment to support Amgen Scholars at 25 host institutions, including new programs at Howard University and The University of North Carolina at Chapel Hill. </w:t>
                                  </w:r>
                                </w:p>
                              </w:tc>
                            </w:tr>
                          </w:tbl>
                          <w:p>
                            <w:pPr>
                              <w:pStyle w:val="TextBody"/>
                              <w:bidi w:val="0"/>
                              <w:spacing w:before="120" w:after="0"/>
                              <w:jc w:val="both"/>
                              <w:rPr>
                                <w:rFonts w:ascii="arial" w:hAnsi="arial"/>
                                <w:sz w:val="19"/>
                              </w:rPr>
                            </w:pPr>
                            <w:r>
                              <w:rPr>
                                <w:rFonts w:ascii="arial" w:hAnsi="arial"/>
                                <w:b/>
                                <w:i/>
                                <w:sz w:val="19"/>
                              </w:rPr>
                              <w:t xml:space="preserve">Our Community. </w:t>
                            </w:r>
                            <w:r>
                              <w:rPr>
                                <w:rFonts w:ascii="arial" w:hAnsi="arial"/>
                                <w:sz w:val="19"/>
                              </w:rPr>
                              <w:t xml:space="preserve">In addition to science education, the Amgen Foundation supports local organizations where employees live and work and provides programs and resources to empower individual Amgen staff in their charitable activities in our community, including (for staff in the U.S. and Puerto Rico) through a matching gifts program and by providing service grants to non-profit organizations where our employees volunteer. Additionally, the Amgen Foundation and Amgen’s local affiliates provide disaster relief grants to non-profit organizations providing humanitarian assistance in response to catastrophic events and natural disasters. </w:t>
                            </w:r>
                          </w:p>
                          <w:p>
                            <w:pPr>
                              <w:pStyle w:val="TextBody"/>
                              <w:bidi w:val="0"/>
                              <w:spacing w:before="240" w:after="0"/>
                              <w:jc w:val="left"/>
                              <w:rPr>
                                <w:rFonts w:ascii="arial" w:hAnsi="arial"/>
                                <w:b/>
                                <w:sz w:val="22"/>
                              </w:rPr>
                            </w:pPr>
                            <w:r>
                              <w:rPr>
                                <w:rFonts w:ascii="arial" w:hAnsi="arial"/>
                                <w:b/>
                                <w:sz w:val="22"/>
                              </w:rPr>
                              <w:t xml:space="preserve">Human Capital Management </w:t>
                            </w:r>
                          </w:p>
                          <w:p>
                            <w:pPr>
                              <w:pStyle w:val="TextBody"/>
                              <w:bidi w:val="0"/>
                              <w:spacing w:before="120" w:after="0"/>
                              <w:jc w:val="both"/>
                              <w:rPr>
                                <w:rFonts w:ascii="arial" w:hAnsi="arial"/>
                                <w:sz w:val="19"/>
                              </w:rPr>
                            </w:pPr>
                            <w:r>
                              <w:rPr>
                                <w:rFonts w:ascii="arial" w:hAnsi="arial"/>
                                <w:sz w:val="19"/>
                              </w:rPr>
                              <w:t xml:space="preserve">Our Board has a key role in the oversight of our culture, setting the tone at the top, and holding management accountable for maintaining high ethical standards. The Board believes that human capital management, including our diversity, inclusion, and belonging initiatives, are important to our success. The Compensation Committee assists the Board in providing oversight of human capital management, including labor and employment and diversity, inclusion, and belonging matters. We conduct regular employee engagement assessments that gather feedback on a wide range of topics (including flexible work environments, career development, and maintaining a culture of compliance), and the results of these surveys are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31.9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0"/>
                              <w:jc w:val="both"/>
                              <w:rPr>
                                <w:rFonts w:ascii="arial" w:hAnsi="arial"/>
                                <w:sz w:val="19"/>
                              </w:rPr>
                            </w:pPr>
                            <w:r>
                              <w:rPr>
                                <w:rFonts w:ascii="arial" w:hAnsi="arial"/>
                                <w:sz w:val="19"/>
                              </w:rPr>
                              <w:t xml:space="preserve">empowers high school teachers to bring biotechnology education into their classrooms across Amgen communities. Supported by a new $12.4 million commitment announced by the Amgen Foundation in 2023, ABE will execute on a strategy to reach more students across communities around the world, including through new pilot programming in Brazil, Mexico, and South Africa.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The Amgen Scholars Program makes it possible for undergraduate students around the globe to engage in cutting-edge research experiences at some of the world’s premier research universities and institutions and learn more about biotechnology and drug discovery. In 2023, the Amgen Foundation announced an over $8 million commitment to support Amgen Scholars at 25 host institutions, including new programs at Howard University and The University of North Carolina at Chapel Hill. </w:t>
                            </w:r>
                          </w:p>
                        </w:tc>
                      </w:tr>
                    </w:tbl>
                    <w:p>
                      <w:pPr>
                        <w:pStyle w:val="TextBody"/>
                        <w:bidi w:val="0"/>
                        <w:spacing w:before="120" w:after="0"/>
                        <w:jc w:val="both"/>
                        <w:rPr>
                          <w:rFonts w:ascii="arial" w:hAnsi="arial"/>
                          <w:sz w:val="19"/>
                        </w:rPr>
                      </w:pPr>
                      <w:r>
                        <w:rPr>
                          <w:rFonts w:ascii="arial" w:hAnsi="arial"/>
                          <w:b/>
                          <w:i/>
                          <w:sz w:val="19"/>
                        </w:rPr>
                        <w:t xml:space="preserve">Our Community. </w:t>
                      </w:r>
                      <w:r>
                        <w:rPr>
                          <w:rFonts w:ascii="arial" w:hAnsi="arial"/>
                          <w:sz w:val="19"/>
                        </w:rPr>
                        <w:t xml:space="preserve">In addition to science education, the Amgen Foundation supports local organizations where employees live and work and provides programs and resources to empower individual Amgen staff in their charitable activities in our community, including (for staff in the U.S. and Puerto Rico) through a matching gifts program and by providing service grants to non-profit organizations where our employees volunteer. Additionally, the Amgen Foundation and Amgen’s local affiliates provide disaster relief grants to non-profit organizations providing humanitarian assistance in response to catastrophic events and natural disasters. </w:t>
                      </w:r>
                    </w:p>
                    <w:p>
                      <w:pPr>
                        <w:pStyle w:val="TextBody"/>
                        <w:bidi w:val="0"/>
                        <w:spacing w:before="240" w:after="0"/>
                        <w:jc w:val="left"/>
                        <w:rPr>
                          <w:rFonts w:ascii="arial" w:hAnsi="arial"/>
                          <w:b/>
                          <w:sz w:val="22"/>
                        </w:rPr>
                      </w:pPr>
                      <w:r>
                        <w:rPr>
                          <w:rFonts w:ascii="arial" w:hAnsi="arial"/>
                          <w:b/>
                          <w:sz w:val="22"/>
                        </w:rPr>
                        <w:t xml:space="preserve">Human Capital Management </w:t>
                      </w:r>
                    </w:p>
                    <w:p>
                      <w:pPr>
                        <w:pStyle w:val="TextBody"/>
                        <w:bidi w:val="0"/>
                        <w:spacing w:before="120" w:after="0"/>
                        <w:jc w:val="both"/>
                        <w:rPr>
                          <w:rFonts w:ascii="arial" w:hAnsi="arial"/>
                          <w:sz w:val="19"/>
                        </w:rPr>
                      </w:pPr>
                      <w:r>
                        <w:rPr>
                          <w:rFonts w:ascii="arial" w:hAnsi="arial"/>
                          <w:sz w:val="19"/>
                        </w:rPr>
                        <w:t xml:space="preserve">Our Board has a key role in the oversight of our culture, setting the tone at the top, and holding management accountable for maintaining high ethical standards. The Board believes that human capital management, including our diversity, inclusion, and belonging initiatives, are important to our success. The Compensation Committee assists the Board in providing oversight of human capital management, including labor and employment and diversity, inclusion, and belonging matters. We conduct regular employee engagement assessments that gather feedback on a wide range of topics (including flexible work environments, career development, and maintaining a culture of compliance), and the results of these surveys are </w:t>
                      </w:r>
                    </w:p>
                  </w:txbxContent>
                </v:textbox>
                <w10:wrap type="square" side="right"/>
              </v:rect>
            </w:pict>
          </mc:Fallback>
        </mc:AlternateContent>
      </w:r>
      <w:r>
        <mc:AlternateContent>
          <mc:Choice Requires="wps">
            <w:drawing>
              <wp:anchor behindDoc="0" distT="0" distB="0" distL="0" distR="0" simplePos="0" locked="0" layoutInCell="1" allowOverlap="1" relativeHeight="308">
                <wp:simplePos x="0" y="0"/>
                <wp:positionH relativeFrom="column">
                  <wp:align>left</wp:align>
                </wp:positionH>
                <wp:positionV relativeFrom="line">
                  <wp:posOffset>635</wp:posOffset>
                </wp:positionV>
                <wp:extent cx="3175000" cy="7801610"/>
                <wp:effectExtent l="0" t="0" r="0" b="0"/>
                <wp:wrapSquare wrapText="right"/>
                <wp:docPr id="145" name="Frame66"/>
                <a:graphic xmlns:a="http://schemas.openxmlformats.org/drawingml/2006/main">
                  <a:graphicData uri="http://schemas.microsoft.com/office/word/2010/wordprocessingShape">
                    <wps:wsp>
                      <wps:cNvSpPr txBox="1"/>
                      <wps:spPr>
                        <a:xfrm>
                          <a:off x="0" y="0"/>
                          <a:ext cx="3175000" cy="780161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discussed with our workforce and the Board. Reflecting our staff’s desire to retain a flexible approach to work, we offer a flexible workspace initiative that enables many employees to work together with their manager to determine the location that best enables their work at hand, supporting virtual work as well as working in person. </w:t>
                            </w:r>
                          </w:p>
                          <w:p>
                            <w:pPr>
                              <w:pStyle w:val="TextBody"/>
                              <w:bidi w:val="0"/>
                              <w:spacing w:before="120" w:after="0"/>
                              <w:jc w:val="both"/>
                              <w:rPr>
                                <w:rFonts w:ascii="arial" w:hAnsi="arial"/>
                                <w:sz w:val="19"/>
                              </w:rPr>
                            </w:pPr>
                            <w:r>
                              <w:rPr>
                                <w:rFonts w:ascii="arial" w:hAnsi="arial"/>
                                <w:sz w:val="19"/>
                              </w:rPr>
                              <w:t xml:space="preserve">Amgen places significant value on fostering and enabling growth of staff, both personally and professionally, and we aim to provide a safe, healthy, innovative, and diverse work environment for our staff. </w:t>
                            </w:r>
                          </w:p>
                          <w:p>
                            <w:pPr>
                              <w:pStyle w:val="TextBody"/>
                              <w:bidi w:val="0"/>
                              <w:spacing w:before="120" w:after="0"/>
                              <w:jc w:val="both"/>
                              <w:rPr>
                                <w:rFonts w:ascii="arial" w:hAnsi="arial"/>
                                <w:sz w:val="19"/>
                              </w:rPr>
                            </w:pPr>
                            <w:r>
                              <w:rPr>
                                <w:rFonts w:ascii="arial" w:hAnsi="arial"/>
                                <w:b/>
                                <w:i/>
                                <w:color w:val="0171B9"/>
                                <w:sz w:val="19"/>
                              </w:rPr>
                              <w:t>Our Social Architecture</w:t>
                            </w:r>
                            <w:r>
                              <w:rPr>
                                <w:rFonts w:ascii="arial" w:hAnsi="arial"/>
                                <w:b/>
                                <w:sz w:val="19"/>
                              </w:rPr>
                              <w:t>.</w:t>
                            </w:r>
                            <w:r>
                              <w:rPr>
                                <w:rFonts w:ascii="arial" w:hAnsi="arial"/>
                                <w:sz w:val="19"/>
                              </w:rPr>
                              <w:t xml:space="preserve"> Since Amgen’s founding in 1980, our employees have directed their intelligence and enthusiasm toward our mission to serve patients. Our mission, our aspiration to be the world’s best human therapeutics company, our strategy, our well-defined set of Amgen Values, and our clear leadership attributes form the “social architecture” that defines our unique culture. This social architecture has been a key enabler of Amgen’s worldwide growth from an early pioneer in the biotech industry to a leading innovator. </w:t>
                            </w:r>
                          </w:p>
                          <w:p>
                            <w:pPr>
                              <w:pStyle w:val="TextBody"/>
                              <w:bidi w:val="0"/>
                              <w:spacing w:before="120" w:after="0"/>
                              <w:jc w:val="both"/>
                              <w:rPr>
                                <w:rFonts w:ascii="arial" w:hAnsi="arial"/>
                                <w:sz w:val="19"/>
                              </w:rPr>
                            </w:pPr>
                            <w:r>
                              <w:rPr>
                                <w:rFonts w:ascii="arial" w:hAnsi="arial"/>
                                <w:sz w:val="19"/>
                              </w:rPr>
                              <w:t xml:space="preserve">The Amgen Values were formalized in 1996 and continue to serve as the principles that guide the way we conduct business. </w:t>
                            </w:r>
                          </w:p>
                          <w:p>
                            <w:pPr>
                              <w:pStyle w:val="TextBody"/>
                              <w:bidi w:val="0"/>
                              <w:spacing w:before="120" w:after="0"/>
                              <w:jc w:val="center"/>
                              <w:rPr>
                                <w:rFonts w:ascii="arial" w:hAnsi="arial"/>
                                <w:b/>
                                <w:color w:val="0171B9"/>
                                <w:sz w:val="19"/>
                              </w:rPr>
                            </w:pPr>
                            <w:r>
                              <w:rPr>
                                <w:rFonts w:ascii="arial" w:hAnsi="arial"/>
                                <w:b/>
                                <w:color w:val="0171B9"/>
                                <w:sz w:val="19"/>
                              </w:rPr>
                              <w:t xml:space="preserve">Amgen Values </w:t>
                            </w:r>
                          </w:p>
                          <w:p>
                            <w:pPr>
                              <w:pStyle w:val="TextBody"/>
                              <w:bidi w:val="0"/>
                              <w:spacing w:before="0" w:after="0"/>
                              <w:jc w:val="left"/>
                              <w:rPr/>
                            </w:pPr>
                            <w:r>
                              <w:rPr/>
                              <w:t> </w:t>
                            </w:r>
                          </w:p>
                          <w:tbl>
                            <w:tblPr>
                              <w:tblW w:w="3955" w:type="dxa"/>
                              <w:jc w:val="left"/>
                              <w:tblInd w:w="0" w:type="dxa"/>
                              <w:tblLayout w:type="fixed"/>
                              <w:tblCellMar>
                                <w:top w:w="0" w:type="dxa"/>
                                <w:left w:w="0" w:type="dxa"/>
                                <w:bottom w:w="0" w:type="dxa"/>
                                <w:right w:w="0" w:type="dxa"/>
                              </w:tblCellMar>
                            </w:tblPr>
                            <w:tblGrid>
                              <w:gridCol w:w="1805"/>
                              <w:gridCol w:w="60"/>
                              <w:gridCol w:w="2090"/>
                            </w:tblGrid>
                            <w:tr>
                              <w:trPr/>
                              <w:tc>
                                <w:tcPr>
                                  <w:tcW w:w="1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r>
                            <w:tr>
                              <w:trPr/>
                              <w:tc>
                                <w:tcPr>
                                  <w:tcW w:w="1805" w:type="dxa"/>
                                  <w:tcBorders>
                                    <w:bottom w:val="single" w:sz="24" w:space="0" w:color="FFFFFF"/>
                                    <w:right w:val="single" w:sz="32" w:space="0" w:color="FFFFFF"/>
                                  </w:tcBorders>
                                  <w:shd w:fill="0171B9" w:val="clear"/>
                                  <w:tcMar>
                                    <w:bottom w:w="28" w:type="dxa"/>
                                    <w:right w:w="28" w:type="dxa"/>
                                  </w:tcMar>
                                  <w:vAlign w:val="center"/>
                                </w:tcPr>
                                <w:p>
                                  <w:pPr>
                                    <w:pStyle w:val="TableContents"/>
                                    <w:bidi w:val="0"/>
                                    <w:spacing w:before="0" w:after="283"/>
                                    <w:jc w:val="center"/>
                                    <w:rPr>
                                      <w:b/>
                                      <w:color w:val="FFFFFF"/>
                                    </w:rPr>
                                  </w:pPr>
                                  <w:r>
                                    <w:rPr>
                                      <w:b/>
                                      <w:color w:val="FFFFFF"/>
                                    </w:rPr>
                                    <w:t>Be Science-Based</w:t>
                                  </w:r>
                                </w:p>
                              </w:tc>
                              <w:tc>
                                <w:tcPr>
                                  <w:tcW w:w="60" w:type="dxa"/>
                                  <w:tcBorders>
                                    <w:bottom w:val="single" w:sz="24" w:space="0" w:color="FFFFFF"/>
                                  </w:tcBorders>
                                  <w:shd w:fill="0171B9" w:val="clear"/>
                                  <w:tcMar>
                                    <w:bottom w:w="28" w:type="dxa"/>
                                  </w:tcMar>
                                  <w:vAlign w:val="center"/>
                                </w:tcPr>
                                <w:p>
                                  <w:pPr>
                                    <w:pStyle w:val="TableContents"/>
                                    <w:bidi w:val="0"/>
                                    <w:spacing w:before="0" w:after="283"/>
                                    <w:jc w:val="left"/>
                                    <w:rPr/>
                                  </w:pPr>
                                  <w:r>
                                    <w:rPr/>
                                    <w:t> </w:t>
                                  </w:r>
                                </w:p>
                              </w:tc>
                              <w:tc>
                                <w:tcPr>
                                  <w:tcW w:w="2090" w:type="dxa"/>
                                  <w:tcBorders>
                                    <w:bottom w:val="single" w:sz="24" w:space="0" w:color="FFFFFF"/>
                                  </w:tcBorders>
                                  <w:shd w:fill="0171B9"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9"/>
                                    </w:rPr>
                                  </w:pPr>
                                  <w:r>
                                    <w:rPr>
                                      <w:rFonts w:ascii="arial" w:hAnsi="arial"/>
                                      <w:b/>
                                      <w:color w:val="FFFFFF"/>
                                      <w:sz w:val="19"/>
                                    </w:rPr>
                                    <w:t>Trust and Respect</w:t>
                                  </w:r>
                                </w:p>
                                <w:p>
                                  <w:pPr>
                                    <w:pStyle w:val="TableContents"/>
                                    <w:bidi w:val="0"/>
                                    <w:spacing w:before="0" w:after="20"/>
                                    <w:jc w:val="center"/>
                                    <w:rPr>
                                      <w:rFonts w:ascii="arial" w:hAnsi="arial"/>
                                      <w:b/>
                                      <w:color w:val="FFFFFF"/>
                                      <w:sz w:val="19"/>
                                    </w:rPr>
                                  </w:pPr>
                                  <w:r>
                                    <w:rPr>
                                      <w:rFonts w:ascii="arial" w:hAnsi="arial"/>
                                      <w:b/>
                                      <w:color w:val="FFFFFF"/>
                                      <w:sz w:val="19"/>
                                    </w:rPr>
                                    <w:t>Each Other</w:t>
                                  </w:r>
                                </w:p>
                              </w:tc>
                            </w:tr>
                            <w:tr>
                              <w:trPr/>
                              <w:tc>
                                <w:tcPr>
                                  <w:tcW w:w="1805" w:type="dxa"/>
                                  <w:tcBorders>
                                    <w:bottom w:val="single" w:sz="32" w:space="0" w:color="FFFFFF"/>
                                    <w:right w:val="single" w:sz="32" w:space="0" w:color="FFFFFF"/>
                                  </w:tcBorders>
                                  <w:shd w:fill="0171B9" w:val="clear"/>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9"/>
                                    </w:rPr>
                                  </w:pPr>
                                  <w:r>
                                    <w:rPr>
                                      <w:rFonts w:ascii="arial" w:hAnsi="arial"/>
                                      <w:b/>
                                      <w:color w:val="FFFFFF"/>
                                      <w:sz w:val="19"/>
                                    </w:rPr>
                                    <w:t>Compete Intensely</w:t>
                                  </w:r>
                                </w:p>
                                <w:p>
                                  <w:pPr>
                                    <w:pStyle w:val="TableContents"/>
                                    <w:bidi w:val="0"/>
                                    <w:spacing w:before="0" w:after="0"/>
                                    <w:jc w:val="center"/>
                                    <w:rPr>
                                      <w:rFonts w:ascii="arial" w:hAnsi="arial"/>
                                      <w:b/>
                                      <w:color w:val="FFFFFF"/>
                                      <w:sz w:val="19"/>
                                    </w:rPr>
                                  </w:pPr>
                                  <w:r>
                                    <w:rPr>
                                      <w:rFonts w:ascii="arial" w:hAnsi="arial"/>
                                      <w:b/>
                                      <w:color w:val="FFFFFF"/>
                                      <w:sz w:val="19"/>
                                    </w:rPr>
                                    <w:t>and Win</w:t>
                                  </w:r>
                                </w:p>
                                <w:p>
                                  <w:pPr>
                                    <w:pStyle w:val="TableContents"/>
                                    <w:bidi w:val="0"/>
                                    <w:spacing w:before="0" w:after="20"/>
                                    <w:jc w:val="left"/>
                                    <w:rPr/>
                                  </w:pPr>
                                  <w:r>
                                    <w:rPr/>
                                    <w:t> </w:t>
                                  </w:r>
                                </w:p>
                              </w:tc>
                              <w:tc>
                                <w:tcPr>
                                  <w:tcW w:w="60" w:type="dxa"/>
                                  <w:tcBorders>
                                    <w:bottom w:val="single" w:sz="32" w:space="0" w:color="FFFFFF"/>
                                  </w:tcBorders>
                                  <w:shd w:fill="0171B9" w:val="clear"/>
                                  <w:tcMar>
                                    <w:bottom w:w="28" w:type="dxa"/>
                                  </w:tcMar>
                                  <w:vAlign w:val="center"/>
                                </w:tcPr>
                                <w:p>
                                  <w:pPr>
                                    <w:pStyle w:val="TableContents"/>
                                    <w:bidi w:val="0"/>
                                    <w:spacing w:before="0" w:after="283"/>
                                    <w:jc w:val="left"/>
                                    <w:rPr/>
                                  </w:pPr>
                                  <w:r>
                                    <w:rPr/>
                                    <w:t> </w:t>
                                  </w:r>
                                </w:p>
                              </w:tc>
                              <w:tc>
                                <w:tcPr>
                                  <w:tcW w:w="2090" w:type="dxa"/>
                                  <w:tcBorders>
                                    <w:bottom w:val="single" w:sz="32" w:space="0" w:color="FFFFFF"/>
                                  </w:tcBorders>
                                  <w:shd w:fill="0171B9" w:val="clear"/>
                                  <w:tcMar>
                                    <w:bottom w:w="28" w:type="dxa"/>
                                  </w:tcMar>
                                  <w:vAlign w:val="center"/>
                                </w:tcPr>
                                <w:p>
                                  <w:pPr>
                                    <w:pStyle w:val="TableContents"/>
                                    <w:bidi w:val="0"/>
                                    <w:spacing w:before="0" w:after="283"/>
                                    <w:jc w:val="center"/>
                                    <w:rPr>
                                      <w:b/>
                                      <w:color w:val="FFFFFF"/>
                                    </w:rPr>
                                  </w:pPr>
                                  <w:r>
                                    <w:rPr>
                                      <w:b/>
                                      <w:color w:val="FFFFFF"/>
                                    </w:rPr>
                                    <w:t>Ensure Quality</w:t>
                                  </w:r>
                                </w:p>
                              </w:tc>
                            </w:tr>
                            <w:tr>
                              <w:trPr/>
                              <w:tc>
                                <w:tcPr>
                                  <w:tcW w:w="1805" w:type="dxa"/>
                                  <w:tcBorders>
                                    <w:bottom w:val="single" w:sz="32" w:space="0" w:color="FFFFFF"/>
                                    <w:right w:val="single" w:sz="32" w:space="0" w:color="FFFFFF"/>
                                  </w:tcBorders>
                                  <w:shd w:fill="0171B9" w:val="clear"/>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9"/>
                                    </w:rPr>
                                  </w:pPr>
                                  <w:r>
                                    <w:rPr>
                                      <w:rFonts w:ascii="arial" w:hAnsi="arial"/>
                                      <w:b/>
                                      <w:color w:val="FFFFFF"/>
                                      <w:sz w:val="19"/>
                                    </w:rPr>
                                    <w:t>Create Value for</w:t>
                                  </w:r>
                                </w:p>
                                <w:p>
                                  <w:pPr>
                                    <w:pStyle w:val="TableContents"/>
                                    <w:bidi w:val="0"/>
                                    <w:spacing w:before="0" w:after="0"/>
                                    <w:jc w:val="center"/>
                                    <w:rPr>
                                      <w:rFonts w:ascii="arial" w:hAnsi="arial"/>
                                      <w:b/>
                                      <w:color w:val="FFFFFF"/>
                                      <w:sz w:val="19"/>
                                    </w:rPr>
                                  </w:pPr>
                                  <w:r>
                                    <w:rPr>
                                      <w:rFonts w:ascii="arial" w:hAnsi="arial"/>
                                      <w:b/>
                                      <w:color w:val="FFFFFF"/>
                                      <w:sz w:val="19"/>
                                    </w:rPr>
                                    <w:t>Patients, Staff, and</w:t>
                                  </w:r>
                                </w:p>
                                <w:p>
                                  <w:pPr>
                                    <w:pStyle w:val="TableContents"/>
                                    <w:bidi w:val="0"/>
                                    <w:spacing w:before="0" w:after="20"/>
                                    <w:jc w:val="center"/>
                                    <w:rPr>
                                      <w:rFonts w:ascii="arial" w:hAnsi="arial"/>
                                      <w:b/>
                                      <w:color w:val="FFFFFF"/>
                                      <w:sz w:val="19"/>
                                    </w:rPr>
                                  </w:pPr>
                                  <w:r>
                                    <w:rPr>
                                      <w:rFonts w:ascii="arial" w:hAnsi="arial"/>
                                      <w:b/>
                                      <w:color w:val="FFFFFF"/>
                                      <w:sz w:val="19"/>
                                    </w:rPr>
                                    <w:t>Stockholders</w:t>
                                  </w:r>
                                </w:p>
                              </w:tc>
                              <w:tc>
                                <w:tcPr>
                                  <w:tcW w:w="60" w:type="dxa"/>
                                  <w:tcBorders>
                                    <w:bottom w:val="single" w:sz="32" w:space="0" w:color="FFFFFF"/>
                                  </w:tcBorders>
                                  <w:shd w:fill="0171B9" w:val="clear"/>
                                  <w:tcMar>
                                    <w:bottom w:w="28" w:type="dxa"/>
                                  </w:tcMar>
                                  <w:vAlign w:val="center"/>
                                </w:tcPr>
                                <w:p>
                                  <w:pPr>
                                    <w:pStyle w:val="TableContents"/>
                                    <w:bidi w:val="0"/>
                                    <w:spacing w:before="0" w:after="283"/>
                                    <w:jc w:val="left"/>
                                    <w:rPr/>
                                  </w:pPr>
                                  <w:r>
                                    <w:rPr/>
                                    <w:t> </w:t>
                                  </w:r>
                                </w:p>
                              </w:tc>
                              <w:tc>
                                <w:tcPr>
                                  <w:tcW w:w="2090" w:type="dxa"/>
                                  <w:tcBorders>
                                    <w:bottom w:val="single" w:sz="32" w:space="0" w:color="FFFFFF"/>
                                  </w:tcBorders>
                                  <w:shd w:fill="0171B9" w:val="clear"/>
                                  <w:tcMar>
                                    <w:bottom w:w="28" w:type="dxa"/>
                                  </w:tcMar>
                                  <w:vAlign w:val="center"/>
                                </w:tcPr>
                                <w:p>
                                  <w:pPr>
                                    <w:pStyle w:val="TableContents"/>
                                    <w:bidi w:val="0"/>
                                    <w:spacing w:before="0" w:after="20"/>
                                    <w:jc w:val="center"/>
                                    <w:rPr>
                                      <w:rFonts w:ascii="arial" w:hAnsi="arial"/>
                                      <w:b/>
                                      <w:color w:val="FFFFFF"/>
                                      <w:sz w:val="19"/>
                                    </w:rPr>
                                  </w:pPr>
                                  <w:r>
                                    <w:rPr>
                                      <w:rFonts w:ascii="arial" w:hAnsi="arial"/>
                                      <w:b/>
                                      <w:color w:val="FFFFFF"/>
                                      <w:sz w:val="19"/>
                                    </w:rPr>
                                    <w:t>Work in Teams</w:t>
                                  </w:r>
                                </w:p>
                              </w:tc>
                            </w:tr>
                            <w:tr>
                              <w:trPr/>
                              <w:tc>
                                <w:tcPr>
                                  <w:tcW w:w="1805" w:type="dxa"/>
                                  <w:tcBorders>
                                    <w:right w:val="single" w:sz="32" w:space="0" w:color="FFFFFF"/>
                                  </w:tcBorders>
                                  <w:shd w:fill="0171B9" w:val="clear"/>
                                  <w:tcMar>
                                    <w:right w:w="28" w:type="dxa"/>
                                  </w:tcMar>
                                  <w:vAlign w:val="center"/>
                                </w:tcPr>
                                <w:p>
                                  <w:pPr>
                                    <w:pStyle w:val="TableContents"/>
                                    <w:bidi w:val="0"/>
                                    <w:spacing w:before="0" w:after="283"/>
                                    <w:jc w:val="center"/>
                                    <w:rPr>
                                      <w:b/>
                                      <w:color w:val="FFFFFF"/>
                                    </w:rPr>
                                  </w:pPr>
                                  <w:r>
                                    <w:rPr>
                                      <w:b/>
                                      <w:color w:val="FFFFFF"/>
                                    </w:rPr>
                                    <w:t>Be Ethical</w:t>
                                  </w:r>
                                </w:p>
                              </w:tc>
                              <w:tc>
                                <w:tcPr>
                                  <w:tcW w:w="60" w:type="dxa"/>
                                  <w:tcBorders/>
                                  <w:shd w:fill="0171B9" w:val="clear"/>
                                  <w:vAlign w:val="center"/>
                                </w:tcPr>
                                <w:p>
                                  <w:pPr>
                                    <w:pStyle w:val="TableContents"/>
                                    <w:bidi w:val="0"/>
                                    <w:spacing w:before="0" w:after="283"/>
                                    <w:jc w:val="left"/>
                                    <w:rPr/>
                                  </w:pPr>
                                  <w:r>
                                    <w:rPr/>
                                    <w:t> </w:t>
                                  </w:r>
                                </w:p>
                              </w:tc>
                              <w:tc>
                                <w:tcPr>
                                  <w:tcW w:w="2090" w:type="dxa"/>
                                  <w:tcBorders/>
                                  <w:shd w:fill="0171B9"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9"/>
                                    </w:rPr>
                                  </w:pPr>
                                  <w:r>
                                    <w:rPr>
                                      <w:rFonts w:ascii="arial" w:hAnsi="arial"/>
                                      <w:b/>
                                      <w:color w:val="FFFFFF"/>
                                      <w:sz w:val="19"/>
                                    </w:rPr>
                                    <w:t>Collaborate,</w:t>
                                  </w:r>
                                </w:p>
                                <w:p>
                                  <w:pPr>
                                    <w:pStyle w:val="TableContents"/>
                                    <w:bidi w:val="0"/>
                                    <w:spacing w:before="0" w:after="0"/>
                                    <w:jc w:val="center"/>
                                    <w:rPr>
                                      <w:rFonts w:ascii="arial" w:hAnsi="arial"/>
                                      <w:b/>
                                      <w:color w:val="FFFFFF"/>
                                      <w:sz w:val="19"/>
                                    </w:rPr>
                                  </w:pPr>
                                  <w:r>
                                    <w:rPr>
                                      <w:rFonts w:ascii="arial" w:hAnsi="arial"/>
                                      <w:b/>
                                      <w:color w:val="FFFFFF"/>
                                      <w:sz w:val="19"/>
                                    </w:rPr>
                                    <w:t>Communicate, and Be</w:t>
                                  </w:r>
                                </w:p>
                                <w:p>
                                  <w:pPr>
                                    <w:pStyle w:val="TableContents"/>
                                    <w:bidi w:val="0"/>
                                    <w:spacing w:before="0" w:after="0"/>
                                    <w:jc w:val="center"/>
                                    <w:rPr>
                                      <w:rFonts w:ascii="arial" w:hAnsi="arial"/>
                                      <w:b/>
                                      <w:color w:val="FFFFFF"/>
                                      <w:sz w:val="19"/>
                                    </w:rPr>
                                  </w:pPr>
                                  <w:r>
                                    <w:rPr>
                                      <w:rFonts w:ascii="arial" w:hAnsi="arial"/>
                                      <w:b/>
                                      <w:color w:val="FFFFFF"/>
                                      <w:sz w:val="19"/>
                                    </w:rPr>
                                    <w:t>Accountable</w:t>
                                  </w:r>
                                </w:p>
                                <w:p>
                                  <w:pPr>
                                    <w:pStyle w:val="TableContents"/>
                                    <w:bidi w:val="0"/>
                                    <w:spacing w:before="0" w:after="20"/>
                                    <w:jc w:val="left"/>
                                    <w:rPr/>
                                  </w:pPr>
                                  <w:r>
                                    <w:rPr/>
                                    <w:t> </w:t>
                                  </w:r>
                                </w:p>
                              </w:tc>
                            </w:tr>
                          </w:tbl>
                          <w:p>
                            <w:pPr>
                              <w:pStyle w:val="TextBody"/>
                              <w:bidi w:val="0"/>
                              <w:spacing w:before="120" w:after="0"/>
                              <w:jc w:val="both"/>
                              <w:rPr>
                                <w:rFonts w:ascii="arial" w:hAnsi="arial"/>
                                <w:sz w:val="19"/>
                              </w:rPr>
                            </w:pPr>
                            <w:r>
                              <w:rPr>
                                <w:rFonts w:ascii="arial" w:hAnsi="arial"/>
                                <w:b/>
                                <w:i/>
                                <w:color w:val="0171B9"/>
                                <w:sz w:val="19"/>
                              </w:rPr>
                              <w:t>Our Culture.</w:t>
                            </w:r>
                            <w:r>
                              <w:rPr>
                                <w:rFonts w:ascii="arial" w:hAnsi="arial"/>
                                <w:sz w:val="19"/>
                              </w:rPr>
                              <w:t xml:space="preserve"> Consistent with the Amgen Values, we are working to bring the diversity of the world community into the Amgen community. We believe that a diverse and inclusive culture fosters innovation, supporting our ability to serve patients. It is with these beliefs that we have strengthened our culture of diversity, inclusion, and belonging in support of our mission to serve patients.(1)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14.3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discussed with our workforce and the Board. Reflecting our staff’s desire to retain a flexible approach to work, we offer a flexible workspace initiative that enables many employees to work together with their manager to determine the location that best enables their work at hand, supporting virtual work as well as working in person. </w:t>
                      </w:r>
                    </w:p>
                    <w:p>
                      <w:pPr>
                        <w:pStyle w:val="TextBody"/>
                        <w:bidi w:val="0"/>
                        <w:spacing w:before="120" w:after="0"/>
                        <w:jc w:val="both"/>
                        <w:rPr>
                          <w:rFonts w:ascii="arial" w:hAnsi="arial"/>
                          <w:sz w:val="19"/>
                        </w:rPr>
                      </w:pPr>
                      <w:r>
                        <w:rPr>
                          <w:rFonts w:ascii="arial" w:hAnsi="arial"/>
                          <w:sz w:val="19"/>
                        </w:rPr>
                        <w:t xml:space="preserve">Amgen places significant value on fostering and enabling growth of staff, both personally and professionally, and we aim to provide a safe, healthy, innovative, and diverse work environment for our staff. </w:t>
                      </w:r>
                    </w:p>
                    <w:p>
                      <w:pPr>
                        <w:pStyle w:val="TextBody"/>
                        <w:bidi w:val="0"/>
                        <w:spacing w:before="120" w:after="0"/>
                        <w:jc w:val="both"/>
                        <w:rPr>
                          <w:rFonts w:ascii="arial" w:hAnsi="arial"/>
                          <w:sz w:val="19"/>
                        </w:rPr>
                      </w:pPr>
                      <w:r>
                        <w:rPr>
                          <w:rFonts w:ascii="arial" w:hAnsi="arial"/>
                          <w:b/>
                          <w:i/>
                          <w:color w:val="0171B9"/>
                          <w:sz w:val="19"/>
                        </w:rPr>
                        <w:t>Our Social Architecture</w:t>
                      </w:r>
                      <w:r>
                        <w:rPr>
                          <w:rFonts w:ascii="arial" w:hAnsi="arial"/>
                          <w:b/>
                          <w:sz w:val="19"/>
                        </w:rPr>
                        <w:t>.</w:t>
                      </w:r>
                      <w:r>
                        <w:rPr>
                          <w:rFonts w:ascii="arial" w:hAnsi="arial"/>
                          <w:sz w:val="19"/>
                        </w:rPr>
                        <w:t xml:space="preserve"> Since Amgen’s founding in 1980, our employees have directed their intelligence and enthusiasm toward our mission to serve patients. Our mission, our aspiration to be the world’s best human therapeutics company, our strategy, our well-defined set of Amgen Values, and our clear leadership attributes form the “social architecture” that defines our unique culture. This social architecture has been a key enabler of Amgen’s worldwide growth from an early pioneer in the biotech industry to a leading innovator. </w:t>
                      </w:r>
                    </w:p>
                    <w:p>
                      <w:pPr>
                        <w:pStyle w:val="TextBody"/>
                        <w:bidi w:val="0"/>
                        <w:spacing w:before="120" w:after="0"/>
                        <w:jc w:val="both"/>
                        <w:rPr>
                          <w:rFonts w:ascii="arial" w:hAnsi="arial"/>
                          <w:sz w:val="19"/>
                        </w:rPr>
                      </w:pPr>
                      <w:r>
                        <w:rPr>
                          <w:rFonts w:ascii="arial" w:hAnsi="arial"/>
                          <w:sz w:val="19"/>
                        </w:rPr>
                        <w:t xml:space="preserve">The Amgen Values were formalized in 1996 and continue to serve as the principles that guide the way we conduct business. </w:t>
                      </w:r>
                    </w:p>
                    <w:p>
                      <w:pPr>
                        <w:pStyle w:val="TextBody"/>
                        <w:bidi w:val="0"/>
                        <w:spacing w:before="120" w:after="0"/>
                        <w:jc w:val="center"/>
                        <w:rPr>
                          <w:rFonts w:ascii="arial" w:hAnsi="arial"/>
                          <w:b/>
                          <w:color w:val="0171B9"/>
                          <w:sz w:val="19"/>
                        </w:rPr>
                      </w:pPr>
                      <w:r>
                        <w:rPr>
                          <w:rFonts w:ascii="arial" w:hAnsi="arial"/>
                          <w:b/>
                          <w:color w:val="0171B9"/>
                          <w:sz w:val="19"/>
                        </w:rPr>
                        <w:t xml:space="preserve">Amgen Values </w:t>
                      </w:r>
                    </w:p>
                    <w:p>
                      <w:pPr>
                        <w:pStyle w:val="TextBody"/>
                        <w:bidi w:val="0"/>
                        <w:spacing w:before="0" w:after="0"/>
                        <w:jc w:val="left"/>
                        <w:rPr/>
                      </w:pPr>
                      <w:r>
                        <w:rPr/>
                        <w:t> </w:t>
                      </w:r>
                    </w:p>
                    <w:tbl>
                      <w:tblPr>
                        <w:tblW w:w="3955" w:type="dxa"/>
                        <w:jc w:val="left"/>
                        <w:tblInd w:w="0" w:type="dxa"/>
                        <w:tblLayout w:type="fixed"/>
                        <w:tblCellMar>
                          <w:top w:w="0" w:type="dxa"/>
                          <w:left w:w="0" w:type="dxa"/>
                          <w:bottom w:w="0" w:type="dxa"/>
                          <w:right w:w="0" w:type="dxa"/>
                        </w:tblCellMar>
                      </w:tblPr>
                      <w:tblGrid>
                        <w:gridCol w:w="1805"/>
                        <w:gridCol w:w="60"/>
                        <w:gridCol w:w="2090"/>
                      </w:tblGrid>
                      <w:tr>
                        <w:trPr/>
                        <w:tc>
                          <w:tcPr>
                            <w:tcW w:w="1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r>
                      <w:tr>
                        <w:trPr/>
                        <w:tc>
                          <w:tcPr>
                            <w:tcW w:w="1805" w:type="dxa"/>
                            <w:tcBorders>
                              <w:bottom w:val="single" w:sz="24" w:space="0" w:color="FFFFFF"/>
                              <w:right w:val="single" w:sz="32" w:space="0" w:color="FFFFFF"/>
                            </w:tcBorders>
                            <w:shd w:fill="0171B9" w:val="clear"/>
                            <w:tcMar>
                              <w:bottom w:w="28" w:type="dxa"/>
                              <w:right w:w="28" w:type="dxa"/>
                            </w:tcMar>
                            <w:vAlign w:val="center"/>
                          </w:tcPr>
                          <w:p>
                            <w:pPr>
                              <w:pStyle w:val="TableContents"/>
                              <w:bidi w:val="0"/>
                              <w:spacing w:before="0" w:after="283"/>
                              <w:jc w:val="center"/>
                              <w:rPr>
                                <w:b/>
                                <w:color w:val="FFFFFF"/>
                              </w:rPr>
                            </w:pPr>
                            <w:r>
                              <w:rPr>
                                <w:b/>
                                <w:color w:val="FFFFFF"/>
                              </w:rPr>
                              <w:t>Be Science-Based</w:t>
                            </w:r>
                          </w:p>
                        </w:tc>
                        <w:tc>
                          <w:tcPr>
                            <w:tcW w:w="60" w:type="dxa"/>
                            <w:tcBorders>
                              <w:bottom w:val="single" w:sz="24" w:space="0" w:color="FFFFFF"/>
                            </w:tcBorders>
                            <w:shd w:fill="0171B9" w:val="clear"/>
                            <w:tcMar>
                              <w:bottom w:w="28" w:type="dxa"/>
                            </w:tcMar>
                            <w:vAlign w:val="center"/>
                          </w:tcPr>
                          <w:p>
                            <w:pPr>
                              <w:pStyle w:val="TableContents"/>
                              <w:bidi w:val="0"/>
                              <w:spacing w:before="0" w:after="283"/>
                              <w:jc w:val="left"/>
                              <w:rPr/>
                            </w:pPr>
                            <w:r>
                              <w:rPr/>
                              <w:t> </w:t>
                            </w:r>
                          </w:p>
                        </w:tc>
                        <w:tc>
                          <w:tcPr>
                            <w:tcW w:w="2090" w:type="dxa"/>
                            <w:tcBorders>
                              <w:bottom w:val="single" w:sz="24" w:space="0" w:color="FFFFFF"/>
                            </w:tcBorders>
                            <w:shd w:fill="0171B9"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9"/>
                              </w:rPr>
                            </w:pPr>
                            <w:r>
                              <w:rPr>
                                <w:rFonts w:ascii="arial" w:hAnsi="arial"/>
                                <w:b/>
                                <w:color w:val="FFFFFF"/>
                                <w:sz w:val="19"/>
                              </w:rPr>
                              <w:t>Trust and Respect</w:t>
                            </w:r>
                          </w:p>
                          <w:p>
                            <w:pPr>
                              <w:pStyle w:val="TableContents"/>
                              <w:bidi w:val="0"/>
                              <w:spacing w:before="0" w:after="20"/>
                              <w:jc w:val="center"/>
                              <w:rPr>
                                <w:rFonts w:ascii="arial" w:hAnsi="arial"/>
                                <w:b/>
                                <w:color w:val="FFFFFF"/>
                                <w:sz w:val="19"/>
                              </w:rPr>
                            </w:pPr>
                            <w:r>
                              <w:rPr>
                                <w:rFonts w:ascii="arial" w:hAnsi="arial"/>
                                <w:b/>
                                <w:color w:val="FFFFFF"/>
                                <w:sz w:val="19"/>
                              </w:rPr>
                              <w:t>Each Other</w:t>
                            </w:r>
                          </w:p>
                        </w:tc>
                      </w:tr>
                      <w:tr>
                        <w:trPr/>
                        <w:tc>
                          <w:tcPr>
                            <w:tcW w:w="1805" w:type="dxa"/>
                            <w:tcBorders>
                              <w:bottom w:val="single" w:sz="32" w:space="0" w:color="FFFFFF"/>
                              <w:right w:val="single" w:sz="32" w:space="0" w:color="FFFFFF"/>
                            </w:tcBorders>
                            <w:shd w:fill="0171B9" w:val="clear"/>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9"/>
                              </w:rPr>
                            </w:pPr>
                            <w:r>
                              <w:rPr>
                                <w:rFonts w:ascii="arial" w:hAnsi="arial"/>
                                <w:b/>
                                <w:color w:val="FFFFFF"/>
                                <w:sz w:val="19"/>
                              </w:rPr>
                              <w:t>Compete Intensely</w:t>
                            </w:r>
                          </w:p>
                          <w:p>
                            <w:pPr>
                              <w:pStyle w:val="TableContents"/>
                              <w:bidi w:val="0"/>
                              <w:spacing w:before="0" w:after="0"/>
                              <w:jc w:val="center"/>
                              <w:rPr>
                                <w:rFonts w:ascii="arial" w:hAnsi="arial"/>
                                <w:b/>
                                <w:color w:val="FFFFFF"/>
                                <w:sz w:val="19"/>
                              </w:rPr>
                            </w:pPr>
                            <w:r>
                              <w:rPr>
                                <w:rFonts w:ascii="arial" w:hAnsi="arial"/>
                                <w:b/>
                                <w:color w:val="FFFFFF"/>
                                <w:sz w:val="19"/>
                              </w:rPr>
                              <w:t>and Win</w:t>
                            </w:r>
                          </w:p>
                          <w:p>
                            <w:pPr>
                              <w:pStyle w:val="TableContents"/>
                              <w:bidi w:val="0"/>
                              <w:spacing w:before="0" w:after="20"/>
                              <w:jc w:val="left"/>
                              <w:rPr/>
                            </w:pPr>
                            <w:r>
                              <w:rPr/>
                              <w:t> </w:t>
                            </w:r>
                          </w:p>
                        </w:tc>
                        <w:tc>
                          <w:tcPr>
                            <w:tcW w:w="60" w:type="dxa"/>
                            <w:tcBorders>
                              <w:bottom w:val="single" w:sz="32" w:space="0" w:color="FFFFFF"/>
                            </w:tcBorders>
                            <w:shd w:fill="0171B9" w:val="clear"/>
                            <w:tcMar>
                              <w:bottom w:w="28" w:type="dxa"/>
                            </w:tcMar>
                            <w:vAlign w:val="center"/>
                          </w:tcPr>
                          <w:p>
                            <w:pPr>
                              <w:pStyle w:val="TableContents"/>
                              <w:bidi w:val="0"/>
                              <w:spacing w:before="0" w:after="283"/>
                              <w:jc w:val="left"/>
                              <w:rPr/>
                            </w:pPr>
                            <w:r>
                              <w:rPr/>
                              <w:t> </w:t>
                            </w:r>
                          </w:p>
                        </w:tc>
                        <w:tc>
                          <w:tcPr>
                            <w:tcW w:w="2090" w:type="dxa"/>
                            <w:tcBorders>
                              <w:bottom w:val="single" w:sz="32" w:space="0" w:color="FFFFFF"/>
                            </w:tcBorders>
                            <w:shd w:fill="0171B9" w:val="clear"/>
                            <w:tcMar>
                              <w:bottom w:w="28" w:type="dxa"/>
                            </w:tcMar>
                            <w:vAlign w:val="center"/>
                          </w:tcPr>
                          <w:p>
                            <w:pPr>
                              <w:pStyle w:val="TableContents"/>
                              <w:bidi w:val="0"/>
                              <w:spacing w:before="0" w:after="283"/>
                              <w:jc w:val="center"/>
                              <w:rPr>
                                <w:b/>
                                <w:color w:val="FFFFFF"/>
                              </w:rPr>
                            </w:pPr>
                            <w:r>
                              <w:rPr>
                                <w:b/>
                                <w:color w:val="FFFFFF"/>
                              </w:rPr>
                              <w:t>Ensure Quality</w:t>
                            </w:r>
                          </w:p>
                        </w:tc>
                      </w:tr>
                      <w:tr>
                        <w:trPr/>
                        <w:tc>
                          <w:tcPr>
                            <w:tcW w:w="1805" w:type="dxa"/>
                            <w:tcBorders>
                              <w:bottom w:val="single" w:sz="32" w:space="0" w:color="FFFFFF"/>
                              <w:right w:val="single" w:sz="32" w:space="0" w:color="FFFFFF"/>
                            </w:tcBorders>
                            <w:shd w:fill="0171B9" w:val="clear"/>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9"/>
                              </w:rPr>
                            </w:pPr>
                            <w:r>
                              <w:rPr>
                                <w:rFonts w:ascii="arial" w:hAnsi="arial"/>
                                <w:b/>
                                <w:color w:val="FFFFFF"/>
                                <w:sz w:val="19"/>
                              </w:rPr>
                              <w:t>Create Value for</w:t>
                            </w:r>
                          </w:p>
                          <w:p>
                            <w:pPr>
                              <w:pStyle w:val="TableContents"/>
                              <w:bidi w:val="0"/>
                              <w:spacing w:before="0" w:after="0"/>
                              <w:jc w:val="center"/>
                              <w:rPr>
                                <w:rFonts w:ascii="arial" w:hAnsi="arial"/>
                                <w:b/>
                                <w:color w:val="FFFFFF"/>
                                <w:sz w:val="19"/>
                              </w:rPr>
                            </w:pPr>
                            <w:r>
                              <w:rPr>
                                <w:rFonts w:ascii="arial" w:hAnsi="arial"/>
                                <w:b/>
                                <w:color w:val="FFFFFF"/>
                                <w:sz w:val="19"/>
                              </w:rPr>
                              <w:t>Patients, Staff, and</w:t>
                            </w:r>
                          </w:p>
                          <w:p>
                            <w:pPr>
                              <w:pStyle w:val="TableContents"/>
                              <w:bidi w:val="0"/>
                              <w:spacing w:before="0" w:after="20"/>
                              <w:jc w:val="center"/>
                              <w:rPr>
                                <w:rFonts w:ascii="arial" w:hAnsi="arial"/>
                                <w:b/>
                                <w:color w:val="FFFFFF"/>
                                <w:sz w:val="19"/>
                              </w:rPr>
                            </w:pPr>
                            <w:r>
                              <w:rPr>
                                <w:rFonts w:ascii="arial" w:hAnsi="arial"/>
                                <w:b/>
                                <w:color w:val="FFFFFF"/>
                                <w:sz w:val="19"/>
                              </w:rPr>
                              <w:t>Stockholders</w:t>
                            </w:r>
                          </w:p>
                        </w:tc>
                        <w:tc>
                          <w:tcPr>
                            <w:tcW w:w="60" w:type="dxa"/>
                            <w:tcBorders>
                              <w:bottom w:val="single" w:sz="32" w:space="0" w:color="FFFFFF"/>
                            </w:tcBorders>
                            <w:shd w:fill="0171B9" w:val="clear"/>
                            <w:tcMar>
                              <w:bottom w:w="28" w:type="dxa"/>
                            </w:tcMar>
                            <w:vAlign w:val="center"/>
                          </w:tcPr>
                          <w:p>
                            <w:pPr>
                              <w:pStyle w:val="TableContents"/>
                              <w:bidi w:val="0"/>
                              <w:spacing w:before="0" w:after="283"/>
                              <w:jc w:val="left"/>
                              <w:rPr/>
                            </w:pPr>
                            <w:r>
                              <w:rPr/>
                              <w:t> </w:t>
                            </w:r>
                          </w:p>
                        </w:tc>
                        <w:tc>
                          <w:tcPr>
                            <w:tcW w:w="2090" w:type="dxa"/>
                            <w:tcBorders>
                              <w:bottom w:val="single" w:sz="32" w:space="0" w:color="FFFFFF"/>
                            </w:tcBorders>
                            <w:shd w:fill="0171B9" w:val="clear"/>
                            <w:tcMar>
                              <w:bottom w:w="28" w:type="dxa"/>
                            </w:tcMar>
                            <w:vAlign w:val="center"/>
                          </w:tcPr>
                          <w:p>
                            <w:pPr>
                              <w:pStyle w:val="TableContents"/>
                              <w:bidi w:val="0"/>
                              <w:spacing w:before="0" w:after="20"/>
                              <w:jc w:val="center"/>
                              <w:rPr>
                                <w:rFonts w:ascii="arial" w:hAnsi="arial"/>
                                <w:b/>
                                <w:color w:val="FFFFFF"/>
                                <w:sz w:val="19"/>
                              </w:rPr>
                            </w:pPr>
                            <w:r>
                              <w:rPr>
                                <w:rFonts w:ascii="arial" w:hAnsi="arial"/>
                                <w:b/>
                                <w:color w:val="FFFFFF"/>
                                <w:sz w:val="19"/>
                              </w:rPr>
                              <w:t>Work in Teams</w:t>
                            </w:r>
                          </w:p>
                        </w:tc>
                      </w:tr>
                      <w:tr>
                        <w:trPr/>
                        <w:tc>
                          <w:tcPr>
                            <w:tcW w:w="1805" w:type="dxa"/>
                            <w:tcBorders>
                              <w:right w:val="single" w:sz="32" w:space="0" w:color="FFFFFF"/>
                            </w:tcBorders>
                            <w:shd w:fill="0171B9" w:val="clear"/>
                            <w:tcMar>
                              <w:right w:w="28" w:type="dxa"/>
                            </w:tcMar>
                            <w:vAlign w:val="center"/>
                          </w:tcPr>
                          <w:p>
                            <w:pPr>
                              <w:pStyle w:val="TableContents"/>
                              <w:bidi w:val="0"/>
                              <w:spacing w:before="0" w:after="283"/>
                              <w:jc w:val="center"/>
                              <w:rPr>
                                <w:b/>
                                <w:color w:val="FFFFFF"/>
                              </w:rPr>
                            </w:pPr>
                            <w:r>
                              <w:rPr>
                                <w:b/>
                                <w:color w:val="FFFFFF"/>
                              </w:rPr>
                              <w:t>Be Ethical</w:t>
                            </w:r>
                          </w:p>
                        </w:tc>
                        <w:tc>
                          <w:tcPr>
                            <w:tcW w:w="60" w:type="dxa"/>
                            <w:tcBorders/>
                            <w:shd w:fill="0171B9" w:val="clear"/>
                            <w:vAlign w:val="center"/>
                          </w:tcPr>
                          <w:p>
                            <w:pPr>
                              <w:pStyle w:val="TableContents"/>
                              <w:bidi w:val="0"/>
                              <w:spacing w:before="0" w:after="283"/>
                              <w:jc w:val="left"/>
                              <w:rPr/>
                            </w:pPr>
                            <w:r>
                              <w:rPr/>
                              <w:t> </w:t>
                            </w:r>
                          </w:p>
                        </w:tc>
                        <w:tc>
                          <w:tcPr>
                            <w:tcW w:w="2090" w:type="dxa"/>
                            <w:tcBorders/>
                            <w:shd w:fill="0171B9"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9"/>
                              </w:rPr>
                            </w:pPr>
                            <w:r>
                              <w:rPr>
                                <w:rFonts w:ascii="arial" w:hAnsi="arial"/>
                                <w:b/>
                                <w:color w:val="FFFFFF"/>
                                <w:sz w:val="19"/>
                              </w:rPr>
                              <w:t>Collaborate,</w:t>
                            </w:r>
                          </w:p>
                          <w:p>
                            <w:pPr>
                              <w:pStyle w:val="TableContents"/>
                              <w:bidi w:val="0"/>
                              <w:spacing w:before="0" w:after="0"/>
                              <w:jc w:val="center"/>
                              <w:rPr>
                                <w:rFonts w:ascii="arial" w:hAnsi="arial"/>
                                <w:b/>
                                <w:color w:val="FFFFFF"/>
                                <w:sz w:val="19"/>
                              </w:rPr>
                            </w:pPr>
                            <w:r>
                              <w:rPr>
                                <w:rFonts w:ascii="arial" w:hAnsi="arial"/>
                                <w:b/>
                                <w:color w:val="FFFFFF"/>
                                <w:sz w:val="19"/>
                              </w:rPr>
                              <w:t>Communicate, and Be</w:t>
                            </w:r>
                          </w:p>
                          <w:p>
                            <w:pPr>
                              <w:pStyle w:val="TableContents"/>
                              <w:bidi w:val="0"/>
                              <w:spacing w:before="0" w:after="0"/>
                              <w:jc w:val="center"/>
                              <w:rPr>
                                <w:rFonts w:ascii="arial" w:hAnsi="arial"/>
                                <w:b/>
                                <w:color w:val="FFFFFF"/>
                                <w:sz w:val="19"/>
                              </w:rPr>
                            </w:pPr>
                            <w:r>
                              <w:rPr>
                                <w:rFonts w:ascii="arial" w:hAnsi="arial"/>
                                <w:b/>
                                <w:color w:val="FFFFFF"/>
                                <w:sz w:val="19"/>
                              </w:rPr>
                              <w:t>Accountable</w:t>
                            </w:r>
                          </w:p>
                          <w:p>
                            <w:pPr>
                              <w:pStyle w:val="TableContents"/>
                              <w:bidi w:val="0"/>
                              <w:spacing w:before="0" w:after="20"/>
                              <w:jc w:val="left"/>
                              <w:rPr/>
                            </w:pPr>
                            <w:r>
                              <w:rPr/>
                              <w:t> </w:t>
                            </w:r>
                          </w:p>
                        </w:tc>
                      </w:tr>
                    </w:tbl>
                    <w:p>
                      <w:pPr>
                        <w:pStyle w:val="TextBody"/>
                        <w:bidi w:val="0"/>
                        <w:spacing w:before="120" w:after="0"/>
                        <w:jc w:val="both"/>
                        <w:rPr>
                          <w:rFonts w:ascii="arial" w:hAnsi="arial"/>
                          <w:sz w:val="19"/>
                        </w:rPr>
                      </w:pPr>
                      <w:r>
                        <w:rPr>
                          <w:rFonts w:ascii="arial" w:hAnsi="arial"/>
                          <w:b/>
                          <w:i/>
                          <w:color w:val="0171B9"/>
                          <w:sz w:val="19"/>
                        </w:rPr>
                        <w:t>Our Culture.</w:t>
                      </w:r>
                      <w:r>
                        <w:rPr>
                          <w:rFonts w:ascii="arial" w:hAnsi="arial"/>
                          <w:sz w:val="19"/>
                        </w:rPr>
                        <w:t xml:space="preserve"> Consistent with the Amgen Values, we are working to bring the diversity of the world community into the Amgen community. We believe that a diverse and inclusive culture fosters innovation, supporting our ability to serve patients. It is with these beliefs that we have strengthened our culture of diversity, inclusion, and belonging in support of our mission to serve patients.(1) </w:t>
                      </w:r>
                    </w:p>
                  </w:txbxContent>
                </v:textbox>
                <w10:wrap type="square" side="right"/>
              </v:rect>
            </w:pict>
          </mc:Fallback>
        </mc:AlternateContent>
      </w:r>
    </w:p>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346"/>
        <w:gridCol w:w="9859"/>
      </w:tblGrid>
      <w:tr>
        <w:trPr/>
        <w:tc>
          <w:tcPr>
            <w:tcW w:w="346" w:type="dxa"/>
            <w:tcBorders/>
            <w:vAlign w:val="center"/>
          </w:tcPr>
          <w:p>
            <w:pPr>
              <w:pStyle w:val="TableContents"/>
              <w:bidi w:val="0"/>
              <w:spacing w:before="0" w:after="283"/>
              <w:jc w:val="left"/>
              <w:rPr/>
            </w:pPr>
            <w:r>
              <w:rPr/>
              <w:t>(1) </w:t>
            </w:r>
          </w:p>
        </w:tc>
        <w:tc>
          <w:tcPr>
            <w:tcW w:w="9859" w:type="dxa"/>
            <w:tcBorders/>
            <w:vAlign w:val="center"/>
          </w:tcPr>
          <w:p>
            <w:pPr>
              <w:pStyle w:val="TableContents"/>
              <w:bidi w:val="0"/>
              <w:spacing w:before="0" w:after="0"/>
              <w:jc w:val="both"/>
              <w:rPr>
                <w:rFonts w:ascii="arial" w:hAnsi="arial"/>
                <w:sz w:val="16"/>
              </w:rPr>
            </w:pPr>
            <w:r>
              <w:rPr>
                <w:rFonts w:ascii="arial" w:hAnsi="arial"/>
                <w:sz w:val="16"/>
              </w:rPr>
              <w:t xml:space="preserve">Amgen is an equal opportunity employer and does not make employment decisions based on race, gender, ethnicity, or any other protected characteristic. </w:t>
            </w:r>
          </w:p>
        </w:tc>
      </w:tr>
    </w:tbl>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40  </w:t>
      </w:r>
      <w:r>
        <w:rPr>
          <w:rFonts w:ascii="arial" w:hAnsi="arial"/>
          <w:b/>
          <w:color w:val="474747"/>
          <w:sz w:val="22"/>
        </w:rPr>
        <w:drawing>
          <wp:inline distT="0" distB="0" distL="0" distR="0">
            <wp:extent cx="64770" cy="15240"/>
            <wp:effectExtent l="0" t="0" r="0" b="0"/>
            <wp:docPr id="146"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77" descr=""/>
                    <pic:cNvPicPr>
                      <a:picLocks noChangeAspect="1" noChangeArrowheads="1"/>
                    </pic:cNvPicPr>
                  </pic:nvPicPr>
                  <pic:blipFill>
                    <a:blip r:embed="rId81"/>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311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263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263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Corporate Governance</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09">
                <wp:simplePos x="0" y="0"/>
                <wp:positionH relativeFrom="column">
                  <wp:align>left</wp:align>
                </wp:positionH>
                <wp:positionV relativeFrom="line">
                  <wp:posOffset>635</wp:posOffset>
                </wp:positionV>
                <wp:extent cx="3110230" cy="9933940"/>
                <wp:effectExtent l="0" t="0" r="0" b="0"/>
                <wp:wrapSquare wrapText="right"/>
                <wp:docPr id="147" name="Frame67"/>
                <a:graphic xmlns:a="http://schemas.openxmlformats.org/drawingml/2006/main">
                  <a:graphicData uri="http://schemas.microsoft.com/office/word/2010/wordprocessingShape">
                    <wps:wsp>
                      <wps:cNvSpPr txBox="1"/>
                      <wps:spPr>
                        <a:xfrm>
                          <a:off x="0" y="0"/>
                          <a:ext cx="3110230" cy="993394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Our executive leadership is responsible for overseeing our workforce strategy. In our effort to attract and retain the best talent, we seek out and support talent across the globe, including in underrepresented populations, consistent with our commitment to equal opportunity. We continue to incorporate equal opportunity and inclusion considerations into our business operations, including clinical trial design and procurement, to broaden our access to patients and suppliers to the benefit of our business. </w:t>
                            </w:r>
                          </w:p>
                          <w:p>
                            <w:pPr>
                              <w:pStyle w:val="TextBody"/>
                              <w:bidi w:val="0"/>
                              <w:spacing w:before="120" w:after="0"/>
                              <w:jc w:val="both"/>
                              <w:rPr>
                                <w:rFonts w:ascii="arial" w:hAnsi="arial"/>
                                <w:sz w:val="19"/>
                              </w:rPr>
                            </w:pPr>
                            <w:r>
                              <w:rPr>
                                <w:rFonts w:ascii="arial" w:hAnsi="arial"/>
                                <w:sz w:val="19"/>
                              </w:rPr>
                              <w:t xml:space="preserve">Each of our twelve Employee Resource Groups, dedicated to representing, supporting, and celebrating the diversity of our staff, are supported by an executive sponsor and open to all employees. </w:t>
                            </w:r>
                          </w:p>
                          <w:p>
                            <w:pPr>
                              <w:pStyle w:val="TextBody"/>
                              <w:bidi w:val="0"/>
                              <w:spacing w:before="120" w:after="0"/>
                              <w:jc w:val="center"/>
                              <w:rPr>
                                <w:rFonts w:ascii="arial" w:hAnsi="arial"/>
                                <w:b/>
                                <w:color w:val="0171B9"/>
                                <w:sz w:val="19"/>
                              </w:rPr>
                            </w:pPr>
                            <w:r>
                              <w:rPr>
                                <w:rFonts w:ascii="arial" w:hAnsi="arial"/>
                                <w:b/>
                                <w:color w:val="0171B9"/>
                                <w:sz w:val="19"/>
                              </w:rPr>
                              <w:t xml:space="preserve">Amgen Employee Resource Groups </w:t>
                            </w:r>
                          </w:p>
                          <w:p>
                            <w:pPr>
                              <w:pStyle w:val="TextBody"/>
                              <w:bidi w:val="0"/>
                              <w:spacing w:before="0" w:after="0"/>
                              <w:jc w:val="left"/>
                              <w:rPr/>
                            </w:pPr>
                            <w:r>
                              <w:rPr/>
                              <w:t> </w:t>
                            </w:r>
                          </w:p>
                          <w:tbl>
                            <w:tblPr>
                              <w:tblW w:w="4743" w:type="dxa"/>
                              <w:jc w:val="left"/>
                              <w:tblInd w:w="0" w:type="dxa"/>
                              <w:shd w:fill="0171B9" w:val="clear"/>
                              <w:tblLayout w:type="fixed"/>
                              <w:tblCellMar>
                                <w:top w:w="0" w:type="dxa"/>
                                <w:left w:w="0" w:type="dxa"/>
                                <w:bottom w:w="0" w:type="dxa"/>
                                <w:right w:w="0" w:type="dxa"/>
                              </w:tblCellMar>
                            </w:tblPr>
                            <w:tblGrid>
                              <w:gridCol w:w="2053"/>
                              <w:gridCol w:w="60"/>
                              <w:gridCol w:w="2630"/>
                            </w:tblGrid>
                            <w:tr>
                              <w:trPr/>
                              <w:tc>
                                <w:tcPr>
                                  <w:tcW w:w="2053" w:type="dxa"/>
                                  <w:tcBorders/>
                                  <w:shd w:fill="0171B9" w:val="clear"/>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sz w:val="4"/>
                                      <w:szCs w:val="4"/>
                                    </w:rPr>
                                  </w:pPr>
                                  <w:r>
                                    <w:rPr>
                                      <w:sz w:val="4"/>
                                      <w:szCs w:val="4"/>
                                    </w:rPr>
                                  </w:r>
                                </w:p>
                              </w:tc>
                              <w:tc>
                                <w:tcPr>
                                  <w:tcW w:w="2630" w:type="dxa"/>
                                  <w:tcBorders/>
                                  <w:shd w:fill="0171B9" w:val="clear"/>
                                  <w:vAlign w:val="center"/>
                                </w:tcPr>
                                <w:p>
                                  <w:pPr>
                                    <w:pStyle w:val="TableContents"/>
                                    <w:bidi w:val="0"/>
                                    <w:spacing w:before="0" w:after="283"/>
                                    <w:jc w:val="left"/>
                                    <w:rPr>
                                      <w:sz w:val="4"/>
                                      <w:szCs w:val="4"/>
                                    </w:rPr>
                                  </w:pPr>
                                  <w:r>
                                    <w:rPr>
                                      <w:sz w:val="4"/>
                                      <w:szCs w:val="4"/>
                                    </w:rPr>
                                  </w:r>
                                </w:p>
                              </w:tc>
                            </w:tr>
                            <w:tr>
                              <w:trPr/>
                              <w:tc>
                                <w:tcPr>
                                  <w:tcW w:w="2053" w:type="dxa"/>
                                  <w:tcBorders>
                                    <w:right w:val="single" w:sz="24" w:space="0" w:color="FFFFFF"/>
                                  </w:tcBorders>
                                  <w:shd w:fill="0171B9" w:val="clear"/>
                                  <w:tcMar>
                                    <w:right w:w="28" w:type="dxa"/>
                                  </w:tcMar>
                                  <w:vAlign w:val="center"/>
                                </w:tcPr>
                                <w:p>
                                  <w:pPr>
                                    <w:pStyle w:val="TableContents"/>
                                    <w:bidi w:val="0"/>
                                    <w:spacing w:before="0" w:after="283"/>
                                    <w:jc w:val="left"/>
                                    <w:rPr/>
                                  </w:pPr>
                                  <w:r>
                                    <w:rPr/>
                                    <w:t> </w:t>
                                  </w:r>
                                </w:p>
                              </w:tc>
                              <w:tc>
                                <w:tcPr>
                                  <w:tcW w:w="2690" w:type="dxa"/>
                                  <w:gridSpan w:val="2"/>
                                  <w:tcBorders/>
                                  <w:shd w:fill="0171B9" w:val="clear"/>
                                  <w:vAlign w:val="center"/>
                                </w:tcPr>
                                <w:p>
                                  <w:pPr>
                                    <w:pStyle w:val="TableContents"/>
                                    <w:bidi w:val="0"/>
                                    <w:spacing w:before="0" w:after="283"/>
                                    <w:jc w:val="left"/>
                                    <w:rPr>
                                      <w:sz w:val="4"/>
                                      <w:szCs w:val="4"/>
                                    </w:rPr>
                                  </w:pPr>
                                  <w:r>
                                    <w:rPr>
                                      <w:sz w:val="4"/>
                                      <w:szCs w:val="4"/>
                                    </w:rPr>
                                  </w:r>
                                </w:p>
                              </w:tc>
                            </w:tr>
                            <w:tr>
                              <w:trPr/>
                              <w:tc>
                                <w:tcPr>
                                  <w:tcW w:w="2053" w:type="dxa"/>
                                  <w:tcBorders>
                                    <w:bottom w:val="single" w:sz="24" w:space="0" w:color="FFFFFF"/>
                                    <w:right w:val="single" w:sz="24" w:space="0" w:color="FFFFFF"/>
                                  </w:tcBorders>
                                  <w:shd w:fill="0171B9" w:val="clear"/>
                                  <w:tcMar>
                                    <w:bottom w:w="40" w:type="dxa"/>
                                    <w:right w:w="28" w:type="dxa"/>
                                  </w:tcMar>
                                  <w:vAlign w:val="center"/>
                                </w:tcPr>
                                <w:p>
                                  <w:pPr>
                                    <w:pStyle w:val="TableContents"/>
                                    <w:bidi w:val="0"/>
                                    <w:spacing w:before="0" w:after="0"/>
                                    <w:jc w:val="center"/>
                                    <w:rPr>
                                      <w:rFonts w:ascii="arial" w:hAnsi="arial"/>
                                      <w:b/>
                                      <w:color w:val="FFFFFF"/>
                                      <w:sz w:val="19"/>
                                    </w:rPr>
                                  </w:pPr>
                                  <w:r>
                                    <w:rPr>
                                      <w:rFonts w:ascii="arial" w:hAnsi="arial"/>
                                      <w:b/>
                                      <w:color w:val="FFFFFF"/>
                                      <w:sz w:val="19"/>
                                    </w:rPr>
                                    <w:t>Amgen Asian</w:t>
                                  </w:r>
                                </w:p>
                                <w:p>
                                  <w:pPr>
                                    <w:pStyle w:val="TableContents"/>
                                    <w:bidi w:val="0"/>
                                    <w:spacing w:before="0" w:after="20"/>
                                    <w:jc w:val="center"/>
                                    <w:rPr>
                                      <w:rFonts w:ascii="arial" w:hAnsi="arial"/>
                                      <w:b/>
                                      <w:color w:val="FFFFFF"/>
                                      <w:sz w:val="19"/>
                                    </w:rPr>
                                  </w:pPr>
                                  <w:r>
                                    <w:rPr>
                                      <w:rFonts w:ascii="arial" w:hAnsi="arial"/>
                                      <w:b/>
                                      <w:color w:val="FFFFFF"/>
                                      <w:sz w:val="19"/>
                                    </w:rPr>
                                    <w:t>Association (AAA)</w:t>
                                  </w:r>
                                </w:p>
                              </w:tc>
                              <w:tc>
                                <w:tcPr>
                                  <w:tcW w:w="60" w:type="dxa"/>
                                  <w:tcBorders>
                                    <w:bottom w:val="single" w:sz="24" w:space="0" w:color="FFFFFF"/>
                                  </w:tcBorders>
                                  <w:shd w:fill="0171B9" w:val="clear"/>
                                  <w:tcMar>
                                    <w:bottom w:w="28" w:type="dxa"/>
                                  </w:tcMar>
                                  <w:vAlign w:val="center"/>
                                </w:tcPr>
                                <w:p>
                                  <w:pPr>
                                    <w:pStyle w:val="TableContents"/>
                                    <w:bidi w:val="0"/>
                                    <w:spacing w:before="0" w:after="283"/>
                                    <w:jc w:val="left"/>
                                    <w:rPr/>
                                  </w:pPr>
                                  <w:r>
                                    <w:rPr/>
                                    <w:t> </w:t>
                                  </w:r>
                                </w:p>
                              </w:tc>
                              <w:tc>
                                <w:tcPr>
                                  <w:tcW w:w="2630" w:type="dxa"/>
                                  <w:tcBorders>
                                    <w:bottom w:val="single" w:sz="24" w:space="0" w:color="FFFFFF"/>
                                  </w:tcBorders>
                                  <w:shd w:fill="0171B9" w:val="clear"/>
                                  <w:tcMar>
                                    <w:bottom w:w="40" w:type="dxa"/>
                                  </w:tcMar>
                                  <w:vAlign w:val="center"/>
                                </w:tcPr>
                                <w:p>
                                  <w:pPr>
                                    <w:pStyle w:val="TableContents"/>
                                    <w:bidi w:val="0"/>
                                    <w:spacing w:before="0" w:after="0"/>
                                    <w:jc w:val="center"/>
                                    <w:rPr>
                                      <w:rFonts w:ascii="arial" w:hAnsi="arial"/>
                                      <w:b/>
                                      <w:color w:val="FFFFFF"/>
                                      <w:sz w:val="19"/>
                                    </w:rPr>
                                  </w:pPr>
                                  <w:r>
                                    <w:rPr>
                                      <w:rFonts w:ascii="arial" w:hAnsi="arial"/>
                                      <w:b/>
                                      <w:color w:val="FFFFFF"/>
                                      <w:sz w:val="19"/>
                                    </w:rPr>
                                    <w:t>Amgen Black</w:t>
                                  </w:r>
                                </w:p>
                                <w:p>
                                  <w:pPr>
                                    <w:pStyle w:val="TableContents"/>
                                    <w:bidi w:val="0"/>
                                    <w:spacing w:before="0" w:after="0"/>
                                    <w:jc w:val="center"/>
                                    <w:rPr>
                                      <w:rFonts w:ascii="arial" w:hAnsi="arial"/>
                                      <w:b/>
                                      <w:color w:val="FFFFFF"/>
                                      <w:sz w:val="19"/>
                                    </w:rPr>
                                  </w:pPr>
                                  <w:r>
                                    <w:rPr>
                                      <w:rFonts w:ascii="arial" w:hAnsi="arial"/>
                                      <w:b/>
                                      <w:color w:val="FFFFFF"/>
                                      <w:sz w:val="19"/>
                                    </w:rPr>
                                    <w:t>Employee Network</w:t>
                                  </w:r>
                                </w:p>
                                <w:p>
                                  <w:pPr>
                                    <w:pStyle w:val="TableContents"/>
                                    <w:bidi w:val="0"/>
                                    <w:spacing w:before="0" w:after="0"/>
                                    <w:jc w:val="center"/>
                                    <w:rPr>
                                      <w:rFonts w:ascii="arial" w:hAnsi="arial"/>
                                      <w:b/>
                                      <w:color w:val="FFFFFF"/>
                                      <w:sz w:val="19"/>
                                    </w:rPr>
                                  </w:pPr>
                                  <w:r>
                                    <w:rPr>
                                      <w:rFonts w:ascii="arial" w:hAnsi="arial"/>
                                      <w:b/>
                                      <w:color w:val="FFFFFF"/>
                                      <w:sz w:val="19"/>
                                    </w:rPr>
                                    <w:t>(ABEN)</w:t>
                                  </w:r>
                                </w:p>
                                <w:p>
                                  <w:pPr>
                                    <w:pStyle w:val="TableContents"/>
                                    <w:bidi w:val="0"/>
                                    <w:spacing w:before="0" w:after="20"/>
                                    <w:jc w:val="left"/>
                                    <w:rPr/>
                                  </w:pPr>
                                  <w:r>
                                    <w:rPr/>
                                    <w:t> </w:t>
                                  </w:r>
                                </w:p>
                              </w:tc>
                            </w:tr>
                            <w:tr>
                              <w:trPr/>
                              <w:tc>
                                <w:tcPr>
                                  <w:tcW w:w="4743" w:type="dxa"/>
                                  <w:gridSpan w:val="3"/>
                                  <w:tcBorders/>
                                  <w:shd w:fill="0171B9" w:val="clear"/>
                                  <w:vAlign w:val="center"/>
                                </w:tcPr>
                                <w:p>
                                  <w:pPr>
                                    <w:pStyle w:val="TableContents"/>
                                    <w:bidi w:val="0"/>
                                    <w:spacing w:before="0" w:after="283"/>
                                    <w:jc w:val="left"/>
                                    <w:rPr>
                                      <w:sz w:val="4"/>
                                      <w:szCs w:val="4"/>
                                    </w:rPr>
                                  </w:pPr>
                                  <w:r>
                                    <w:rPr>
                                      <w:sz w:val="4"/>
                                      <w:szCs w:val="4"/>
                                    </w:rPr>
                                  </w:r>
                                </w:p>
                              </w:tc>
                            </w:tr>
                            <w:tr>
                              <w:trPr/>
                              <w:tc>
                                <w:tcPr>
                                  <w:tcW w:w="4743" w:type="dxa"/>
                                  <w:gridSpan w:val="3"/>
                                  <w:tcBorders>
                                    <w:bottom w:val="single" w:sz="24" w:space="0" w:color="FFFFFF"/>
                                  </w:tcBorders>
                                  <w:shd w:fill="0171B9" w:val="clear"/>
                                  <w:tcMar>
                                    <w:bottom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9"/>
                                    </w:rPr>
                                  </w:pPr>
                                  <w:r>
                                    <w:rPr>
                                      <w:rFonts w:ascii="arial" w:hAnsi="arial"/>
                                      <w:b/>
                                      <w:color w:val="FFFFFF"/>
                                      <w:sz w:val="19"/>
                                    </w:rPr>
                                    <w:t>Ability Bettered through Leadership and</w:t>
                                  </w:r>
                                </w:p>
                                <w:p>
                                  <w:pPr>
                                    <w:pStyle w:val="TableContents"/>
                                    <w:bidi w:val="0"/>
                                    <w:spacing w:before="0" w:after="0"/>
                                    <w:jc w:val="center"/>
                                    <w:rPr>
                                      <w:rFonts w:ascii="arial" w:hAnsi="arial"/>
                                      <w:b/>
                                      <w:color w:val="FFFFFF"/>
                                      <w:sz w:val="19"/>
                                    </w:rPr>
                                  </w:pPr>
                                  <w:r>
                                    <w:rPr>
                                      <w:rFonts w:ascii="arial" w:hAnsi="arial"/>
                                      <w:b/>
                                      <w:color w:val="FFFFFF"/>
                                      <w:sz w:val="19"/>
                                    </w:rPr>
                                    <w:t>Education (ABLE), a resource group for those with</w:t>
                                  </w:r>
                                </w:p>
                                <w:p>
                                  <w:pPr>
                                    <w:pStyle w:val="TableContents"/>
                                    <w:bidi w:val="0"/>
                                    <w:spacing w:before="0" w:after="0"/>
                                    <w:jc w:val="center"/>
                                    <w:rPr>
                                      <w:rFonts w:ascii="arial" w:hAnsi="arial"/>
                                      <w:b/>
                                      <w:color w:val="FFFFFF"/>
                                      <w:sz w:val="19"/>
                                    </w:rPr>
                                  </w:pPr>
                                  <w:r>
                                    <w:rPr>
                                      <w:rFonts w:ascii="arial" w:hAnsi="arial"/>
                                      <w:b/>
                                      <w:color w:val="FFFFFF"/>
                                      <w:sz w:val="19"/>
                                    </w:rPr>
                                    <w:t>disabilities, visible and invisible</w:t>
                                  </w:r>
                                </w:p>
                                <w:p>
                                  <w:pPr>
                                    <w:pStyle w:val="TableContents"/>
                                    <w:bidi w:val="0"/>
                                    <w:spacing w:before="0" w:after="20"/>
                                    <w:jc w:val="left"/>
                                    <w:rPr/>
                                  </w:pPr>
                                  <w:r>
                                    <w:rPr/>
                                    <w:t> </w:t>
                                  </w:r>
                                </w:p>
                              </w:tc>
                            </w:tr>
                            <w:tr>
                              <w:trPr/>
                              <w:tc>
                                <w:tcPr>
                                  <w:tcW w:w="2053" w:type="dxa"/>
                                  <w:tcBorders>
                                    <w:right w:val="single" w:sz="24" w:space="0" w:color="FFFFFF"/>
                                  </w:tcBorders>
                                  <w:shd w:fill="0171B9" w:val="clear"/>
                                  <w:tcMar>
                                    <w:right w:w="28" w:type="dxa"/>
                                  </w:tcMar>
                                  <w:vAlign w:val="center"/>
                                </w:tcPr>
                                <w:p>
                                  <w:pPr>
                                    <w:pStyle w:val="TableContents"/>
                                    <w:bidi w:val="0"/>
                                    <w:spacing w:before="0" w:after="283"/>
                                    <w:jc w:val="left"/>
                                    <w:rPr/>
                                  </w:pPr>
                                  <w:r>
                                    <w:rPr/>
                                    <w:t> </w:t>
                                  </w:r>
                                </w:p>
                              </w:tc>
                              <w:tc>
                                <w:tcPr>
                                  <w:tcW w:w="2690" w:type="dxa"/>
                                  <w:gridSpan w:val="2"/>
                                  <w:tcBorders/>
                                  <w:shd w:fill="0171B9" w:val="clear"/>
                                  <w:vAlign w:val="center"/>
                                </w:tcPr>
                                <w:p>
                                  <w:pPr>
                                    <w:pStyle w:val="TableContents"/>
                                    <w:bidi w:val="0"/>
                                    <w:spacing w:before="0" w:after="283"/>
                                    <w:jc w:val="left"/>
                                    <w:rPr>
                                      <w:sz w:val="4"/>
                                      <w:szCs w:val="4"/>
                                    </w:rPr>
                                  </w:pPr>
                                  <w:r>
                                    <w:rPr>
                                      <w:sz w:val="4"/>
                                      <w:szCs w:val="4"/>
                                    </w:rPr>
                                  </w:r>
                                </w:p>
                              </w:tc>
                            </w:tr>
                            <w:tr>
                              <w:trPr/>
                              <w:tc>
                                <w:tcPr>
                                  <w:tcW w:w="2053" w:type="dxa"/>
                                  <w:tcBorders>
                                    <w:bottom w:val="single" w:sz="24" w:space="0" w:color="FFFFFF"/>
                                    <w:right w:val="single" w:sz="24" w:space="0" w:color="FFFFFF"/>
                                  </w:tcBorders>
                                  <w:shd w:fill="0171B9" w:val="clear"/>
                                  <w:tcMar>
                                    <w:bottom w:w="40"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9"/>
                                    </w:rPr>
                                  </w:pPr>
                                  <w:r>
                                    <w:rPr>
                                      <w:rFonts w:ascii="arial" w:hAnsi="arial"/>
                                      <w:b/>
                                      <w:color w:val="FFFFFF"/>
                                      <w:sz w:val="19"/>
                                    </w:rPr>
                                    <w:t>Amgen Early Career</w:t>
                                  </w:r>
                                </w:p>
                                <w:p>
                                  <w:pPr>
                                    <w:pStyle w:val="TableContents"/>
                                    <w:bidi w:val="0"/>
                                    <w:spacing w:before="0" w:after="20"/>
                                    <w:jc w:val="center"/>
                                    <w:rPr>
                                      <w:rFonts w:ascii="arial" w:hAnsi="arial"/>
                                      <w:b/>
                                      <w:color w:val="FFFFFF"/>
                                      <w:sz w:val="19"/>
                                    </w:rPr>
                                  </w:pPr>
                                  <w:r>
                                    <w:rPr>
                                      <w:rFonts w:ascii="arial" w:hAnsi="arial"/>
                                      <w:b/>
                                      <w:color w:val="FFFFFF"/>
                                      <w:sz w:val="19"/>
                                    </w:rPr>
                                    <w:t>Professionals (AECP)</w:t>
                                  </w:r>
                                </w:p>
                              </w:tc>
                              <w:tc>
                                <w:tcPr>
                                  <w:tcW w:w="60" w:type="dxa"/>
                                  <w:tcBorders>
                                    <w:bottom w:val="single" w:sz="24" w:space="0" w:color="FFFFFF"/>
                                  </w:tcBorders>
                                  <w:shd w:fill="0171B9" w:val="clear"/>
                                  <w:tcMar>
                                    <w:bottom w:w="28" w:type="dxa"/>
                                  </w:tcMar>
                                  <w:vAlign w:val="center"/>
                                </w:tcPr>
                                <w:p>
                                  <w:pPr>
                                    <w:pStyle w:val="TableContents"/>
                                    <w:bidi w:val="0"/>
                                    <w:spacing w:before="0" w:after="283"/>
                                    <w:jc w:val="left"/>
                                    <w:rPr/>
                                  </w:pPr>
                                  <w:r>
                                    <w:rPr/>
                                    <w:t> </w:t>
                                  </w:r>
                                </w:p>
                              </w:tc>
                              <w:tc>
                                <w:tcPr>
                                  <w:tcW w:w="2630" w:type="dxa"/>
                                  <w:tcBorders>
                                    <w:bottom w:val="single" w:sz="24" w:space="0" w:color="FFFFFF"/>
                                  </w:tcBorders>
                                  <w:shd w:fill="0171B9" w:val="clear"/>
                                  <w:tcMar>
                                    <w:bottom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9"/>
                                    </w:rPr>
                                  </w:pPr>
                                  <w:r>
                                    <w:rPr>
                                      <w:rFonts w:ascii="arial" w:hAnsi="arial"/>
                                      <w:b/>
                                      <w:color w:val="FFFFFF"/>
                                      <w:sz w:val="19"/>
                                    </w:rPr>
                                    <w:t>Amgen International</w:t>
                                  </w:r>
                                </w:p>
                                <w:p>
                                  <w:pPr>
                                    <w:pStyle w:val="TableContents"/>
                                    <w:bidi w:val="0"/>
                                    <w:spacing w:before="0" w:after="20"/>
                                    <w:jc w:val="center"/>
                                    <w:rPr>
                                      <w:rFonts w:ascii="arial" w:hAnsi="arial"/>
                                      <w:b/>
                                      <w:color w:val="FFFFFF"/>
                                      <w:sz w:val="19"/>
                                    </w:rPr>
                                  </w:pPr>
                                  <w:r>
                                    <w:rPr>
                                      <w:rFonts w:ascii="arial" w:hAnsi="arial"/>
                                      <w:b/>
                                      <w:color w:val="FFFFFF"/>
                                      <w:sz w:val="19"/>
                                    </w:rPr>
                                    <w:t>Network (AIN)</w:t>
                                  </w:r>
                                </w:p>
                              </w:tc>
                            </w:tr>
                            <w:tr>
                              <w:trPr/>
                              <w:tc>
                                <w:tcPr>
                                  <w:tcW w:w="2053" w:type="dxa"/>
                                  <w:tcBorders>
                                    <w:right w:val="single" w:sz="24" w:space="0" w:color="FFFFFF"/>
                                  </w:tcBorders>
                                  <w:shd w:fill="0171B9" w:val="clear"/>
                                  <w:tcMar>
                                    <w:right w:w="28" w:type="dxa"/>
                                  </w:tcMar>
                                  <w:vAlign w:val="center"/>
                                </w:tcPr>
                                <w:p>
                                  <w:pPr>
                                    <w:pStyle w:val="TableContents"/>
                                    <w:bidi w:val="0"/>
                                    <w:spacing w:before="0" w:after="283"/>
                                    <w:jc w:val="left"/>
                                    <w:rPr/>
                                  </w:pPr>
                                  <w:r>
                                    <w:rPr/>
                                    <w:t> </w:t>
                                  </w:r>
                                </w:p>
                              </w:tc>
                              <w:tc>
                                <w:tcPr>
                                  <w:tcW w:w="2690" w:type="dxa"/>
                                  <w:gridSpan w:val="2"/>
                                  <w:tcBorders/>
                                  <w:shd w:fill="0171B9" w:val="clear"/>
                                  <w:vAlign w:val="center"/>
                                </w:tcPr>
                                <w:p>
                                  <w:pPr>
                                    <w:pStyle w:val="TableContents"/>
                                    <w:bidi w:val="0"/>
                                    <w:spacing w:before="0" w:after="283"/>
                                    <w:jc w:val="left"/>
                                    <w:rPr>
                                      <w:sz w:val="4"/>
                                      <w:szCs w:val="4"/>
                                    </w:rPr>
                                  </w:pPr>
                                  <w:r>
                                    <w:rPr>
                                      <w:sz w:val="4"/>
                                      <w:szCs w:val="4"/>
                                    </w:rPr>
                                  </w:r>
                                </w:p>
                              </w:tc>
                            </w:tr>
                            <w:tr>
                              <w:trPr/>
                              <w:tc>
                                <w:tcPr>
                                  <w:tcW w:w="2053" w:type="dxa"/>
                                  <w:tcBorders>
                                    <w:bottom w:val="single" w:sz="24" w:space="0" w:color="FFFFFF"/>
                                    <w:right w:val="single" w:sz="24" w:space="0" w:color="FFFFFF"/>
                                  </w:tcBorders>
                                  <w:shd w:fill="0171B9" w:val="clear"/>
                                  <w:tcMar>
                                    <w:bottom w:w="40"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9"/>
                                    </w:rPr>
                                  </w:pPr>
                                  <w:r>
                                    <w:rPr>
                                      <w:rFonts w:ascii="arial" w:hAnsi="arial"/>
                                      <w:b/>
                                      <w:color w:val="FFFFFF"/>
                                      <w:sz w:val="19"/>
                                    </w:rPr>
                                    <w:t>Amgen Latin</w:t>
                                  </w:r>
                                </w:p>
                                <w:p>
                                  <w:pPr>
                                    <w:pStyle w:val="TableContents"/>
                                    <w:bidi w:val="0"/>
                                    <w:spacing w:before="0" w:after="0"/>
                                    <w:jc w:val="center"/>
                                    <w:rPr>
                                      <w:rFonts w:ascii="arial" w:hAnsi="arial"/>
                                      <w:b/>
                                      <w:color w:val="FFFFFF"/>
                                      <w:sz w:val="19"/>
                                    </w:rPr>
                                  </w:pPr>
                                  <w:r>
                                    <w:rPr>
                                      <w:rFonts w:ascii="arial" w:hAnsi="arial"/>
                                      <w:b/>
                                      <w:color w:val="FFFFFF"/>
                                      <w:sz w:val="19"/>
                                    </w:rPr>
                                    <w:t>Employee Network</w:t>
                                  </w:r>
                                </w:p>
                                <w:p>
                                  <w:pPr>
                                    <w:pStyle w:val="TableContents"/>
                                    <w:bidi w:val="0"/>
                                    <w:spacing w:before="0" w:after="20"/>
                                    <w:jc w:val="center"/>
                                    <w:rPr>
                                      <w:rFonts w:ascii="arial" w:hAnsi="arial"/>
                                      <w:b/>
                                      <w:color w:val="FFFFFF"/>
                                      <w:sz w:val="19"/>
                                    </w:rPr>
                                  </w:pPr>
                                  <w:r>
                                    <w:rPr>
                                      <w:rFonts w:ascii="arial" w:hAnsi="arial"/>
                                      <w:b/>
                                      <w:color w:val="FFFFFF"/>
                                      <w:sz w:val="19"/>
                                    </w:rPr>
                                    <w:t>(ALEN)</w:t>
                                  </w:r>
                                </w:p>
                              </w:tc>
                              <w:tc>
                                <w:tcPr>
                                  <w:tcW w:w="60" w:type="dxa"/>
                                  <w:tcBorders>
                                    <w:bottom w:val="single" w:sz="24" w:space="0" w:color="FFFFFF"/>
                                  </w:tcBorders>
                                  <w:shd w:fill="0171B9" w:val="clear"/>
                                  <w:tcMar>
                                    <w:bottom w:w="28" w:type="dxa"/>
                                  </w:tcMar>
                                  <w:vAlign w:val="center"/>
                                </w:tcPr>
                                <w:p>
                                  <w:pPr>
                                    <w:pStyle w:val="TableContents"/>
                                    <w:bidi w:val="0"/>
                                    <w:spacing w:before="0" w:after="283"/>
                                    <w:jc w:val="left"/>
                                    <w:rPr/>
                                  </w:pPr>
                                  <w:r>
                                    <w:rPr/>
                                    <w:t> </w:t>
                                  </w:r>
                                </w:p>
                              </w:tc>
                              <w:tc>
                                <w:tcPr>
                                  <w:tcW w:w="2630" w:type="dxa"/>
                                  <w:tcBorders>
                                    <w:bottom w:val="single" w:sz="24" w:space="0" w:color="FFFFFF"/>
                                  </w:tcBorders>
                                  <w:shd w:fill="0171B9" w:val="clear"/>
                                  <w:tcMar>
                                    <w:bottom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9"/>
                                    </w:rPr>
                                  </w:pPr>
                                  <w:r>
                                    <w:rPr>
                                      <w:rFonts w:ascii="arial" w:hAnsi="arial"/>
                                      <w:b/>
                                      <w:color w:val="FFFFFF"/>
                                      <w:sz w:val="19"/>
                                    </w:rPr>
                                    <w:t>Amgen PRIDE– LGBTQ and</w:t>
                                  </w:r>
                                </w:p>
                                <w:p>
                                  <w:pPr>
                                    <w:pStyle w:val="TableContents"/>
                                    <w:bidi w:val="0"/>
                                    <w:spacing w:before="0" w:after="0"/>
                                    <w:jc w:val="center"/>
                                    <w:rPr>
                                      <w:rFonts w:ascii="arial" w:hAnsi="arial"/>
                                      <w:b/>
                                      <w:color w:val="FFFFFF"/>
                                      <w:sz w:val="19"/>
                                    </w:rPr>
                                  </w:pPr>
                                  <w:r>
                                    <w:rPr>
                                      <w:rFonts w:ascii="arial" w:hAnsi="arial"/>
                                      <w:b/>
                                      <w:color w:val="FFFFFF"/>
                                      <w:sz w:val="19"/>
                                    </w:rPr>
                                    <w:t>Allies Network (PRIDE)</w:t>
                                  </w:r>
                                </w:p>
                                <w:p>
                                  <w:pPr>
                                    <w:pStyle w:val="TableContents"/>
                                    <w:bidi w:val="0"/>
                                    <w:spacing w:before="0" w:after="20"/>
                                    <w:jc w:val="left"/>
                                    <w:rPr/>
                                  </w:pPr>
                                  <w:r>
                                    <w:rPr/>
                                    <w:t> </w:t>
                                  </w:r>
                                </w:p>
                              </w:tc>
                            </w:tr>
                            <w:tr>
                              <w:trPr/>
                              <w:tc>
                                <w:tcPr>
                                  <w:tcW w:w="2053" w:type="dxa"/>
                                  <w:tcBorders>
                                    <w:right w:val="single" w:sz="24" w:space="0" w:color="FFFFFF"/>
                                  </w:tcBorders>
                                  <w:shd w:fill="0171B9" w:val="clear"/>
                                  <w:tcMar>
                                    <w:right w:w="28" w:type="dxa"/>
                                  </w:tcMar>
                                  <w:vAlign w:val="center"/>
                                </w:tcPr>
                                <w:p>
                                  <w:pPr>
                                    <w:pStyle w:val="TableContents"/>
                                    <w:bidi w:val="0"/>
                                    <w:spacing w:before="0" w:after="283"/>
                                    <w:jc w:val="left"/>
                                    <w:rPr/>
                                  </w:pPr>
                                  <w:r>
                                    <w:rPr/>
                                    <w:t> </w:t>
                                  </w:r>
                                </w:p>
                              </w:tc>
                              <w:tc>
                                <w:tcPr>
                                  <w:tcW w:w="2690" w:type="dxa"/>
                                  <w:gridSpan w:val="2"/>
                                  <w:tcBorders/>
                                  <w:shd w:fill="0171B9" w:val="clear"/>
                                  <w:vAlign w:val="center"/>
                                </w:tcPr>
                                <w:p>
                                  <w:pPr>
                                    <w:pStyle w:val="TableContents"/>
                                    <w:bidi w:val="0"/>
                                    <w:spacing w:before="0" w:after="283"/>
                                    <w:jc w:val="left"/>
                                    <w:rPr>
                                      <w:sz w:val="4"/>
                                      <w:szCs w:val="4"/>
                                    </w:rPr>
                                  </w:pPr>
                                  <w:r>
                                    <w:rPr>
                                      <w:sz w:val="4"/>
                                      <w:szCs w:val="4"/>
                                    </w:rPr>
                                  </w:r>
                                </w:p>
                              </w:tc>
                            </w:tr>
                            <w:tr>
                              <w:trPr/>
                              <w:tc>
                                <w:tcPr>
                                  <w:tcW w:w="2053" w:type="dxa"/>
                                  <w:tcBorders>
                                    <w:bottom w:val="single" w:sz="24" w:space="0" w:color="FFFFFF"/>
                                    <w:right w:val="single" w:sz="24" w:space="0" w:color="FFFFFF"/>
                                  </w:tcBorders>
                                  <w:shd w:fill="0171B9" w:val="clear"/>
                                  <w:tcMar>
                                    <w:bottom w:w="40" w:type="dxa"/>
                                    <w:right w:w="28" w:type="dxa"/>
                                  </w:tcMar>
                                  <w:vAlign w:val="center"/>
                                </w:tcPr>
                                <w:p>
                                  <w:pPr>
                                    <w:pStyle w:val="TableContents"/>
                                    <w:bidi w:val="0"/>
                                    <w:spacing w:before="0" w:after="0"/>
                                    <w:jc w:val="center"/>
                                    <w:rPr>
                                      <w:rFonts w:ascii="arial" w:hAnsi="arial"/>
                                      <w:b/>
                                      <w:color w:val="FFFFFF"/>
                                      <w:sz w:val="19"/>
                                    </w:rPr>
                                  </w:pPr>
                                  <w:r>
                                    <w:rPr>
                                      <w:rFonts w:ascii="arial" w:hAnsi="arial"/>
                                      <w:b/>
                                      <w:color w:val="FFFFFF"/>
                                      <w:sz w:val="19"/>
                                    </w:rPr>
                                    <w:t>Amgen South Asian</w:t>
                                  </w:r>
                                </w:p>
                                <w:p>
                                  <w:pPr>
                                    <w:pStyle w:val="TableContents"/>
                                    <w:bidi w:val="0"/>
                                    <w:spacing w:before="0" w:after="0"/>
                                    <w:jc w:val="center"/>
                                    <w:rPr>
                                      <w:rFonts w:ascii="arial" w:hAnsi="arial"/>
                                      <w:b/>
                                      <w:color w:val="FFFFFF"/>
                                      <w:sz w:val="19"/>
                                    </w:rPr>
                                  </w:pPr>
                                  <w:r>
                                    <w:rPr>
                                      <w:rFonts w:ascii="arial" w:hAnsi="arial"/>
                                      <w:b/>
                                      <w:color w:val="FFFFFF"/>
                                      <w:sz w:val="19"/>
                                    </w:rPr>
                                    <w:t>Network</w:t>
                                  </w:r>
                                </w:p>
                                <w:p>
                                  <w:pPr>
                                    <w:pStyle w:val="TableContents"/>
                                    <w:bidi w:val="0"/>
                                    <w:spacing w:before="0" w:after="20"/>
                                    <w:jc w:val="center"/>
                                    <w:rPr>
                                      <w:rFonts w:ascii="arial" w:hAnsi="arial"/>
                                      <w:b/>
                                      <w:color w:val="FFFFFF"/>
                                      <w:sz w:val="19"/>
                                    </w:rPr>
                                  </w:pPr>
                                  <w:r>
                                    <w:rPr>
                                      <w:rFonts w:ascii="arial" w:hAnsi="arial"/>
                                      <w:b/>
                                      <w:color w:val="FFFFFF"/>
                                      <w:sz w:val="19"/>
                                    </w:rPr>
                                    <w:t>(ASAN)</w:t>
                                  </w:r>
                                </w:p>
                              </w:tc>
                              <w:tc>
                                <w:tcPr>
                                  <w:tcW w:w="60" w:type="dxa"/>
                                  <w:tcBorders>
                                    <w:bottom w:val="single" w:sz="24" w:space="0" w:color="FFFFFF"/>
                                  </w:tcBorders>
                                  <w:shd w:fill="0171B9" w:val="clear"/>
                                  <w:tcMar>
                                    <w:bottom w:w="28" w:type="dxa"/>
                                  </w:tcMar>
                                  <w:vAlign w:val="center"/>
                                </w:tcPr>
                                <w:p>
                                  <w:pPr>
                                    <w:pStyle w:val="TableContents"/>
                                    <w:bidi w:val="0"/>
                                    <w:spacing w:before="0" w:after="283"/>
                                    <w:jc w:val="left"/>
                                    <w:rPr/>
                                  </w:pPr>
                                  <w:r>
                                    <w:rPr/>
                                    <w:t> </w:t>
                                  </w:r>
                                </w:p>
                              </w:tc>
                              <w:tc>
                                <w:tcPr>
                                  <w:tcW w:w="2630" w:type="dxa"/>
                                  <w:tcBorders>
                                    <w:bottom w:val="single" w:sz="24" w:space="0" w:color="FFFFFF"/>
                                  </w:tcBorders>
                                  <w:shd w:fill="0171B9" w:val="clear"/>
                                  <w:tcMar>
                                    <w:bottom w:w="40" w:type="dxa"/>
                                  </w:tcMar>
                                  <w:vAlign w:val="center"/>
                                </w:tcPr>
                                <w:p>
                                  <w:pPr>
                                    <w:pStyle w:val="TableContents"/>
                                    <w:bidi w:val="0"/>
                                    <w:spacing w:before="0" w:after="0"/>
                                    <w:jc w:val="center"/>
                                    <w:rPr>
                                      <w:rFonts w:ascii="arial" w:hAnsi="arial"/>
                                      <w:b/>
                                      <w:color w:val="FFFFFF"/>
                                      <w:sz w:val="19"/>
                                    </w:rPr>
                                  </w:pPr>
                                  <w:r>
                                    <w:rPr>
                                      <w:rFonts w:ascii="arial" w:hAnsi="arial"/>
                                      <w:b/>
                                      <w:color w:val="FFFFFF"/>
                                      <w:sz w:val="19"/>
                                    </w:rPr>
                                    <w:t>Amgen Veterans</w:t>
                                  </w:r>
                                </w:p>
                                <w:p>
                                  <w:pPr>
                                    <w:pStyle w:val="TableContents"/>
                                    <w:bidi w:val="0"/>
                                    <w:spacing w:before="0" w:after="0"/>
                                    <w:jc w:val="center"/>
                                    <w:rPr>
                                      <w:rFonts w:ascii="arial" w:hAnsi="arial"/>
                                      <w:b/>
                                      <w:color w:val="FFFFFF"/>
                                      <w:sz w:val="19"/>
                                    </w:rPr>
                                  </w:pPr>
                                  <w:r>
                                    <w:rPr>
                                      <w:rFonts w:ascii="arial" w:hAnsi="arial"/>
                                      <w:b/>
                                      <w:color w:val="FFFFFF"/>
                                      <w:sz w:val="19"/>
                                    </w:rPr>
                                    <w:t>Employee Network</w:t>
                                  </w:r>
                                </w:p>
                                <w:p>
                                  <w:pPr>
                                    <w:pStyle w:val="TableContents"/>
                                    <w:bidi w:val="0"/>
                                    <w:spacing w:before="0" w:after="0"/>
                                    <w:jc w:val="center"/>
                                    <w:rPr>
                                      <w:rFonts w:ascii="arial" w:hAnsi="arial"/>
                                      <w:b/>
                                      <w:color w:val="FFFFFF"/>
                                      <w:sz w:val="19"/>
                                    </w:rPr>
                                  </w:pPr>
                                  <w:r>
                                    <w:rPr>
                                      <w:rFonts w:ascii="arial" w:hAnsi="arial"/>
                                      <w:b/>
                                      <w:color w:val="FFFFFF"/>
                                      <w:sz w:val="19"/>
                                    </w:rPr>
                                    <w:t>(AVEN)</w:t>
                                  </w:r>
                                </w:p>
                                <w:p>
                                  <w:pPr>
                                    <w:pStyle w:val="TableContents"/>
                                    <w:bidi w:val="0"/>
                                    <w:spacing w:before="0" w:after="20"/>
                                    <w:jc w:val="left"/>
                                    <w:rPr/>
                                  </w:pPr>
                                  <w:r>
                                    <w:rPr/>
                                    <w:t> </w:t>
                                  </w:r>
                                </w:p>
                              </w:tc>
                            </w:tr>
                            <w:tr>
                              <w:trPr/>
                              <w:tc>
                                <w:tcPr>
                                  <w:tcW w:w="4743" w:type="dxa"/>
                                  <w:gridSpan w:val="3"/>
                                  <w:tcBorders/>
                                  <w:shd w:fill="0171B9" w:val="clear"/>
                                  <w:vAlign w:val="center"/>
                                </w:tcPr>
                                <w:p>
                                  <w:pPr>
                                    <w:pStyle w:val="TableContents"/>
                                    <w:bidi w:val="0"/>
                                    <w:spacing w:before="0" w:after="283"/>
                                    <w:jc w:val="left"/>
                                    <w:rPr>
                                      <w:sz w:val="4"/>
                                      <w:szCs w:val="4"/>
                                    </w:rPr>
                                  </w:pPr>
                                  <w:r>
                                    <w:rPr>
                                      <w:sz w:val="4"/>
                                      <w:szCs w:val="4"/>
                                    </w:rPr>
                                  </w:r>
                                </w:p>
                              </w:tc>
                            </w:tr>
                            <w:tr>
                              <w:trPr/>
                              <w:tc>
                                <w:tcPr>
                                  <w:tcW w:w="4743" w:type="dxa"/>
                                  <w:gridSpan w:val="3"/>
                                  <w:tcBorders>
                                    <w:bottom w:val="single" w:sz="24" w:space="0" w:color="FFFFFF"/>
                                  </w:tcBorders>
                                  <w:shd w:fill="0171B9" w:val="clear"/>
                                  <w:tcMar>
                                    <w:bottom w:w="4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rFonts w:ascii="arial" w:hAnsi="arial"/>
                                      <w:b/>
                                      <w:color w:val="FFFFFF"/>
                                      <w:sz w:val="19"/>
                                    </w:rPr>
                                  </w:pPr>
                                  <w:r>
                                    <w:rPr>
                                      <w:rFonts w:ascii="arial" w:hAnsi="arial"/>
                                      <w:b/>
                                      <w:color w:val="FFFFFF"/>
                                      <w:sz w:val="19"/>
                                    </w:rPr>
                                    <w:t>Recognition of Indigenous Peoples, Values and</w:t>
                                  </w:r>
                                </w:p>
                                <w:p>
                                  <w:pPr>
                                    <w:pStyle w:val="TableContents"/>
                                    <w:bidi w:val="0"/>
                                    <w:spacing w:before="0" w:after="0"/>
                                    <w:jc w:val="center"/>
                                    <w:rPr>
                                      <w:rFonts w:ascii="arial" w:hAnsi="arial"/>
                                      <w:b/>
                                      <w:color w:val="FFFFFF"/>
                                      <w:sz w:val="19"/>
                                    </w:rPr>
                                  </w:pPr>
                                  <w:r>
                                    <w:rPr>
                                      <w:rFonts w:ascii="arial" w:hAnsi="arial"/>
                                      <w:b/>
                                      <w:color w:val="FFFFFF"/>
                                      <w:sz w:val="19"/>
                                    </w:rPr>
                                    <w:t>Environmental Resources (RIVER)</w:t>
                                  </w:r>
                                </w:p>
                                <w:p>
                                  <w:pPr>
                                    <w:pStyle w:val="TableContents"/>
                                    <w:bidi w:val="0"/>
                                    <w:spacing w:before="0" w:after="20"/>
                                    <w:jc w:val="left"/>
                                    <w:rPr/>
                                  </w:pPr>
                                  <w:r>
                                    <w:rPr/>
                                    <w:t> </w:t>
                                  </w:r>
                                </w:p>
                              </w:tc>
                            </w:tr>
                            <w:tr>
                              <w:trPr/>
                              <w:tc>
                                <w:tcPr>
                                  <w:tcW w:w="2053" w:type="dxa"/>
                                  <w:tcBorders>
                                    <w:right w:val="single" w:sz="24" w:space="0" w:color="FFFFFF"/>
                                  </w:tcBorders>
                                  <w:shd w:fill="0171B9" w:val="clear"/>
                                  <w:tcMar>
                                    <w:right w:w="28" w:type="dxa"/>
                                  </w:tcMar>
                                  <w:vAlign w:val="center"/>
                                </w:tcPr>
                                <w:p>
                                  <w:pPr>
                                    <w:pStyle w:val="TableContents"/>
                                    <w:bidi w:val="0"/>
                                    <w:spacing w:before="0" w:after="283"/>
                                    <w:jc w:val="left"/>
                                    <w:rPr/>
                                  </w:pPr>
                                  <w:r>
                                    <w:rPr/>
                                    <w:t> </w:t>
                                  </w:r>
                                </w:p>
                              </w:tc>
                              <w:tc>
                                <w:tcPr>
                                  <w:tcW w:w="2690" w:type="dxa"/>
                                  <w:gridSpan w:val="2"/>
                                  <w:tcBorders/>
                                  <w:shd w:fill="0171B9" w:val="clear"/>
                                  <w:vAlign w:val="center"/>
                                </w:tcPr>
                                <w:p>
                                  <w:pPr>
                                    <w:pStyle w:val="TableContents"/>
                                    <w:bidi w:val="0"/>
                                    <w:spacing w:before="0" w:after="283"/>
                                    <w:jc w:val="left"/>
                                    <w:rPr>
                                      <w:sz w:val="4"/>
                                      <w:szCs w:val="4"/>
                                    </w:rPr>
                                  </w:pPr>
                                  <w:r>
                                    <w:rPr>
                                      <w:sz w:val="4"/>
                                      <w:szCs w:val="4"/>
                                    </w:rPr>
                                  </w:r>
                                </w:p>
                              </w:tc>
                            </w:tr>
                            <w:tr>
                              <w:trPr/>
                              <w:tc>
                                <w:tcPr>
                                  <w:tcW w:w="2053" w:type="dxa"/>
                                  <w:tcBorders>
                                    <w:bottom w:val="single" w:sz="24" w:space="0" w:color="FFFFFF"/>
                                    <w:right w:val="single" w:sz="24" w:space="0" w:color="FFFFFF"/>
                                  </w:tcBorders>
                                  <w:shd w:fill="0171B9" w:val="clear"/>
                                  <w:tcMar>
                                    <w:bottom w:w="40"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9"/>
                                    </w:rPr>
                                  </w:pPr>
                                  <w:r>
                                    <w:rPr>
                                      <w:rFonts w:ascii="arial" w:hAnsi="arial"/>
                                      <w:b/>
                                      <w:color w:val="FFFFFF"/>
                                      <w:sz w:val="19"/>
                                    </w:rPr>
                                    <w:t>Women Empowered</w:t>
                                  </w:r>
                                </w:p>
                                <w:p>
                                  <w:pPr>
                                    <w:pStyle w:val="TableContents"/>
                                    <w:bidi w:val="0"/>
                                    <w:spacing w:before="0" w:after="0"/>
                                    <w:jc w:val="center"/>
                                    <w:rPr>
                                      <w:rFonts w:ascii="arial" w:hAnsi="arial"/>
                                      <w:b/>
                                      <w:color w:val="FFFFFF"/>
                                      <w:sz w:val="19"/>
                                    </w:rPr>
                                  </w:pPr>
                                  <w:r>
                                    <w:rPr>
                                      <w:rFonts w:ascii="arial" w:hAnsi="arial"/>
                                      <w:b/>
                                      <w:color w:val="FFFFFF"/>
                                      <w:sz w:val="19"/>
                                    </w:rPr>
                                    <w:t>to be Exceptional</w:t>
                                  </w:r>
                                </w:p>
                                <w:p>
                                  <w:pPr>
                                    <w:pStyle w:val="TableContents"/>
                                    <w:bidi w:val="0"/>
                                    <w:spacing w:before="0" w:after="20"/>
                                    <w:jc w:val="center"/>
                                    <w:rPr>
                                      <w:rFonts w:ascii="arial" w:hAnsi="arial"/>
                                      <w:b/>
                                      <w:color w:val="FFFFFF"/>
                                      <w:sz w:val="19"/>
                                    </w:rPr>
                                  </w:pPr>
                                  <w:r>
                                    <w:rPr>
                                      <w:rFonts w:ascii="arial" w:hAnsi="arial"/>
                                      <w:b/>
                                      <w:color w:val="FFFFFF"/>
                                      <w:sz w:val="19"/>
                                    </w:rPr>
                                    <w:t>(WE2)</w:t>
                                  </w:r>
                                </w:p>
                              </w:tc>
                              <w:tc>
                                <w:tcPr>
                                  <w:tcW w:w="60" w:type="dxa"/>
                                  <w:tcBorders>
                                    <w:bottom w:val="single" w:sz="24" w:space="0" w:color="FFFFFF"/>
                                  </w:tcBorders>
                                  <w:shd w:fill="0171B9" w:val="clear"/>
                                  <w:tcMar>
                                    <w:bottom w:w="28" w:type="dxa"/>
                                  </w:tcMar>
                                  <w:vAlign w:val="center"/>
                                </w:tcPr>
                                <w:p>
                                  <w:pPr>
                                    <w:pStyle w:val="TableContents"/>
                                    <w:bidi w:val="0"/>
                                    <w:spacing w:before="0" w:after="283"/>
                                    <w:jc w:val="left"/>
                                    <w:rPr/>
                                  </w:pPr>
                                  <w:r>
                                    <w:rPr/>
                                    <w:t> </w:t>
                                  </w:r>
                                </w:p>
                              </w:tc>
                              <w:tc>
                                <w:tcPr>
                                  <w:tcW w:w="2630" w:type="dxa"/>
                                  <w:tcBorders>
                                    <w:bottom w:val="single" w:sz="24" w:space="0" w:color="FFFFFF"/>
                                  </w:tcBorders>
                                  <w:shd w:fill="0171B9" w:val="clear"/>
                                  <w:tcMar>
                                    <w:bottom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9"/>
                                    </w:rPr>
                                  </w:pPr>
                                  <w:r>
                                    <w:rPr>
                                      <w:rFonts w:ascii="arial" w:hAnsi="arial"/>
                                      <w:b/>
                                      <w:color w:val="FFFFFF"/>
                                      <w:sz w:val="19"/>
                                    </w:rPr>
                                    <w:t>Women in STEM</w:t>
                                  </w:r>
                                </w:p>
                                <w:p>
                                  <w:pPr>
                                    <w:pStyle w:val="TableContents"/>
                                    <w:bidi w:val="0"/>
                                    <w:spacing w:before="0" w:after="0"/>
                                    <w:jc w:val="center"/>
                                    <w:rPr>
                                      <w:rFonts w:ascii="arial" w:hAnsi="arial"/>
                                      <w:b/>
                                      <w:color w:val="FFFFFF"/>
                                      <w:sz w:val="19"/>
                                    </w:rPr>
                                  </w:pPr>
                                  <w:r>
                                    <w:rPr>
                                      <w:rFonts w:ascii="arial" w:hAnsi="arial"/>
                                      <w:b/>
                                      <w:color w:val="FFFFFF"/>
                                      <w:sz w:val="19"/>
                                    </w:rPr>
                                    <w:t>Enrichment</w:t>
                                  </w:r>
                                </w:p>
                                <w:p>
                                  <w:pPr>
                                    <w:pStyle w:val="TableContents"/>
                                    <w:bidi w:val="0"/>
                                    <w:spacing w:before="0" w:after="20"/>
                                    <w:jc w:val="center"/>
                                    <w:rPr>
                                      <w:rFonts w:ascii="arial" w:hAnsi="arial"/>
                                      <w:b/>
                                      <w:color w:val="FFFFFF"/>
                                      <w:sz w:val="19"/>
                                    </w:rPr>
                                  </w:pPr>
                                  <w:r>
                                    <w:rPr>
                                      <w:rFonts w:ascii="arial" w:hAnsi="arial"/>
                                      <w:b/>
                                      <w:color w:val="FFFFFF"/>
                                      <w:sz w:val="19"/>
                                    </w:rPr>
                                    <w:t>(WISE)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2.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Our executive leadership is responsible for overseeing our workforce strategy. In our effort to attract and retain the best talent, we seek out and support talent across the globe, including in underrepresented populations, consistent with our commitment to equal opportunity. We continue to incorporate equal opportunity and inclusion considerations into our business operations, including clinical trial design and procurement, to broaden our access to patients and suppliers to the benefit of our business. </w:t>
                      </w:r>
                    </w:p>
                    <w:p>
                      <w:pPr>
                        <w:pStyle w:val="TextBody"/>
                        <w:bidi w:val="0"/>
                        <w:spacing w:before="120" w:after="0"/>
                        <w:jc w:val="both"/>
                        <w:rPr>
                          <w:rFonts w:ascii="arial" w:hAnsi="arial"/>
                          <w:sz w:val="19"/>
                        </w:rPr>
                      </w:pPr>
                      <w:r>
                        <w:rPr>
                          <w:rFonts w:ascii="arial" w:hAnsi="arial"/>
                          <w:sz w:val="19"/>
                        </w:rPr>
                        <w:t xml:space="preserve">Each of our twelve Employee Resource Groups, dedicated to representing, supporting, and celebrating the diversity of our staff, are supported by an executive sponsor and open to all employees. </w:t>
                      </w:r>
                    </w:p>
                    <w:p>
                      <w:pPr>
                        <w:pStyle w:val="TextBody"/>
                        <w:bidi w:val="0"/>
                        <w:spacing w:before="120" w:after="0"/>
                        <w:jc w:val="center"/>
                        <w:rPr>
                          <w:rFonts w:ascii="arial" w:hAnsi="arial"/>
                          <w:b/>
                          <w:color w:val="0171B9"/>
                          <w:sz w:val="19"/>
                        </w:rPr>
                      </w:pPr>
                      <w:r>
                        <w:rPr>
                          <w:rFonts w:ascii="arial" w:hAnsi="arial"/>
                          <w:b/>
                          <w:color w:val="0171B9"/>
                          <w:sz w:val="19"/>
                        </w:rPr>
                        <w:t xml:space="preserve">Amgen Employee Resource Groups </w:t>
                      </w:r>
                    </w:p>
                    <w:p>
                      <w:pPr>
                        <w:pStyle w:val="TextBody"/>
                        <w:bidi w:val="0"/>
                        <w:spacing w:before="0" w:after="0"/>
                        <w:jc w:val="left"/>
                        <w:rPr/>
                      </w:pPr>
                      <w:r>
                        <w:rPr/>
                        <w:t> </w:t>
                      </w:r>
                    </w:p>
                    <w:tbl>
                      <w:tblPr>
                        <w:tblW w:w="4743" w:type="dxa"/>
                        <w:jc w:val="left"/>
                        <w:tblInd w:w="0" w:type="dxa"/>
                        <w:shd w:fill="0171B9" w:val="clear"/>
                        <w:tblLayout w:type="fixed"/>
                        <w:tblCellMar>
                          <w:top w:w="0" w:type="dxa"/>
                          <w:left w:w="0" w:type="dxa"/>
                          <w:bottom w:w="0" w:type="dxa"/>
                          <w:right w:w="0" w:type="dxa"/>
                        </w:tblCellMar>
                      </w:tblPr>
                      <w:tblGrid>
                        <w:gridCol w:w="2053"/>
                        <w:gridCol w:w="60"/>
                        <w:gridCol w:w="2630"/>
                      </w:tblGrid>
                      <w:tr>
                        <w:trPr/>
                        <w:tc>
                          <w:tcPr>
                            <w:tcW w:w="2053" w:type="dxa"/>
                            <w:tcBorders/>
                            <w:shd w:fill="0171B9" w:val="clear"/>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sz w:val="4"/>
                                <w:szCs w:val="4"/>
                              </w:rPr>
                            </w:pPr>
                            <w:r>
                              <w:rPr>
                                <w:sz w:val="4"/>
                                <w:szCs w:val="4"/>
                              </w:rPr>
                            </w:r>
                          </w:p>
                        </w:tc>
                        <w:tc>
                          <w:tcPr>
                            <w:tcW w:w="2630" w:type="dxa"/>
                            <w:tcBorders/>
                            <w:shd w:fill="0171B9" w:val="clear"/>
                            <w:vAlign w:val="center"/>
                          </w:tcPr>
                          <w:p>
                            <w:pPr>
                              <w:pStyle w:val="TableContents"/>
                              <w:bidi w:val="0"/>
                              <w:spacing w:before="0" w:after="283"/>
                              <w:jc w:val="left"/>
                              <w:rPr>
                                <w:sz w:val="4"/>
                                <w:szCs w:val="4"/>
                              </w:rPr>
                            </w:pPr>
                            <w:r>
                              <w:rPr>
                                <w:sz w:val="4"/>
                                <w:szCs w:val="4"/>
                              </w:rPr>
                            </w:r>
                          </w:p>
                        </w:tc>
                      </w:tr>
                      <w:tr>
                        <w:trPr/>
                        <w:tc>
                          <w:tcPr>
                            <w:tcW w:w="2053" w:type="dxa"/>
                            <w:tcBorders>
                              <w:right w:val="single" w:sz="24" w:space="0" w:color="FFFFFF"/>
                            </w:tcBorders>
                            <w:shd w:fill="0171B9" w:val="clear"/>
                            <w:tcMar>
                              <w:right w:w="28" w:type="dxa"/>
                            </w:tcMar>
                            <w:vAlign w:val="center"/>
                          </w:tcPr>
                          <w:p>
                            <w:pPr>
                              <w:pStyle w:val="TableContents"/>
                              <w:bidi w:val="0"/>
                              <w:spacing w:before="0" w:after="283"/>
                              <w:jc w:val="left"/>
                              <w:rPr/>
                            </w:pPr>
                            <w:r>
                              <w:rPr/>
                              <w:t> </w:t>
                            </w:r>
                          </w:p>
                        </w:tc>
                        <w:tc>
                          <w:tcPr>
                            <w:tcW w:w="2690" w:type="dxa"/>
                            <w:gridSpan w:val="2"/>
                            <w:tcBorders/>
                            <w:shd w:fill="0171B9" w:val="clear"/>
                            <w:vAlign w:val="center"/>
                          </w:tcPr>
                          <w:p>
                            <w:pPr>
                              <w:pStyle w:val="TableContents"/>
                              <w:bidi w:val="0"/>
                              <w:spacing w:before="0" w:after="283"/>
                              <w:jc w:val="left"/>
                              <w:rPr>
                                <w:sz w:val="4"/>
                                <w:szCs w:val="4"/>
                              </w:rPr>
                            </w:pPr>
                            <w:r>
                              <w:rPr>
                                <w:sz w:val="4"/>
                                <w:szCs w:val="4"/>
                              </w:rPr>
                            </w:r>
                          </w:p>
                        </w:tc>
                      </w:tr>
                      <w:tr>
                        <w:trPr/>
                        <w:tc>
                          <w:tcPr>
                            <w:tcW w:w="2053" w:type="dxa"/>
                            <w:tcBorders>
                              <w:bottom w:val="single" w:sz="24" w:space="0" w:color="FFFFFF"/>
                              <w:right w:val="single" w:sz="24" w:space="0" w:color="FFFFFF"/>
                            </w:tcBorders>
                            <w:shd w:fill="0171B9" w:val="clear"/>
                            <w:tcMar>
                              <w:bottom w:w="40" w:type="dxa"/>
                              <w:right w:w="28" w:type="dxa"/>
                            </w:tcMar>
                            <w:vAlign w:val="center"/>
                          </w:tcPr>
                          <w:p>
                            <w:pPr>
                              <w:pStyle w:val="TableContents"/>
                              <w:bidi w:val="0"/>
                              <w:spacing w:before="0" w:after="0"/>
                              <w:jc w:val="center"/>
                              <w:rPr>
                                <w:rFonts w:ascii="arial" w:hAnsi="arial"/>
                                <w:b/>
                                <w:color w:val="FFFFFF"/>
                                <w:sz w:val="19"/>
                              </w:rPr>
                            </w:pPr>
                            <w:r>
                              <w:rPr>
                                <w:rFonts w:ascii="arial" w:hAnsi="arial"/>
                                <w:b/>
                                <w:color w:val="FFFFFF"/>
                                <w:sz w:val="19"/>
                              </w:rPr>
                              <w:t>Amgen Asian</w:t>
                            </w:r>
                          </w:p>
                          <w:p>
                            <w:pPr>
                              <w:pStyle w:val="TableContents"/>
                              <w:bidi w:val="0"/>
                              <w:spacing w:before="0" w:after="20"/>
                              <w:jc w:val="center"/>
                              <w:rPr>
                                <w:rFonts w:ascii="arial" w:hAnsi="arial"/>
                                <w:b/>
                                <w:color w:val="FFFFFF"/>
                                <w:sz w:val="19"/>
                              </w:rPr>
                            </w:pPr>
                            <w:r>
                              <w:rPr>
                                <w:rFonts w:ascii="arial" w:hAnsi="arial"/>
                                <w:b/>
                                <w:color w:val="FFFFFF"/>
                                <w:sz w:val="19"/>
                              </w:rPr>
                              <w:t>Association (AAA)</w:t>
                            </w:r>
                          </w:p>
                        </w:tc>
                        <w:tc>
                          <w:tcPr>
                            <w:tcW w:w="60" w:type="dxa"/>
                            <w:tcBorders>
                              <w:bottom w:val="single" w:sz="24" w:space="0" w:color="FFFFFF"/>
                            </w:tcBorders>
                            <w:shd w:fill="0171B9" w:val="clear"/>
                            <w:tcMar>
                              <w:bottom w:w="28" w:type="dxa"/>
                            </w:tcMar>
                            <w:vAlign w:val="center"/>
                          </w:tcPr>
                          <w:p>
                            <w:pPr>
                              <w:pStyle w:val="TableContents"/>
                              <w:bidi w:val="0"/>
                              <w:spacing w:before="0" w:after="283"/>
                              <w:jc w:val="left"/>
                              <w:rPr/>
                            </w:pPr>
                            <w:r>
                              <w:rPr/>
                              <w:t> </w:t>
                            </w:r>
                          </w:p>
                        </w:tc>
                        <w:tc>
                          <w:tcPr>
                            <w:tcW w:w="2630" w:type="dxa"/>
                            <w:tcBorders>
                              <w:bottom w:val="single" w:sz="24" w:space="0" w:color="FFFFFF"/>
                            </w:tcBorders>
                            <w:shd w:fill="0171B9" w:val="clear"/>
                            <w:tcMar>
                              <w:bottom w:w="40" w:type="dxa"/>
                            </w:tcMar>
                            <w:vAlign w:val="center"/>
                          </w:tcPr>
                          <w:p>
                            <w:pPr>
                              <w:pStyle w:val="TableContents"/>
                              <w:bidi w:val="0"/>
                              <w:spacing w:before="0" w:after="0"/>
                              <w:jc w:val="center"/>
                              <w:rPr>
                                <w:rFonts w:ascii="arial" w:hAnsi="arial"/>
                                <w:b/>
                                <w:color w:val="FFFFFF"/>
                                <w:sz w:val="19"/>
                              </w:rPr>
                            </w:pPr>
                            <w:r>
                              <w:rPr>
                                <w:rFonts w:ascii="arial" w:hAnsi="arial"/>
                                <w:b/>
                                <w:color w:val="FFFFFF"/>
                                <w:sz w:val="19"/>
                              </w:rPr>
                              <w:t>Amgen Black</w:t>
                            </w:r>
                          </w:p>
                          <w:p>
                            <w:pPr>
                              <w:pStyle w:val="TableContents"/>
                              <w:bidi w:val="0"/>
                              <w:spacing w:before="0" w:after="0"/>
                              <w:jc w:val="center"/>
                              <w:rPr>
                                <w:rFonts w:ascii="arial" w:hAnsi="arial"/>
                                <w:b/>
                                <w:color w:val="FFFFFF"/>
                                <w:sz w:val="19"/>
                              </w:rPr>
                            </w:pPr>
                            <w:r>
                              <w:rPr>
                                <w:rFonts w:ascii="arial" w:hAnsi="arial"/>
                                <w:b/>
                                <w:color w:val="FFFFFF"/>
                                <w:sz w:val="19"/>
                              </w:rPr>
                              <w:t>Employee Network</w:t>
                            </w:r>
                          </w:p>
                          <w:p>
                            <w:pPr>
                              <w:pStyle w:val="TableContents"/>
                              <w:bidi w:val="0"/>
                              <w:spacing w:before="0" w:after="0"/>
                              <w:jc w:val="center"/>
                              <w:rPr>
                                <w:rFonts w:ascii="arial" w:hAnsi="arial"/>
                                <w:b/>
                                <w:color w:val="FFFFFF"/>
                                <w:sz w:val="19"/>
                              </w:rPr>
                            </w:pPr>
                            <w:r>
                              <w:rPr>
                                <w:rFonts w:ascii="arial" w:hAnsi="arial"/>
                                <w:b/>
                                <w:color w:val="FFFFFF"/>
                                <w:sz w:val="19"/>
                              </w:rPr>
                              <w:t>(ABEN)</w:t>
                            </w:r>
                          </w:p>
                          <w:p>
                            <w:pPr>
                              <w:pStyle w:val="TableContents"/>
                              <w:bidi w:val="0"/>
                              <w:spacing w:before="0" w:after="20"/>
                              <w:jc w:val="left"/>
                              <w:rPr/>
                            </w:pPr>
                            <w:r>
                              <w:rPr/>
                              <w:t> </w:t>
                            </w:r>
                          </w:p>
                        </w:tc>
                      </w:tr>
                      <w:tr>
                        <w:trPr/>
                        <w:tc>
                          <w:tcPr>
                            <w:tcW w:w="4743" w:type="dxa"/>
                            <w:gridSpan w:val="3"/>
                            <w:tcBorders/>
                            <w:shd w:fill="0171B9" w:val="clear"/>
                            <w:vAlign w:val="center"/>
                          </w:tcPr>
                          <w:p>
                            <w:pPr>
                              <w:pStyle w:val="TableContents"/>
                              <w:bidi w:val="0"/>
                              <w:spacing w:before="0" w:after="283"/>
                              <w:jc w:val="left"/>
                              <w:rPr>
                                <w:sz w:val="4"/>
                                <w:szCs w:val="4"/>
                              </w:rPr>
                            </w:pPr>
                            <w:r>
                              <w:rPr>
                                <w:sz w:val="4"/>
                                <w:szCs w:val="4"/>
                              </w:rPr>
                            </w:r>
                          </w:p>
                        </w:tc>
                      </w:tr>
                      <w:tr>
                        <w:trPr/>
                        <w:tc>
                          <w:tcPr>
                            <w:tcW w:w="4743" w:type="dxa"/>
                            <w:gridSpan w:val="3"/>
                            <w:tcBorders>
                              <w:bottom w:val="single" w:sz="24" w:space="0" w:color="FFFFFF"/>
                            </w:tcBorders>
                            <w:shd w:fill="0171B9" w:val="clear"/>
                            <w:tcMar>
                              <w:bottom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9"/>
                              </w:rPr>
                            </w:pPr>
                            <w:r>
                              <w:rPr>
                                <w:rFonts w:ascii="arial" w:hAnsi="arial"/>
                                <w:b/>
                                <w:color w:val="FFFFFF"/>
                                <w:sz w:val="19"/>
                              </w:rPr>
                              <w:t>Ability Bettered through Leadership and</w:t>
                            </w:r>
                          </w:p>
                          <w:p>
                            <w:pPr>
                              <w:pStyle w:val="TableContents"/>
                              <w:bidi w:val="0"/>
                              <w:spacing w:before="0" w:after="0"/>
                              <w:jc w:val="center"/>
                              <w:rPr>
                                <w:rFonts w:ascii="arial" w:hAnsi="arial"/>
                                <w:b/>
                                <w:color w:val="FFFFFF"/>
                                <w:sz w:val="19"/>
                              </w:rPr>
                            </w:pPr>
                            <w:r>
                              <w:rPr>
                                <w:rFonts w:ascii="arial" w:hAnsi="arial"/>
                                <w:b/>
                                <w:color w:val="FFFFFF"/>
                                <w:sz w:val="19"/>
                              </w:rPr>
                              <w:t>Education (ABLE), a resource group for those with</w:t>
                            </w:r>
                          </w:p>
                          <w:p>
                            <w:pPr>
                              <w:pStyle w:val="TableContents"/>
                              <w:bidi w:val="0"/>
                              <w:spacing w:before="0" w:after="0"/>
                              <w:jc w:val="center"/>
                              <w:rPr>
                                <w:rFonts w:ascii="arial" w:hAnsi="arial"/>
                                <w:b/>
                                <w:color w:val="FFFFFF"/>
                                <w:sz w:val="19"/>
                              </w:rPr>
                            </w:pPr>
                            <w:r>
                              <w:rPr>
                                <w:rFonts w:ascii="arial" w:hAnsi="arial"/>
                                <w:b/>
                                <w:color w:val="FFFFFF"/>
                                <w:sz w:val="19"/>
                              </w:rPr>
                              <w:t>disabilities, visible and invisible</w:t>
                            </w:r>
                          </w:p>
                          <w:p>
                            <w:pPr>
                              <w:pStyle w:val="TableContents"/>
                              <w:bidi w:val="0"/>
                              <w:spacing w:before="0" w:after="20"/>
                              <w:jc w:val="left"/>
                              <w:rPr/>
                            </w:pPr>
                            <w:r>
                              <w:rPr/>
                              <w:t> </w:t>
                            </w:r>
                          </w:p>
                        </w:tc>
                      </w:tr>
                      <w:tr>
                        <w:trPr/>
                        <w:tc>
                          <w:tcPr>
                            <w:tcW w:w="2053" w:type="dxa"/>
                            <w:tcBorders>
                              <w:right w:val="single" w:sz="24" w:space="0" w:color="FFFFFF"/>
                            </w:tcBorders>
                            <w:shd w:fill="0171B9" w:val="clear"/>
                            <w:tcMar>
                              <w:right w:w="28" w:type="dxa"/>
                            </w:tcMar>
                            <w:vAlign w:val="center"/>
                          </w:tcPr>
                          <w:p>
                            <w:pPr>
                              <w:pStyle w:val="TableContents"/>
                              <w:bidi w:val="0"/>
                              <w:spacing w:before="0" w:after="283"/>
                              <w:jc w:val="left"/>
                              <w:rPr/>
                            </w:pPr>
                            <w:r>
                              <w:rPr/>
                              <w:t> </w:t>
                            </w:r>
                          </w:p>
                        </w:tc>
                        <w:tc>
                          <w:tcPr>
                            <w:tcW w:w="2690" w:type="dxa"/>
                            <w:gridSpan w:val="2"/>
                            <w:tcBorders/>
                            <w:shd w:fill="0171B9" w:val="clear"/>
                            <w:vAlign w:val="center"/>
                          </w:tcPr>
                          <w:p>
                            <w:pPr>
                              <w:pStyle w:val="TableContents"/>
                              <w:bidi w:val="0"/>
                              <w:spacing w:before="0" w:after="283"/>
                              <w:jc w:val="left"/>
                              <w:rPr>
                                <w:sz w:val="4"/>
                                <w:szCs w:val="4"/>
                              </w:rPr>
                            </w:pPr>
                            <w:r>
                              <w:rPr>
                                <w:sz w:val="4"/>
                                <w:szCs w:val="4"/>
                              </w:rPr>
                            </w:r>
                          </w:p>
                        </w:tc>
                      </w:tr>
                      <w:tr>
                        <w:trPr/>
                        <w:tc>
                          <w:tcPr>
                            <w:tcW w:w="2053" w:type="dxa"/>
                            <w:tcBorders>
                              <w:bottom w:val="single" w:sz="24" w:space="0" w:color="FFFFFF"/>
                              <w:right w:val="single" w:sz="24" w:space="0" w:color="FFFFFF"/>
                            </w:tcBorders>
                            <w:shd w:fill="0171B9" w:val="clear"/>
                            <w:tcMar>
                              <w:bottom w:w="40"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9"/>
                              </w:rPr>
                            </w:pPr>
                            <w:r>
                              <w:rPr>
                                <w:rFonts w:ascii="arial" w:hAnsi="arial"/>
                                <w:b/>
                                <w:color w:val="FFFFFF"/>
                                <w:sz w:val="19"/>
                              </w:rPr>
                              <w:t>Amgen Early Career</w:t>
                            </w:r>
                          </w:p>
                          <w:p>
                            <w:pPr>
                              <w:pStyle w:val="TableContents"/>
                              <w:bidi w:val="0"/>
                              <w:spacing w:before="0" w:after="20"/>
                              <w:jc w:val="center"/>
                              <w:rPr>
                                <w:rFonts w:ascii="arial" w:hAnsi="arial"/>
                                <w:b/>
                                <w:color w:val="FFFFFF"/>
                                <w:sz w:val="19"/>
                              </w:rPr>
                            </w:pPr>
                            <w:r>
                              <w:rPr>
                                <w:rFonts w:ascii="arial" w:hAnsi="arial"/>
                                <w:b/>
                                <w:color w:val="FFFFFF"/>
                                <w:sz w:val="19"/>
                              </w:rPr>
                              <w:t>Professionals (AECP)</w:t>
                            </w:r>
                          </w:p>
                        </w:tc>
                        <w:tc>
                          <w:tcPr>
                            <w:tcW w:w="60" w:type="dxa"/>
                            <w:tcBorders>
                              <w:bottom w:val="single" w:sz="24" w:space="0" w:color="FFFFFF"/>
                            </w:tcBorders>
                            <w:shd w:fill="0171B9" w:val="clear"/>
                            <w:tcMar>
                              <w:bottom w:w="28" w:type="dxa"/>
                            </w:tcMar>
                            <w:vAlign w:val="center"/>
                          </w:tcPr>
                          <w:p>
                            <w:pPr>
                              <w:pStyle w:val="TableContents"/>
                              <w:bidi w:val="0"/>
                              <w:spacing w:before="0" w:after="283"/>
                              <w:jc w:val="left"/>
                              <w:rPr/>
                            </w:pPr>
                            <w:r>
                              <w:rPr/>
                              <w:t> </w:t>
                            </w:r>
                          </w:p>
                        </w:tc>
                        <w:tc>
                          <w:tcPr>
                            <w:tcW w:w="2630" w:type="dxa"/>
                            <w:tcBorders>
                              <w:bottom w:val="single" w:sz="24" w:space="0" w:color="FFFFFF"/>
                            </w:tcBorders>
                            <w:shd w:fill="0171B9" w:val="clear"/>
                            <w:tcMar>
                              <w:bottom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9"/>
                              </w:rPr>
                            </w:pPr>
                            <w:r>
                              <w:rPr>
                                <w:rFonts w:ascii="arial" w:hAnsi="arial"/>
                                <w:b/>
                                <w:color w:val="FFFFFF"/>
                                <w:sz w:val="19"/>
                              </w:rPr>
                              <w:t>Amgen International</w:t>
                            </w:r>
                          </w:p>
                          <w:p>
                            <w:pPr>
                              <w:pStyle w:val="TableContents"/>
                              <w:bidi w:val="0"/>
                              <w:spacing w:before="0" w:after="20"/>
                              <w:jc w:val="center"/>
                              <w:rPr>
                                <w:rFonts w:ascii="arial" w:hAnsi="arial"/>
                                <w:b/>
                                <w:color w:val="FFFFFF"/>
                                <w:sz w:val="19"/>
                              </w:rPr>
                            </w:pPr>
                            <w:r>
                              <w:rPr>
                                <w:rFonts w:ascii="arial" w:hAnsi="arial"/>
                                <w:b/>
                                <w:color w:val="FFFFFF"/>
                                <w:sz w:val="19"/>
                              </w:rPr>
                              <w:t>Network (AIN)</w:t>
                            </w:r>
                          </w:p>
                        </w:tc>
                      </w:tr>
                      <w:tr>
                        <w:trPr/>
                        <w:tc>
                          <w:tcPr>
                            <w:tcW w:w="2053" w:type="dxa"/>
                            <w:tcBorders>
                              <w:right w:val="single" w:sz="24" w:space="0" w:color="FFFFFF"/>
                            </w:tcBorders>
                            <w:shd w:fill="0171B9" w:val="clear"/>
                            <w:tcMar>
                              <w:right w:w="28" w:type="dxa"/>
                            </w:tcMar>
                            <w:vAlign w:val="center"/>
                          </w:tcPr>
                          <w:p>
                            <w:pPr>
                              <w:pStyle w:val="TableContents"/>
                              <w:bidi w:val="0"/>
                              <w:spacing w:before="0" w:after="283"/>
                              <w:jc w:val="left"/>
                              <w:rPr/>
                            </w:pPr>
                            <w:r>
                              <w:rPr/>
                              <w:t> </w:t>
                            </w:r>
                          </w:p>
                        </w:tc>
                        <w:tc>
                          <w:tcPr>
                            <w:tcW w:w="2690" w:type="dxa"/>
                            <w:gridSpan w:val="2"/>
                            <w:tcBorders/>
                            <w:shd w:fill="0171B9" w:val="clear"/>
                            <w:vAlign w:val="center"/>
                          </w:tcPr>
                          <w:p>
                            <w:pPr>
                              <w:pStyle w:val="TableContents"/>
                              <w:bidi w:val="0"/>
                              <w:spacing w:before="0" w:after="283"/>
                              <w:jc w:val="left"/>
                              <w:rPr>
                                <w:sz w:val="4"/>
                                <w:szCs w:val="4"/>
                              </w:rPr>
                            </w:pPr>
                            <w:r>
                              <w:rPr>
                                <w:sz w:val="4"/>
                                <w:szCs w:val="4"/>
                              </w:rPr>
                            </w:r>
                          </w:p>
                        </w:tc>
                      </w:tr>
                      <w:tr>
                        <w:trPr/>
                        <w:tc>
                          <w:tcPr>
                            <w:tcW w:w="2053" w:type="dxa"/>
                            <w:tcBorders>
                              <w:bottom w:val="single" w:sz="24" w:space="0" w:color="FFFFFF"/>
                              <w:right w:val="single" w:sz="24" w:space="0" w:color="FFFFFF"/>
                            </w:tcBorders>
                            <w:shd w:fill="0171B9" w:val="clear"/>
                            <w:tcMar>
                              <w:bottom w:w="40"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9"/>
                              </w:rPr>
                            </w:pPr>
                            <w:r>
                              <w:rPr>
                                <w:rFonts w:ascii="arial" w:hAnsi="arial"/>
                                <w:b/>
                                <w:color w:val="FFFFFF"/>
                                <w:sz w:val="19"/>
                              </w:rPr>
                              <w:t>Amgen Latin</w:t>
                            </w:r>
                          </w:p>
                          <w:p>
                            <w:pPr>
                              <w:pStyle w:val="TableContents"/>
                              <w:bidi w:val="0"/>
                              <w:spacing w:before="0" w:after="0"/>
                              <w:jc w:val="center"/>
                              <w:rPr>
                                <w:rFonts w:ascii="arial" w:hAnsi="arial"/>
                                <w:b/>
                                <w:color w:val="FFFFFF"/>
                                <w:sz w:val="19"/>
                              </w:rPr>
                            </w:pPr>
                            <w:r>
                              <w:rPr>
                                <w:rFonts w:ascii="arial" w:hAnsi="arial"/>
                                <w:b/>
                                <w:color w:val="FFFFFF"/>
                                <w:sz w:val="19"/>
                              </w:rPr>
                              <w:t>Employee Network</w:t>
                            </w:r>
                          </w:p>
                          <w:p>
                            <w:pPr>
                              <w:pStyle w:val="TableContents"/>
                              <w:bidi w:val="0"/>
                              <w:spacing w:before="0" w:after="20"/>
                              <w:jc w:val="center"/>
                              <w:rPr>
                                <w:rFonts w:ascii="arial" w:hAnsi="arial"/>
                                <w:b/>
                                <w:color w:val="FFFFFF"/>
                                <w:sz w:val="19"/>
                              </w:rPr>
                            </w:pPr>
                            <w:r>
                              <w:rPr>
                                <w:rFonts w:ascii="arial" w:hAnsi="arial"/>
                                <w:b/>
                                <w:color w:val="FFFFFF"/>
                                <w:sz w:val="19"/>
                              </w:rPr>
                              <w:t>(ALEN)</w:t>
                            </w:r>
                          </w:p>
                        </w:tc>
                        <w:tc>
                          <w:tcPr>
                            <w:tcW w:w="60" w:type="dxa"/>
                            <w:tcBorders>
                              <w:bottom w:val="single" w:sz="24" w:space="0" w:color="FFFFFF"/>
                            </w:tcBorders>
                            <w:shd w:fill="0171B9" w:val="clear"/>
                            <w:tcMar>
                              <w:bottom w:w="28" w:type="dxa"/>
                            </w:tcMar>
                            <w:vAlign w:val="center"/>
                          </w:tcPr>
                          <w:p>
                            <w:pPr>
                              <w:pStyle w:val="TableContents"/>
                              <w:bidi w:val="0"/>
                              <w:spacing w:before="0" w:after="283"/>
                              <w:jc w:val="left"/>
                              <w:rPr/>
                            </w:pPr>
                            <w:r>
                              <w:rPr/>
                              <w:t> </w:t>
                            </w:r>
                          </w:p>
                        </w:tc>
                        <w:tc>
                          <w:tcPr>
                            <w:tcW w:w="2630" w:type="dxa"/>
                            <w:tcBorders>
                              <w:bottom w:val="single" w:sz="24" w:space="0" w:color="FFFFFF"/>
                            </w:tcBorders>
                            <w:shd w:fill="0171B9" w:val="clear"/>
                            <w:tcMar>
                              <w:bottom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9"/>
                              </w:rPr>
                            </w:pPr>
                            <w:r>
                              <w:rPr>
                                <w:rFonts w:ascii="arial" w:hAnsi="arial"/>
                                <w:b/>
                                <w:color w:val="FFFFFF"/>
                                <w:sz w:val="19"/>
                              </w:rPr>
                              <w:t>Amgen PRIDE– LGBTQ and</w:t>
                            </w:r>
                          </w:p>
                          <w:p>
                            <w:pPr>
                              <w:pStyle w:val="TableContents"/>
                              <w:bidi w:val="0"/>
                              <w:spacing w:before="0" w:after="0"/>
                              <w:jc w:val="center"/>
                              <w:rPr>
                                <w:rFonts w:ascii="arial" w:hAnsi="arial"/>
                                <w:b/>
                                <w:color w:val="FFFFFF"/>
                                <w:sz w:val="19"/>
                              </w:rPr>
                            </w:pPr>
                            <w:r>
                              <w:rPr>
                                <w:rFonts w:ascii="arial" w:hAnsi="arial"/>
                                <w:b/>
                                <w:color w:val="FFFFFF"/>
                                <w:sz w:val="19"/>
                              </w:rPr>
                              <w:t>Allies Network (PRIDE)</w:t>
                            </w:r>
                          </w:p>
                          <w:p>
                            <w:pPr>
                              <w:pStyle w:val="TableContents"/>
                              <w:bidi w:val="0"/>
                              <w:spacing w:before="0" w:after="20"/>
                              <w:jc w:val="left"/>
                              <w:rPr/>
                            </w:pPr>
                            <w:r>
                              <w:rPr/>
                              <w:t> </w:t>
                            </w:r>
                          </w:p>
                        </w:tc>
                      </w:tr>
                      <w:tr>
                        <w:trPr/>
                        <w:tc>
                          <w:tcPr>
                            <w:tcW w:w="2053" w:type="dxa"/>
                            <w:tcBorders>
                              <w:right w:val="single" w:sz="24" w:space="0" w:color="FFFFFF"/>
                            </w:tcBorders>
                            <w:shd w:fill="0171B9" w:val="clear"/>
                            <w:tcMar>
                              <w:right w:w="28" w:type="dxa"/>
                            </w:tcMar>
                            <w:vAlign w:val="center"/>
                          </w:tcPr>
                          <w:p>
                            <w:pPr>
                              <w:pStyle w:val="TableContents"/>
                              <w:bidi w:val="0"/>
                              <w:spacing w:before="0" w:after="283"/>
                              <w:jc w:val="left"/>
                              <w:rPr/>
                            </w:pPr>
                            <w:r>
                              <w:rPr/>
                              <w:t> </w:t>
                            </w:r>
                          </w:p>
                        </w:tc>
                        <w:tc>
                          <w:tcPr>
                            <w:tcW w:w="2690" w:type="dxa"/>
                            <w:gridSpan w:val="2"/>
                            <w:tcBorders/>
                            <w:shd w:fill="0171B9" w:val="clear"/>
                            <w:vAlign w:val="center"/>
                          </w:tcPr>
                          <w:p>
                            <w:pPr>
                              <w:pStyle w:val="TableContents"/>
                              <w:bidi w:val="0"/>
                              <w:spacing w:before="0" w:after="283"/>
                              <w:jc w:val="left"/>
                              <w:rPr>
                                <w:sz w:val="4"/>
                                <w:szCs w:val="4"/>
                              </w:rPr>
                            </w:pPr>
                            <w:r>
                              <w:rPr>
                                <w:sz w:val="4"/>
                                <w:szCs w:val="4"/>
                              </w:rPr>
                            </w:r>
                          </w:p>
                        </w:tc>
                      </w:tr>
                      <w:tr>
                        <w:trPr/>
                        <w:tc>
                          <w:tcPr>
                            <w:tcW w:w="2053" w:type="dxa"/>
                            <w:tcBorders>
                              <w:bottom w:val="single" w:sz="24" w:space="0" w:color="FFFFFF"/>
                              <w:right w:val="single" w:sz="24" w:space="0" w:color="FFFFFF"/>
                            </w:tcBorders>
                            <w:shd w:fill="0171B9" w:val="clear"/>
                            <w:tcMar>
                              <w:bottom w:w="40" w:type="dxa"/>
                              <w:right w:w="28" w:type="dxa"/>
                            </w:tcMar>
                            <w:vAlign w:val="center"/>
                          </w:tcPr>
                          <w:p>
                            <w:pPr>
                              <w:pStyle w:val="TableContents"/>
                              <w:bidi w:val="0"/>
                              <w:spacing w:before="0" w:after="0"/>
                              <w:jc w:val="center"/>
                              <w:rPr>
                                <w:rFonts w:ascii="arial" w:hAnsi="arial"/>
                                <w:b/>
                                <w:color w:val="FFFFFF"/>
                                <w:sz w:val="19"/>
                              </w:rPr>
                            </w:pPr>
                            <w:r>
                              <w:rPr>
                                <w:rFonts w:ascii="arial" w:hAnsi="arial"/>
                                <w:b/>
                                <w:color w:val="FFFFFF"/>
                                <w:sz w:val="19"/>
                              </w:rPr>
                              <w:t>Amgen South Asian</w:t>
                            </w:r>
                          </w:p>
                          <w:p>
                            <w:pPr>
                              <w:pStyle w:val="TableContents"/>
                              <w:bidi w:val="0"/>
                              <w:spacing w:before="0" w:after="0"/>
                              <w:jc w:val="center"/>
                              <w:rPr>
                                <w:rFonts w:ascii="arial" w:hAnsi="arial"/>
                                <w:b/>
                                <w:color w:val="FFFFFF"/>
                                <w:sz w:val="19"/>
                              </w:rPr>
                            </w:pPr>
                            <w:r>
                              <w:rPr>
                                <w:rFonts w:ascii="arial" w:hAnsi="arial"/>
                                <w:b/>
                                <w:color w:val="FFFFFF"/>
                                <w:sz w:val="19"/>
                              </w:rPr>
                              <w:t>Network</w:t>
                            </w:r>
                          </w:p>
                          <w:p>
                            <w:pPr>
                              <w:pStyle w:val="TableContents"/>
                              <w:bidi w:val="0"/>
                              <w:spacing w:before="0" w:after="20"/>
                              <w:jc w:val="center"/>
                              <w:rPr>
                                <w:rFonts w:ascii="arial" w:hAnsi="arial"/>
                                <w:b/>
                                <w:color w:val="FFFFFF"/>
                                <w:sz w:val="19"/>
                              </w:rPr>
                            </w:pPr>
                            <w:r>
                              <w:rPr>
                                <w:rFonts w:ascii="arial" w:hAnsi="arial"/>
                                <w:b/>
                                <w:color w:val="FFFFFF"/>
                                <w:sz w:val="19"/>
                              </w:rPr>
                              <w:t>(ASAN)</w:t>
                            </w:r>
                          </w:p>
                        </w:tc>
                        <w:tc>
                          <w:tcPr>
                            <w:tcW w:w="60" w:type="dxa"/>
                            <w:tcBorders>
                              <w:bottom w:val="single" w:sz="24" w:space="0" w:color="FFFFFF"/>
                            </w:tcBorders>
                            <w:shd w:fill="0171B9" w:val="clear"/>
                            <w:tcMar>
                              <w:bottom w:w="28" w:type="dxa"/>
                            </w:tcMar>
                            <w:vAlign w:val="center"/>
                          </w:tcPr>
                          <w:p>
                            <w:pPr>
                              <w:pStyle w:val="TableContents"/>
                              <w:bidi w:val="0"/>
                              <w:spacing w:before="0" w:after="283"/>
                              <w:jc w:val="left"/>
                              <w:rPr/>
                            </w:pPr>
                            <w:r>
                              <w:rPr/>
                              <w:t> </w:t>
                            </w:r>
                          </w:p>
                        </w:tc>
                        <w:tc>
                          <w:tcPr>
                            <w:tcW w:w="2630" w:type="dxa"/>
                            <w:tcBorders>
                              <w:bottom w:val="single" w:sz="24" w:space="0" w:color="FFFFFF"/>
                            </w:tcBorders>
                            <w:shd w:fill="0171B9" w:val="clear"/>
                            <w:tcMar>
                              <w:bottom w:w="40" w:type="dxa"/>
                            </w:tcMar>
                            <w:vAlign w:val="center"/>
                          </w:tcPr>
                          <w:p>
                            <w:pPr>
                              <w:pStyle w:val="TableContents"/>
                              <w:bidi w:val="0"/>
                              <w:spacing w:before="0" w:after="0"/>
                              <w:jc w:val="center"/>
                              <w:rPr>
                                <w:rFonts w:ascii="arial" w:hAnsi="arial"/>
                                <w:b/>
                                <w:color w:val="FFFFFF"/>
                                <w:sz w:val="19"/>
                              </w:rPr>
                            </w:pPr>
                            <w:r>
                              <w:rPr>
                                <w:rFonts w:ascii="arial" w:hAnsi="arial"/>
                                <w:b/>
                                <w:color w:val="FFFFFF"/>
                                <w:sz w:val="19"/>
                              </w:rPr>
                              <w:t>Amgen Veterans</w:t>
                            </w:r>
                          </w:p>
                          <w:p>
                            <w:pPr>
                              <w:pStyle w:val="TableContents"/>
                              <w:bidi w:val="0"/>
                              <w:spacing w:before="0" w:after="0"/>
                              <w:jc w:val="center"/>
                              <w:rPr>
                                <w:rFonts w:ascii="arial" w:hAnsi="arial"/>
                                <w:b/>
                                <w:color w:val="FFFFFF"/>
                                <w:sz w:val="19"/>
                              </w:rPr>
                            </w:pPr>
                            <w:r>
                              <w:rPr>
                                <w:rFonts w:ascii="arial" w:hAnsi="arial"/>
                                <w:b/>
                                <w:color w:val="FFFFFF"/>
                                <w:sz w:val="19"/>
                              </w:rPr>
                              <w:t>Employee Network</w:t>
                            </w:r>
                          </w:p>
                          <w:p>
                            <w:pPr>
                              <w:pStyle w:val="TableContents"/>
                              <w:bidi w:val="0"/>
                              <w:spacing w:before="0" w:after="0"/>
                              <w:jc w:val="center"/>
                              <w:rPr>
                                <w:rFonts w:ascii="arial" w:hAnsi="arial"/>
                                <w:b/>
                                <w:color w:val="FFFFFF"/>
                                <w:sz w:val="19"/>
                              </w:rPr>
                            </w:pPr>
                            <w:r>
                              <w:rPr>
                                <w:rFonts w:ascii="arial" w:hAnsi="arial"/>
                                <w:b/>
                                <w:color w:val="FFFFFF"/>
                                <w:sz w:val="19"/>
                              </w:rPr>
                              <w:t>(AVEN)</w:t>
                            </w:r>
                          </w:p>
                          <w:p>
                            <w:pPr>
                              <w:pStyle w:val="TableContents"/>
                              <w:bidi w:val="0"/>
                              <w:spacing w:before="0" w:after="20"/>
                              <w:jc w:val="left"/>
                              <w:rPr/>
                            </w:pPr>
                            <w:r>
                              <w:rPr/>
                              <w:t> </w:t>
                            </w:r>
                          </w:p>
                        </w:tc>
                      </w:tr>
                      <w:tr>
                        <w:trPr/>
                        <w:tc>
                          <w:tcPr>
                            <w:tcW w:w="4743" w:type="dxa"/>
                            <w:gridSpan w:val="3"/>
                            <w:tcBorders/>
                            <w:shd w:fill="0171B9" w:val="clear"/>
                            <w:vAlign w:val="center"/>
                          </w:tcPr>
                          <w:p>
                            <w:pPr>
                              <w:pStyle w:val="TableContents"/>
                              <w:bidi w:val="0"/>
                              <w:spacing w:before="0" w:after="283"/>
                              <w:jc w:val="left"/>
                              <w:rPr>
                                <w:sz w:val="4"/>
                                <w:szCs w:val="4"/>
                              </w:rPr>
                            </w:pPr>
                            <w:r>
                              <w:rPr>
                                <w:sz w:val="4"/>
                                <w:szCs w:val="4"/>
                              </w:rPr>
                            </w:r>
                          </w:p>
                        </w:tc>
                      </w:tr>
                      <w:tr>
                        <w:trPr/>
                        <w:tc>
                          <w:tcPr>
                            <w:tcW w:w="4743" w:type="dxa"/>
                            <w:gridSpan w:val="3"/>
                            <w:tcBorders>
                              <w:bottom w:val="single" w:sz="24" w:space="0" w:color="FFFFFF"/>
                            </w:tcBorders>
                            <w:shd w:fill="0171B9" w:val="clear"/>
                            <w:tcMar>
                              <w:bottom w:w="4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rFonts w:ascii="arial" w:hAnsi="arial"/>
                                <w:b/>
                                <w:color w:val="FFFFFF"/>
                                <w:sz w:val="19"/>
                              </w:rPr>
                            </w:pPr>
                            <w:r>
                              <w:rPr>
                                <w:rFonts w:ascii="arial" w:hAnsi="arial"/>
                                <w:b/>
                                <w:color w:val="FFFFFF"/>
                                <w:sz w:val="19"/>
                              </w:rPr>
                              <w:t>Recognition of Indigenous Peoples, Values and</w:t>
                            </w:r>
                          </w:p>
                          <w:p>
                            <w:pPr>
                              <w:pStyle w:val="TableContents"/>
                              <w:bidi w:val="0"/>
                              <w:spacing w:before="0" w:after="0"/>
                              <w:jc w:val="center"/>
                              <w:rPr>
                                <w:rFonts w:ascii="arial" w:hAnsi="arial"/>
                                <w:b/>
                                <w:color w:val="FFFFFF"/>
                                <w:sz w:val="19"/>
                              </w:rPr>
                            </w:pPr>
                            <w:r>
                              <w:rPr>
                                <w:rFonts w:ascii="arial" w:hAnsi="arial"/>
                                <w:b/>
                                <w:color w:val="FFFFFF"/>
                                <w:sz w:val="19"/>
                              </w:rPr>
                              <w:t>Environmental Resources (RIVER)</w:t>
                            </w:r>
                          </w:p>
                          <w:p>
                            <w:pPr>
                              <w:pStyle w:val="TableContents"/>
                              <w:bidi w:val="0"/>
                              <w:spacing w:before="0" w:after="20"/>
                              <w:jc w:val="left"/>
                              <w:rPr/>
                            </w:pPr>
                            <w:r>
                              <w:rPr/>
                              <w:t> </w:t>
                            </w:r>
                          </w:p>
                        </w:tc>
                      </w:tr>
                      <w:tr>
                        <w:trPr/>
                        <w:tc>
                          <w:tcPr>
                            <w:tcW w:w="2053" w:type="dxa"/>
                            <w:tcBorders>
                              <w:right w:val="single" w:sz="24" w:space="0" w:color="FFFFFF"/>
                            </w:tcBorders>
                            <w:shd w:fill="0171B9" w:val="clear"/>
                            <w:tcMar>
                              <w:right w:w="28" w:type="dxa"/>
                            </w:tcMar>
                            <w:vAlign w:val="center"/>
                          </w:tcPr>
                          <w:p>
                            <w:pPr>
                              <w:pStyle w:val="TableContents"/>
                              <w:bidi w:val="0"/>
                              <w:spacing w:before="0" w:after="283"/>
                              <w:jc w:val="left"/>
                              <w:rPr/>
                            </w:pPr>
                            <w:r>
                              <w:rPr/>
                              <w:t> </w:t>
                            </w:r>
                          </w:p>
                        </w:tc>
                        <w:tc>
                          <w:tcPr>
                            <w:tcW w:w="2690" w:type="dxa"/>
                            <w:gridSpan w:val="2"/>
                            <w:tcBorders/>
                            <w:shd w:fill="0171B9" w:val="clear"/>
                            <w:vAlign w:val="center"/>
                          </w:tcPr>
                          <w:p>
                            <w:pPr>
                              <w:pStyle w:val="TableContents"/>
                              <w:bidi w:val="0"/>
                              <w:spacing w:before="0" w:after="283"/>
                              <w:jc w:val="left"/>
                              <w:rPr>
                                <w:sz w:val="4"/>
                                <w:szCs w:val="4"/>
                              </w:rPr>
                            </w:pPr>
                            <w:r>
                              <w:rPr>
                                <w:sz w:val="4"/>
                                <w:szCs w:val="4"/>
                              </w:rPr>
                            </w:r>
                          </w:p>
                        </w:tc>
                      </w:tr>
                      <w:tr>
                        <w:trPr/>
                        <w:tc>
                          <w:tcPr>
                            <w:tcW w:w="2053" w:type="dxa"/>
                            <w:tcBorders>
                              <w:bottom w:val="single" w:sz="24" w:space="0" w:color="FFFFFF"/>
                              <w:right w:val="single" w:sz="24" w:space="0" w:color="FFFFFF"/>
                            </w:tcBorders>
                            <w:shd w:fill="0171B9" w:val="clear"/>
                            <w:tcMar>
                              <w:bottom w:w="40"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9"/>
                              </w:rPr>
                            </w:pPr>
                            <w:r>
                              <w:rPr>
                                <w:rFonts w:ascii="arial" w:hAnsi="arial"/>
                                <w:b/>
                                <w:color w:val="FFFFFF"/>
                                <w:sz w:val="19"/>
                              </w:rPr>
                              <w:t>Women Empowered</w:t>
                            </w:r>
                          </w:p>
                          <w:p>
                            <w:pPr>
                              <w:pStyle w:val="TableContents"/>
                              <w:bidi w:val="0"/>
                              <w:spacing w:before="0" w:after="0"/>
                              <w:jc w:val="center"/>
                              <w:rPr>
                                <w:rFonts w:ascii="arial" w:hAnsi="arial"/>
                                <w:b/>
                                <w:color w:val="FFFFFF"/>
                                <w:sz w:val="19"/>
                              </w:rPr>
                            </w:pPr>
                            <w:r>
                              <w:rPr>
                                <w:rFonts w:ascii="arial" w:hAnsi="arial"/>
                                <w:b/>
                                <w:color w:val="FFFFFF"/>
                                <w:sz w:val="19"/>
                              </w:rPr>
                              <w:t>to be Exceptional</w:t>
                            </w:r>
                          </w:p>
                          <w:p>
                            <w:pPr>
                              <w:pStyle w:val="TableContents"/>
                              <w:bidi w:val="0"/>
                              <w:spacing w:before="0" w:after="20"/>
                              <w:jc w:val="center"/>
                              <w:rPr>
                                <w:rFonts w:ascii="arial" w:hAnsi="arial"/>
                                <w:b/>
                                <w:color w:val="FFFFFF"/>
                                <w:sz w:val="19"/>
                              </w:rPr>
                            </w:pPr>
                            <w:r>
                              <w:rPr>
                                <w:rFonts w:ascii="arial" w:hAnsi="arial"/>
                                <w:b/>
                                <w:color w:val="FFFFFF"/>
                                <w:sz w:val="19"/>
                              </w:rPr>
                              <w:t>(WE2)</w:t>
                            </w:r>
                          </w:p>
                        </w:tc>
                        <w:tc>
                          <w:tcPr>
                            <w:tcW w:w="60" w:type="dxa"/>
                            <w:tcBorders>
                              <w:bottom w:val="single" w:sz="24" w:space="0" w:color="FFFFFF"/>
                            </w:tcBorders>
                            <w:shd w:fill="0171B9" w:val="clear"/>
                            <w:tcMar>
                              <w:bottom w:w="28" w:type="dxa"/>
                            </w:tcMar>
                            <w:vAlign w:val="center"/>
                          </w:tcPr>
                          <w:p>
                            <w:pPr>
                              <w:pStyle w:val="TableContents"/>
                              <w:bidi w:val="0"/>
                              <w:spacing w:before="0" w:after="283"/>
                              <w:jc w:val="left"/>
                              <w:rPr/>
                            </w:pPr>
                            <w:r>
                              <w:rPr/>
                              <w:t> </w:t>
                            </w:r>
                          </w:p>
                        </w:tc>
                        <w:tc>
                          <w:tcPr>
                            <w:tcW w:w="2630" w:type="dxa"/>
                            <w:tcBorders>
                              <w:bottom w:val="single" w:sz="24" w:space="0" w:color="FFFFFF"/>
                            </w:tcBorders>
                            <w:shd w:fill="0171B9" w:val="clear"/>
                            <w:tcMar>
                              <w:bottom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9"/>
                              </w:rPr>
                            </w:pPr>
                            <w:r>
                              <w:rPr>
                                <w:rFonts w:ascii="arial" w:hAnsi="arial"/>
                                <w:b/>
                                <w:color w:val="FFFFFF"/>
                                <w:sz w:val="19"/>
                              </w:rPr>
                              <w:t>Women in STEM</w:t>
                            </w:r>
                          </w:p>
                          <w:p>
                            <w:pPr>
                              <w:pStyle w:val="TableContents"/>
                              <w:bidi w:val="0"/>
                              <w:spacing w:before="0" w:after="0"/>
                              <w:jc w:val="center"/>
                              <w:rPr>
                                <w:rFonts w:ascii="arial" w:hAnsi="arial"/>
                                <w:b/>
                                <w:color w:val="FFFFFF"/>
                                <w:sz w:val="19"/>
                              </w:rPr>
                            </w:pPr>
                            <w:r>
                              <w:rPr>
                                <w:rFonts w:ascii="arial" w:hAnsi="arial"/>
                                <w:b/>
                                <w:color w:val="FFFFFF"/>
                                <w:sz w:val="19"/>
                              </w:rPr>
                              <w:t>Enrichment</w:t>
                            </w:r>
                          </w:p>
                          <w:p>
                            <w:pPr>
                              <w:pStyle w:val="TableContents"/>
                              <w:bidi w:val="0"/>
                              <w:spacing w:before="0" w:after="20"/>
                              <w:jc w:val="center"/>
                              <w:rPr>
                                <w:rFonts w:ascii="arial" w:hAnsi="arial"/>
                                <w:b/>
                                <w:color w:val="FFFFFF"/>
                                <w:sz w:val="19"/>
                              </w:rPr>
                            </w:pPr>
                            <w:r>
                              <w:rPr>
                                <w:rFonts w:ascii="arial" w:hAnsi="arial"/>
                                <w:b/>
                                <w:color w:val="FFFFFF"/>
                                <w:sz w:val="19"/>
                              </w:rPr>
                              <w:t>(WISE)</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10">
                <wp:simplePos x="0" y="0"/>
                <wp:positionH relativeFrom="column">
                  <wp:align>left</wp:align>
                </wp:positionH>
                <wp:positionV relativeFrom="line">
                  <wp:posOffset>635</wp:posOffset>
                </wp:positionV>
                <wp:extent cx="3175000" cy="6104890"/>
                <wp:effectExtent l="0" t="0" r="0" b="0"/>
                <wp:wrapSquare wrapText="right"/>
                <wp:docPr id="148" name="Frame68"/>
                <a:graphic xmlns:a="http://schemas.openxmlformats.org/drawingml/2006/main">
                  <a:graphicData uri="http://schemas.microsoft.com/office/word/2010/wordprocessingShape">
                    <wps:wsp>
                      <wps:cNvSpPr txBox="1"/>
                      <wps:spPr>
                        <a:xfrm>
                          <a:off x="0" y="0"/>
                          <a:ext cx="3175000" cy="610489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Our inclusive hiring practices also consider, as appropriate, a skills-based hiring approach. For example, in 2023, we launched an in-house apprenticeship program, beginning with our Manufacturing and Digital, Technology &amp; Innovation (DTI) functions in the U.S., designed with the goal of hiring and upskilling talent without a four-year college degree by combining formal learning with classroom-based and on-the-job training as well as mentorship opportunities. After successful completion of the program, apprentices are provided opportunities to transition to full-time roles at Amgen. Through our apprenticeship program and other skills-based approaches to hiring, we seek to access a larger pool of highly motivated and productive talent and invest in our future workforce, while also providing individuals from nontraditional backgrounds with greater access to innovation economy careers. </w:t>
                            </w:r>
                          </w:p>
                          <w:p>
                            <w:pPr>
                              <w:pStyle w:val="TextBody"/>
                              <w:bidi w:val="0"/>
                              <w:spacing w:before="120" w:after="0"/>
                              <w:jc w:val="both"/>
                              <w:rPr>
                                <w:rFonts w:ascii="arial" w:hAnsi="arial"/>
                                <w:sz w:val="19"/>
                              </w:rPr>
                            </w:pPr>
                            <w:r>
                              <w:rPr>
                                <w:rFonts w:ascii="arial" w:hAnsi="arial"/>
                                <w:b/>
                                <w:i/>
                                <w:color w:val="0171B9"/>
                                <w:sz w:val="19"/>
                              </w:rPr>
                              <w:t>Attracting and Developing Talent.</w:t>
                            </w:r>
                            <w:r>
                              <w:rPr>
                                <w:rFonts w:ascii="arial" w:hAnsi="arial"/>
                                <w:sz w:val="19"/>
                              </w:rPr>
                              <w:t xml:space="preserve"> We recognize the importance of attracting, motivating, developing, and retaining top global talent and skilled staff. We compensate our employees based on their roles, experience, and performance, provide wellness and work-life resources, as well as support employees in giving back and volunteering in their local communities. To support the development of our staff, we provide a variety of programs, including leadership development programs, classroom-based and virtual instructor-led courses, and self-paced learning options as well as mentoring, networking, and coaching opportunities. </w:t>
                            </w:r>
                          </w:p>
                          <w:p>
                            <w:pPr>
                              <w:pStyle w:val="TextBody"/>
                              <w:bidi w:val="0"/>
                              <w:spacing w:before="120" w:after="0"/>
                              <w:jc w:val="both"/>
                              <w:rPr>
                                <w:rFonts w:ascii="arial" w:hAnsi="arial"/>
                                <w:sz w:val="19"/>
                              </w:rPr>
                            </w:pPr>
                            <w:r>
                              <w:rPr>
                                <w:rFonts w:ascii="arial" w:hAnsi="arial"/>
                                <w:sz w:val="19"/>
                              </w:rPr>
                              <w:t xml:space="preserve">Our benefit programs are generally broad-based, promote health and overall well-being, and emphasize saving for retirement. Amgen offers top-tier benefits for full- and part-time employees, including, in the U.S. and Puerto Rico, on-site childcare at certain of our facilities, adoption assistance, resources for elder care and behavioral health, and paid parental leave for all Amgen employees who have or adopt, or become a foster parent or legal guardian for a child. Globally, comparable benefit programs are offered with the same health and well-being goals, while also designed to comply with local statutory requirements. (For more information regarding our approach to human capital resource management, please see our Form 10-K for the year ended December 31, 2023.)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80.7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Our inclusive hiring practices also consider, as appropriate, a skills-based hiring approach. For example, in 2023, we launched an in-house apprenticeship program, beginning with our Manufacturing and Digital, Technology &amp; Innovation (DTI) functions in the U.S., designed with the goal of hiring and upskilling talent without a four-year college degree by combining formal learning with classroom-based and on-the-job training as well as mentorship opportunities. After successful completion of the program, apprentices are provided opportunities to transition to full-time roles at Amgen. Through our apprenticeship program and other skills-based approaches to hiring, we seek to access a larger pool of highly motivated and productive talent and invest in our future workforce, while also providing individuals from nontraditional backgrounds with greater access to innovation economy careers. </w:t>
                      </w:r>
                    </w:p>
                    <w:p>
                      <w:pPr>
                        <w:pStyle w:val="TextBody"/>
                        <w:bidi w:val="0"/>
                        <w:spacing w:before="120" w:after="0"/>
                        <w:jc w:val="both"/>
                        <w:rPr>
                          <w:rFonts w:ascii="arial" w:hAnsi="arial"/>
                          <w:sz w:val="19"/>
                        </w:rPr>
                      </w:pPr>
                      <w:r>
                        <w:rPr>
                          <w:rFonts w:ascii="arial" w:hAnsi="arial"/>
                          <w:b/>
                          <w:i/>
                          <w:color w:val="0171B9"/>
                          <w:sz w:val="19"/>
                        </w:rPr>
                        <w:t>Attracting and Developing Talent.</w:t>
                      </w:r>
                      <w:r>
                        <w:rPr>
                          <w:rFonts w:ascii="arial" w:hAnsi="arial"/>
                          <w:sz w:val="19"/>
                        </w:rPr>
                        <w:t xml:space="preserve"> We recognize the importance of attracting, motivating, developing, and retaining top global talent and skilled staff. We compensate our employees based on their roles, experience, and performance, provide wellness and work-life resources, as well as support employees in giving back and volunteering in their local communities. To support the development of our staff, we provide a variety of programs, including leadership development programs, classroom-based and virtual instructor-led courses, and self-paced learning options as well as mentoring, networking, and coaching opportunities. </w:t>
                      </w:r>
                    </w:p>
                    <w:p>
                      <w:pPr>
                        <w:pStyle w:val="TextBody"/>
                        <w:bidi w:val="0"/>
                        <w:spacing w:before="120" w:after="0"/>
                        <w:jc w:val="both"/>
                        <w:rPr>
                          <w:rFonts w:ascii="arial" w:hAnsi="arial"/>
                          <w:sz w:val="19"/>
                        </w:rPr>
                      </w:pPr>
                      <w:r>
                        <w:rPr>
                          <w:rFonts w:ascii="arial" w:hAnsi="arial"/>
                          <w:sz w:val="19"/>
                        </w:rPr>
                        <w:t xml:space="preserve">Our benefit programs are generally broad-based, promote health and overall well-being, and emphasize saving for retirement. Amgen offers top-tier benefits for full- and part-time employees, including, in the U.S. and Puerto Rico, on-site childcare at certain of our facilities, adoption assistance, resources for elder care and behavioral health, and paid parental leave for all Amgen employees who have or adopt, or become a foster parent or legal guardian for a child. Globally, comparable benefit programs are offered with the same health and well-being goals, while also designed to comply with local statutory requirements. (For more information regarding our approach to human capital resource management, please see our Form 10-K for the year ended December 31, 2023.)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149"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78" descr=""/>
                    <pic:cNvPicPr>
                      <a:picLocks noChangeAspect="1" noChangeArrowheads="1"/>
                    </pic:cNvPicPr>
                  </pic:nvPicPr>
                  <pic:blipFill>
                    <a:blip r:embed="rId82"/>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41</w:t>
      </w:r>
      <w:r>
        <w:rPr>
          <w:rFonts w:ascii="arial" w:hAnsi="arial"/>
          <w:b/>
          <w:sz w:val="22"/>
        </w:rPr>
        <w:t xml:space="preserve"> </w:t>
      </w:r>
      <w:r>
        <w:br w:type="page"/>
      </w:r>
    </w:p>
    <w:p>
      <w:pPr>
        <w:pStyle w:val="HorizontalLine"/>
        <w:bidi w:val="0"/>
        <w:jc w:val="left"/>
        <w:rPr/>
      </w:pPr>
      <w:r>
        <w:rPr/>
      </w:r>
    </w:p>
    <w:tbl>
      <w:tblPr>
        <w:tblW w:w="311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263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263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Corporate Governance</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00"/>
        <w:gridCol w:w="60"/>
        <w:gridCol w:w="60"/>
        <w:gridCol w:w="60"/>
        <w:gridCol w:w="60"/>
        <w:gridCol w:w="60"/>
        <w:gridCol w:w="5969"/>
        <w:gridCol w:w="60"/>
        <w:gridCol w:w="76"/>
      </w:tblGrid>
      <w:tr>
        <w:trPr/>
        <w:tc>
          <w:tcPr>
            <w:tcW w:w="3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3800" w:type="dxa"/>
            <w:vMerge w:val="restart"/>
            <w:tcBorders>
              <w:top w:val="single" w:sz="12" w:space="0" w:color="0171B9"/>
            </w:tcBorders>
            <w:shd w:fill="B2D4EA" w:val="clear"/>
            <w:tcMar>
              <w:top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i/>
                <w:color w:val="0171B9"/>
                <w:sz w:val="28"/>
              </w:rPr>
            </w:pPr>
            <w:bookmarkStart w:id="23" w:name="toc445034_21"/>
            <w:bookmarkEnd w:id="23"/>
            <w:r>
              <w:rPr>
                <w:rFonts w:ascii="arial" w:hAnsi="arial"/>
                <w:b/>
                <w:i/>
                <w:color w:val="0171B9"/>
                <w:sz w:val="28"/>
              </w:rPr>
              <w:t>Compensation and Management Development Committee</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Current Members:</w:t>
            </w:r>
          </w:p>
          <w:p>
            <w:pPr>
              <w:pStyle w:val="TableContents"/>
              <w:bidi w:val="0"/>
              <w:spacing w:before="0" w:after="0"/>
              <w:jc w:val="left"/>
              <w:rPr>
                <w:rFonts w:ascii="arial" w:hAnsi="arial"/>
                <w:sz w:val="19"/>
              </w:rPr>
            </w:pPr>
            <w:r>
              <w:rPr>
                <w:rFonts w:ascii="arial" w:hAnsi="arial"/>
                <w:sz w:val="19"/>
              </w:rPr>
              <w:t>Robert A. Eckert (Chair)</w:t>
            </w:r>
          </w:p>
          <w:p>
            <w:pPr>
              <w:pStyle w:val="TableContents"/>
              <w:bidi w:val="0"/>
              <w:spacing w:before="0" w:after="0"/>
              <w:jc w:val="left"/>
              <w:rPr>
                <w:rFonts w:ascii="arial" w:hAnsi="arial"/>
                <w:sz w:val="19"/>
              </w:rPr>
            </w:pPr>
            <w:r>
              <w:rPr>
                <w:rFonts w:ascii="arial" w:hAnsi="arial"/>
                <w:sz w:val="19"/>
              </w:rPr>
              <w:t>Wanda M. Austin</w:t>
            </w:r>
          </w:p>
          <w:p>
            <w:pPr>
              <w:pStyle w:val="TableContents"/>
              <w:bidi w:val="0"/>
              <w:spacing w:before="0" w:after="0"/>
              <w:jc w:val="left"/>
              <w:rPr>
                <w:rFonts w:ascii="arial" w:hAnsi="arial"/>
                <w:sz w:val="19"/>
              </w:rPr>
            </w:pPr>
            <w:r>
              <w:rPr>
                <w:rFonts w:ascii="arial" w:hAnsi="arial"/>
                <w:sz w:val="19"/>
              </w:rPr>
              <w:t>Brian J. Druker</w:t>
            </w:r>
          </w:p>
          <w:p>
            <w:pPr>
              <w:pStyle w:val="TableContents"/>
              <w:bidi w:val="0"/>
              <w:spacing w:before="0" w:after="0"/>
              <w:jc w:val="left"/>
              <w:rPr>
                <w:rFonts w:ascii="arial" w:hAnsi="arial"/>
                <w:sz w:val="19"/>
              </w:rPr>
            </w:pPr>
            <w:r>
              <w:rPr>
                <w:rFonts w:ascii="arial" w:hAnsi="arial"/>
                <w:sz w:val="19"/>
              </w:rPr>
              <w:t>Greg C. Garland</w:t>
            </w:r>
          </w:p>
          <w:p>
            <w:pPr>
              <w:pStyle w:val="TableContents"/>
              <w:bidi w:val="0"/>
              <w:spacing w:before="0" w:after="0"/>
              <w:jc w:val="left"/>
              <w:rPr>
                <w:rFonts w:ascii="arial" w:hAnsi="arial"/>
                <w:sz w:val="19"/>
              </w:rPr>
            </w:pPr>
            <w:r>
              <w:rPr>
                <w:rFonts w:ascii="arial" w:hAnsi="arial"/>
                <w:sz w:val="19"/>
              </w:rPr>
              <w:t>S. Omar Ishrak</w:t>
            </w:r>
          </w:p>
          <w:p>
            <w:pPr>
              <w:pStyle w:val="TableContents"/>
              <w:bidi w:val="0"/>
              <w:spacing w:before="0" w:after="0"/>
              <w:jc w:val="left"/>
              <w:rPr>
                <w:rFonts w:ascii="arial" w:hAnsi="arial"/>
                <w:sz w:val="19"/>
              </w:rPr>
            </w:pPr>
            <w:r>
              <w:rPr>
                <w:rFonts w:ascii="arial" w:hAnsi="arial"/>
                <w:sz w:val="19"/>
              </w:rPr>
              <w:t>Tyler Jacks</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 xml:space="preserve">Number of Meetings Held in 2023: </w:t>
            </w:r>
            <w:r>
              <w:rPr>
                <w:rFonts w:ascii="arial" w:hAnsi="arial"/>
                <w:b/>
                <w:color w:val="0171B9"/>
                <w:sz w:val="20"/>
              </w:rPr>
              <w:t>5</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sz w:val="20"/>
              </w:rPr>
              <w:t xml:space="preserve">Independent Compensation Consultant: </w:t>
            </w:r>
            <w:r>
              <w:rPr>
                <w:rFonts w:ascii="arial" w:hAnsi="arial"/>
                <w:sz w:val="20"/>
              </w:rPr>
              <w:t>FW Cook</w:t>
            </w:r>
          </w:p>
          <w:p>
            <w:pPr>
              <w:pStyle w:val="TableContents"/>
              <w:bidi w:val="0"/>
              <w:spacing w:before="0" w:after="0"/>
              <w:jc w:val="left"/>
              <w:rPr/>
            </w:pPr>
            <w:r>
              <w:rPr/>
              <w:t> </w:t>
            </w:r>
          </w:p>
          <w:p>
            <w:pPr>
              <w:pStyle w:val="TableContents"/>
              <w:bidi w:val="0"/>
              <w:spacing w:before="0" w:after="20"/>
              <w:jc w:val="both"/>
              <w:rPr>
                <w:rFonts w:ascii="arial" w:hAnsi="arial"/>
                <w:i/>
                <w:sz w:val="19"/>
              </w:rPr>
            </w:pPr>
            <w:r>
              <w:rPr>
                <w:rFonts w:ascii="arial" w:hAnsi="arial"/>
                <w:i/>
                <w:sz w:val="19"/>
              </w:rPr>
              <w:t>Each member has been determined by the Board to be independent under The NASDAQ Stock Market listing standards and the requirements of the SEC.</w:t>
            </w:r>
          </w:p>
        </w:tc>
        <w:tc>
          <w:tcPr>
            <w:tcW w:w="60" w:type="dxa"/>
            <w:vMerge w:val="restart"/>
            <w:tcBorders>
              <w:top w:val="single" w:sz="12" w:space="0" w:color="0171B9"/>
            </w:tcBorders>
            <w:shd w:fill="B2D4EA" w:val="clear"/>
            <w:tcMar>
              <w:top w:w="28" w:type="dxa"/>
            </w:tcMar>
            <w:vAlign w:val="center"/>
          </w:tcPr>
          <w:p>
            <w:pPr>
              <w:pStyle w:val="TableContents"/>
              <w:bidi w:val="0"/>
              <w:spacing w:before="0" w:after="283"/>
              <w:jc w:val="left"/>
              <w:rPr/>
            </w:pPr>
            <w:r>
              <w:rPr/>
              <w:t> </w:t>
            </w:r>
          </w:p>
        </w:tc>
        <w:tc>
          <w:tcPr>
            <w:tcW w:w="60" w:type="dxa"/>
            <w:vMerge w:val="restart"/>
            <w:tcBorders>
              <w:top w:val="single" w:sz="12" w:space="0" w:color="0171B9"/>
            </w:tcBorders>
            <w:shd w:fill="B2D4EA" w:val="clear"/>
            <w:tcMar>
              <w:top w:w="28" w:type="dxa"/>
            </w:tcMar>
            <w:vAlign w:val="center"/>
          </w:tcPr>
          <w:p>
            <w:pPr>
              <w:pStyle w:val="TableContents"/>
              <w:bidi w:val="0"/>
              <w:spacing w:before="0" w:after="283"/>
              <w:jc w:val="left"/>
              <w:rPr/>
            </w:pPr>
            <w:r>
              <w:rPr/>
              <w:t> </w:t>
            </w:r>
          </w:p>
        </w:tc>
        <w:tc>
          <w:tcPr>
            <w:tcW w:w="60" w:type="dxa"/>
            <w:vMerge w:val="restart"/>
            <w:tcBorders>
              <w:top w:val="single" w:sz="12" w:space="0" w:color="0171B9"/>
            </w:tcBorders>
            <w:tcMar>
              <w:top w:w="28" w:type="dxa"/>
            </w:tcMar>
            <w:vAlign w:val="center"/>
          </w:tcPr>
          <w:p>
            <w:pPr>
              <w:pStyle w:val="TableContents"/>
              <w:bidi w:val="0"/>
              <w:spacing w:before="0" w:after="283"/>
              <w:jc w:val="left"/>
              <w:rPr/>
            </w:pPr>
            <w:r>
              <w:rPr/>
              <w:t> </w:t>
            </w:r>
          </w:p>
        </w:tc>
        <w:tc>
          <w:tcPr>
            <w:tcW w:w="60" w:type="dxa"/>
            <w:vMerge w:val="restart"/>
            <w:tcBorders>
              <w:top w:val="single" w:sz="12" w:space="0" w:color="0171B9"/>
            </w:tcBorders>
            <w:tcMar>
              <w:top w:w="28" w:type="dxa"/>
            </w:tcMar>
            <w:vAlign w:val="center"/>
          </w:tcPr>
          <w:p>
            <w:pPr>
              <w:pStyle w:val="TableContents"/>
              <w:bidi w:val="0"/>
              <w:spacing w:before="0" w:after="283"/>
              <w:jc w:val="left"/>
              <w:rPr/>
            </w:pPr>
            <w:r>
              <w:rPr/>
              <w:t> </w:t>
            </w:r>
          </w:p>
        </w:tc>
        <w:tc>
          <w:tcPr>
            <w:tcW w:w="60" w:type="dxa"/>
            <w:tcBorders>
              <w:top w:val="single" w:sz="12" w:space="0" w:color="0171B9"/>
            </w:tcBorders>
            <w:tcMar>
              <w:top w:w="28" w:type="dxa"/>
            </w:tcMar>
            <w:vAlign w:val="center"/>
          </w:tcPr>
          <w:p>
            <w:pPr>
              <w:pStyle w:val="TableContents"/>
              <w:bidi w:val="0"/>
              <w:spacing w:before="0" w:after="283"/>
              <w:jc w:val="left"/>
              <w:rPr/>
            </w:pPr>
            <w:r>
              <w:rPr/>
              <w:t> </w:t>
            </w:r>
          </w:p>
        </w:tc>
        <w:tc>
          <w:tcPr>
            <w:tcW w:w="6105" w:type="dxa"/>
            <w:gridSpan w:val="3"/>
            <w:tcBorders>
              <w:top w:val="single" w:sz="12" w:space="0" w:color="0171B9"/>
            </w:tcBorders>
            <w:tcMar>
              <w:top w:w="28" w:type="dxa"/>
            </w:tcMar>
            <w:vAlign w:val="center"/>
          </w:tcPr>
          <w:p>
            <w:pPr>
              <w:pStyle w:val="TableContents"/>
              <w:bidi w:val="0"/>
              <w:spacing w:before="0" w:after="0"/>
              <w:jc w:val="left"/>
              <w:rPr/>
            </w:pPr>
            <w:r>
              <w:rPr/>
              <w:t> </w:t>
            </w:r>
          </w:p>
          <w:p>
            <w:pPr>
              <w:pStyle w:val="TableContents"/>
              <w:bidi w:val="0"/>
              <w:spacing w:before="0" w:after="0"/>
              <w:jc w:val="left"/>
              <w:rPr/>
            </w:pPr>
            <w:r>
              <w:rPr/>
              <w:t>  </w:t>
            </w:r>
            <w:r>
              <w:rPr>
                <w:rFonts w:ascii="arial" w:hAnsi="arial"/>
                <w:b/>
                <w:sz w:val="20"/>
              </w:rPr>
              <w:t>Description and Key Responsibilities:</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Assists the Board in fulfilling its fiduciary responsibilities with respect to the oversight of the Company’s compensation plans, policies, and programs with a focus on encouraging high performance, promoting accountability and adherence to Company values, and aligning with the interests of the Company’s stockholders.</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Approves all executive officer compensation.</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Oversees human capital management, including labor and employment and diversity, inclusion, and belonging activities, and succession planning for senior management, including that our approaches to management development are effective in attracting, developing, and retaining talented leadership.</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Oversees the Board’s relationship with stockholders on executive compensation matters, including stockholder outreach efforts, stockholder proposals, advisory votes, communications with proxy advisory firms, and related matters.</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Oversees staff member relations, including information obtained from regular staff member survey results.</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r>
        <w:trPr/>
        <w:tc>
          <w:tcPr>
            <w:tcW w:w="3800" w:type="dxa"/>
            <w:vMerge w:val="continue"/>
            <w:tcBorders>
              <w:top w:val="single" w:sz="12" w:space="0" w:color="0171B9"/>
            </w:tcBorders>
            <w:shd w:fill="B2D4EA" w:val="clear"/>
            <w:tcMar>
              <w:top w:w="28" w:type="dxa"/>
            </w:tcMar>
            <w:vAlign w:val="center"/>
          </w:tcPr>
          <w:p>
            <w:pPr>
              <w:pStyle w:val="Normal"/>
              <w:bidi w:val="0"/>
              <w:jc w:val="left"/>
              <w:rPr/>
            </w:pPr>
            <w:r>
              <w:rPr/>
            </w:r>
          </w:p>
        </w:tc>
        <w:tc>
          <w:tcPr>
            <w:tcW w:w="60" w:type="dxa"/>
            <w:vMerge w:val="continue"/>
            <w:tcBorders>
              <w:top w:val="single" w:sz="12" w:space="0" w:color="0171B9"/>
            </w:tcBorders>
            <w:shd w:fill="B2D4EA" w:val="clear"/>
            <w:tcMar>
              <w:top w:w="28" w:type="dxa"/>
            </w:tcMar>
            <w:vAlign w:val="center"/>
          </w:tcPr>
          <w:p>
            <w:pPr>
              <w:pStyle w:val="Normal"/>
              <w:bidi w:val="0"/>
              <w:jc w:val="left"/>
              <w:rPr/>
            </w:pPr>
            <w:r>
              <w:rPr/>
            </w:r>
          </w:p>
        </w:tc>
        <w:tc>
          <w:tcPr>
            <w:tcW w:w="60" w:type="dxa"/>
            <w:vMerge w:val="continue"/>
            <w:tcBorders>
              <w:top w:val="single" w:sz="12" w:space="0" w:color="0171B9"/>
            </w:tcBorders>
            <w:shd w:fill="B2D4EA" w:val="clear"/>
            <w:tcMar>
              <w:top w:w="28" w:type="dxa"/>
            </w:tcMar>
            <w:vAlign w:val="center"/>
          </w:tcPr>
          <w:p>
            <w:pPr>
              <w:pStyle w:val="Normal"/>
              <w:bidi w:val="0"/>
              <w:jc w:val="left"/>
              <w:rPr/>
            </w:pPr>
            <w:r>
              <w:rPr/>
            </w:r>
          </w:p>
        </w:tc>
        <w:tc>
          <w:tcPr>
            <w:tcW w:w="60" w:type="dxa"/>
            <w:vMerge w:val="continue"/>
            <w:tcBorders>
              <w:top w:val="single" w:sz="12" w:space="0" w:color="0171B9"/>
            </w:tcBorders>
            <w:tcMar>
              <w:top w:w="28" w:type="dxa"/>
            </w:tcMar>
            <w:vAlign w:val="center"/>
          </w:tcPr>
          <w:p>
            <w:pPr>
              <w:pStyle w:val="Normal"/>
              <w:bidi w:val="0"/>
              <w:jc w:val="left"/>
              <w:rPr/>
            </w:pPr>
            <w:r>
              <w:rPr/>
            </w:r>
          </w:p>
        </w:tc>
        <w:tc>
          <w:tcPr>
            <w:tcW w:w="60" w:type="dxa"/>
            <w:vMerge w:val="continue"/>
            <w:tcBorders>
              <w:top w:val="single" w:sz="12" w:space="0" w:color="0171B9"/>
            </w:tcBorders>
            <w:tcMar>
              <w:top w:w="28" w:type="dxa"/>
            </w:tcMar>
            <w:vAlign w:val="center"/>
          </w:tcPr>
          <w:p>
            <w:pPr>
              <w:pStyle w:val="Normal"/>
              <w:bidi w:val="0"/>
              <w:jc w:val="left"/>
              <w:rPr/>
            </w:pPr>
            <w:r>
              <w:rPr/>
            </w:r>
          </w:p>
        </w:tc>
        <w:tc>
          <w:tcPr>
            <w:tcW w:w="60" w:type="dxa"/>
            <w:tcBorders>
              <w:top w:val="single" w:sz="6" w:space="0" w:color="0171B9"/>
              <w:left w:val="single" w:sz="6" w:space="0" w:color="0171B9"/>
              <w:bottom w:val="single" w:sz="6" w:space="0" w:color="0171B9"/>
            </w:tcBorders>
            <w:tcMar>
              <w:top w:w="28" w:type="dxa"/>
              <w:left w:w="28" w:type="dxa"/>
              <w:bottom w:w="28" w:type="dxa"/>
            </w:tcMar>
            <w:vAlign w:val="center"/>
          </w:tcPr>
          <w:p>
            <w:pPr>
              <w:pStyle w:val="TableContents"/>
              <w:bidi w:val="0"/>
              <w:spacing w:before="0" w:after="283"/>
              <w:jc w:val="left"/>
              <w:rPr/>
            </w:pPr>
            <w:r>
              <w:rPr/>
              <w:t> </w:t>
            </w:r>
          </w:p>
        </w:tc>
        <w:tc>
          <w:tcPr>
            <w:tcW w:w="5969" w:type="dxa"/>
            <w:tcBorders>
              <w:top w:val="single" w:sz="6" w:space="0" w:color="0171B9"/>
              <w:bottom w:val="single" w:sz="6" w:space="0" w:color="0171B9"/>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both"/>
              <w:rPr>
                <w:rFonts w:ascii="arial" w:hAnsi="arial"/>
                <w:b/>
                <w:color w:val="0171B9"/>
                <w:sz w:val="20"/>
              </w:rPr>
            </w:pPr>
            <w:r>
              <w:rPr>
                <w:rFonts w:ascii="arial" w:hAnsi="arial"/>
                <w:b/>
                <w:color w:val="0171B9"/>
                <w:sz w:val="20"/>
              </w:rPr>
              <w:t>Executive Compensation Website</w:t>
            </w:r>
          </w:p>
          <w:p>
            <w:pPr>
              <w:pStyle w:val="TableContents"/>
              <w:bidi w:val="0"/>
              <w:spacing w:before="0" w:after="0"/>
              <w:jc w:val="both"/>
              <w:rPr>
                <w:rFonts w:ascii="arial" w:hAnsi="arial"/>
                <w:sz w:val="19"/>
              </w:rPr>
            </w:pPr>
            <w:r>
              <w:rPr>
                <w:rFonts w:ascii="arial" w:hAnsi="arial"/>
                <w:sz w:val="19"/>
              </w:rPr>
              <w:t xml:space="preserve">We maintain a website accessible throughout the year at </w:t>
            </w:r>
            <w:r>
              <w:rPr>
                <w:rFonts w:ascii="arial" w:hAnsi="arial"/>
                <w:i/>
                <w:color w:val="0171B9"/>
                <w:sz w:val="19"/>
              </w:rPr>
              <w:t>www.amgen.com/executive compensation</w:t>
            </w:r>
            <w:r>
              <w:rPr>
                <w:rFonts w:ascii="arial" w:hAnsi="arial"/>
                <w:sz w:val="19"/>
              </w:rPr>
              <w:t>(1) which provides a link to our most recent proxy statement and invites our stockholders to fill out a survey to provide input and feedback to the Compensation Committee regarding our executive compensation policies and practices.</w:t>
            </w:r>
          </w:p>
          <w:p>
            <w:pPr>
              <w:pStyle w:val="TableContents"/>
              <w:bidi w:val="0"/>
              <w:spacing w:before="0" w:after="20"/>
              <w:jc w:val="left"/>
              <w:rPr/>
            </w:pPr>
            <w:r>
              <w:rPr/>
              <w:t> </w:t>
            </w:r>
          </w:p>
        </w:tc>
        <w:tc>
          <w:tcPr>
            <w:tcW w:w="60" w:type="dxa"/>
            <w:tcBorders>
              <w:top w:val="single" w:sz="6" w:space="0" w:color="0171B9"/>
              <w:bottom w:val="single" w:sz="6" w:space="0" w:color="0171B9"/>
            </w:tcBorders>
            <w:tcMar>
              <w:top w:w="28" w:type="dxa"/>
              <w:bottom w:w="28" w:type="dxa"/>
            </w:tcMar>
            <w:vAlign w:val="center"/>
          </w:tcPr>
          <w:p>
            <w:pPr>
              <w:pStyle w:val="TableContents"/>
              <w:bidi w:val="0"/>
              <w:spacing w:before="0" w:after="283"/>
              <w:jc w:val="left"/>
              <w:rPr/>
            </w:pPr>
            <w:r>
              <w:rPr/>
              <w:t> </w:t>
            </w:r>
          </w:p>
        </w:tc>
        <w:tc>
          <w:tcPr>
            <w:tcW w:w="76" w:type="dxa"/>
            <w:tcBorders>
              <w:top w:val="single" w:sz="6" w:space="0" w:color="0171B9"/>
              <w:bottom w:val="single" w:sz="6" w:space="0" w:color="0171B9"/>
              <w:right w:val="single" w:sz="6" w:space="0" w:color="0171B9"/>
            </w:tcBorders>
            <w:tcMar>
              <w:top w:w="28" w:type="dxa"/>
              <w:bottom w:w="28" w:type="dxa"/>
              <w:right w:w="40" w:type="dxa"/>
            </w:tcMar>
            <w:vAlign w:val="center"/>
          </w:tcPr>
          <w:p>
            <w:pPr>
              <w:pStyle w:val="TableContents"/>
              <w:bidi w:val="0"/>
              <w:spacing w:before="0" w:after="283"/>
              <w:jc w:val="left"/>
              <w:rPr/>
            </w:pPr>
            <w:r>
              <w:rPr/>
              <w:t> </w:t>
            </w:r>
          </w:p>
        </w:tc>
      </w:tr>
      <w:tr>
        <w:trPr/>
        <w:tc>
          <w:tcPr>
            <w:tcW w:w="3800" w:type="dxa"/>
            <w:vMerge w:val="continue"/>
            <w:tcBorders>
              <w:top w:val="single" w:sz="12" w:space="0" w:color="0171B9"/>
            </w:tcBorders>
            <w:shd w:fill="B2D4EA" w:val="clear"/>
            <w:tcMar>
              <w:top w:w="28" w:type="dxa"/>
            </w:tcMar>
            <w:vAlign w:val="center"/>
          </w:tcPr>
          <w:p>
            <w:pPr>
              <w:pStyle w:val="Normal"/>
              <w:bidi w:val="0"/>
              <w:jc w:val="left"/>
              <w:rPr/>
            </w:pPr>
            <w:r>
              <w:rPr/>
            </w:r>
          </w:p>
        </w:tc>
        <w:tc>
          <w:tcPr>
            <w:tcW w:w="60" w:type="dxa"/>
            <w:vMerge w:val="continue"/>
            <w:tcBorders>
              <w:top w:val="single" w:sz="12" w:space="0" w:color="0171B9"/>
            </w:tcBorders>
            <w:shd w:fill="B2D4EA" w:val="clear"/>
            <w:tcMar>
              <w:top w:w="28" w:type="dxa"/>
            </w:tcMar>
            <w:vAlign w:val="center"/>
          </w:tcPr>
          <w:p>
            <w:pPr>
              <w:pStyle w:val="Normal"/>
              <w:bidi w:val="0"/>
              <w:jc w:val="left"/>
              <w:rPr/>
            </w:pPr>
            <w:r>
              <w:rPr/>
            </w:r>
          </w:p>
        </w:tc>
        <w:tc>
          <w:tcPr>
            <w:tcW w:w="60" w:type="dxa"/>
            <w:vMerge w:val="continue"/>
            <w:tcBorders>
              <w:top w:val="single" w:sz="12" w:space="0" w:color="0171B9"/>
            </w:tcBorders>
            <w:shd w:fill="B2D4EA" w:val="clear"/>
            <w:tcMar>
              <w:top w:w="28" w:type="dxa"/>
            </w:tcMar>
            <w:vAlign w:val="center"/>
          </w:tcPr>
          <w:p>
            <w:pPr>
              <w:pStyle w:val="Normal"/>
              <w:bidi w:val="0"/>
              <w:jc w:val="left"/>
              <w:rPr/>
            </w:pPr>
            <w:r>
              <w:rPr/>
            </w:r>
          </w:p>
        </w:tc>
        <w:tc>
          <w:tcPr>
            <w:tcW w:w="60" w:type="dxa"/>
            <w:vMerge w:val="continue"/>
            <w:tcBorders>
              <w:top w:val="single" w:sz="12" w:space="0" w:color="0171B9"/>
            </w:tcBorders>
            <w:tcMar>
              <w:top w:w="28" w:type="dxa"/>
            </w:tcMar>
            <w:vAlign w:val="center"/>
          </w:tcPr>
          <w:p>
            <w:pPr>
              <w:pStyle w:val="Normal"/>
              <w:bidi w:val="0"/>
              <w:jc w:val="left"/>
              <w:rPr/>
            </w:pPr>
            <w:r>
              <w:rPr/>
            </w:r>
          </w:p>
        </w:tc>
        <w:tc>
          <w:tcPr>
            <w:tcW w:w="60" w:type="dxa"/>
            <w:vMerge w:val="continue"/>
            <w:tcBorders>
              <w:top w:val="single" w:sz="12" w:space="0" w:color="0171B9"/>
            </w:tcBorders>
            <w:tcMar>
              <w:top w:w="28"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59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sz w:val="4"/>
                <w:szCs w:val="4"/>
              </w:rPr>
            </w:pPr>
            <w:r>
              <w:rPr>
                <w:sz w:val="4"/>
                <w:szCs w:val="4"/>
              </w:rPr>
            </w:r>
          </w:p>
        </w:tc>
      </w:tr>
      <w:tr>
        <w:trPr/>
        <w:tc>
          <w:tcPr>
            <w:tcW w:w="3800" w:type="dxa"/>
            <w:vMerge w:val="continue"/>
            <w:tcBorders>
              <w:top w:val="single" w:sz="12" w:space="0" w:color="0171B9"/>
            </w:tcBorders>
            <w:shd w:fill="B2D4EA" w:val="clear"/>
            <w:tcMar>
              <w:top w:w="28" w:type="dxa"/>
            </w:tcMar>
            <w:vAlign w:val="center"/>
          </w:tcPr>
          <w:p>
            <w:pPr>
              <w:pStyle w:val="Normal"/>
              <w:bidi w:val="0"/>
              <w:jc w:val="left"/>
              <w:rPr/>
            </w:pPr>
            <w:r>
              <w:rPr/>
            </w:r>
          </w:p>
        </w:tc>
        <w:tc>
          <w:tcPr>
            <w:tcW w:w="60" w:type="dxa"/>
            <w:vMerge w:val="continue"/>
            <w:tcBorders>
              <w:top w:val="single" w:sz="12" w:space="0" w:color="0171B9"/>
            </w:tcBorders>
            <w:shd w:fill="B2D4EA" w:val="clear"/>
            <w:tcMar>
              <w:top w:w="28" w:type="dxa"/>
            </w:tcMar>
            <w:vAlign w:val="center"/>
          </w:tcPr>
          <w:p>
            <w:pPr>
              <w:pStyle w:val="Normal"/>
              <w:bidi w:val="0"/>
              <w:jc w:val="left"/>
              <w:rPr/>
            </w:pPr>
            <w:r>
              <w:rPr/>
            </w:r>
          </w:p>
        </w:tc>
        <w:tc>
          <w:tcPr>
            <w:tcW w:w="60" w:type="dxa"/>
            <w:vMerge w:val="continue"/>
            <w:tcBorders>
              <w:top w:val="single" w:sz="12" w:space="0" w:color="0171B9"/>
            </w:tcBorders>
            <w:shd w:fill="B2D4EA" w:val="clear"/>
            <w:tcMar>
              <w:top w:w="28" w:type="dxa"/>
            </w:tcMar>
            <w:vAlign w:val="center"/>
          </w:tcPr>
          <w:p>
            <w:pPr>
              <w:pStyle w:val="Normal"/>
              <w:bidi w:val="0"/>
              <w:jc w:val="left"/>
              <w:rPr/>
            </w:pPr>
            <w:r>
              <w:rPr/>
            </w:r>
          </w:p>
        </w:tc>
        <w:tc>
          <w:tcPr>
            <w:tcW w:w="60" w:type="dxa"/>
            <w:vMerge w:val="continue"/>
            <w:tcBorders>
              <w:top w:val="single" w:sz="12" w:space="0" w:color="0171B9"/>
            </w:tcBorders>
            <w:tcMar>
              <w:top w:w="28" w:type="dxa"/>
            </w:tcMar>
            <w:vAlign w:val="center"/>
          </w:tcPr>
          <w:p>
            <w:pPr>
              <w:pStyle w:val="Normal"/>
              <w:bidi w:val="0"/>
              <w:jc w:val="left"/>
              <w:rPr/>
            </w:pPr>
            <w:r>
              <w:rPr/>
            </w:r>
          </w:p>
        </w:tc>
        <w:tc>
          <w:tcPr>
            <w:tcW w:w="60" w:type="dxa"/>
            <w:vMerge w:val="continue"/>
            <w:tcBorders>
              <w:top w:val="single" w:sz="12" w:space="0" w:color="0171B9"/>
            </w:tcBorders>
            <w:tcMar>
              <w:top w:w="28" w:type="dxa"/>
            </w:tcMar>
            <w:vAlign w:val="center"/>
          </w:tcPr>
          <w:p>
            <w:pPr>
              <w:pStyle w:val="Normal"/>
              <w:bidi w:val="0"/>
              <w:jc w:val="left"/>
              <w:rPr/>
            </w:pPr>
            <w:r>
              <w:rPr/>
            </w:r>
          </w:p>
        </w:tc>
        <w:tc>
          <w:tcPr>
            <w:tcW w:w="60" w:type="dxa"/>
            <w:tcBorders>
              <w:top w:val="single" w:sz="6" w:space="0" w:color="0171B9"/>
              <w:left w:val="single" w:sz="6" w:space="0" w:color="0171B9"/>
              <w:bottom w:val="single" w:sz="6" w:space="0" w:color="0171B9"/>
            </w:tcBorders>
            <w:tcMar>
              <w:top w:w="28" w:type="dxa"/>
              <w:left w:w="28" w:type="dxa"/>
              <w:bottom w:w="28" w:type="dxa"/>
            </w:tcMar>
            <w:vAlign w:val="center"/>
          </w:tcPr>
          <w:p>
            <w:pPr>
              <w:pStyle w:val="TableContents"/>
              <w:bidi w:val="0"/>
              <w:spacing w:before="0" w:after="283"/>
              <w:jc w:val="left"/>
              <w:rPr/>
            </w:pPr>
            <w:r>
              <w:rPr/>
              <w:t> </w:t>
            </w:r>
          </w:p>
        </w:tc>
        <w:tc>
          <w:tcPr>
            <w:tcW w:w="5969" w:type="dxa"/>
            <w:tcBorders>
              <w:top w:val="single" w:sz="6" w:space="0" w:color="0171B9"/>
              <w:bottom w:val="single" w:sz="6" w:space="0" w:color="0171B9"/>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both"/>
              <w:rPr>
                <w:rFonts w:ascii="arial" w:hAnsi="arial"/>
                <w:b/>
                <w:color w:val="0171B9"/>
                <w:sz w:val="20"/>
              </w:rPr>
            </w:pPr>
            <w:r>
              <w:rPr>
                <w:rFonts w:ascii="arial" w:hAnsi="arial"/>
                <w:b/>
                <w:color w:val="0171B9"/>
                <w:sz w:val="20"/>
              </w:rPr>
              <w:t>Equity Award Committee</w:t>
            </w:r>
          </w:p>
          <w:p>
            <w:pPr>
              <w:pStyle w:val="TableContents"/>
              <w:bidi w:val="0"/>
              <w:spacing w:before="0" w:after="0"/>
              <w:jc w:val="both"/>
              <w:rPr>
                <w:rFonts w:ascii="arial" w:hAnsi="arial"/>
                <w:sz w:val="19"/>
              </w:rPr>
            </w:pPr>
            <w:r>
              <w:rPr>
                <w:rFonts w:ascii="arial" w:hAnsi="arial"/>
                <w:sz w:val="19"/>
              </w:rPr>
              <w:t>The Equity Award Committee assists the Board by determining equity-based awards to non-Section 16 officers and employees at the level of vice president or below, consistent with the equity grant guidelines established by the Compensation Committee, and acted four times in 2023.</w:t>
            </w:r>
          </w:p>
          <w:p>
            <w:pPr>
              <w:pStyle w:val="TableContents"/>
              <w:bidi w:val="0"/>
              <w:spacing w:before="0" w:after="20"/>
              <w:jc w:val="left"/>
              <w:rPr/>
            </w:pPr>
            <w:r>
              <w:rPr/>
              <w:t> </w:t>
            </w:r>
          </w:p>
        </w:tc>
        <w:tc>
          <w:tcPr>
            <w:tcW w:w="60" w:type="dxa"/>
            <w:tcBorders>
              <w:top w:val="single" w:sz="6" w:space="0" w:color="0171B9"/>
              <w:bottom w:val="single" w:sz="6" w:space="0" w:color="0171B9"/>
            </w:tcBorders>
            <w:tcMar>
              <w:top w:w="28" w:type="dxa"/>
              <w:bottom w:w="28" w:type="dxa"/>
            </w:tcMar>
            <w:vAlign w:val="center"/>
          </w:tcPr>
          <w:p>
            <w:pPr>
              <w:pStyle w:val="TableContents"/>
              <w:bidi w:val="0"/>
              <w:spacing w:before="0" w:after="283"/>
              <w:jc w:val="left"/>
              <w:rPr/>
            </w:pPr>
            <w:r>
              <w:rPr/>
              <w:t> </w:t>
            </w:r>
          </w:p>
        </w:tc>
        <w:tc>
          <w:tcPr>
            <w:tcW w:w="76" w:type="dxa"/>
            <w:tcBorders>
              <w:top w:val="single" w:sz="6" w:space="0" w:color="0171B9"/>
              <w:bottom w:val="single" w:sz="6" w:space="0" w:color="0171B9"/>
              <w:right w:val="single" w:sz="6" w:space="0" w:color="0171B9"/>
            </w:tcBorders>
            <w:tcMar>
              <w:top w:w="28" w:type="dxa"/>
              <w:bottom w:w="28" w:type="dxa"/>
              <w:right w:w="40" w:type="dxa"/>
            </w:tcMar>
            <w:vAlign w:val="center"/>
          </w:tcPr>
          <w:p>
            <w:pPr>
              <w:pStyle w:val="TableContents"/>
              <w:bidi w:val="0"/>
              <w:spacing w:before="0" w:after="283"/>
              <w:jc w:val="left"/>
              <w:rPr/>
            </w:pPr>
            <w:r>
              <w:rPr/>
              <w:t> </w:t>
            </w:r>
          </w:p>
        </w:tc>
      </w:tr>
      <w:tr>
        <w:trPr/>
        <w:tc>
          <w:tcPr>
            <w:tcW w:w="3800" w:type="dxa"/>
            <w:tcBorders>
              <w:bottom w:val="single" w:sz="12" w:space="0" w:color="0171B9"/>
            </w:tcBorders>
            <w:shd w:fill="B2D4EA" w:val="clear"/>
            <w:tcMar>
              <w:bottom w:w="28" w:type="dxa"/>
            </w:tcMar>
            <w:vAlign w:val="center"/>
          </w:tcPr>
          <w:p>
            <w:pPr>
              <w:pStyle w:val="TableContents"/>
              <w:bidi w:val="0"/>
              <w:spacing w:before="0" w:after="283"/>
              <w:jc w:val="left"/>
              <w:rPr/>
            </w:pPr>
            <w:r>
              <w:rPr/>
              <w:t> </w:t>
            </w:r>
          </w:p>
        </w:tc>
        <w:tc>
          <w:tcPr>
            <w:tcW w:w="60" w:type="dxa"/>
            <w:tcBorders>
              <w:bottom w:val="single" w:sz="12" w:space="0" w:color="0171B9"/>
            </w:tcBorders>
            <w:shd w:fill="B2D4EA" w:val="clear"/>
            <w:tcMar>
              <w:bottom w:w="28" w:type="dxa"/>
            </w:tcMar>
            <w:vAlign w:val="center"/>
          </w:tcPr>
          <w:p>
            <w:pPr>
              <w:pStyle w:val="TableContents"/>
              <w:bidi w:val="0"/>
              <w:spacing w:before="0" w:after="283"/>
              <w:jc w:val="left"/>
              <w:rPr/>
            </w:pPr>
            <w:r>
              <w:rPr/>
              <w:t> </w:t>
            </w:r>
          </w:p>
        </w:tc>
        <w:tc>
          <w:tcPr>
            <w:tcW w:w="60" w:type="dxa"/>
            <w:tcBorders>
              <w:bottom w:val="single" w:sz="12" w:space="0" w:color="0171B9"/>
            </w:tcBorders>
            <w:shd w:fill="B2D4EA" w:val="clear"/>
            <w:tcMar>
              <w:bottom w:w="28" w:type="dxa"/>
            </w:tcMar>
            <w:vAlign w:val="center"/>
          </w:tcPr>
          <w:p>
            <w:pPr>
              <w:pStyle w:val="TableContents"/>
              <w:bidi w:val="0"/>
              <w:spacing w:before="0" w:after="283"/>
              <w:jc w:val="left"/>
              <w:rPr/>
            </w:pPr>
            <w:r>
              <w:rPr/>
              <w:t> </w:t>
            </w:r>
          </w:p>
        </w:tc>
        <w:tc>
          <w:tcPr>
            <w:tcW w:w="60" w:type="dxa"/>
            <w:tcBorders>
              <w:bottom w:val="single" w:sz="12" w:space="0" w:color="0171B9"/>
            </w:tcBorders>
            <w:tcMar>
              <w:bottom w:w="28" w:type="dxa"/>
            </w:tcMar>
            <w:vAlign w:val="center"/>
          </w:tcPr>
          <w:p>
            <w:pPr>
              <w:pStyle w:val="TableContents"/>
              <w:bidi w:val="0"/>
              <w:spacing w:before="0" w:after="283"/>
              <w:jc w:val="left"/>
              <w:rPr/>
            </w:pPr>
            <w:r>
              <w:rPr/>
              <w:t> </w:t>
            </w:r>
          </w:p>
        </w:tc>
        <w:tc>
          <w:tcPr>
            <w:tcW w:w="60" w:type="dxa"/>
            <w:tcBorders>
              <w:bottom w:val="single" w:sz="12" w:space="0" w:color="0171B9"/>
            </w:tcBorders>
            <w:tcMar>
              <w:bottom w:w="28" w:type="dxa"/>
            </w:tcMar>
            <w:vAlign w:val="center"/>
          </w:tcPr>
          <w:p>
            <w:pPr>
              <w:pStyle w:val="TableContents"/>
              <w:bidi w:val="0"/>
              <w:spacing w:before="0" w:after="283"/>
              <w:jc w:val="left"/>
              <w:rPr/>
            </w:pPr>
            <w:r>
              <w:rPr/>
              <w:t> </w:t>
            </w:r>
          </w:p>
        </w:tc>
        <w:tc>
          <w:tcPr>
            <w:tcW w:w="60" w:type="dxa"/>
            <w:tcBorders>
              <w:bottom w:val="single" w:sz="12" w:space="0" w:color="0171B9"/>
            </w:tcBorders>
            <w:tcMar>
              <w:bottom w:w="28" w:type="dxa"/>
            </w:tcMar>
            <w:vAlign w:val="center"/>
          </w:tcPr>
          <w:p>
            <w:pPr>
              <w:pStyle w:val="TableContents"/>
              <w:bidi w:val="0"/>
              <w:spacing w:before="0" w:after="283"/>
              <w:jc w:val="left"/>
              <w:rPr/>
            </w:pPr>
            <w:r>
              <w:rPr/>
              <w:t> </w:t>
            </w:r>
          </w:p>
        </w:tc>
        <w:tc>
          <w:tcPr>
            <w:tcW w:w="5969" w:type="dxa"/>
            <w:tcBorders>
              <w:bottom w:val="single" w:sz="12" w:space="0" w:color="0171B9"/>
            </w:tcBorders>
            <w:tcMar>
              <w:bottom w:w="28" w:type="dxa"/>
            </w:tcMar>
            <w:vAlign w:val="center"/>
          </w:tcPr>
          <w:p>
            <w:pPr>
              <w:pStyle w:val="TableContents"/>
              <w:bidi w:val="0"/>
              <w:spacing w:before="0" w:after="283"/>
              <w:jc w:val="left"/>
              <w:rPr/>
            </w:pPr>
            <w:r>
              <w:rPr/>
              <w:t> </w:t>
            </w:r>
          </w:p>
        </w:tc>
        <w:tc>
          <w:tcPr>
            <w:tcW w:w="60" w:type="dxa"/>
            <w:tcBorders>
              <w:bottom w:val="single" w:sz="12" w:space="0" w:color="0171B9"/>
            </w:tcBorders>
            <w:tcMar>
              <w:bottom w:w="28" w:type="dxa"/>
            </w:tcMar>
            <w:vAlign w:val="center"/>
          </w:tcPr>
          <w:p>
            <w:pPr>
              <w:pStyle w:val="TableContents"/>
              <w:bidi w:val="0"/>
              <w:spacing w:before="0" w:after="283"/>
              <w:jc w:val="left"/>
              <w:rPr/>
            </w:pPr>
            <w:r>
              <w:rPr/>
              <w:t> </w:t>
            </w:r>
          </w:p>
        </w:tc>
        <w:tc>
          <w:tcPr>
            <w:tcW w:w="76" w:type="dxa"/>
            <w:tcBorders>
              <w:bottom w:val="single" w:sz="12" w:space="0" w:color="0171B9"/>
            </w:tcBorders>
            <w:tcMar>
              <w:bottom w:w="28" w:type="dxa"/>
            </w:tcMar>
            <w:vAlign w:val="center"/>
          </w:tcPr>
          <w:p>
            <w:pPr>
              <w:pStyle w:val="TableContents"/>
              <w:bidi w:val="0"/>
              <w:spacing w:before="0" w:after="283"/>
              <w:jc w:val="left"/>
              <w:rPr/>
            </w:pPr>
            <w:r>
              <w:rPr/>
              <w:t> </w:t>
            </w:r>
          </w:p>
        </w:tc>
      </w:tr>
    </w:tbl>
    <w:p>
      <w:pPr>
        <w:pStyle w:val="TextBody"/>
        <w:bidi w:val="0"/>
        <w:spacing w:before="320" w:after="0"/>
        <w:jc w:val="left"/>
        <w:rPr>
          <w:rFonts w:ascii="arial" w:hAnsi="arial"/>
          <w:b/>
          <w:color w:val="0171B9"/>
          <w:sz w:val="28"/>
        </w:rPr>
      </w:pPr>
      <w:bookmarkStart w:id="24" w:name="toc445034_22"/>
      <w:bookmarkEnd w:id="24"/>
      <w:r>
        <w:rPr>
          <w:rFonts w:ascii="arial" w:hAnsi="arial"/>
          <w:b/>
          <w:color w:val="0171B9"/>
          <w:sz w:val="28"/>
        </w:rPr>
        <w:t xml:space="preserve">Compensation Committee Processes and Procedures for Considering and Determining Executive Compensation in 2023 </w:t>
      </w:r>
    </w:p>
    <w:p>
      <w:pPr>
        <w:pStyle w:val="TextBody"/>
        <w:pBdr>
          <w:bottom w:val="single" w:sz="2" w:space="1" w:color="666666"/>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11">
                <wp:simplePos x="0" y="0"/>
                <wp:positionH relativeFrom="column">
                  <wp:align>left</wp:align>
                </wp:positionH>
                <wp:positionV relativeFrom="line">
                  <wp:posOffset>635</wp:posOffset>
                </wp:positionV>
                <wp:extent cx="3110230" cy="1799590"/>
                <wp:effectExtent l="0" t="0" r="0" b="0"/>
                <wp:wrapSquare wrapText="right"/>
                <wp:docPr id="150" name="Frame69"/>
                <a:graphic xmlns:a="http://schemas.openxmlformats.org/drawingml/2006/main">
                  <a:graphicData uri="http://schemas.microsoft.com/office/word/2010/wordprocessingShape">
                    <wps:wsp>
                      <wps:cNvSpPr txBox="1"/>
                      <wps:spPr>
                        <a:xfrm>
                          <a:off x="0" y="0"/>
                          <a:ext cx="3110230" cy="1799590"/>
                        </a:xfrm>
                        <a:prstGeom prst="rect"/>
                        <a:solidFill>
                          <a:srgbClr val="FFFFFF"/>
                        </a:solidFill>
                      </wps:spPr>
                      <wps:txbx>
                        <w:txbxContent>
                          <w:p>
                            <w:pPr>
                              <w:pStyle w:val="TextBody"/>
                              <w:bidi w:val="0"/>
                              <w:spacing w:before="0" w:after="0"/>
                              <w:jc w:val="both"/>
                              <w:rPr>
                                <w:rFonts w:ascii="arial" w:hAnsi="arial"/>
                                <w:sz w:val="19"/>
                              </w:rPr>
                            </w:pPr>
                            <w:r>
                              <w:rPr>
                                <w:rFonts w:ascii="arial" w:hAnsi="arial"/>
                                <w:b/>
                                <w:i/>
                                <w:color w:val="0171B9"/>
                                <w:sz w:val="19"/>
                              </w:rPr>
                              <w:t>Compensation Committee Determination of Compensation.</w:t>
                            </w:r>
                            <w:r>
                              <w:rPr>
                                <w:rFonts w:ascii="arial" w:hAnsi="arial"/>
                                <w:sz w:val="19"/>
                              </w:rPr>
                              <w:t xml:space="preserve"> Generally, by the first calendar quarter of each year, the Compensation Committee reviews and approves Company performance goals and objectives for the current year and evaluates the CEO’s performance for the previous year in light of the Company performance goals and objectives established for the prior year. The Compensation Committee evaluates the performance of the CEO within the context of the financial and operational performance of the Company, considers competitive market data, and establishes the CEO’s compensation based on this evaluation as well as the compensation for each executive officer.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41.7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b/>
                          <w:i/>
                          <w:color w:val="0171B9"/>
                          <w:sz w:val="19"/>
                        </w:rPr>
                        <w:t>Compensation Committee Determination of Compensation.</w:t>
                      </w:r>
                      <w:r>
                        <w:rPr>
                          <w:rFonts w:ascii="arial" w:hAnsi="arial"/>
                          <w:sz w:val="19"/>
                        </w:rPr>
                        <w:t xml:space="preserve"> Generally, by the first calendar quarter of each year, the Compensation Committee reviews and approves Company performance goals and objectives for the current year and evaluates the CEO’s performance for the previous year in light of the Company performance goals and objectives established for the prior year. The Compensation Committee evaluates the performance of the CEO within the context of the financial and operational performance of the Company, considers competitive market data, and establishes the CEO’s compensation based on this evaluation as well as the compensation for each executive officer. </w:t>
                      </w:r>
                    </w:p>
                  </w:txbxContent>
                </v:textbox>
                <w10:wrap type="square" side="right"/>
              </v:rect>
            </w:pict>
          </mc:Fallback>
        </mc:AlternateContent>
      </w:r>
      <w:r>
        <mc:AlternateContent>
          <mc:Choice Requires="wps">
            <w:drawing>
              <wp:anchor behindDoc="0" distT="0" distB="0" distL="0" distR="0" simplePos="0" locked="0" layoutInCell="1" allowOverlap="1" relativeHeight="312">
                <wp:simplePos x="0" y="0"/>
                <wp:positionH relativeFrom="column">
                  <wp:align>left</wp:align>
                </wp:positionH>
                <wp:positionV relativeFrom="line">
                  <wp:posOffset>635</wp:posOffset>
                </wp:positionV>
                <wp:extent cx="3175000" cy="1661160"/>
                <wp:effectExtent l="0" t="0" r="0" b="0"/>
                <wp:wrapSquare wrapText="right"/>
                <wp:docPr id="151" name="Frame70"/>
                <a:graphic xmlns:a="http://schemas.openxmlformats.org/drawingml/2006/main">
                  <a:graphicData uri="http://schemas.microsoft.com/office/word/2010/wordprocessingShape">
                    <wps:wsp>
                      <wps:cNvSpPr txBox="1"/>
                      <wps:spPr>
                        <a:xfrm>
                          <a:off x="0" y="0"/>
                          <a:ext cx="3175000" cy="1661160"/>
                        </a:xfrm>
                        <a:prstGeom prst="rect"/>
                        <a:solidFill>
                          <a:srgbClr val="FFFFFF"/>
                        </a:solidFill>
                      </wps:spPr>
                      <wps:txbx>
                        <w:txbxContent>
                          <w:p>
                            <w:pPr>
                              <w:pStyle w:val="TextBody"/>
                              <w:bidi w:val="0"/>
                              <w:spacing w:before="0" w:after="0"/>
                              <w:jc w:val="both"/>
                              <w:rPr>
                                <w:rFonts w:ascii="arial" w:hAnsi="arial"/>
                                <w:sz w:val="19"/>
                              </w:rPr>
                            </w:pPr>
                            <w:r>
                              <w:rPr>
                                <w:rFonts w:ascii="arial" w:hAnsi="arial"/>
                                <w:i/>
                                <w:color w:val="0171B9"/>
                                <w:sz w:val="19"/>
                              </w:rPr>
                              <w:t xml:space="preserve">Values and Components. </w:t>
                            </w:r>
                            <w:r>
                              <w:rPr>
                                <w:rFonts w:ascii="arial" w:hAnsi="arial"/>
                                <w:sz w:val="19"/>
                              </w:rPr>
                              <w:t xml:space="preserve">The values of each component of total compensation (base salary, target annual cash incentive awards, and equity awards) for the current year, as well as total annual compensation for the prior year (including the value of equity holdings, potential change of control payments, and vested benefits under our Retirement and Savings Plan, Supplemental Retirement Plan, and Nonqualified Deferred Compensation Plan as of the end of the last fiscal year) are considered at this time. Final determinations regarding our CEO’s performance and compensation are made during an executive session of the Compensation Committee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30.8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i/>
                          <w:color w:val="0171B9"/>
                          <w:sz w:val="19"/>
                        </w:rPr>
                        <w:t xml:space="preserve">Values and Components. </w:t>
                      </w:r>
                      <w:r>
                        <w:rPr>
                          <w:rFonts w:ascii="arial" w:hAnsi="arial"/>
                          <w:sz w:val="19"/>
                        </w:rPr>
                        <w:t xml:space="preserve">The values of each component of total compensation (base salary, target annual cash incentive awards, and equity awards) for the current year, as well as total annual compensation for the prior year (including the value of equity holdings, potential change of control payments, and vested benefits under our Retirement and Savings Plan, Supplemental Retirement Plan, and Nonqualified Deferred Compensation Plan as of the end of the last fiscal year) are considered at this time. Final determinations regarding our CEO’s performance and compensation are made during an executive session of the Compensation Committee </w:t>
                      </w:r>
                    </w:p>
                  </w:txbxContent>
                </v:textbox>
                <w10:wrap type="square" side="right"/>
              </v:rect>
            </w:pict>
          </mc:Fallback>
        </mc:AlternateContent>
      </w:r>
    </w:p>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341"/>
        <w:gridCol w:w="9864"/>
      </w:tblGrid>
      <w:tr>
        <w:trPr/>
        <w:tc>
          <w:tcPr>
            <w:tcW w:w="341" w:type="dxa"/>
            <w:tcBorders/>
            <w:vAlign w:val="center"/>
          </w:tcPr>
          <w:p>
            <w:pPr>
              <w:pStyle w:val="TableContents"/>
              <w:bidi w:val="0"/>
              <w:spacing w:before="0" w:after="283"/>
              <w:jc w:val="left"/>
              <w:rPr/>
            </w:pPr>
            <w:r>
              <w:rPr/>
              <w:t>(1) </w:t>
            </w:r>
          </w:p>
        </w:tc>
        <w:tc>
          <w:tcPr>
            <w:tcW w:w="9864" w:type="dxa"/>
            <w:tcBorders/>
            <w:vAlign w:val="center"/>
          </w:tcPr>
          <w:p>
            <w:pPr>
              <w:pStyle w:val="TableContents"/>
              <w:bidi w:val="0"/>
              <w:spacing w:before="0" w:after="0"/>
              <w:jc w:val="both"/>
              <w:rPr>
                <w:rFonts w:ascii="arial" w:hAnsi="arial"/>
                <w:sz w:val="16"/>
              </w:rPr>
            </w:pPr>
            <w:r>
              <w:rPr>
                <w:rFonts w:ascii="arial" w:hAnsi="arial"/>
                <w:sz w:val="16"/>
              </w:rPr>
              <w:t xml:space="preserve">Reference to our website is not intended to function as a hyperlink and the information contained on our website is not intended to be part of this proxy statement. </w:t>
            </w:r>
          </w:p>
        </w:tc>
      </w:tr>
    </w:tbl>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42  </w:t>
      </w:r>
      <w:r>
        <w:rPr>
          <w:rFonts w:ascii="arial" w:hAnsi="arial"/>
          <w:b/>
          <w:color w:val="474747"/>
          <w:sz w:val="22"/>
        </w:rPr>
        <w:drawing>
          <wp:inline distT="0" distB="0" distL="0" distR="0">
            <wp:extent cx="64770" cy="15240"/>
            <wp:effectExtent l="0" t="0" r="0" b="0"/>
            <wp:docPr id="152"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79" descr=""/>
                    <pic:cNvPicPr>
                      <a:picLocks noChangeAspect="1" noChangeArrowheads="1"/>
                    </pic:cNvPicPr>
                  </pic:nvPicPr>
                  <pic:blipFill>
                    <a:blip r:embed="rId83"/>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311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263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263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Corporate Governance</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13">
                <wp:simplePos x="0" y="0"/>
                <wp:positionH relativeFrom="column">
                  <wp:align>left</wp:align>
                </wp:positionH>
                <wp:positionV relativeFrom="line">
                  <wp:posOffset>635</wp:posOffset>
                </wp:positionV>
                <wp:extent cx="3110230" cy="5565140"/>
                <wp:effectExtent l="0" t="0" r="0" b="0"/>
                <wp:wrapSquare wrapText="right"/>
                <wp:docPr id="153" name="Frame71"/>
                <a:graphic xmlns:a="http://schemas.openxmlformats.org/drawingml/2006/main">
                  <a:graphicData uri="http://schemas.microsoft.com/office/word/2010/wordprocessingShape">
                    <wps:wsp>
                      <wps:cNvSpPr txBox="1"/>
                      <wps:spPr>
                        <a:xfrm>
                          <a:off x="0" y="0"/>
                          <a:ext cx="3110230" cy="556514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and are reported to and reviewed by the Board in an independent directors’ session. </w:t>
                            </w:r>
                          </w:p>
                          <w:p>
                            <w:pPr>
                              <w:pStyle w:val="TextBody"/>
                              <w:bidi w:val="0"/>
                              <w:spacing w:before="120" w:after="0"/>
                              <w:jc w:val="both"/>
                              <w:rPr>
                                <w:rFonts w:ascii="arial" w:hAnsi="arial"/>
                                <w:sz w:val="19"/>
                              </w:rPr>
                            </w:pPr>
                            <w:r>
                              <w:rPr>
                                <w:rFonts w:ascii="arial" w:hAnsi="arial"/>
                                <w:i/>
                                <w:color w:val="0171B9"/>
                                <w:sz w:val="19"/>
                              </w:rPr>
                              <w:t>Executive Officers.</w:t>
                            </w:r>
                            <w:r>
                              <w:rPr>
                                <w:rFonts w:ascii="arial" w:hAnsi="arial"/>
                                <w:sz w:val="19"/>
                              </w:rPr>
                              <w:t xml:space="preserve"> Our Compensation Committee determines compensation for the executive officers (other than the CEO) based, in part, on the recommendations of our CEO regarding base salary, annual cash incentive awards, and equity awards. In determining compensation recommendations for each Named Executive Officer, or NEO, our CEO reviews comparative peer group data, as well as the performance of the executive. The Compensation Committee has typically followed these recommendations. </w:t>
                            </w:r>
                          </w:p>
                          <w:p>
                            <w:pPr>
                              <w:pStyle w:val="TextBody"/>
                              <w:bidi w:val="0"/>
                              <w:spacing w:before="120" w:after="0"/>
                              <w:jc w:val="both"/>
                              <w:rPr>
                                <w:rFonts w:ascii="arial" w:hAnsi="arial"/>
                                <w:sz w:val="19"/>
                              </w:rPr>
                            </w:pPr>
                            <w:r>
                              <w:rPr>
                                <w:rFonts w:ascii="arial" w:hAnsi="arial"/>
                                <w:i/>
                                <w:color w:val="0171B9"/>
                                <w:sz w:val="19"/>
                              </w:rPr>
                              <w:t>Executive Sessions.</w:t>
                            </w:r>
                            <w:r>
                              <w:rPr>
                                <w:rFonts w:ascii="arial" w:hAnsi="arial"/>
                                <w:sz w:val="19"/>
                              </w:rPr>
                              <w:t xml:space="preserve"> Each Compensation Committee meeting includes adequate time for executive session and the Compensation Committee meets in executive session on a regular basis with no members of management present (unless otherwise requested by the Compensation Committee). </w:t>
                            </w:r>
                          </w:p>
                          <w:p>
                            <w:pPr>
                              <w:pStyle w:val="TextBody"/>
                              <w:bidi w:val="0"/>
                              <w:spacing w:before="120" w:after="0"/>
                              <w:jc w:val="both"/>
                              <w:rPr>
                                <w:rFonts w:ascii="arial" w:hAnsi="arial"/>
                                <w:sz w:val="19"/>
                              </w:rPr>
                            </w:pPr>
                            <w:r>
                              <w:rPr>
                                <w:rFonts w:ascii="arial" w:hAnsi="arial"/>
                                <w:i/>
                                <w:color w:val="0171B9"/>
                                <w:sz w:val="19"/>
                              </w:rPr>
                              <w:t>Delegation of Authority.</w:t>
                            </w:r>
                            <w:r>
                              <w:rPr>
                                <w:rFonts w:ascii="arial" w:hAnsi="arial"/>
                                <w:sz w:val="19"/>
                              </w:rPr>
                              <w:t xml:space="preserve"> The Compensation Committee has authority to delegate any of its functions to a subcommittee of its members. No delegation of authority was made in 2023. </w:t>
                            </w:r>
                          </w:p>
                          <w:p>
                            <w:pPr>
                              <w:pStyle w:val="TextBody"/>
                              <w:bidi w:val="0"/>
                              <w:spacing w:before="120" w:after="0"/>
                              <w:jc w:val="both"/>
                              <w:rPr>
                                <w:rFonts w:ascii="arial" w:hAnsi="arial"/>
                                <w:sz w:val="19"/>
                              </w:rPr>
                            </w:pPr>
                            <w:r>
                              <w:rPr>
                                <w:rFonts w:ascii="arial" w:hAnsi="arial"/>
                                <w:b/>
                                <w:i/>
                                <w:color w:val="0171B9"/>
                                <w:sz w:val="19"/>
                              </w:rPr>
                              <w:t>Independent Compensation Consultant.</w:t>
                            </w:r>
                            <w:r>
                              <w:rPr>
                                <w:rFonts w:ascii="arial" w:hAnsi="arial"/>
                                <w:sz w:val="19"/>
                              </w:rPr>
                              <w:t xml:space="preserve"> The Compensation Committee engaged FW Cook, an independent compensation consultant, to provide advice regarding executive compensation and executive compensation trends and developments, compensation designs, and equity compensation practices, market data as requested, and opinions on the appropriateness and competitiveness of our executive compensation programs relative to market practice. In 2023, FW Cook’s services included providing the Compensation Committee with reports and analysis regarding CEO Compensation, Peer Group Company Review, Compensation Risk Assessment and CEO Real Earned Compensation, and advice on the Equity Incentive Plan, in addition to the services FW Cook provided to the Governance Committee regarding director compensation. FW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38.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and are reported to and reviewed by the Board in an independent directors’ session. </w:t>
                      </w:r>
                    </w:p>
                    <w:p>
                      <w:pPr>
                        <w:pStyle w:val="TextBody"/>
                        <w:bidi w:val="0"/>
                        <w:spacing w:before="120" w:after="0"/>
                        <w:jc w:val="both"/>
                        <w:rPr>
                          <w:rFonts w:ascii="arial" w:hAnsi="arial"/>
                          <w:sz w:val="19"/>
                        </w:rPr>
                      </w:pPr>
                      <w:r>
                        <w:rPr>
                          <w:rFonts w:ascii="arial" w:hAnsi="arial"/>
                          <w:i/>
                          <w:color w:val="0171B9"/>
                          <w:sz w:val="19"/>
                        </w:rPr>
                        <w:t>Executive Officers.</w:t>
                      </w:r>
                      <w:r>
                        <w:rPr>
                          <w:rFonts w:ascii="arial" w:hAnsi="arial"/>
                          <w:sz w:val="19"/>
                        </w:rPr>
                        <w:t xml:space="preserve"> Our Compensation Committee determines compensation for the executive officers (other than the CEO) based, in part, on the recommendations of our CEO regarding base salary, annual cash incentive awards, and equity awards. In determining compensation recommendations for each Named Executive Officer, or NEO, our CEO reviews comparative peer group data, as well as the performance of the executive. The Compensation Committee has typically followed these recommendations. </w:t>
                      </w:r>
                    </w:p>
                    <w:p>
                      <w:pPr>
                        <w:pStyle w:val="TextBody"/>
                        <w:bidi w:val="0"/>
                        <w:spacing w:before="120" w:after="0"/>
                        <w:jc w:val="both"/>
                        <w:rPr>
                          <w:rFonts w:ascii="arial" w:hAnsi="arial"/>
                          <w:sz w:val="19"/>
                        </w:rPr>
                      </w:pPr>
                      <w:r>
                        <w:rPr>
                          <w:rFonts w:ascii="arial" w:hAnsi="arial"/>
                          <w:i/>
                          <w:color w:val="0171B9"/>
                          <w:sz w:val="19"/>
                        </w:rPr>
                        <w:t>Executive Sessions.</w:t>
                      </w:r>
                      <w:r>
                        <w:rPr>
                          <w:rFonts w:ascii="arial" w:hAnsi="arial"/>
                          <w:sz w:val="19"/>
                        </w:rPr>
                        <w:t xml:space="preserve"> Each Compensation Committee meeting includes adequate time for executive session and the Compensation Committee meets in executive session on a regular basis with no members of management present (unless otherwise requested by the Compensation Committee). </w:t>
                      </w:r>
                    </w:p>
                    <w:p>
                      <w:pPr>
                        <w:pStyle w:val="TextBody"/>
                        <w:bidi w:val="0"/>
                        <w:spacing w:before="120" w:after="0"/>
                        <w:jc w:val="both"/>
                        <w:rPr>
                          <w:rFonts w:ascii="arial" w:hAnsi="arial"/>
                          <w:sz w:val="19"/>
                        </w:rPr>
                      </w:pPr>
                      <w:r>
                        <w:rPr>
                          <w:rFonts w:ascii="arial" w:hAnsi="arial"/>
                          <w:i/>
                          <w:color w:val="0171B9"/>
                          <w:sz w:val="19"/>
                        </w:rPr>
                        <w:t>Delegation of Authority.</w:t>
                      </w:r>
                      <w:r>
                        <w:rPr>
                          <w:rFonts w:ascii="arial" w:hAnsi="arial"/>
                          <w:sz w:val="19"/>
                        </w:rPr>
                        <w:t xml:space="preserve"> The Compensation Committee has authority to delegate any of its functions to a subcommittee of its members. No delegation of authority was made in 2023. </w:t>
                      </w:r>
                    </w:p>
                    <w:p>
                      <w:pPr>
                        <w:pStyle w:val="TextBody"/>
                        <w:bidi w:val="0"/>
                        <w:spacing w:before="120" w:after="0"/>
                        <w:jc w:val="both"/>
                        <w:rPr>
                          <w:rFonts w:ascii="arial" w:hAnsi="arial"/>
                          <w:sz w:val="19"/>
                        </w:rPr>
                      </w:pPr>
                      <w:r>
                        <w:rPr>
                          <w:rFonts w:ascii="arial" w:hAnsi="arial"/>
                          <w:b/>
                          <w:i/>
                          <w:color w:val="0171B9"/>
                          <w:sz w:val="19"/>
                        </w:rPr>
                        <w:t>Independent Compensation Consultant.</w:t>
                      </w:r>
                      <w:r>
                        <w:rPr>
                          <w:rFonts w:ascii="arial" w:hAnsi="arial"/>
                          <w:sz w:val="19"/>
                        </w:rPr>
                        <w:t xml:space="preserve"> The Compensation Committee engaged FW Cook, an independent compensation consultant, to provide advice regarding executive compensation and executive compensation trends and developments, compensation designs, and equity compensation practices, market data as requested, and opinions on the appropriateness and competitiveness of our executive compensation programs relative to market practice. In 2023, FW Cook’s services included providing the Compensation Committee with reports and analysis regarding CEO Compensation, Peer Group Company Review, Compensation Risk Assessment and CEO Real Earned Compensation, and advice on the Equity Incentive Plan, in addition to the services FW Cook provided to the Governance Committee regarding director compensation. FW </w:t>
                      </w:r>
                    </w:p>
                  </w:txbxContent>
                </v:textbox>
                <w10:wrap type="square" side="right"/>
              </v:rect>
            </w:pict>
          </mc:Fallback>
        </mc:AlternateContent>
      </w:r>
      <w:r>
        <mc:AlternateContent>
          <mc:Choice Requires="wps">
            <w:drawing>
              <wp:anchor behindDoc="0" distT="0" distB="0" distL="0" distR="0" simplePos="0" locked="0" layoutInCell="1" allowOverlap="1" relativeHeight="314">
                <wp:simplePos x="0" y="0"/>
                <wp:positionH relativeFrom="column">
                  <wp:align>left</wp:align>
                </wp:positionH>
                <wp:positionV relativeFrom="line">
                  <wp:posOffset>635</wp:posOffset>
                </wp:positionV>
                <wp:extent cx="3175000" cy="5274310"/>
                <wp:effectExtent l="0" t="0" r="0" b="0"/>
                <wp:wrapSquare wrapText="right"/>
                <wp:docPr id="154" name="Frame72"/>
                <a:graphic xmlns:a="http://schemas.openxmlformats.org/drawingml/2006/main">
                  <a:graphicData uri="http://schemas.microsoft.com/office/word/2010/wordprocessingShape">
                    <wps:wsp>
                      <wps:cNvSpPr txBox="1"/>
                      <wps:spPr>
                        <a:xfrm>
                          <a:off x="0" y="0"/>
                          <a:ext cx="3175000" cy="527431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Cook reported directly to the Compensation Committee and attended regularly scheduled meetings of the Compensation Committee (including meeting in executive session with the Compensation Committee, as requested). Each year the Compensation Committee reviews the independence of FW Cook and whether any conflicts of interest exist. After review and consultation with FW Cook, the Compensation Committee has determined that FW Cook is independent and there is no conflict of interest resulting from retaining FW Cook currently or during the year ended December 31, 2023. In performing its analysis, the Compensation Committee considers the factors set forth in the SEC rules and The NASDAQ Stock Market listing standards. </w:t>
                            </w:r>
                          </w:p>
                          <w:p>
                            <w:pPr>
                              <w:pStyle w:val="TextBody"/>
                              <w:bidi w:val="0"/>
                              <w:spacing w:before="120" w:after="0"/>
                              <w:jc w:val="both"/>
                              <w:rPr>
                                <w:rFonts w:ascii="arial" w:hAnsi="arial"/>
                                <w:sz w:val="19"/>
                              </w:rPr>
                            </w:pPr>
                            <w:r>
                              <w:rPr>
                                <w:rFonts w:ascii="arial" w:hAnsi="arial"/>
                                <w:b/>
                                <w:i/>
                                <w:color w:val="0171B9"/>
                                <w:sz w:val="19"/>
                              </w:rPr>
                              <w:t>Peer Group Review.</w:t>
                            </w:r>
                            <w:r>
                              <w:rPr>
                                <w:rFonts w:ascii="arial" w:hAnsi="arial"/>
                                <w:sz w:val="19"/>
                              </w:rPr>
                              <w:t xml:space="preserve"> In setting executive compensation, the Compensation Committee compares the Company’s pay levels and programs to those available for the Company’s competitors for executive talent and uses this comparative data as a guide in its review and determination of compensation. Our Compensation Committee annually considers and selects an appropriate peer group (consisting of biotechnology and pharmaceutical companies), based, in part, on the recommendations of FW Cook, and, for each NEO, the Compensation Committee reviews the compensation levels and practices of our peer group, which for our NEOs, other than the CEO, are based on reports prepared by management from information contained in compensation surveys and proxy statements as available. FW Cook provides the Compensation Committee with market data, an annual report on the compensation levels and practices of our peer group, and compensation recommendations for the CEO position. </w:t>
                            </w:r>
                          </w:p>
                          <w:p>
                            <w:pPr>
                              <w:pStyle w:val="TextBody"/>
                              <w:bidi w:val="0"/>
                              <w:spacing w:before="120" w:after="0"/>
                              <w:jc w:val="both"/>
                              <w:rPr>
                                <w:rFonts w:ascii="arial" w:hAnsi="arial"/>
                                <w:sz w:val="19"/>
                              </w:rPr>
                            </w:pPr>
                            <w:r>
                              <w:rPr>
                                <w:rFonts w:ascii="arial" w:hAnsi="arial"/>
                                <w:b/>
                                <w:i/>
                                <w:color w:val="0171B9"/>
                                <w:sz w:val="19"/>
                              </w:rPr>
                              <w:t>Compensation Risk Management.</w:t>
                            </w:r>
                            <w:r>
                              <w:rPr>
                                <w:rFonts w:ascii="arial" w:hAnsi="arial"/>
                                <w:sz w:val="19"/>
                              </w:rPr>
                              <w:t xml:space="preserve"> In cooperation with management, FW Cook assesses the potential risks arising from our compensation policies and practices as discussed more fully below.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15.3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Cook reported directly to the Compensation Committee and attended regularly scheduled meetings of the Compensation Committee (including meeting in executive session with the Compensation Committee, as requested). Each year the Compensation Committee reviews the independence of FW Cook and whether any conflicts of interest exist. After review and consultation with FW Cook, the Compensation Committee has determined that FW Cook is independent and there is no conflict of interest resulting from retaining FW Cook currently or during the year ended December 31, 2023. In performing its analysis, the Compensation Committee considers the factors set forth in the SEC rules and The NASDAQ Stock Market listing standards. </w:t>
                      </w:r>
                    </w:p>
                    <w:p>
                      <w:pPr>
                        <w:pStyle w:val="TextBody"/>
                        <w:bidi w:val="0"/>
                        <w:spacing w:before="120" w:after="0"/>
                        <w:jc w:val="both"/>
                        <w:rPr>
                          <w:rFonts w:ascii="arial" w:hAnsi="arial"/>
                          <w:sz w:val="19"/>
                        </w:rPr>
                      </w:pPr>
                      <w:r>
                        <w:rPr>
                          <w:rFonts w:ascii="arial" w:hAnsi="arial"/>
                          <w:b/>
                          <w:i/>
                          <w:color w:val="0171B9"/>
                          <w:sz w:val="19"/>
                        </w:rPr>
                        <w:t>Peer Group Review.</w:t>
                      </w:r>
                      <w:r>
                        <w:rPr>
                          <w:rFonts w:ascii="arial" w:hAnsi="arial"/>
                          <w:sz w:val="19"/>
                        </w:rPr>
                        <w:t xml:space="preserve"> In setting executive compensation, the Compensation Committee compares the Company’s pay levels and programs to those available for the Company’s competitors for executive talent and uses this comparative data as a guide in its review and determination of compensation. Our Compensation Committee annually considers and selects an appropriate peer group (consisting of biotechnology and pharmaceutical companies), based, in part, on the recommendations of FW Cook, and, for each NEO, the Compensation Committee reviews the compensation levels and practices of our peer group, which for our NEOs, other than the CEO, are based on reports prepared by management from information contained in compensation surveys and proxy statements as available. FW Cook provides the Compensation Committee with market data, an annual report on the compensation levels and practices of our peer group, and compensation recommendations for the CEO position. </w:t>
                      </w:r>
                    </w:p>
                    <w:p>
                      <w:pPr>
                        <w:pStyle w:val="TextBody"/>
                        <w:bidi w:val="0"/>
                        <w:spacing w:before="120" w:after="0"/>
                        <w:jc w:val="both"/>
                        <w:rPr>
                          <w:rFonts w:ascii="arial" w:hAnsi="arial"/>
                          <w:sz w:val="19"/>
                        </w:rPr>
                      </w:pPr>
                      <w:r>
                        <w:rPr>
                          <w:rFonts w:ascii="arial" w:hAnsi="arial"/>
                          <w:b/>
                          <w:i/>
                          <w:color w:val="0171B9"/>
                          <w:sz w:val="19"/>
                        </w:rPr>
                        <w:t>Compensation Risk Management.</w:t>
                      </w:r>
                      <w:r>
                        <w:rPr>
                          <w:rFonts w:ascii="arial" w:hAnsi="arial"/>
                          <w:sz w:val="19"/>
                        </w:rPr>
                        <w:t xml:space="preserve"> In cooperation with management, FW Cook assesses the potential risks arising from our compensation policies and practices as discussed more fully below.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155"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80" descr=""/>
                    <pic:cNvPicPr>
                      <a:picLocks noChangeAspect="1" noChangeArrowheads="1"/>
                    </pic:cNvPicPr>
                  </pic:nvPicPr>
                  <pic:blipFill>
                    <a:blip r:embed="rId84"/>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43</w:t>
      </w:r>
      <w:r>
        <w:rPr>
          <w:rFonts w:ascii="arial" w:hAnsi="arial"/>
          <w:b/>
          <w:sz w:val="22"/>
        </w:rPr>
        <w:t xml:space="preserve"> </w:t>
      </w:r>
      <w:r>
        <w:br w:type="page"/>
      </w:r>
    </w:p>
    <w:p>
      <w:pPr>
        <w:pStyle w:val="HorizontalLine"/>
        <w:bidi w:val="0"/>
        <w:jc w:val="left"/>
        <w:rPr/>
      </w:pPr>
      <w:r>
        <w:rPr/>
      </w:r>
    </w:p>
    <w:tbl>
      <w:tblPr>
        <w:tblW w:w="311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263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263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Corporate Governance</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171B9"/>
          <w:sz w:val="28"/>
        </w:rPr>
      </w:pPr>
      <w:bookmarkStart w:id="25" w:name="toc445034_23"/>
      <w:bookmarkEnd w:id="25"/>
      <w:r>
        <w:rPr>
          <w:rFonts w:ascii="arial" w:hAnsi="arial"/>
          <w:b/>
          <w:color w:val="0171B9"/>
          <w:sz w:val="28"/>
        </w:rPr>
        <w:t xml:space="preserve">Compensation Risk Management </w:t>
      </w:r>
    </w:p>
    <w:p>
      <w:pPr>
        <w:pStyle w:val="TextBody"/>
        <w:pBdr>
          <w:bottom w:val="single" w:sz="2" w:space="1" w:color="666666"/>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15">
                <wp:simplePos x="0" y="0"/>
                <wp:positionH relativeFrom="column">
                  <wp:align>left</wp:align>
                </wp:positionH>
                <wp:positionV relativeFrom="line">
                  <wp:posOffset>635</wp:posOffset>
                </wp:positionV>
                <wp:extent cx="3110230" cy="5361305"/>
                <wp:effectExtent l="0" t="0" r="0" b="0"/>
                <wp:wrapSquare wrapText="right"/>
                <wp:docPr id="156" name="Frame73"/>
                <a:graphic xmlns:a="http://schemas.openxmlformats.org/drawingml/2006/main">
                  <a:graphicData uri="http://schemas.microsoft.com/office/word/2010/wordprocessingShape">
                    <wps:wsp>
                      <wps:cNvSpPr txBox="1"/>
                      <wps:spPr>
                        <a:xfrm>
                          <a:off x="0" y="0"/>
                          <a:ext cx="3110230" cy="5361305"/>
                        </a:xfrm>
                        <a:prstGeom prst="rect"/>
                        <a:solidFill>
                          <a:srgbClr val="FFFFFF"/>
                        </a:solidFill>
                      </wps:spPr>
                      <wps:txbx>
                        <w:txbxContent>
                          <w:p>
                            <w:pPr>
                              <w:pStyle w:val="TextBody"/>
                              <w:bidi w:val="0"/>
                              <w:spacing w:before="0" w:after="0"/>
                              <w:jc w:val="both"/>
                              <w:rPr>
                                <w:rFonts w:ascii="arial" w:hAnsi="arial"/>
                                <w:sz w:val="19"/>
                              </w:rPr>
                            </w:pPr>
                            <w:r>
                              <w:rPr>
                                <w:rFonts w:ascii="arial" w:hAnsi="arial"/>
                                <w:b/>
                                <w:i/>
                                <w:color w:val="0171B9"/>
                                <w:sz w:val="19"/>
                              </w:rPr>
                              <w:t>Annual Risk Management Assessment.</w:t>
                            </w:r>
                            <w:r>
                              <w:rPr>
                                <w:rFonts w:ascii="arial" w:hAnsi="arial"/>
                                <w:sz w:val="19"/>
                              </w:rPr>
                              <w:t xml:space="preserve"> On an annual basis, management, working with the Compensation Committee’s independent compensation consultant, conducts an assessment of the Company’s compensation policies and practices for all staff members generally, and for our staff members who participate in our sales incentive compensation program, for material risk to the Company. </w:t>
                            </w:r>
                          </w:p>
                          <w:p>
                            <w:pPr>
                              <w:pStyle w:val="TextBody"/>
                              <w:bidi w:val="0"/>
                              <w:spacing w:before="120" w:after="0"/>
                              <w:jc w:val="both"/>
                              <w:rPr>
                                <w:rFonts w:ascii="arial" w:hAnsi="arial"/>
                                <w:sz w:val="19"/>
                              </w:rPr>
                            </w:pPr>
                            <w:r>
                              <w:rPr>
                                <w:rFonts w:ascii="arial" w:hAnsi="arial"/>
                                <w:b/>
                                <w:i/>
                                <w:color w:val="0171B9"/>
                                <w:sz w:val="19"/>
                              </w:rPr>
                              <w:t>Results of Risk Management Assessment.</w:t>
                            </w:r>
                            <w:r>
                              <w:rPr>
                                <w:rFonts w:ascii="arial" w:hAnsi="arial"/>
                                <w:sz w:val="19"/>
                              </w:rPr>
                              <w:t xml:space="preserve"> The results of this assessment are reviewed and discussed with the Compensation Committee. Based on this assessment, review and discussion, we believe that, through a combination of risk-mitigating features and incentives guided by relevant market practices and our Company performance goals, our compensation policies and practices do not present risks that are reasonably likely to have a material adverse effect on us. </w:t>
                            </w:r>
                          </w:p>
                          <w:p>
                            <w:pPr>
                              <w:pStyle w:val="TextBody"/>
                              <w:bidi w:val="0"/>
                              <w:spacing w:before="120" w:after="0"/>
                              <w:jc w:val="both"/>
                              <w:rPr>
                                <w:rFonts w:ascii="arial" w:hAnsi="arial"/>
                                <w:sz w:val="19"/>
                              </w:rPr>
                            </w:pPr>
                            <w:r>
                              <w:rPr>
                                <w:rFonts w:ascii="arial" w:hAnsi="arial"/>
                                <w:b/>
                                <w:i/>
                                <w:color w:val="0171B9"/>
                                <w:sz w:val="19"/>
                              </w:rPr>
                              <w:t>Factors That Discourage Excessive Risk-Taking.</w:t>
                            </w:r>
                            <w:r>
                              <w:rPr>
                                <w:rFonts w:ascii="arial" w:hAnsi="arial"/>
                                <w:sz w:val="19"/>
                              </w:rPr>
                              <w:t xml:space="preserve"> In evaluating our compensation policies and practices, a number of factors were identified which the Company, the Compensation Committee, and its independent consultant believe discourage excessive risk-taking,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i/>
                                      <w:color w:val="0171B9"/>
                                      <w:sz w:val="19"/>
                                    </w:rPr>
                                    <w:t xml:space="preserve">Mix of Incentives and Metrics. </w:t>
                                  </w:r>
                                  <w:r>
                                    <w:rPr>
                                      <w:rFonts w:ascii="arial" w:hAnsi="arial"/>
                                      <w:sz w:val="19"/>
                                    </w:rPr>
                                    <w:t xml:space="preserve">Our compensation programs consist of a mix of incentives and metrics (financial and operational) that are tied to varying performance periods and are designed to balance our need to drive our current performance with the need to position the Company for long-term success.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i/>
                                      <w:color w:val="0171B9"/>
                                      <w:sz w:val="19"/>
                                    </w:rPr>
                                    <w:t xml:space="preserve">Company-wide Results. </w:t>
                                  </w:r>
                                  <w:r>
                                    <w:rPr>
                                      <w:rFonts w:ascii="arial" w:hAnsi="arial"/>
                                      <w:sz w:val="19"/>
                                    </w:rPr>
                                    <w:t xml:space="preserve">Company-wide results are the most important factor in determining the amount of an annual cash incentive award for each of our staff members.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i/>
                                      <w:color w:val="0171B9"/>
                                      <w:sz w:val="19"/>
                                    </w:rPr>
                                    <w:t>Emphasis on Long-Term Performance.</w:t>
                                  </w:r>
                                  <w:r>
                                    <w:rPr>
                                      <w:rFonts w:ascii="arial" w:hAnsi="arial"/>
                                      <w:sz w:val="19"/>
                                    </w:rPr>
                                    <w:t xml:space="preserve"> We cap short-term incentives and performance unit payouts and make LTI equity awards a component of compensation for nearly all of our full-time staff members. In particular, the CEO and the other named executive officers’ compensation is designed so that the largest component of their compensation is in LTI equity awards to ensure that a significant portion of their compensation is associated with long-term, rather than short-term,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22.1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b/>
                          <w:i/>
                          <w:color w:val="0171B9"/>
                          <w:sz w:val="19"/>
                        </w:rPr>
                        <w:t>Annual Risk Management Assessment.</w:t>
                      </w:r>
                      <w:r>
                        <w:rPr>
                          <w:rFonts w:ascii="arial" w:hAnsi="arial"/>
                          <w:sz w:val="19"/>
                        </w:rPr>
                        <w:t xml:space="preserve"> On an annual basis, management, working with the Compensation Committee’s independent compensation consultant, conducts an assessment of the Company’s compensation policies and practices for all staff members generally, and for our staff members who participate in our sales incentive compensation program, for material risk to the Company. </w:t>
                      </w:r>
                    </w:p>
                    <w:p>
                      <w:pPr>
                        <w:pStyle w:val="TextBody"/>
                        <w:bidi w:val="0"/>
                        <w:spacing w:before="120" w:after="0"/>
                        <w:jc w:val="both"/>
                        <w:rPr>
                          <w:rFonts w:ascii="arial" w:hAnsi="arial"/>
                          <w:sz w:val="19"/>
                        </w:rPr>
                      </w:pPr>
                      <w:r>
                        <w:rPr>
                          <w:rFonts w:ascii="arial" w:hAnsi="arial"/>
                          <w:b/>
                          <w:i/>
                          <w:color w:val="0171B9"/>
                          <w:sz w:val="19"/>
                        </w:rPr>
                        <w:t>Results of Risk Management Assessment.</w:t>
                      </w:r>
                      <w:r>
                        <w:rPr>
                          <w:rFonts w:ascii="arial" w:hAnsi="arial"/>
                          <w:sz w:val="19"/>
                        </w:rPr>
                        <w:t xml:space="preserve"> The results of this assessment are reviewed and discussed with the Compensation Committee. Based on this assessment, review and discussion, we believe that, through a combination of risk-mitigating features and incentives guided by relevant market practices and our Company performance goals, our compensation policies and practices do not present risks that are reasonably likely to have a material adverse effect on us. </w:t>
                      </w:r>
                    </w:p>
                    <w:p>
                      <w:pPr>
                        <w:pStyle w:val="TextBody"/>
                        <w:bidi w:val="0"/>
                        <w:spacing w:before="120" w:after="0"/>
                        <w:jc w:val="both"/>
                        <w:rPr>
                          <w:rFonts w:ascii="arial" w:hAnsi="arial"/>
                          <w:sz w:val="19"/>
                        </w:rPr>
                      </w:pPr>
                      <w:r>
                        <w:rPr>
                          <w:rFonts w:ascii="arial" w:hAnsi="arial"/>
                          <w:b/>
                          <w:i/>
                          <w:color w:val="0171B9"/>
                          <w:sz w:val="19"/>
                        </w:rPr>
                        <w:t>Factors That Discourage Excessive Risk-Taking.</w:t>
                      </w:r>
                      <w:r>
                        <w:rPr>
                          <w:rFonts w:ascii="arial" w:hAnsi="arial"/>
                          <w:sz w:val="19"/>
                        </w:rPr>
                        <w:t xml:space="preserve"> In evaluating our compensation policies and practices, a number of factors were identified which the Company, the Compensation Committee, and its independent consultant believe discourage excessive risk-taking,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i/>
                                <w:color w:val="0171B9"/>
                                <w:sz w:val="19"/>
                              </w:rPr>
                              <w:t xml:space="preserve">Mix of Incentives and Metrics. </w:t>
                            </w:r>
                            <w:r>
                              <w:rPr>
                                <w:rFonts w:ascii="arial" w:hAnsi="arial"/>
                                <w:sz w:val="19"/>
                              </w:rPr>
                              <w:t xml:space="preserve">Our compensation programs consist of a mix of incentives and metrics (financial and operational) that are tied to varying performance periods and are designed to balance our need to drive our current performance with the need to position the Company for long-term success.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i/>
                                <w:color w:val="0171B9"/>
                                <w:sz w:val="19"/>
                              </w:rPr>
                              <w:t xml:space="preserve">Company-wide Results. </w:t>
                            </w:r>
                            <w:r>
                              <w:rPr>
                                <w:rFonts w:ascii="arial" w:hAnsi="arial"/>
                                <w:sz w:val="19"/>
                              </w:rPr>
                              <w:t xml:space="preserve">Company-wide results are the most important factor in determining the amount of an annual cash incentive award for each of our staff members.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i/>
                                <w:color w:val="0171B9"/>
                                <w:sz w:val="19"/>
                              </w:rPr>
                              <w:t>Emphasis on Long-Term Performance.</w:t>
                            </w:r>
                            <w:r>
                              <w:rPr>
                                <w:rFonts w:ascii="arial" w:hAnsi="arial"/>
                                <w:sz w:val="19"/>
                              </w:rPr>
                              <w:t xml:space="preserve"> We cap short-term incentives and performance unit payouts and make LTI equity awards a component of compensation for nearly all of our full-time staff members. In particular, the CEO and the other named executive officers’ compensation is designed so that the largest component of their compensation is in LTI equity awards to ensure that a significant portion of their compensation is associated with long-term, rather than short-term,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16">
                <wp:simplePos x="0" y="0"/>
                <wp:positionH relativeFrom="column">
                  <wp:align>left</wp:align>
                </wp:positionH>
                <wp:positionV relativeFrom="line">
                  <wp:posOffset>635</wp:posOffset>
                </wp:positionV>
                <wp:extent cx="3175000" cy="3999865"/>
                <wp:effectExtent l="0" t="0" r="0" b="0"/>
                <wp:wrapSquare wrapText="right"/>
                <wp:docPr id="157" name="Frame74"/>
                <a:graphic xmlns:a="http://schemas.openxmlformats.org/drawingml/2006/main">
                  <a:graphicData uri="http://schemas.microsoft.com/office/word/2010/wordprocessingShape">
                    <wps:wsp>
                      <wps:cNvSpPr txBox="1"/>
                      <wps:spPr>
                        <a:xfrm>
                          <a:off x="0" y="0"/>
                          <a:ext cx="3175000" cy="3999865"/>
                        </a:xfrm>
                        <a:prstGeom prst="rect"/>
                        <a:solidFill>
                          <a:srgbClr val="FFFFFF"/>
                        </a:solidFill>
                      </wps:spPr>
                      <wps:txbx>
                        <w:txbxContent>
                          <w:tbl>
                            <w:tblPr>
                              <w:tblW w:w="7370" w:type="dxa"/>
                              <w:jc w:val="left"/>
                              <w:tblInd w:w="0" w:type="dxa"/>
                              <w:tblLayout w:type="fixed"/>
                              <w:tblCellMar>
                                <w:top w:w="0" w:type="dxa"/>
                                <w:left w:w="0" w:type="dxa"/>
                                <w:bottom w:w="0" w:type="dxa"/>
                                <w:right w:w="0" w:type="dxa"/>
                              </w:tblCellMar>
                            </w:tblPr>
                            <w:tblGrid>
                              <w:gridCol w:w="75"/>
                              <w:gridCol w:w="60"/>
                              <w:gridCol w:w="7235"/>
                            </w:tblGrid>
                            <w:tr>
                              <w:trPr/>
                              <w:tc>
                                <w:tcPr>
                                  <w:tcW w:w="7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pPr>
                                  <w:r>
                                    <w:rPr/>
                                    <w:t> </w:t>
                                  </w:r>
                                </w:p>
                              </w:tc>
                              <w:tc>
                                <w:tcPr>
                                  <w:tcW w:w="7235" w:type="dxa"/>
                                  <w:tcBorders/>
                                  <w:vAlign w:val="center"/>
                                </w:tcPr>
                                <w:p>
                                  <w:pPr>
                                    <w:pStyle w:val="TableContents"/>
                                    <w:bidi w:val="0"/>
                                    <w:spacing w:before="0" w:after="0"/>
                                    <w:jc w:val="both"/>
                                    <w:rPr>
                                      <w:rFonts w:ascii="arial" w:hAnsi="arial"/>
                                      <w:sz w:val="19"/>
                                    </w:rPr>
                                  </w:pPr>
                                  <w:r>
                                    <w:rPr>
                                      <w:rFonts w:ascii="arial" w:hAnsi="arial"/>
                                      <w:sz w:val="19"/>
                                    </w:rPr>
                                    <w:t xml:space="preserve">outcomes, which aligns these individuals’ interests with those of our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i/>
                                      <w:color w:val="0171B9"/>
                                      <w:sz w:val="19"/>
                                    </w:rPr>
                                    <w:t xml:space="preserve">Equity Award Grant Practices. </w:t>
                                  </w:r>
                                  <w:r>
                                    <w:rPr>
                                      <w:rFonts w:ascii="arial" w:hAnsi="arial"/>
                                      <w:sz w:val="19"/>
                                    </w:rPr>
                                    <w:t xml:space="preserve">We employ appropriate practices with respect to equity awards: we do not award mega-grants, discounted stock options, or immediately vested equity to staff members; and we have grant guidelines that generally limit the grant date for our equity grants to the date which is two business days after the date of release of our quarterly or annual earnings.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i/>
                                      <w:color w:val="0171B9"/>
                                      <w:sz w:val="19"/>
                                    </w:rPr>
                                    <w:t xml:space="preserve">Stock Ownership and Retention Guidelines. </w:t>
                                  </w:r>
                                  <w:r>
                                    <w:rPr>
                                      <w:rFonts w:ascii="arial" w:hAnsi="arial"/>
                                      <w:sz w:val="19"/>
                                    </w:rPr>
                                    <w:t xml:space="preserve">We have stock ownership guidelines for vice presidents and above that require significant investment by these individuals in our Common Stock. We require that each officer who has not met his or her required ownership guidelines hold shares of our Common Stock acquired through the vesting of restricted stock units, the payout of performance units, and the exercise of stock options (net of shares retained by us to satisfy associated tax withholding requirements and exercise price amounts) until such officer has reached his or her required stock ownership level.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i/>
                                      <w:color w:val="0171B9"/>
                                      <w:sz w:val="19"/>
                                    </w:rPr>
                                    <w:t>Comprehensive Performance Evaluations.</w:t>
                                  </w:r>
                                  <w:r>
                                    <w:rPr>
                                      <w:rFonts w:ascii="arial" w:hAnsi="arial"/>
                                      <w:sz w:val="19"/>
                                    </w:rPr>
                                    <w:t xml:space="preserve"> Our Company values and leadership behaviors are an integral part of the performance assessments of our staff members and are particularly emphasized in our assessment tools at higher positions. These evaluations serve as an important information tool and basis for compensation decisions.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i/>
                                      <w:color w:val="0171B9"/>
                                      <w:sz w:val="19"/>
                                    </w:rPr>
                                    <w:t>Clawback Policy.</w:t>
                                  </w:r>
                                  <w:r>
                                    <w:rPr>
                                      <w:rFonts w:ascii="arial" w:hAnsi="arial"/>
                                      <w:sz w:val="19"/>
                                    </w:rPr>
                                    <w:t xml:space="preserve"> Effective October 2, 2023, to comply with the new NASDAQ Stock Market listing standards approved by the Securities and Exchange Commission, we adopted a new recovery of erroneously awarded compensation policy that replaced our prior clawback policy. This new clawback policy(1) requires the Company, subject to the limited impracticability exceptions permitted by the new listing standards, to recapture from our Section 16 officers, including our NEOs, incentive-based compensation, including cash bonuses and performance units, granted, earned, or vested wholly, or in part, upon the attainment of any financial reporting measure that is subject of a financial restatement with such clawback to occur without regard to fraud or misconduct on the part of the executive.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14.9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7370" w:type="dxa"/>
                        <w:jc w:val="left"/>
                        <w:tblInd w:w="0" w:type="dxa"/>
                        <w:tblLayout w:type="fixed"/>
                        <w:tblCellMar>
                          <w:top w:w="0" w:type="dxa"/>
                          <w:left w:w="0" w:type="dxa"/>
                          <w:bottom w:w="0" w:type="dxa"/>
                          <w:right w:w="0" w:type="dxa"/>
                        </w:tblCellMar>
                      </w:tblPr>
                      <w:tblGrid>
                        <w:gridCol w:w="75"/>
                        <w:gridCol w:w="60"/>
                        <w:gridCol w:w="7235"/>
                      </w:tblGrid>
                      <w:tr>
                        <w:trPr/>
                        <w:tc>
                          <w:tcPr>
                            <w:tcW w:w="7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pPr>
                            <w:r>
                              <w:rPr/>
                              <w:t> </w:t>
                            </w:r>
                          </w:p>
                        </w:tc>
                        <w:tc>
                          <w:tcPr>
                            <w:tcW w:w="7235" w:type="dxa"/>
                            <w:tcBorders/>
                            <w:vAlign w:val="center"/>
                          </w:tcPr>
                          <w:p>
                            <w:pPr>
                              <w:pStyle w:val="TableContents"/>
                              <w:bidi w:val="0"/>
                              <w:spacing w:before="0" w:after="0"/>
                              <w:jc w:val="both"/>
                              <w:rPr>
                                <w:rFonts w:ascii="arial" w:hAnsi="arial"/>
                                <w:sz w:val="19"/>
                              </w:rPr>
                            </w:pPr>
                            <w:r>
                              <w:rPr>
                                <w:rFonts w:ascii="arial" w:hAnsi="arial"/>
                                <w:sz w:val="19"/>
                              </w:rPr>
                              <w:t xml:space="preserve">outcomes, which aligns these individuals’ interests with those of our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i/>
                                <w:color w:val="0171B9"/>
                                <w:sz w:val="19"/>
                              </w:rPr>
                              <w:t xml:space="preserve">Equity Award Grant Practices. </w:t>
                            </w:r>
                            <w:r>
                              <w:rPr>
                                <w:rFonts w:ascii="arial" w:hAnsi="arial"/>
                                <w:sz w:val="19"/>
                              </w:rPr>
                              <w:t xml:space="preserve">We employ appropriate practices with respect to equity awards: we do not award mega-grants, discounted stock options, or immediately vested equity to staff members; and we have grant guidelines that generally limit the grant date for our equity grants to the date which is two business days after the date of release of our quarterly or annual earnings.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i/>
                                <w:color w:val="0171B9"/>
                                <w:sz w:val="19"/>
                              </w:rPr>
                              <w:t xml:space="preserve">Stock Ownership and Retention Guidelines. </w:t>
                            </w:r>
                            <w:r>
                              <w:rPr>
                                <w:rFonts w:ascii="arial" w:hAnsi="arial"/>
                                <w:sz w:val="19"/>
                              </w:rPr>
                              <w:t xml:space="preserve">We have stock ownership guidelines for vice presidents and above that require significant investment by these individuals in our Common Stock. We require that each officer who has not met his or her required ownership guidelines hold shares of our Common Stock acquired through the vesting of restricted stock units, the payout of performance units, and the exercise of stock options (net of shares retained by us to satisfy associated tax withholding requirements and exercise price amounts) until such officer has reached his or her required stock ownership level.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i/>
                                <w:color w:val="0171B9"/>
                                <w:sz w:val="19"/>
                              </w:rPr>
                              <w:t>Comprehensive Performance Evaluations.</w:t>
                            </w:r>
                            <w:r>
                              <w:rPr>
                                <w:rFonts w:ascii="arial" w:hAnsi="arial"/>
                                <w:sz w:val="19"/>
                              </w:rPr>
                              <w:t xml:space="preserve"> Our Company values and leadership behaviors are an integral part of the performance assessments of our staff members and are particularly emphasized in our assessment tools at higher positions. These evaluations serve as an important information tool and basis for compensation decisions.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i/>
                                <w:color w:val="0171B9"/>
                                <w:sz w:val="19"/>
                              </w:rPr>
                              <w:t>Clawback Policy.</w:t>
                            </w:r>
                            <w:r>
                              <w:rPr>
                                <w:rFonts w:ascii="arial" w:hAnsi="arial"/>
                                <w:sz w:val="19"/>
                              </w:rPr>
                              <w:t xml:space="preserve"> Effective October 2, 2023, to comply with the new NASDAQ Stock Market listing standards approved by the Securities and Exchange Commission, we adopted a new recovery of erroneously awarded compensation policy that replaced our prior clawback policy. This new clawback policy(1) requires the Company, subject to the limited impracticability exceptions permitted by the new listing standards, to recapture from our Section 16 officers, including our NEOs, incentive-based compensation, including cash bonuses and performance units, granted, earned, or vested wholly, or in part, upon the attainment of any financial reporting measure that is subject of a financial restatement with such clawback to occur without regard to fraud or misconduct on the part of the executive. </w:t>
                            </w:r>
                          </w:p>
                        </w:tc>
                      </w:tr>
                    </w:tbl>
                    <w:p>
                      <w:pPr>
                        <w:pStyle w:val="TextBody"/>
                        <w:bidi w:val="0"/>
                        <w:spacing w:before="0" w:after="283"/>
                        <w:jc w:val="left"/>
                        <w:rPr/>
                      </w:pPr>
                      <w:r>
                        <w:rPr/>
                      </w:r>
                    </w:p>
                  </w:txbxContent>
                </v:textbox>
                <w10:wrap type="square" side="right"/>
              </v:rect>
            </w:pict>
          </mc:Fallback>
        </mc:AlternateContent>
      </w:r>
    </w:p>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(1) </w:t>
            </w:r>
          </w:p>
        </w:tc>
        <w:tc>
          <w:tcPr>
            <w:tcW w:w="9949" w:type="dxa"/>
            <w:tcBorders/>
            <w:vAlign w:val="center"/>
          </w:tcPr>
          <w:p>
            <w:pPr>
              <w:pStyle w:val="TableContents"/>
              <w:bidi w:val="0"/>
              <w:spacing w:before="0" w:after="0"/>
              <w:jc w:val="both"/>
              <w:rPr>
                <w:rFonts w:ascii="arial" w:hAnsi="arial"/>
                <w:sz w:val="16"/>
              </w:rPr>
            </w:pPr>
            <w:r>
              <w:rPr>
                <w:rFonts w:ascii="arial" w:hAnsi="arial"/>
                <w:sz w:val="16"/>
              </w:rPr>
              <w:t xml:space="preserve">Our clawback policy is available on our website at </w:t>
            </w:r>
            <w:r>
              <w:rPr>
                <w:rFonts w:ascii="arial" w:hAnsi="arial"/>
                <w:i/>
                <w:color w:val="0171B9"/>
                <w:sz w:val="16"/>
              </w:rPr>
              <w:t>https://wwwext.amgen.com/about/how-we-operate/corporate-governance/amgen-policy-on-recovery-of-erroneously-awarded-compensation</w:t>
            </w:r>
            <w:r>
              <w:rPr>
                <w:rFonts w:ascii="arial" w:hAnsi="arial"/>
                <w:sz w:val="16"/>
              </w:rPr>
              <w:t xml:space="preserve"> and filed in our Form 10-K for the year ended December 31, 2023. Reference to our website is not intended to function as a hyperlink and the information contained on our website is not intended to be part of this proxy statement. </w:t>
            </w:r>
          </w:p>
        </w:tc>
      </w:tr>
    </w:tbl>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44  </w:t>
      </w:r>
      <w:r>
        <w:rPr>
          <w:rFonts w:ascii="arial" w:hAnsi="arial"/>
          <w:b/>
          <w:color w:val="474747"/>
          <w:sz w:val="22"/>
        </w:rPr>
        <w:drawing>
          <wp:inline distT="0" distB="0" distL="0" distR="0">
            <wp:extent cx="64770" cy="15240"/>
            <wp:effectExtent l="0" t="0" r="0" b="0"/>
            <wp:docPr id="158"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81" descr=""/>
                    <pic:cNvPicPr>
                      <a:picLocks noChangeAspect="1" noChangeArrowheads="1"/>
                    </pic:cNvPicPr>
                  </pic:nvPicPr>
                  <pic:blipFill>
                    <a:blip r:embed="rId85"/>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311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263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263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Corporate Governance</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17">
                <wp:simplePos x="0" y="0"/>
                <wp:positionH relativeFrom="column">
                  <wp:align>left</wp:align>
                </wp:positionH>
                <wp:positionV relativeFrom="line">
                  <wp:posOffset>635</wp:posOffset>
                </wp:positionV>
                <wp:extent cx="3110230" cy="2581275"/>
                <wp:effectExtent l="0" t="0" r="0" b="0"/>
                <wp:wrapSquare wrapText="right"/>
                <wp:docPr id="159" name="Frame75"/>
                <a:graphic xmlns:a="http://schemas.openxmlformats.org/drawingml/2006/main">
                  <a:graphicData uri="http://schemas.microsoft.com/office/word/2010/wordprocessingShape">
                    <wps:wsp>
                      <wps:cNvSpPr txBox="1"/>
                      <wps:spPr>
                        <a:xfrm>
                          <a:off x="0" y="0"/>
                          <a:ext cx="3110230" cy="258127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i/>
                                      <w:color w:val="0171B9"/>
                                      <w:sz w:val="19"/>
                                    </w:rPr>
                                    <w:t xml:space="preserve">Recoupment. </w:t>
                                  </w:r>
                                  <w:r>
                                    <w:rPr>
                                      <w:rFonts w:ascii="arial" w:hAnsi="arial"/>
                                      <w:sz w:val="19"/>
                                    </w:rPr>
                                    <w:t xml:space="preserve">We have recoupment provisions that expressly allow the Compensation Committee or management, as appropriate, to consider employee misconduct that caused serious financial or reputational damage to the Company when determining whether an employee has earned an annual cash incentive award or the amount of any such award. </w:t>
                                  </w:r>
                                </w:p>
                              </w:tc>
                            </w:tr>
                          </w:tbl>
                          <w:p>
                            <w:pPr>
                              <w:pStyle w:val="TextBody"/>
                              <w:bidi w:val="0"/>
                              <w:spacing w:before="120" w:after="0"/>
                              <w:ind w:left="260" w:right="0" w:hanging="0"/>
                              <w:jc w:val="both"/>
                              <w:rPr>
                                <w:rFonts w:ascii="arial" w:hAnsi="arial"/>
                                <w:sz w:val="19"/>
                              </w:rPr>
                            </w:pPr>
                            <w:r>
                              <w:rPr>
                                <w:rFonts w:ascii="arial" w:hAnsi="arial"/>
                                <w:sz w:val="19"/>
                              </w:rPr>
                              <w:t xml:space="preserve">The Compensation Committee has adopted an executive officer equity recoupment policy that provides the Compensation Committee with the ability to cause the forfeiture and cancellation of unvested equity awards and any unexercised portion of any stock options (granted after December 31, 2020) if an executive officer, including our NEOs, is terminated for engaging in misconduct that caused serious financial or reputational damage to the Company (including, but not limited to, a financial restatement).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i/>
                                      <w:color w:val="0171B9"/>
                                      <w:sz w:val="19"/>
                                    </w:rPr>
                                    <w:t>Disclosure.</w:t>
                                  </w:r>
                                  <w:r>
                                    <w:rPr>
                                      <w:rFonts w:ascii="arial" w:hAnsi="arial"/>
                                      <w:sz w:val="19"/>
                                    </w:rPr>
                                    <w:t xml:space="preserve"> Subject to our clawback and recoupment policies and provisions, we intend to disclose the general circumstances of any application of our clawback or recoupment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03.2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i/>
                                <w:color w:val="0171B9"/>
                                <w:sz w:val="19"/>
                              </w:rPr>
                              <w:t xml:space="preserve">Recoupment. </w:t>
                            </w:r>
                            <w:r>
                              <w:rPr>
                                <w:rFonts w:ascii="arial" w:hAnsi="arial"/>
                                <w:sz w:val="19"/>
                              </w:rPr>
                              <w:t xml:space="preserve">We have recoupment provisions that expressly allow the Compensation Committee or management, as appropriate, to consider employee misconduct that caused serious financial or reputational damage to the Company when determining whether an employee has earned an annual cash incentive award or the amount of any such award. </w:t>
                            </w:r>
                          </w:p>
                        </w:tc>
                      </w:tr>
                    </w:tbl>
                    <w:p>
                      <w:pPr>
                        <w:pStyle w:val="TextBody"/>
                        <w:bidi w:val="0"/>
                        <w:spacing w:before="120" w:after="0"/>
                        <w:ind w:left="260" w:right="0" w:hanging="0"/>
                        <w:jc w:val="both"/>
                        <w:rPr>
                          <w:rFonts w:ascii="arial" w:hAnsi="arial"/>
                          <w:sz w:val="19"/>
                        </w:rPr>
                      </w:pPr>
                      <w:r>
                        <w:rPr>
                          <w:rFonts w:ascii="arial" w:hAnsi="arial"/>
                          <w:sz w:val="19"/>
                        </w:rPr>
                        <w:t xml:space="preserve">The Compensation Committee has adopted an executive officer equity recoupment policy that provides the Compensation Committee with the ability to cause the forfeiture and cancellation of unvested equity awards and any unexercised portion of any stock options (granted after December 31, 2020) if an executive officer, including our NEOs, is terminated for engaging in misconduct that caused serious financial or reputational damage to the Company (including, but not limited to, a financial restatement).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i/>
                                <w:color w:val="0171B9"/>
                                <w:sz w:val="19"/>
                              </w:rPr>
                              <w:t>Disclosure.</w:t>
                            </w:r>
                            <w:r>
                              <w:rPr>
                                <w:rFonts w:ascii="arial" w:hAnsi="arial"/>
                                <w:sz w:val="19"/>
                              </w:rPr>
                              <w:t xml:space="preserve"> Subject to our clawback and recoupment policies and provisions, we intend to disclose the general circumstances of any application of our clawback or recoupment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18">
                <wp:simplePos x="0" y="0"/>
                <wp:positionH relativeFrom="column">
                  <wp:align>left</wp:align>
                </wp:positionH>
                <wp:positionV relativeFrom="line">
                  <wp:posOffset>635</wp:posOffset>
                </wp:positionV>
                <wp:extent cx="3175000" cy="2518410"/>
                <wp:effectExtent l="0" t="0" r="0" b="0"/>
                <wp:wrapSquare wrapText="right"/>
                <wp:docPr id="160" name="Frame76"/>
                <a:graphic xmlns:a="http://schemas.openxmlformats.org/drawingml/2006/main">
                  <a:graphicData uri="http://schemas.microsoft.com/office/word/2010/wordprocessingShape">
                    <wps:wsp>
                      <wps:cNvSpPr txBox="1"/>
                      <wps:spPr>
                        <a:xfrm>
                          <a:off x="0" y="0"/>
                          <a:ext cx="3175000" cy="251841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0"/>
                                    <w:jc w:val="both"/>
                                    <w:rPr>
                                      <w:rFonts w:ascii="arial" w:hAnsi="arial"/>
                                      <w:sz w:val="19"/>
                                    </w:rPr>
                                  </w:pPr>
                                  <w:r>
                                    <w:rPr>
                                      <w:rFonts w:ascii="arial" w:hAnsi="arial"/>
                                      <w:sz w:val="19"/>
                                    </w:rPr>
                                    <w:t xml:space="preserve">policies and provisions against any executive officer (current or former) and the aggregate amount of compensation recovered.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i/>
                                      <w:color w:val="0171B9"/>
                                      <w:sz w:val="19"/>
                                    </w:rPr>
                                    <w:t>No Hedging or Pledging.</w:t>
                                  </w:r>
                                  <w:r>
                                    <w:rPr>
                                      <w:rFonts w:ascii="arial" w:hAnsi="arial"/>
                                      <w:i/>
                                      <w:sz w:val="19"/>
                                    </w:rPr>
                                    <w:t xml:space="preserve"> </w:t>
                                  </w:r>
                                  <w:r>
                                    <w:rPr>
                                      <w:rFonts w:ascii="arial" w:hAnsi="arial"/>
                                      <w:sz w:val="19"/>
                                    </w:rPr>
                                    <w:t xml:space="preserve">Our Insider Trading Policy prohibits pledging or purchasing of our Common Stock on margin(1) and hedging the economic risk of our Common Stock (as discussed more fully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i/>
                                      <w:color w:val="0171B9"/>
                                      <w:sz w:val="19"/>
                                    </w:rPr>
                                    <w:t>Pricing Policies and Controls.</w:t>
                                  </w:r>
                                  <w:r>
                                    <w:rPr>
                                      <w:rFonts w:ascii="arial" w:hAnsi="arial"/>
                                      <w:i/>
                                      <w:sz w:val="19"/>
                                    </w:rPr>
                                    <w:t xml:space="preserve"> </w:t>
                                  </w:r>
                                  <w:r>
                                    <w:rPr>
                                      <w:rFonts w:ascii="arial" w:hAnsi="arial"/>
                                      <w:sz w:val="19"/>
                                    </w:rPr>
                                    <w:t xml:space="preserve">Our approach to pricing includes training, standard operating procedures, policies, approval mechanisms for price increases and price policy exceptions, and other controls that balance regional and country autonomy with centrally managed price discipline. Our Board, with the assistance of the Compliance Committee, has a key role in the oversight of pricing risk and regularly receives presentations from management on drug pricing practices and trends.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i/>
                                      <w:color w:val="0171B9"/>
                                      <w:sz w:val="19"/>
                                    </w:rPr>
                                    <w:t>Mandatory Global Code of Conduct Compliance Training.</w:t>
                                  </w:r>
                                  <w:r>
                                    <w:rPr>
                                      <w:rFonts w:ascii="arial" w:hAnsi="arial"/>
                                      <w:sz w:val="19"/>
                                    </w:rPr>
                                    <w:t xml:space="preserve"> We require training on our global Code of Conduct and other policies that educate our staff members on appropriate behaviors, the consequences of taking inappropriate actions, and where to escalate concerns, including providing the option of doing so anonymously.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98.3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0"/>
                              <w:jc w:val="both"/>
                              <w:rPr>
                                <w:rFonts w:ascii="arial" w:hAnsi="arial"/>
                                <w:sz w:val="19"/>
                              </w:rPr>
                            </w:pPr>
                            <w:r>
                              <w:rPr>
                                <w:rFonts w:ascii="arial" w:hAnsi="arial"/>
                                <w:sz w:val="19"/>
                              </w:rPr>
                              <w:t xml:space="preserve">policies and provisions against any executive officer (current or former) and the aggregate amount of compensation recovered.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i/>
                                <w:color w:val="0171B9"/>
                                <w:sz w:val="19"/>
                              </w:rPr>
                              <w:t>No Hedging or Pledging.</w:t>
                            </w:r>
                            <w:r>
                              <w:rPr>
                                <w:rFonts w:ascii="arial" w:hAnsi="arial"/>
                                <w:i/>
                                <w:sz w:val="19"/>
                              </w:rPr>
                              <w:t xml:space="preserve"> </w:t>
                            </w:r>
                            <w:r>
                              <w:rPr>
                                <w:rFonts w:ascii="arial" w:hAnsi="arial"/>
                                <w:sz w:val="19"/>
                              </w:rPr>
                              <w:t xml:space="preserve">Our Insider Trading Policy prohibits pledging or purchasing of our Common Stock on margin(1) and hedging the economic risk of our Common Stock (as discussed more fully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i/>
                                <w:color w:val="0171B9"/>
                                <w:sz w:val="19"/>
                              </w:rPr>
                              <w:t>Pricing Policies and Controls.</w:t>
                            </w:r>
                            <w:r>
                              <w:rPr>
                                <w:rFonts w:ascii="arial" w:hAnsi="arial"/>
                                <w:i/>
                                <w:sz w:val="19"/>
                              </w:rPr>
                              <w:t xml:space="preserve"> </w:t>
                            </w:r>
                            <w:r>
                              <w:rPr>
                                <w:rFonts w:ascii="arial" w:hAnsi="arial"/>
                                <w:sz w:val="19"/>
                              </w:rPr>
                              <w:t xml:space="preserve">Our approach to pricing includes training, standard operating procedures, policies, approval mechanisms for price increases and price policy exceptions, and other controls that balance regional and country autonomy with centrally managed price discipline. Our Board, with the assistance of the Compliance Committee, has a key role in the oversight of pricing risk and regularly receives presentations from management on drug pricing practices and trends.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i/>
                                <w:color w:val="0171B9"/>
                                <w:sz w:val="19"/>
                              </w:rPr>
                              <w:t>Mandatory Global Code of Conduct Compliance Training.</w:t>
                            </w:r>
                            <w:r>
                              <w:rPr>
                                <w:rFonts w:ascii="arial" w:hAnsi="arial"/>
                                <w:sz w:val="19"/>
                              </w:rPr>
                              <w:t xml:space="preserve"> We require training on our global Code of Conduct and other policies that educate our staff members on appropriate behaviors, the consequences of taking inappropriate actions, and where to escalate concerns, including providing the option of doing so anonymously.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b/>
          <w:color w:val="0171B9"/>
          <w:sz w:val="28"/>
        </w:rPr>
      </w:pPr>
      <w:bookmarkStart w:id="26" w:name="toc445034_24"/>
      <w:bookmarkEnd w:id="26"/>
      <w:r>
        <w:rPr>
          <w:rFonts w:ascii="arial" w:hAnsi="arial"/>
          <w:b/>
          <w:color w:val="0171B9"/>
          <w:sz w:val="28"/>
        </w:rPr>
        <w:t xml:space="preserve">Prohibition on Hedging </w:t>
      </w:r>
    </w:p>
    <w:p>
      <w:pPr>
        <w:pStyle w:val="TextBody"/>
        <w:pBdr>
          <w:bottom w:val="single" w:sz="2" w:space="1" w:color="666666"/>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19">
                <wp:simplePos x="0" y="0"/>
                <wp:positionH relativeFrom="column">
                  <wp:align>left</wp:align>
                </wp:positionH>
                <wp:positionV relativeFrom="line">
                  <wp:posOffset>635</wp:posOffset>
                </wp:positionV>
                <wp:extent cx="3110230" cy="2481580"/>
                <wp:effectExtent l="0" t="0" r="0" b="0"/>
                <wp:wrapSquare wrapText="right"/>
                <wp:docPr id="161" name="Frame77"/>
                <a:graphic xmlns:a="http://schemas.openxmlformats.org/drawingml/2006/main">
                  <a:graphicData uri="http://schemas.microsoft.com/office/word/2010/wordprocessingShape">
                    <wps:wsp>
                      <wps:cNvSpPr txBox="1"/>
                      <wps:spPr>
                        <a:xfrm>
                          <a:off x="0" y="0"/>
                          <a:ext cx="3110230" cy="248158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Under our global Insider Trading Policy, all of our Board members and staff members, including our NEOs, consultants, contract workers, secondees, and temporary staff worldwide are considered “Covered Persons.” It is against the Insider Trading Policy for Covered Persons to directly or indirectly participate in transactions involving trading activities in our securities that, by their nature, are aggressive or speculative, or may give rise to an appearance of impropriety. Covered Persons may not: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Engage in short sales (sales of stock that the seller does not own or a sale that is completed by delivery of borrowed stock) with respect to our securities;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Engage in transactions that hedge or offset, or are designed to hedge or offset, any decrease in the market value of Amgen stock;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95.4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Under our global Insider Trading Policy, all of our Board members and staff members, including our NEOs, consultants, contract workers, secondees, and temporary staff worldwide are considered “Covered Persons.” It is against the Insider Trading Policy for Covered Persons to directly or indirectly participate in transactions involving trading activities in our securities that, by their nature, are aggressive or speculative, or may give rise to an appearance of impropriety. Covered Persons may not: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Engage in short sales (sales of stock that the seller does not own or a sale that is completed by delivery of borrowed stock) with respect to our securities;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Engage in transactions that hedge or offset, or are designed to hedge or offset, any decrease in the market value of Amgen stock;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20">
                <wp:simplePos x="0" y="0"/>
                <wp:positionH relativeFrom="column">
                  <wp:align>left</wp:align>
                </wp:positionH>
                <wp:positionV relativeFrom="line">
                  <wp:posOffset>635</wp:posOffset>
                </wp:positionV>
                <wp:extent cx="3175000" cy="2458720"/>
                <wp:effectExtent l="0" t="0" r="0" b="0"/>
                <wp:wrapSquare wrapText="right"/>
                <wp:docPr id="162" name="Frame78"/>
                <a:graphic xmlns:a="http://schemas.openxmlformats.org/drawingml/2006/main">
                  <a:graphicData uri="http://schemas.microsoft.com/office/word/2010/wordprocessingShape">
                    <wps:wsp>
                      <wps:cNvSpPr txBox="1"/>
                      <wps:spPr>
                        <a:xfrm>
                          <a:off x="0" y="0"/>
                          <a:ext cx="3175000" cy="2458720"/>
                        </a:xfrm>
                        <a:prstGeom prst="rect"/>
                        <a:solidFill>
                          <a:srgbClr val="FFFFFF"/>
                        </a:solidFill>
                      </wps:spPr>
                      <wps:txbx>
                        <w:txbxContent>
                          <w:tbl>
                            <w:tblPr>
                              <w:tblW w:w="8995" w:type="dxa"/>
                              <w:jc w:val="left"/>
                              <w:tblInd w:w="0" w:type="dxa"/>
                              <w:tblLayout w:type="fixed"/>
                              <w:tblCellMar>
                                <w:top w:w="0" w:type="dxa"/>
                                <w:left w:w="0" w:type="dxa"/>
                                <w:bottom w:w="0" w:type="dxa"/>
                                <w:right w:w="0" w:type="dxa"/>
                              </w:tblCellMar>
                            </w:tblPr>
                            <w:tblGrid>
                              <w:gridCol w:w="125"/>
                              <w:gridCol w:w="60"/>
                              <w:gridCol w:w="881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8810" w:type="dxa"/>
                                  <w:tcBorders/>
                                  <w:vAlign w:val="center"/>
                                </w:tcPr>
                                <w:p>
                                  <w:pPr>
                                    <w:pStyle w:val="TableContents"/>
                                    <w:bidi w:val="0"/>
                                    <w:spacing w:before="0" w:after="0"/>
                                    <w:jc w:val="both"/>
                                    <w:rPr>
                                      <w:rFonts w:ascii="arial" w:hAnsi="arial"/>
                                      <w:sz w:val="19"/>
                                    </w:rPr>
                                  </w:pPr>
                                  <w:r>
                                    <w:rPr>
                                      <w:rFonts w:ascii="arial" w:hAnsi="arial"/>
                                      <w:sz w:val="19"/>
                                    </w:rPr>
                                    <w:t xml:space="preserve">Purchase or pledge Amgen stock on margin or as collateral to secure a loan or other obligation(1); or </w:t>
                                  </w:r>
                                </w:p>
                              </w:tc>
                            </w:tr>
                          </w:tbl>
                          <w:p>
                            <w:pPr>
                              <w:pStyle w:val="TextBody"/>
                              <w:bidi w:val="0"/>
                              <w:spacing w:before="0" w:after="0"/>
                              <w:jc w:val="left"/>
                              <w:rPr/>
                            </w:pPr>
                            <w:r>
                              <w:rPr/>
                              <w:t> </w:t>
                            </w:r>
                          </w:p>
                          <w:tbl>
                            <w:tblPr>
                              <w:tblW w:w="7000" w:type="dxa"/>
                              <w:jc w:val="left"/>
                              <w:tblInd w:w="0" w:type="dxa"/>
                              <w:tblLayout w:type="fixed"/>
                              <w:tblCellMar>
                                <w:top w:w="0" w:type="dxa"/>
                                <w:left w:w="0" w:type="dxa"/>
                                <w:bottom w:w="0" w:type="dxa"/>
                                <w:right w:w="0" w:type="dxa"/>
                              </w:tblCellMar>
                            </w:tblPr>
                            <w:tblGrid>
                              <w:gridCol w:w="125"/>
                              <w:gridCol w:w="60"/>
                              <w:gridCol w:w="6815"/>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6815" w:type="dxa"/>
                                  <w:tcBorders/>
                                  <w:vAlign w:val="center"/>
                                </w:tcPr>
                                <w:p>
                                  <w:pPr>
                                    <w:pStyle w:val="TableContents"/>
                                    <w:bidi w:val="0"/>
                                    <w:spacing w:before="0" w:after="0"/>
                                    <w:jc w:val="both"/>
                                    <w:rPr>
                                      <w:rFonts w:ascii="arial" w:hAnsi="arial"/>
                                      <w:sz w:val="19"/>
                                    </w:rPr>
                                  </w:pPr>
                                  <w:r>
                                    <w:rPr>
                                      <w:rFonts w:ascii="arial" w:hAnsi="arial"/>
                                      <w:sz w:val="19"/>
                                    </w:rPr>
                                    <w:t xml:space="preserve">Enter into any derivative or similar transactions with respect to our securities. </w:t>
                                  </w:r>
                                </w:p>
                              </w:tc>
                            </w:tr>
                          </w:tbl>
                          <w:p>
                            <w:pPr>
                              <w:pStyle w:val="TextBody"/>
                              <w:bidi w:val="0"/>
                              <w:spacing w:before="240" w:after="0"/>
                              <w:jc w:val="both"/>
                              <w:rPr>
                                <w:rFonts w:ascii="arial" w:hAnsi="arial"/>
                                <w:sz w:val="19"/>
                              </w:rPr>
                            </w:pPr>
                            <w:r>
                              <w:rPr>
                                <w:rFonts w:ascii="arial" w:hAnsi="arial"/>
                                <w:sz w:val="19"/>
                              </w:rPr>
                              <w:t xml:space="preserve">Examples of prohibited derivative transactions include, but are not limited to, purchases or sales of puts and calls (whether written or purchased or sold), options (whether “covered” or not), forward contracts, including, but not limited to, prepaid variable forward contracts; put and call “collars” (“European” or “American”), “equity” or “performance” swap or exchange agreements, or any similar agreements or arrangements however denominated, in our securities. </w:t>
                            </w:r>
                          </w:p>
                          <w:p>
                            <w:pPr>
                              <w:pStyle w:val="TextBody"/>
                              <w:bidi w:val="0"/>
                              <w:spacing w:before="0" w:after="0"/>
                              <w:jc w:val="left"/>
                              <w:rPr/>
                            </w:pPr>
                            <w:r>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93.6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8995" w:type="dxa"/>
                        <w:jc w:val="left"/>
                        <w:tblInd w:w="0" w:type="dxa"/>
                        <w:tblLayout w:type="fixed"/>
                        <w:tblCellMar>
                          <w:top w:w="0" w:type="dxa"/>
                          <w:left w:w="0" w:type="dxa"/>
                          <w:bottom w:w="0" w:type="dxa"/>
                          <w:right w:w="0" w:type="dxa"/>
                        </w:tblCellMar>
                      </w:tblPr>
                      <w:tblGrid>
                        <w:gridCol w:w="125"/>
                        <w:gridCol w:w="60"/>
                        <w:gridCol w:w="881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8810" w:type="dxa"/>
                            <w:tcBorders/>
                            <w:vAlign w:val="center"/>
                          </w:tcPr>
                          <w:p>
                            <w:pPr>
                              <w:pStyle w:val="TableContents"/>
                              <w:bidi w:val="0"/>
                              <w:spacing w:before="0" w:after="0"/>
                              <w:jc w:val="both"/>
                              <w:rPr>
                                <w:rFonts w:ascii="arial" w:hAnsi="arial"/>
                                <w:sz w:val="19"/>
                              </w:rPr>
                            </w:pPr>
                            <w:r>
                              <w:rPr>
                                <w:rFonts w:ascii="arial" w:hAnsi="arial"/>
                                <w:sz w:val="19"/>
                              </w:rPr>
                              <w:t xml:space="preserve">Purchase or pledge Amgen stock on margin or as collateral to secure a loan or other obligation(1); or </w:t>
                            </w:r>
                          </w:p>
                        </w:tc>
                      </w:tr>
                    </w:tbl>
                    <w:p>
                      <w:pPr>
                        <w:pStyle w:val="TextBody"/>
                        <w:bidi w:val="0"/>
                        <w:spacing w:before="0" w:after="0"/>
                        <w:jc w:val="left"/>
                        <w:rPr/>
                      </w:pPr>
                      <w:r>
                        <w:rPr/>
                        <w:t> </w:t>
                      </w:r>
                    </w:p>
                    <w:tbl>
                      <w:tblPr>
                        <w:tblW w:w="7000" w:type="dxa"/>
                        <w:jc w:val="left"/>
                        <w:tblInd w:w="0" w:type="dxa"/>
                        <w:tblLayout w:type="fixed"/>
                        <w:tblCellMar>
                          <w:top w:w="0" w:type="dxa"/>
                          <w:left w:w="0" w:type="dxa"/>
                          <w:bottom w:w="0" w:type="dxa"/>
                          <w:right w:w="0" w:type="dxa"/>
                        </w:tblCellMar>
                      </w:tblPr>
                      <w:tblGrid>
                        <w:gridCol w:w="125"/>
                        <w:gridCol w:w="60"/>
                        <w:gridCol w:w="6815"/>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6815" w:type="dxa"/>
                            <w:tcBorders/>
                            <w:vAlign w:val="center"/>
                          </w:tcPr>
                          <w:p>
                            <w:pPr>
                              <w:pStyle w:val="TableContents"/>
                              <w:bidi w:val="0"/>
                              <w:spacing w:before="0" w:after="0"/>
                              <w:jc w:val="both"/>
                              <w:rPr>
                                <w:rFonts w:ascii="arial" w:hAnsi="arial"/>
                                <w:sz w:val="19"/>
                              </w:rPr>
                            </w:pPr>
                            <w:r>
                              <w:rPr>
                                <w:rFonts w:ascii="arial" w:hAnsi="arial"/>
                                <w:sz w:val="19"/>
                              </w:rPr>
                              <w:t xml:space="preserve">Enter into any derivative or similar transactions with respect to our securities. </w:t>
                            </w:r>
                          </w:p>
                        </w:tc>
                      </w:tr>
                    </w:tbl>
                    <w:p>
                      <w:pPr>
                        <w:pStyle w:val="TextBody"/>
                        <w:bidi w:val="0"/>
                        <w:spacing w:before="240" w:after="0"/>
                        <w:jc w:val="both"/>
                        <w:rPr>
                          <w:rFonts w:ascii="arial" w:hAnsi="arial"/>
                          <w:sz w:val="19"/>
                        </w:rPr>
                      </w:pPr>
                      <w:r>
                        <w:rPr>
                          <w:rFonts w:ascii="arial" w:hAnsi="arial"/>
                          <w:sz w:val="19"/>
                        </w:rPr>
                        <w:t xml:space="preserve">Examples of prohibited derivative transactions include, but are not limited to, purchases or sales of puts and calls (whether written or purchased or sold), options (whether “covered” or not), forward contracts, including, but not limited to, prepaid variable forward contracts; put and call “collars” (“European” or “American”), “equity” or “performance” swap or exchange agreements, or any similar agreements or arrangements however denominated, in our securities. </w:t>
                      </w:r>
                    </w:p>
                    <w:p>
                      <w:pPr>
                        <w:pStyle w:val="TextBody"/>
                        <w:bidi w:val="0"/>
                        <w:spacing w:before="0" w:after="0"/>
                        <w:jc w:val="left"/>
                        <w:rPr/>
                      </w:pPr>
                      <w:r>
                        <w:rPr/>
                        <w:t> </w:t>
                      </w:r>
                    </w:p>
                  </w:txbxContent>
                </v:textbox>
                <w10:wrap type="square" side="right"/>
              </v:rect>
            </w:pict>
          </mc:Fallback>
        </mc:AlternateContent>
      </w:r>
    </w:p>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pPr>
            <w:r>
              <w:rPr/>
              <w:t>(1) </w:t>
            </w:r>
          </w:p>
        </w:tc>
        <w:tc>
          <w:tcPr>
            <w:tcW w:w="9874" w:type="dxa"/>
            <w:tcBorders/>
            <w:vAlign w:val="center"/>
          </w:tcPr>
          <w:p>
            <w:pPr>
              <w:pStyle w:val="TableContents"/>
              <w:bidi w:val="0"/>
              <w:spacing w:before="0" w:after="0"/>
              <w:jc w:val="both"/>
              <w:rPr>
                <w:rFonts w:ascii="arial" w:hAnsi="arial"/>
                <w:sz w:val="16"/>
              </w:rPr>
            </w:pPr>
            <w:r>
              <w:rPr>
                <w:rFonts w:ascii="arial" w:hAnsi="arial"/>
                <w:sz w:val="16"/>
              </w:rPr>
              <w:t xml:space="preserve">With the exception of the use of a margin account to purchase our common stock in connection with the exercise of Amgen-granted stock options (i.e., “cashless exercises”). </w:t>
            </w:r>
          </w:p>
        </w:tc>
      </w:tr>
    </w:tbl>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163"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82" descr=""/>
                    <pic:cNvPicPr>
                      <a:picLocks noChangeAspect="1" noChangeArrowheads="1"/>
                    </pic:cNvPicPr>
                  </pic:nvPicPr>
                  <pic:blipFill>
                    <a:blip r:embed="rId86"/>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45</w:t>
      </w:r>
      <w:r>
        <w:rPr>
          <w:rFonts w:ascii="arial" w:hAnsi="arial"/>
          <w:b/>
          <w:sz w:val="22"/>
        </w:rPr>
        <w:t xml:space="preserve"> </w:t>
      </w:r>
      <w:r>
        <w:br w:type="page"/>
      </w:r>
    </w:p>
    <w:p>
      <w:pPr>
        <w:pStyle w:val="HorizontalLine"/>
        <w:bidi w:val="0"/>
        <w:jc w:val="left"/>
        <w:rPr/>
      </w:pPr>
      <w:r>
        <w:rPr/>
      </w:r>
    </w:p>
    <w:tbl>
      <w:tblPr>
        <w:tblW w:w="311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263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263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Corporate Governance</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171B9"/>
          <w:sz w:val="28"/>
        </w:rPr>
      </w:pPr>
      <w:bookmarkStart w:id="27" w:name="toc445034_25"/>
      <w:bookmarkEnd w:id="27"/>
      <w:r>
        <w:rPr>
          <w:rFonts w:ascii="arial" w:hAnsi="arial"/>
          <w:b/>
          <w:color w:val="0171B9"/>
          <w:sz w:val="28"/>
        </w:rPr>
        <w:t xml:space="preserve">Pay Ratio </w:t>
      </w:r>
    </w:p>
    <w:p>
      <w:pPr>
        <w:pStyle w:val="TextBody"/>
        <w:pBdr>
          <w:bottom w:val="single" w:sz="2" w:space="1" w:color="666666"/>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21">
                <wp:simplePos x="0" y="0"/>
                <wp:positionH relativeFrom="column">
                  <wp:align>left</wp:align>
                </wp:positionH>
                <wp:positionV relativeFrom="line">
                  <wp:posOffset>635</wp:posOffset>
                </wp:positionV>
                <wp:extent cx="3110230" cy="1938020"/>
                <wp:effectExtent l="0" t="0" r="0" b="0"/>
                <wp:wrapSquare wrapText="right"/>
                <wp:docPr id="164" name="Frame79"/>
                <a:graphic xmlns:a="http://schemas.openxmlformats.org/drawingml/2006/main">
                  <a:graphicData uri="http://schemas.microsoft.com/office/word/2010/wordprocessingShape">
                    <wps:wsp>
                      <wps:cNvSpPr txBox="1"/>
                      <wps:spPr>
                        <a:xfrm>
                          <a:off x="0" y="0"/>
                          <a:ext cx="3110230" cy="193802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Following is a reasonable estimate, prepared under applicable SEC rules, of the ratio of the annual total compensation of our CEO to the median of the annual total compensation of our other staff members, calculated in accordance with the requirements of Item 402(c)(2)(x) of Regulation S-K. The Company determined our median employee based on target total direct compensation paid to all of our staff members worldwide and recorded in our global human resources systems as of December 31, 2023. Target total direct compensation included base salary, target annual cash incentive award opportunity for the period, and the target annual grant value of LTI equity awards during 2023. Earnings of our staff members outside of the U.S. were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52.6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Following is a reasonable estimate, prepared under applicable SEC rules, of the ratio of the annual total compensation of our CEO to the median of the annual total compensation of our other staff members, calculated in accordance with the requirements of Item 402(c)(2)(x) of Regulation S-K. The Company determined our median employee based on target total direct compensation paid to all of our staff members worldwide and recorded in our global human resources systems as of December 31, 2023. Target total direct compensation included base salary, target annual cash incentive award opportunity for the period, and the target annual grant value of LTI equity awards during 2023. Earnings of our staff members outside of the U.S. were </w:t>
                      </w:r>
                    </w:p>
                  </w:txbxContent>
                </v:textbox>
                <w10:wrap type="square" side="right"/>
              </v:rect>
            </w:pict>
          </mc:Fallback>
        </mc:AlternateContent>
      </w:r>
      <w:r>
        <mc:AlternateContent>
          <mc:Choice Requires="wps">
            <w:drawing>
              <wp:anchor behindDoc="0" distT="0" distB="0" distL="0" distR="0" simplePos="0" locked="0" layoutInCell="1" allowOverlap="1" relativeHeight="322">
                <wp:simplePos x="0" y="0"/>
                <wp:positionH relativeFrom="column">
                  <wp:align>left</wp:align>
                </wp:positionH>
                <wp:positionV relativeFrom="line">
                  <wp:posOffset>635</wp:posOffset>
                </wp:positionV>
                <wp:extent cx="3175000" cy="2076450"/>
                <wp:effectExtent l="0" t="0" r="0" b="0"/>
                <wp:wrapSquare wrapText="right"/>
                <wp:docPr id="165" name="Frame80"/>
                <a:graphic xmlns:a="http://schemas.openxmlformats.org/drawingml/2006/main">
                  <a:graphicData uri="http://schemas.microsoft.com/office/word/2010/wordprocessingShape">
                    <wps:wsp>
                      <wps:cNvSpPr txBox="1"/>
                      <wps:spPr>
                        <a:xfrm>
                          <a:off x="0" y="0"/>
                          <a:ext cx="3175000" cy="207645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converted to U.S. dollars using currency exchange rates as of December 31, 2023. No cost-of-living adjustments were made. We then determined the annual total compensation of our median employee for 2023 which was $166,322. As disclosed in the “Summary Compensation Table” appearing on page 83, our CEO’s annual total compensation for 2023 was $22,643,650. Based on the foregoing, the ratio of the annual total compensation of our CEO to that of the median staff member was 136 to 1. For information on the determination of executive compensation, please see “Compensation Committee Processes and Procedures for Considering and Determining Executive Compensation in 2023” above and our Compensation Discussion and Analysis beginning on page 48.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63.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converted to U.S. dollars using currency exchange rates as of December 31, 2023. No cost-of-living adjustments were made. We then determined the annual total compensation of our median employee for 2023 which was $166,322. As disclosed in the “Summary Compensation Table” appearing on page 83, our CEO’s annual total compensation for 2023 was $22,643,650. Based on the foregoing, the ratio of the annual total compensation of our CEO to that of the median staff member was 136 to 1. For information on the determination of executive compensation, please see “Compensation Committee Processes and Procedures for Considering and Determining Executive Compensation in 2023” above and our Compensation Discussion and Analysis beginning on page 48. </w:t>
                      </w:r>
                    </w:p>
                  </w:txbxContent>
                </v:textbox>
                <w10:wrap type="square" side="right"/>
              </v:rect>
            </w:pict>
          </mc:Fallback>
        </mc:AlternateContent>
      </w:r>
    </w:p>
    <w:p>
      <w:pPr>
        <w:pStyle w:val="TextBody"/>
        <w:bidi w:val="0"/>
        <w:spacing w:before="0" w:after="0"/>
        <w:jc w:val="left"/>
        <w:rPr/>
      </w:pPr>
      <w:r>
        <w:rPr/>
        <w:t> </w:t>
      </w:r>
    </w:p>
    <w:p>
      <w:pPr>
        <w:pStyle w:val="TextBody"/>
        <w:bidi w:val="0"/>
        <w:spacing w:before="360" w:after="0"/>
        <w:jc w:val="left"/>
        <w:rPr>
          <w:rFonts w:ascii="arial" w:hAnsi="arial"/>
          <w:b/>
          <w:color w:val="0171B9"/>
          <w:sz w:val="28"/>
        </w:rPr>
      </w:pPr>
      <w:bookmarkStart w:id="28" w:name="toc445034_26"/>
      <w:bookmarkEnd w:id="28"/>
      <w:r>
        <w:rPr>
          <w:rFonts w:ascii="arial" w:hAnsi="arial"/>
          <w:b/>
          <w:color w:val="0171B9"/>
          <w:sz w:val="28"/>
        </w:rPr>
        <w:t xml:space="preserve">Compensation Committee Report </w:t>
      </w:r>
    </w:p>
    <w:p>
      <w:pPr>
        <w:pStyle w:val="TextBody"/>
        <w:pBdr>
          <w:bottom w:val="single" w:sz="2" w:space="1" w:color="666666"/>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23">
                <wp:simplePos x="0" y="0"/>
                <wp:positionH relativeFrom="column">
                  <wp:align>left</wp:align>
                </wp:positionH>
                <wp:positionV relativeFrom="line">
                  <wp:posOffset>635</wp:posOffset>
                </wp:positionV>
                <wp:extent cx="3110230" cy="692150"/>
                <wp:effectExtent l="0" t="0" r="0" b="0"/>
                <wp:wrapSquare wrapText="right"/>
                <wp:docPr id="166" name="Frame81"/>
                <a:graphic xmlns:a="http://schemas.openxmlformats.org/drawingml/2006/main">
                  <a:graphicData uri="http://schemas.microsoft.com/office/word/2010/wordprocessingShape">
                    <wps:wsp>
                      <wps:cNvSpPr txBox="1"/>
                      <wps:spPr>
                        <a:xfrm>
                          <a:off x="0" y="0"/>
                          <a:ext cx="3110230" cy="69215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The Compensation Committee has reviewed and discussed the Compensation Discussion and Analysis with management, and based on the review and discussions, recommended to the Board of Directors that the Compensation Discussion and Analysis be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4.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The Compensation Committee has reviewed and discussed the Compensation Discussion and Analysis with management, and based on the review and discussions, recommended to the Board of Directors that the Compensation Discussion and Analysis be </w:t>
                      </w:r>
                    </w:p>
                  </w:txbxContent>
                </v:textbox>
                <w10:wrap type="square" side="right"/>
              </v:rect>
            </w:pict>
          </mc:Fallback>
        </mc:AlternateContent>
      </w:r>
      <w:r>
        <mc:AlternateContent>
          <mc:Choice Requires="wps">
            <w:drawing>
              <wp:anchor behindDoc="0" distT="0" distB="0" distL="0" distR="0" simplePos="0" locked="0" layoutInCell="1" allowOverlap="1" relativeHeight="324">
                <wp:simplePos x="0" y="0"/>
                <wp:positionH relativeFrom="column">
                  <wp:align>left</wp:align>
                </wp:positionH>
                <wp:positionV relativeFrom="line">
                  <wp:posOffset>635</wp:posOffset>
                </wp:positionV>
                <wp:extent cx="3175000" cy="553720"/>
                <wp:effectExtent l="0" t="0" r="0" b="0"/>
                <wp:wrapSquare wrapText="right"/>
                <wp:docPr id="167" name="Frame82"/>
                <a:graphic xmlns:a="http://schemas.openxmlformats.org/drawingml/2006/main">
                  <a:graphicData uri="http://schemas.microsoft.com/office/word/2010/wordprocessingShape">
                    <wps:wsp>
                      <wps:cNvSpPr txBox="1"/>
                      <wps:spPr>
                        <a:xfrm>
                          <a:off x="0" y="0"/>
                          <a:ext cx="3175000" cy="55372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included in the Company’s 2024 Annual Meeting proxy statement and incorporated by reference into the Company’s Annual Report on Form 10-K for the year ended December 31, 2023.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3.6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included in the Company’s 2024 Annual Meeting proxy statement and incorporated by reference into the Company’s Annual Report on Form 10-K for the year ended December 31, 2023.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center"/>
        <w:rPr>
          <w:rFonts w:ascii="arial" w:hAnsi="arial"/>
          <w:b/>
          <w:sz w:val="20"/>
        </w:rPr>
      </w:pPr>
      <w:r>
        <w:rPr>
          <w:rFonts w:ascii="arial" w:hAnsi="arial"/>
          <w:b/>
          <w:sz w:val="20"/>
        </w:rPr>
        <w:t xml:space="preserve">Compensation Committee of the Board of Directors </w:t>
      </w:r>
    </w:p>
    <w:p>
      <w:pPr>
        <w:pStyle w:val="TextBody"/>
        <w:bidi w:val="0"/>
        <w:spacing w:before="120" w:after="0"/>
        <w:jc w:val="center"/>
        <w:rPr>
          <w:rFonts w:ascii="arial" w:hAnsi="arial"/>
          <w:sz w:val="19"/>
        </w:rPr>
      </w:pPr>
      <w:r>
        <w:rPr>
          <w:rFonts w:ascii="arial" w:hAnsi="arial"/>
          <w:sz w:val="19"/>
        </w:rPr>
        <w:t xml:space="preserve">Robert A. Eckert, Chair </w:t>
      </w:r>
    </w:p>
    <w:p>
      <w:pPr>
        <w:pStyle w:val="TextBody"/>
        <w:bidi w:val="0"/>
        <w:spacing w:before="0" w:after="0"/>
        <w:jc w:val="center"/>
        <w:rPr>
          <w:rFonts w:ascii="arial" w:hAnsi="arial"/>
          <w:sz w:val="19"/>
        </w:rPr>
      </w:pPr>
      <w:r>
        <w:rPr>
          <w:rFonts w:ascii="arial" w:hAnsi="arial"/>
          <w:sz w:val="19"/>
        </w:rPr>
        <w:t xml:space="preserve">Wanda M. Austin </w:t>
      </w:r>
    </w:p>
    <w:p>
      <w:pPr>
        <w:pStyle w:val="TextBody"/>
        <w:bidi w:val="0"/>
        <w:spacing w:before="0" w:after="0"/>
        <w:jc w:val="center"/>
        <w:rPr>
          <w:rFonts w:ascii="arial" w:hAnsi="arial"/>
          <w:sz w:val="19"/>
        </w:rPr>
      </w:pPr>
      <w:r>
        <w:rPr>
          <w:rFonts w:ascii="arial" w:hAnsi="arial"/>
          <w:sz w:val="19"/>
        </w:rPr>
        <w:t xml:space="preserve">Brian J. Druker </w:t>
      </w:r>
    </w:p>
    <w:p>
      <w:pPr>
        <w:pStyle w:val="TextBody"/>
        <w:bidi w:val="0"/>
        <w:spacing w:before="0" w:after="0"/>
        <w:jc w:val="center"/>
        <w:rPr>
          <w:rFonts w:ascii="arial" w:hAnsi="arial"/>
          <w:sz w:val="19"/>
        </w:rPr>
      </w:pPr>
      <w:r>
        <w:rPr>
          <w:rFonts w:ascii="arial" w:hAnsi="arial"/>
          <w:sz w:val="19"/>
        </w:rPr>
        <w:t xml:space="preserve">Greg C. Garland </w:t>
      </w:r>
    </w:p>
    <w:p>
      <w:pPr>
        <w:pStyle w:val="TextBody"/>
        <w:bidi w:val="0"/>
        <w:spacing w:before="0" w:after="0"/>
        <w:jc w:val="center"/>
        <w:rPr>
          <w:rFonts w:ascii="arial" w:hAnsi="arial"/>
          <w:sz w:val="19"/>
        </w:rPr>
      </w:pPr>
      <w:r>
        <w:rPr>
          <w:rFonts w:ascii="arial" w:hAnsi="arial"/>
          <w:sz w:val="19"/>
        </w:rPr>
        <w:t xml:space="preserve">S. Omar Ishrak </w:t>
      </w:r>
    </w:p>
    <w:p>
      <w:pPr>
        <w:pStyle w:val="TextBody"/>
        <w:bidi w:val="0"/>
        <w:spacing w:before="0" w:after="0"/>
        <w:jc w:val="center"/>
        <w:rPr>
          <w:rFonts w:ascii="arial" w:hAnsi="arial"/>
          <w:sz w:val="19"/>
        </w:rPr>
      </w:pPr>
      <w:r>
        <w:rPr>
          <w:rFonts w:ascii="arial" w:hAnsi="arial"/>
          <w:sz w:val="19"/>
        </w:rPr>
        <w:t xml:space="preserve">Tyler Jacks </w:t>
      </w:r>
    </w:p>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46  </w:t>
      </w:r>
      <w:r>
        <w:rPr>
          <w:rFonts w:ascii="arial" w:hAnsi="arial"/>
          <w:b/>
          <w:color w:val="474747"/>
          <w:sz w:val="22"/>
        </w:rPr>
        <w:drawing>
          <wp:inline distT="0" distB="0" distL="0" distR="0">
            <wp:extent cx="64770" cy="15240"/>
            <wp:effectExtent l="0" t="0" r="0" b="0"/>
            <wp:docPr id="168"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83" descr=""/>
                    <pic:cNvPicPr>
                      <a:picLocks noChangeAspect="1" noChangeArrowheads="1"/>
                    </pic:cNvPicPr>
                  </pic:nvPicPr>
                  <pic:blipFill>
                    <a:blip r:embed="rId87"/>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789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741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741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Item 2 — Advisory Vote to Approve Our Executive Compensation</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171B9"/>
          <w:sz w:val="44"/>
        </w:rPr>
      </w:pPr>
      <w:bookmarkStart w:id="29" w:name="toc445034_27"/>
      <w:bookmarkEnd w:id="29"/>
      <w:r>
        <w:rPr>
          <w:rFonts w:ascii="arial" w:hAnsi="arial"/>
          <w:b/>
          <w:color w:val="0171B9"/>
          <w:sz w:val="44"/>
        </w:rPr>
        <w:t xml:space="preserve">Item 2 </w:t>
      </w:r>
    </w:p>
    <w:p>
      <w:pPr>
        <w:pStyle w:val="TextBody"/>
        <w:bidi w:val="0"/>
        <w:spacing w:before="240" w:after="0"/>
        <w:jc w:val="left"/>
        <w:rPr>
          <w:rFonts w:ascii="arial" w:hAnsi="arial"/>
          <w:b/>
          <w:color w:val="0171B9"/>
          <w:sz w:val="44"/>
        </w:rPr>
      </w:pPr>
      <w:r>
        <w:rPr>
          <w:rFonts w:ascii="arial" w:hAnsi="arial"/>
          <w:b/>
          <w:color w:val="0171B9"/>
          <w:sz w:val="44"/>
        </w:rPr>
        <w:t xml:space="preserve">Advisory Vote to Approve Our Executive Compensation </w:t>
      </w:r>
    </w:p>
    <w:p>
      <w:pPr>
        <w:pStyle w:val="TextBody"/>
        <w:pBdr>
          <w:bottom w:val="single" w:sz="2" w:space="1" w:color="666666"/>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25">
                <wp:simplePos x="0" y="0"/>
                <wp:positionH relativeFrom="column">
                  <wp:align>left</wp:align>
                </wp:positionH>
                <wp:positionV relativeFrom="line">
                  <wp:posOffset>635</wp:posOffset>
                </wp:positionV>
                <wp:extent cx="3110230" cy="3536950"/>
                <wp:effectExtent l="0" t="0" r="0" b="0"/>
                <wp:wrapSquare wrapText="right"/>
                <wp:docPr id="169" name="Frame83"/>
                <a:graphic xmlns:a="http://schemas.openxmlformats.org/drawingml/2006/main">
                  <a:graphicData uri="http://schemas.microsoft.com/office/word/2010/wordprocessingShape">
                    <wps:wsp>
                      <wps:cNvSpPr txBox="1"/>
                      <wps:spPr>
                        <a:xfrm>
                          <a:off x="0" y="0"/>
                          <a:ext cx="3110230" cy="353695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This advisory stockholder vote, commonly known as “Say on Pay,” gives you, as a stockholder, the opportunity to endorse or not endorse our executive pay program and policies. Accordingly, as required by Section 14A of the Securities and Exchange Act of 1934, as amended, you are being asked to cast an advisory vote on the compensation of our Named Executive Officers, or NEOs, as disclosed in the Compensation Discussion and Analysis (pages 48 through 82) and related compensation tables and the narrative in this proxy statement (pages 83 through 99). We urge stockholders to read the Compensation Discussion and Analysis section of this proxy statement, as well as the related tables and disclosures for a more complete understanding of how our executive compensation program operates. </w:t>
                            </w:r>
                          </w:p>
                          <w:p>
                            <w:pPr>
                              <w:pStyle w:val="TextBody"/>
                              <w:bidi w:val="0"/>
                              <w:spacing w:before="120" w:after="0"/>
                              <w:jc w:val="both"/>
                              <w:rPr>
                                <w:rFonts w:ascii="arial" w:hAnsi="arial"/>
                                <w:sz w:val="19"/>
                              </w:rPr>
                            </w:pPr>
                            <w:r>
                              <w:rPr>
                                <w:rFonts w:ascii="arial" w:hAnsi="arial"/>
                                <w:sz w:val="19"/>
                              </w:rPr>
                              <w:t xml:space="preserve">Our Board of Directors, or Board, believes that the 2023 compensation of our NEOs was appropriate, our current executive compensation program aligns the interests of our executives with those of our stockholders, and compensation outcomes are primarily based on the performance of our Company. We intend that our compensation programs reward actions and outcomes that are consistent with the sound operation of our Company, advance our strategy, and are aligned with the creation of long-term stockholder value.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78.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This advisory stockholder vote, commonly known as “Say on Pay,” gives you, as a stockholder, the opportunity to endorse or not endorse our executive pay program and policies. Accordingly, as required by Section 14A of the Securities and Exchange Act of 1934, as amended, you are being asked to cast an advisory vote on the compensation of our Named Executive Officers, or NEOs, as disclosed in the Compensation Discussion and Analysis (pages 48 through 82) and related compensation tables and the narrative in this proxy statement (pages 83 through 99). We urge stockholders to read the Compensation Discussion and Analysis section of this proxy statement, as well as the related tables and disclosures for a more complete understanding of how our executive compensation program operates. </w:t>
                      </w:r>
                    </w:p>
                    <w:p>
                      <w:pPr>
                        <w:pStyle w:val="TextBody"/>
                        <w:bidi w:val="0"/>
                        <w:spacing w:before="120" w:after="0"/>
                        <w:jc w:val="both"/>
                        <w:rPr>
                          <w:rFonts w:ascii="arial" w:hAnsi="arial"/>
                          <w:sz w:val="19"/>
                        </w:rPr>
                      </w:pPr>
                      <w:r>
                        <w:rPr>
                          <w:rFonts w:ascii="arial" w:hAnsi="arial"/>
                          <w:sz w:val="19"/>
                        </w:rPr>
                        <w:t xml:space="preserve">Our Board of Directors, or Board, believes that the 2023 compensation of our NEOs was appropriate, our current executive compensation program aligns the interests of our executives with those of our stockholders, and compensation outcomes are primarily based on the performance of our Company. We intend that our compensation programs reward actions and outcomes that are consistent with the sound operation of our Company, advance our strategy, and are aligned with the creation of long-term stockholder value. </w:t>
                      </w:r>
                    </w:p>
                  </w:txbxContent>
                </v:textbox>
                <w10:wrap type="square" side="right"/>
              </v:rect>
            </w:pict>
          </mc:Fallback>
        </mc:AlternateContent>
      </w:r>
      <w:r>
        <mc:AlternateContent>
          <mc:Choice Requires="wps">
            <w:drawing>
              <wp:anchor behindDoc="0" distT="0" distB="0" distL="0" distR="0" simplePos="0" locked="0" layoutInCell="1" allowOverlap="1" relativeHeight="326">
                <wp:simplePos x="0" y="0"/>
                <wp:positionH relativeFrom="column">
                  <wp:align>left</wp:align>
                </wp:positionH>
                <wp:positionV relativeFrom="line">
                  <wp:posOffset>635</wp:posOffset>
                </wp:positionV>
                <wp:extent cx="3175000" cy="3034030"/>
                <wp:effectExtent l="0" t="0" r="0" b="0"/>
                <wp:wrapSquare wrapText="right"/>
                <wp:docPr id="170" name="Frame84"/>
                <a:graphic xmlns:a="http://schemas.openxmlformats.org/drawingml/2006/main">
                  <a:graphicData uri="http://schemas.microsoft.com/office/word/2010/wordprocessingShape">
                    <wps:wsp>
                      <wps:cNvSpPr txBox="1"/>
                      <wps:spPr>
                        <a:xfrm>
                          <a:off x="0" y="0"/>
                          <a:ext cx="3175000" cy="3034030"/>
                        </a:xfrm>
                        <a:prstGeom prst="rect"/>
                        <a:solidFill>
                          <a:srgbClr val="FFFFFF"/>
                        </a:solidFill>
                      </wps:spPr>
                      <wps:txbx>
                        <w:txbxContent>
                          <w:p>
                            <w:pPr>
                              <w:pStyle w:val="TextBody"/>
                              <w:bidi w:val="0"/>
                              <w:spacing w:before="0" w:after="0"/>
                              <w:jc w:val="both"/>
                              <w:rPr>
                                <w:rFonts w:ascii="arial" w:hAnsi="arial"/>
                                <w:sz w:val="19"/>
                              </w:rPr>
                            </w:pPr>
                            <w:r>
                              <w:rPr>
                                <w:rFonts w:ascii="arial" w:hAnsi="arial"/>
                                <w:b/>
                                <w:sz w:val="19"/>
                              </w:rPr>
                              <w:t>For these reasons and as discussed more fully in the Compensation Discussion and Analysis, the Board recommends that stockholders vote “FOR” the following resolution:</w:t>
                            </w:r>
                            <w:r>
                              <w:rPr>
                                <w:rFonts w:ascii="arial" w:hAnsi="arial"/>
                                <w:sz w:val="19"/>
                              </w:rPr>
                              <w:t xml:space="preserve"> </w:t>
                            </w:r>
                          </w:p>
                          <w:p>
                            <w:pPr>
                              <w:pStyle w:val="TextBody"/>
                              <w:bidi w:val="0"/>
                              <w:spacing w:before="120" w:after="0"/>
                              <w:jc w:val="both"/>
                              <w:rPr/>
                            </w:pPr>
                            <w:r>
                              <w:rPr/>
                              <w:t>“</w:t>
                            </w:r>
                            <w:r>
                              <w:rPr>
                                <w:rFonts w:ascii="arial" w:hAnsi="arial"/>
                                <w:sz w:val="19"/>
                              </w:rPr>
                              <w:t xml:space="preserve">Resolved, that the stockholders approve, on an advisory basis, the compensation paid to the Company’s Named Executive Officers, as disclosed pursuant to Securities and Exchange Commission rules in the Compensation Discussion and Analysis, the compensation tables and the accompanying narrative disclosure of this proxy statement.” </w:t>
                            </w:r>
                          </w:p>
                          <w:p>
                            <w:pPr>
                              <w:pStyle w:val="TextBody"/>
                              <w:bidi w:val="0"/>
                              <w:spacing w:before="120" w:after="0"/>
                              <w:jc w:val="both"/>
                              <w:rPr>
                                <w:rFonts w:ascii="arial" w:hAnsi="arial"/>
                                <w:sz w:val="19"/>
                              </w:rPr>
                            </w:pPr>
                            <w:r>
                              <w:rPr>
                                <w:rFonts w:ascii="arial" w:hAnsi="arial"/>
                                <w:sz w:val="19"/>
                              </w:rPr>
                              <w:t xml:space="preserve">Although this vote is advisory and is not binding on the Board, our Compensation and Management Development Committee values the opinions expressed by our stockholders and will consider the outcome of the vote when making future executive compensation decisions. </w:t>
                            </w:r>
                          </w:p>
                          <w:p>
                            <w:pPr>
                              <w:pStyle w:val="TextBody"/>
                              <w:bidi w:val="0"/>
                              <w:spacing w:before="120" w:after="0"/>
                              <w:jc w:val="both"/>
                              <w:rPr>
                                <w:rFonts w:ascii="arial" w:hAnsi="arial"/>
                                <w:sz w:val="19"/>
                              </w:rPr>
                            </w:pPr>
                            <w:r>
                              <w:rPr>
                                <w:rFonts w:ascii="arial" w:hAnsi="arial"/>
                                <w:sz w:val="19"/>
                              </w:rPr>
                              <w:t xml:space="preserve">We currently conduct annual advisory votes on executive compensation, and we expect to conduct the next advisory vote on executive compensation at our 2025 annual meeting of stockholders.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38.9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b/>
                          <w:sz w:val="19"/>
                        </w:rPr>
                        <w:t>For these reasons and as discussed more fully in the Compensation Discussion and Analysis, the Board recommends that stockholders vote “FOR” the following resolution:</w:t>
                      </w:r>
                      <w:r>
                        <w:rPr>
                          <w:rFonts w:ascii="arial" w:hAnsi="arial"/>
                          <w:sz w:val="19"/>
                        </w:rPr>
                        <w:t xml:space="preserve"> </w:t>
                      </w:r>
                    </w:p>
                    <w:p>
                      <w:pPr>
                        <w:pStyle w:val="TextBody"/>
                        <w:bidi w:val="0"/>
                        <w:spacing w:before="120" w:after="0"/>
                        <w:jc w:val="both"/>
                        <w:rPr/>
                      </w:pPr>
                      <w:r>
                        <w:rPr/>
                        <w:t>“</w:t>
                      </w:r>
                      <w:r>
                        <w:rPr>
                          <w:rFonts w:ascii="arial" w:hAnsi="arial"/>
                          <w:sz w:val="19"/>
                        </w:rPr>
                        <w:t xml:space="preserve">Resolved, that the stockholders approve, on an advisory basis, the compensation paid to the Company’s Named Executive Officers, as disclosed pursuant to Securities and Exchange Commission rules in the Compensation Discussion and Analysis, the compensation tables and the accompanying narrative disclosure of this proxy statement.” </w:t>
                      </w:r>
                    </w:p>
                    <w:p>
                      <w:pPr>
                        <w:pStyle w:val="TextBody"/>
                        <w:bidi w:val="0"/>
                        <w:spacing w:before="120" w:after="0"/>
                        <w:jc w:val="both"/>
                        <w:rPr>
                          <w:rFonts w:ascii="arial" w:hAnsi="arial"/>
                          <w:sz w:val="19"/>
                        </w:rPr>
                      </w:pPr>
                      <w:r>
                        <w:rPr>
                          <w:rFonts w:ascii="arial" w:hAnsi="arial"/>
                          <w:sz w:val="19"/>
                        </w:rPr>
                        <w:t xml:space="preserve">Although this vote is advisory and is not binding on the Board, our Compensation and Management Development Committee values the opinions expressed by our stockholders and will consider the outcome of the vote when making future executive compensation decisions. </w:t>
                      </w:r>
                    </w:p>
                    <w:p>
                      <w:pPr>
                        <w:pStyle w:val="TextBody"/>
                        <w:bidi w:val="0"/>
                        <w:spacing w:before="120" w:after="0"/>
                        <w:jc w:val="both"/>
                        <w:rPr>
                          <w:rFonts w:ascii="arial" w:hAnsi="arial"/>
                          <w:sz w:val="19"/>
                        </w:rPr>
                      </w:pPr>
                      <w:r>
                        <w:rPr>
                          <w:rFonts w:ascii="arial" w:hAnsi="arial"/>
                          <w:sz w:val="19"/>
                        </w:rPr>
                        <w:t xml:space="preserve">We currently conduct annual advisory votes on executive compensation, and we expect to conduct the next advisory vote on executive compensation at our 2025 annual meeting of stockholders. </w:t>
                      </w:r>
                    </w:p>
                  </w:txbxContent>
                </v:textbox>
                <w10:wrap type="square" side="right"/>
              </v:rect>
            </w:pict>
          </mc:Fallback>
        </mc:AlternateContent>
      </w:r>
    </w:p>
    <w:p>
      <w:pPr>
        <w:pStyle w:val="TextBody"/>
        <w:bidi w:val="0"/>
        <w:spacing w:before="0" w:after="0"/>
        <w:jc w:val="left"/>
        <w:rPr/>
      </w:pPr>
      <w:r>
        <w:rPr/>
        <w:t> </w:t>
      </w:r>
    </w:p>
    <w:p>
      <w:pPr>
        <w:pStyle w:val="TextBody"/>
        <w:pBdr/>
        <w:bidi w:val="0"/>
        <w:spacing w:before="0" w:after="40"/>
        <w:jc w:val="both"/>
        <w:rPr>
          <w:rFonts w:ascii="arial" w:hAnsi="arial"/>
          <w:b/>
          <w:color w:val="0171B9"/>
          <w:sz w:val="23"/>
          <w:bdr w:val="single" w:sz="8" w:space="2" w:color="666666"/>
          <w:shd w:fill="CCE2F1" w:val="clear"/>
        </w:rPr>
      </w:pPr>
      <w:r>
        <w:rPr>
          <w:rFonts w:ascii="arial" w:hAnsi="arial"/>
          <w:b/>
          <w:color w:val="0171B9"/>
          <w:sz w:val="23"/>
          <w:bdr w:val="single" w:sz="8" w:space="2" w:color="666666"/>
          <w:shd w:fill="CCE2F1" w:val="clear"/>
        </w:rPr>
        <w:t xml:space="preserve">THE BOARD OF DIRECTORS RECOMMENDS A VOTE “FOR” THE APPROVAL OF THE ADVISORY RESOLUTION TO APPROVE THE COMPENSATION OF THE COMPANY’S NAMED EXECUTIVE OFFICERS. </w:t>
      </w:r>
    </w:p>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171"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84" descr=""/>
                    <pic:cNvPicPr>
                      <a:picLocks noChangeAspect="1" noChangeArrowheads="1"/>
                    </pic:cNvPicPr>
                  </pic:nvPicPr>
                  <pic:blipFill>
                    <a:blip r:embed="rId88"/>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47</w:t>
      </w:r>
      <w:r>
        <w:rPr>
          <w:rFonts w:ascii="arial" w:hAnsi="arial"/>
          <w:b/>
          <w:sz w:val="22"/>
        </w:rPr>
        <w:t xml:space="preserve"> </w:t>
      </w:r>
      <w:r>
        <w:br w:type="page"/>
      </w:r>
    </w:p>
    <w:p>
      <w:pPr>
        <w:pStyle w:val="HorizontalLine"/>
        <w:bidi w:val="0"/>
        <w:jc w:val="left"/>
        <w:rPr/>
      </w:pPr>
      <w:r>
        <w:rPr/>
      </w:r>
    </w:p>
    <w:tbl>
      <w:tblPr>
        <w:tblW w:w="507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45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459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Compensation Discussion and Analysis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171B9"/>
          <w:sz w:val="44"/>
        </w:rPr>
      </w:pPr>
      <w:bookmarkStart w:id="30" w:name="toc445034_28"/>
      <w:bookmarkEnd w:id="30"/>
      <w:r>
        <w:rPr>
          <w:rFonts w:ascii="arial" w:hAnsi="arial"/>
          <w:b/>
          <w:color w:val="0171B9"/>
          <w:sz w:val="44"/>
        </w:rPr>
        <w:t xml:space="preserve">Compensation Discussion and Analysis </w:t>
      </w:r>
    </w:p>
    <w:p>
      <w:pPr>
        <w:pStyle w:val="TextBody"/>
        <w:pBdr>
          <w:bottom w:val="single" w:sz="2" w:space="1" w:color="666666"/>
        </w:pBdr>
        <w:bidi w:val="0"/>
        <w:spacing w:lineRule="atLeast" w:line="142" w:before="0" w:after="40"/>
        <w:jc w:val="left"/>
        <w:rPr/>
      </w:pPr>
      <w:r>
        <w:rPr/>
        <w:t> </w:t>
      </w:r>
    </w:p>
    <w:p>
      <w:pPr>
        <w:pStyle w:val="TextBody"/>
        <w:bidi w:val="0"/>
        <w:spacing w:before="360" w:after="0"/>
        <w:jc w:val="left"/>
        <w:rPr>
          <w:rFonts w:ascii="arial" w:hAnsi="arial"/>
          <w:b/>
          <w:color w:val="0171B9"/>
          <w:sz w:val="28"/>
        </w:rPr>
      </w:pPr>
      <w:r>
        <w:rPr>
          <w:rFonts w:ascii="arial" w:hAnsi="arial"/>
          <w:b/>
          <w:color w:val="0171B9"/>
          <w:sz w:val="28"/>
        </w:rPr>
        <w:t xml:space="preserve">Table of Contents </w:t>
      </w:r>
    </w:p>
    <w:p>
      <w:pPr>
        <w:pStyle w:val="TextBody"/>
        <w:pBdr>
          <w:bottom w:val="single" w:sz="2" w:space="1" w:color="666666"/>
        </w:pBdr>
        <w:bidi w:val="0"/>
        <w:spacing w:lineRule="atLeast" w:line="142" w:before="0" w:after="40"/>
        <w:jc w:val="left"/>
        <w:rPr/>
      </w:pPr>
      <w:r>
        <w:rPr/>
        <w:t> </w:t>
      </w:r>
    </w:p>
    <w:p>
      <w:pPr>
        <w:pStyle w:val="TextBody"/>
        <w:bidi w:val="0"/>
        <w:spacing w:before="0" w:after="0"/>
        <w:jc w:val="left"/>
        <w:rPr/>
      </w:pPr>
      <w:r>
        <w:rPr/>
        <w:t> </w:t>
      </w:r>
    </w:p>
    <w:tbl>
      <w:tblPr>
        <w:tblW w:w="8890" w:type="dxa"/>
        <w:jc w:val="left"/>
        <w:tblInd w:w="0" w:type="dxa"/>
        <w:tblLayout w:type="fixed"/>
        <w:tblCellMar>
          <w:top w:w="0" w:type="dxa"/>
          <w:left w:w="0" w:type="dxa"/>
          <w:bottom w:w="0" w:type="dxa"/>
          <w:right w:w="0" w:type="dxa"/>
        </w:tblCellMar>
      </w:tblPr>
      <w:tblGrid>
        <w:gridCol w:w="8375"/>
        <w:gridCol w:w="120"/>
        <w:gridCol w:w="60"/>
        <w:gridCol w:w="260"/>
        <w:gridCol w:w="75"/>
      </w:tblGrid>
      <w:tr>
        <w:trPr/>
        <w:tc>
          <w:tcPr>
            <w:tcW w:w="8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37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375" w:type="dxa"/>
            <w:tcBorders/>
            <w:vAlign w:val="center"/>
          </w:tcPr>
          <w:p>
            <w:pPr>
              <w:pStyle w:val="TableContents"/>
              <w:bidi w:val="0"/>
              <w:spacing w:before="0" w:after="0"/>
              <w:jc w:val="both"/>
              <w:rPr/>
            </w:pPr>
            <w:hyperlink w:anchor="txa445034_100">
              <w:r>
                <w:rPr>
                  <w:rStyle w:val="InternetLink"/>
                  <w:rFonts w:ascii="arial" w:hAnsi="arial"/>
                  <w:sz w:val="19"/>
                </w:rPr>
                <w:t>Our Named Executive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48</w:t>
            </w:r>
          </w:p>
        </w:tc>
        <w:tc>
          <w:tcPr>
            <w:tcW w:w="75" w:type="dxa"/>
            <w:tcBorders/>
            <w:vAlign w:val="center"/>
          </w:tcPr>
          <w:p>
            <w:pPr>
              <w:pStyle w:val="TableContents"/>
              <w:bidi w:val="0"/>
              <w:spacing w:before="0" w:after="283"/>
              <w:jc w:val="left"/>
              <w:rPr/>
            </w:pPr>
            <w:r>
              <w:rPr/>
              <w:t> </w:t>
            </w:r>
          </w:p>
        </w:tc>
      </w:tr>
      <w:tr>
        <w:trPr/>
        <w:tc>
          <w:tcPr>
            <w:tcW w:w="837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375" w:type="dxa"/>
            <w:tcBorders/>
            <w:vAlign w:val="center"/>
          </w:tcPr>
          <w:p>
            <w:pPr>
              <w:pStyle w:val="TableContents"/>
              <w:bidi w:val="0"/>
              <w:spacing w:before="0" w:after="0"/>
              <w:jc w:val="both"/>
              <w:rPr/>
            </w:pPr>
            <w:hyperlink w:anchor="txa445034_101">
              <w:r>
                <w:rPr>
                  <w:rStyle w:val="InternetLink"/>
                  <w:rFonts w:ascii="arial" w:hAnsi="arial"/>
                  <w:sz w:val="19"/>
                </w:rPr>
                <w:t>Our Strategy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837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375" w:type="dxa"/>
            <w:tcBorders/>
            <w:vAlign w:val="center"/>
          </w:tcPr>
          <w:p>
            <w:pPr>
              <w:pStyle w:val="TableContents"/>
              <w:bidi w:val="0"/>
              <w:spacing w:before="0" w:after="0"/>
              <w:jc w:val="both"/>
              <w:rPr/>
            </w:pPr>
            <w:hyperlink w:anchor="txa445034_102">
              <w:r>
                <w:rPr>
                  <w:rStyle w:val="InternetLink"/>
                  <w:rFonts w:ascii="arial" w:hAnsi="arial"/>
                  <w:sz w:val="19"/>
                </w:rPr>
                <w:t>Our Approach to Environmental Sustainability, Social Responsibility, and Corporate Governance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52</w:t>
            </w:r>
          </w:p>
        </w:tc>
        <w:tc>
          <w:tcPr>
            <w:tcW w:w="75" w:type="dxa"/>
            <w:tcBorders/>
            <w:vAlign w:val="center"/>
          </w:tcPr>
          <w:p>
            <w:pPr>
              <w:pStyle w:val="TableContents"/>
              <w:bidi w:val="0"/>
              <w:spacing w:before="0" w:after="283"/>
              <w:jc w:val="left"/>
              <w:rPr/>
            </w:pPr>
            <w:r>
              <w:rPr/>
              <w:t> </w:t>
            </w:r>
          </w:p>
        </w:tc>
      </w:tr>
      <w:tr>
        <w:trPr/>
        <w:tc>
          <w:tcPr>
            <w:tcW w:w="837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375" w:type="dxa"/>
            <w:tcBorders/>
            <w:vAlign w:val="center"/>
          </w:tcPr>
          <w:p>
            <w:pPr>
              <w:pStyle w:val="TableContents"/>
              <w:bidi w:val="0"/>
              <w:spacing w:before="0" w:after="0"/>
              <w:jc w:val="both"/>
              <w:rPr/>
            </w:pPr>
            <w:hyperlink w:anchor="txa445034_103">
              <w:r>
                <w:rPr>
                  <w:rStyle w:val="InternetLink"/>
                  <w:rFonts w:ascii="arial" w:hAnsi="arial"/>
                  <w:sz w:val="19"/>
                </w:rPr>
                <w:t>Our Compensation Best Practices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53</w:t>
            </w:r>
          </w:p>
        </w:tc>
        <w:tc>
          <w:tcPr>
            <w:tcW w:w="75" w:type="dxa"/>
            <w:tcBorders/>
            <w:vAlign w:val="center"/>
          </w:tcPr>
          <w:p>
            <w:pPr>
              <w:pStyle w:val="TableContents"/>
              <w:bidi w:val="0"/>
              <w:spacing w:before="0" w:after="283"/>
              <w:jc w:val="left"/>
              <w:rPr/>
            </w:pPr>
            <w:r>
              <w:rPr/>
              <w:t> </w:t>
            </w:r>
          </w:p>
        </w:tc>
      </w:tr>
      <w:tr>
        <w:trPr/>
        <w:tc>
          <w:tcPr>
            <w:tcW w:w="837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375" w:type="dxa"/>
            <w:tcBorders/>
            <w:vAlign w:val="center"/>
          </w:tcPr>
          <w:p>
            <w:pPr>
              <w:pStyle w:val="TableContents"/>
              <w:bidi w:val="0"/>
              <w:spacing w:before="0" w:after="0"/>
              <w:jc w:val="both"/>
              <w:rPr/>
            </w:pPr>
            <w:hyperlink w:anchor="txa445034_104">
              <w:r>
                <w:rPr>
                  <w:rStyle w:val="InternetLink"/>
                  <w:rFonts w:ascii="arial" w:hAnsi="arial"/>
                  <w:sz w:val="19"/>
                </w:rPr>
                <w:t>Aligning Pay With Performance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54</w:t>
            </w:r>
          </w:p>
        </w:tc>
        <w:tc>
          <w:tcPr>
            <w:tcW w:w="75" w:type="dxa"/>
            <w:tcBorders/>
            <w:vAlign w:val="center"/>
          </w:tcPr>
          <w:p>
            <w:pPr>
              <w:pStyle w:val="TableContents"/>
              <w:bidi w:val="0"/>
              <w:spacing w:before="0" w:after="283"/>
              <w:jc w:val="left"/>
              <w:rPr/>
            </w:pPr>
            <w:r>
              <w:rPr/>
              <w:t> </w:t>
            </w:r>
          </w:p>
        </w:tc>
      </w:tr>
      <w:tr>
        <w:trPr/>
        <w:tc>
          <w:tcPr>
            <w:tcW w:w="837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375" w:type="dxa"/>
            <w:tcBorders/>
            <w:vAlign w:val="center"/>
          </w:tcPr>
          <w:p>
            <w:pPr>
              <w:pStyle w:val="TableContents"/>
              <w:bidi w:val="0"/>
              <w:spacing w:before="0" w:after="0"/>
              <w:jc w:val="both"/>
              <w:rPr/>
            </w:pPr>
            <w:hyperlink w:anchor="txa445034_105">
              <w:r>
                <w:rPr>
                  <w:rStyle w:val="InternetLink"/>
                  <w:rFonts w:ascii="arial" w:hAnsi="arial"/>
                  <w:sz w:val="19"/>
                </w:rPr>
                <w:t>Implementation of Our Strategic Priorities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54</w:t>
            </w:r>
          </w:p>
        </w:tc>
        <w:tc>
          <w:tcPr>
            <w:tcW w:w="75" w:type="dxa"/>
            <w:tcBorders/>
            <w:vAlign w:val="center"/>
          </w:tcPr>
          <w:p>
            <w:pPr>
              <w:pStyle w:val="TableContents"/>
              <w:bidi w:val="0"/>
              <w:spacing w:before="0" w:after="283"/>
              <w:jc w:val="left"/>
              <w:rPr/>
            </w:pPr>
            <w:r>
              <w:rPr/>
              <w:t> </w:t>
            </w:r>
          </w:p>
        </w:tc>
      </w:tr>
      <w:tr>
        <w:trPr/>
        <w:tc>
          <w:tcPr>
            <w:tcW w:w="837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375" w:type="dxa"/>
            <w:tcBorders/>
            <w:vAlign w:val="center"/>
          </w:tcPr>
          <w:p>
            <w:pPr>
              <w:pStyle w:val="TableContents"/>
              <w:bidi w:val="0"/>
              <w:spacing w:before="0" w:after="0"/>
              <w:jc w:val="both"/>
              <w:rPr/>
            </w:pPr>
            <w:hyperlink w:anchor="txa445034_106">
              <w:r>
                <w:rPr>
                  <w:rStyle w:val="InternetLink"/>
                  <w:rFonts w:ascii="arial" w:hAnsi="arial"/>
                  <w:sz w:val="19"/>
                </w:rPr>
                <w:t>Long-Term Incentive Equity Award Design in 2023</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60</w:t>
            </w:r>
          </w:p>
        </w:tc>
        <w:tc>
          <w:tcPr>
            <w:tcW w:w="75" w:type="dxa"/>
            <w:tcBorders/>
            <w:vAlign w:val="center"/>
          </w:tcPr>
          <w:p>
            <w:pPr>
              <w:pStyle w:val="TableContents"/>
              <w:bidi w:val="0"/>
              <w:spacing w:before="0" w:after="283"/>
              <w:jc w:val="left"/>
              <w:rPr/>
            </w:pPr>
            <w:r>
              <w:rPr/>
              <w:t> </w:t>
            </w:r>
          </w:p>
        </w:tc>
      </w:tr>
      <w:tr>
        <w:trPr/>
        <w:tc>
          <w:tcPr>
            <w:tcW w:w="837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375" w:type="dxa"/>
            <w:tcBorders/>
            <w:vAlign w:val="center"/>
          </w:tcPr>
          <w:p>
            <w:pPr>
              <w:pStyle w:val="TableContents"/>
              <w:bidi w:val="0"/>
              <w:spacing w:before="0" w:after="0"/>
              <w:jc w:val="both"/>
              <w:rPr/>
            </w:pPr>
            <w:hyperlink w:anchor="txa445034_107">
              <w:r>
                <w:rPr>
                  <w:rStyle w:val="InternetLink"/>
                  <w:rFonts w:ascii="arial" w:hAnsi="arial"/>
                  <w:sz w:val="19"/>
                </w:rPr>
                <w:t>Positive 2023 Say on Pay Vote Outcome and Responses to 2023 Stockholder Input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60</w:t>
            </w:r>
          </w:p>
        </w:tc>
        <w:tc>
          <w:tcPr>
            <w:tcW w:w="75" w:type="dxa"/>
            <w:tcBorders/>
            <w:vAlign w:val="center"/>
          </w:tcPr>
          <w:p>
            <w:pPr>
              <w:pStyle w:val="TableContents"/>
              <w:bidi w:val="0"/>
              <w:spacing w:before="0" w:after="283"/>
              <w:jc w:val="left"/>
              <w:rPr/>
            </w:pPr>
            <w:r>
              <w:rPr/>
              <w:t> </w:t>
            </w:r>
          </w:p>
        </w:tc>
      </w:tr>
      <w:tr>
        <w:trPr/>
        <w:tc>
          <w:tcPr>
            <w:tcW w:w="837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375" w:type="dxa"/>
            <w:tcBorders/>
            <w:vAlign w:val="center"/>
          </w:tcPr>
          <w:p>
            <w:pPr>
              <w:pStyle w:val="TableContents"/>
              <w:bidi w:val="0"/>
              <w:spacing w:before="0" w:after="0"/>
              <w:jc w:val="both"/>
              <w:rPr/>
            </w:pPr>
            <w:hyperlink w:anchor="txa445034_108">
              <w:r>
                <w:rPr>
                  <w:rStyle w:val="InternetLink"/>
                  <w:rFonts w:ascii="arial" w:hAnsi="arial"/>
                  <w:sz w:val="19"/>
                </w:rPr>
                <w:t>Our 2023 Compensation Program Highlights and Objectives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62</w:t>
            </w:r>
          </w:p>
        </w:tc>
        <w:tc>
          <w:tcPr>
            <w:tcW w:w="75" w:type="dxa"/>
            <w:tcBorders/>
            <w:vAlign w:val="center"/>
          </w:tcPr>
          <w:p>
            <w:pPr>
              <w:pStyle w:val="TableContents"/>
              <w:bidi w:val="0"/>
              <w:spacing w:before="0" w:after="283"/>
              <w:jc w:val="left"/>
              <w:rPr/>
            </w:pPr>
            <w:r>
              <w:rPr/>
              <w:t> </w:t>
            </w:r>
          </w:p>
        </w:tc>
      </w:tr>
      <w:tr>
        <w:trPr/>
        <w:tc>
          <w:tcPr>
            <w:tcW w:w="837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375" w:type="dxa"/>
            <w:tcBorders/>
            <w:vAlign w:val="center"/>
          </w:tcPr>
          <w:p>
            <w:pPr>
              <w:pStyle w:val="TableContents"/>
              <w:bidi w:val="0"/>
              <w:spacing w:before="0" w:after="0"/>
              <w:jc w:val="both"/>
              <w:rPr/>
            </w:pPr>
            <w:hyperlink w:anchor="txa445034_109">
              <w:r>
                <w:rPr>
                  <w:rStyle w:val="InternetLink"/>
                  <w:rFonts w:ascii="arial" w:hAnsi="arial"/>
                  <w:sz w:val="19"/>
                </w:rPr>
                <w:t>How Compensation Decisions Are Made For Our Named Executive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63</w:t>
            </w:r>
          </w:p>
        </w:tc>
        <w:tc>
          <w:tcPr>
            <w:tcW w:w="75" w:type="dxa"/>
            <w:tcBorders/>
            <w:vAlign w:val="center"/>
          </w:tcPr>
          <w:p>
            <w:pPr>
              <w:pStyle w:val="TableContents"/>
              <w:bidi w:val="0"/>
              <w:spacing w:before="0" w:after="283"/>
              <w:jc w:val="left"/>
              <w:rPr/>
            </w:pPr>
            <w:r>
              <w:rPr/>
              <w:t> </w:t>
            </w:r>
          </w:p>
        </w:tc>
      </w:tr>
      <w:tr>
        <w:trPr/>
        <w:tc>
          <w:tcPr>
            <w:tcW w:w="837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375" w:type="dxa"/>
            <w:tcBorders/>
            <w:vAlign w:val="center"/>
          </w:tcPr>
          <w:p>
            <w:pPr>
              <w:pStyle w:val="TableContents"/>
              <w:bidi w:val="0"/>
              <w:spacing w:before="0" w:after="0"/>
              <w:jc w:val="both"/>
              <w:rPr/>
            </w:pPr>
            <w:hyperlink w:anchor="txa445034_110">
              <w:r>
                <w:rPr>
                  <w:rStyle w:val="InternetLink"/>
                  <w:rFonts w:ascii="arial" w:hAnsi="arial"/>
                  <w:sz w:val="19"/>
                </w:rPr>
                <w:t>Elements of Compensation and Specific Compensation Decisions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66</w:t>
            </w:r>
          </w:p>
        </w:tc>
        <w:tc>
          <w:tcPr>
            <w:tcW w:w="75" w:type="dxa"/>
            <w:tcBorders/>
            <w:vAlign w:val="center"/>
          </w:tcPr>
          <w:p>
            <w:pPr>
              <w:pStyle w:val="TableContents"/>
              <w:bidi w:val="0"/>
              <w:spacing w:before="0" w:after="283"/>
              <w:jc w:val="left"/>
              <w:rPr/>
            </w:pPr>
            <w:r>
              <w:rPr/>
              <w:t> </w:t>
            </w:r>
          </w:p>
        </w:tc>
      </w:tr>
      <w:tr>
        <w:trPr/>
        <w:tc>
          <w:tcPr>
            <w:tcW w:w="837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375" w:type="dxa"/>
            <w:tcBorders/>
            <w:vAlign w:val="center"/>
          </w:tcPr>
          <w:p>
            <w:pPr>
              <w:pStyle w:val="TableContents"/>
              <w:bidi w:val="0"/>
              <w:spacing w:before="0" w:after="0"/>
              <w:jc w:val="both"/>
              <w:rPr/>
            </w:pPr>
            <w:hyperlink w:anchor="txa445034_111">
              <w:r>
                <w:rPr>
                  <w:rStyle w:val="InternetLink"/>
                  <w:rFonts w:ascii="arial" w:hAnsi="arial"/>
                  <w:sz w:val="19"/>
                </w:rPr>
                <w:t>Compensation Policies and Practices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77</w:t>
            </w:r>
          </w:p>
        </w:tc>
        <w:tc>
          <w:tcPr>
            <w:tcW w:w="75" w:type="dxa"/>
            <w:tcBorders/>
            <w:vAlign w:val="center"/>
          </w:tcPr>
          <w:p>
            <w:pPr>
              <w:pStyle w:val="TableContents"/>
              <w:bidi w:val="0"/>
              <w:spacing w:before="0" w:after="283"/>
              <w:jc w:val="left"/>
              <w:rPr/>
            </w:pPr>
            <w:r>
              <w:rPr/>
              <w:t> </w:t>
            </w:r>
          </w:p>
        </w:tc>
      </w:tr>
      <w:tr>
        <w:trPr/>
        <w:tc>
          <w:tcPr>
            <w:tcW w:w="837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375" w:type="dxa"/>
            <w:tcBorders/>
            <w:vAlign w:val="center"/>
          </w:tcPr>
          <w:p>
            <w:pPr>
              <w:pStyle w:val="TableContents"/>
              <w:bidi w:val="0"/>
              <w:spacing w:before="0" w:after="0"/>
              <w:jc w:val="both"/>
              <w:rPr/>
            </w:pPr>
            <w:hyperlink w:anchor="txa445034_112">
              <w:r>
                <w:rPr>
                  <w:rStyle w:val="InternetLink"/>
                  <w:rFonts w:ascii="arial" w:hAnsi="arial"/>
                  <w:sz w:val="19"/>
                </w:rPr>
                <w:t>Non-Direct Compensation and Payouts in Certain Circumstances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80</w:t>
            </w:r>
          </w:p>
        </w:tc>
        <w:tc>
          <w:tcPr>
            <w:tcW w:w="75" w:type="dxa"/>
            <w:tcBorders/>
            <w:vAlign w:val="center"/>
          </w:tcPr>
          <w:p>
            <w:pPr>
              <w:pStyle w:val="TableContents"/>
              <w:bidi w:val="0"/>
              <w:spacing w:before="0" w:after="283"/>
              <w:jc w:val="left"/>
              <w:rPr/>
            </w:pPr>
            <w:r>
              <w:rPr/>
              <w:t> </w:t>
            </w:r>
          </w:p>
        </w:tc>
      </w:tr>
      <w:tr>
        <w:trPr/>
        <w:tc>
          <w:tcPr>
            <w:tcW w:w="837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8375" w:type="dxa"/>
            <w:tcBorders/>
            <w:vAlign w:val="center"/>
          </w:tcPr>
          <w:p>
            <w:pPr>
              <w:pStyle w:val="TableContents"/>
              <w:bidi w:val="0"/>
              <w:spacing w:before="0" w:after="0"/>
              <w:jc w:val="both"/>
              <w:rPr/>
            </w:pPr>
            <w:hyperlink w:anchor="txa445034_113">
              <w:r>
                <w:rPr>
                  <w:rStyle w:val="InternetLink"/>
                  <w:rFonts w:ascii="arial" w:hAnsi="arial"/>
                  <w:sz w:val="19"/>
                </w:rPr>
                <w:t>Accounting Standards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82</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both"/>
        <w:rPr>
          <w:rFonts w:ascii="arial" w:hAnsi="arial"/>
          <w:sz w:val="19"/>
        </w:rPr>
      </w:pPr>
      <w:r>
        <w:rPr>
          <w:rFonts w:ascii="arial" w:hAnsi="arial"/>
          <w:sz w:val="19"/>
        </w:rPr>
        <w:t xml:space="preserve">This Compensation Discussion and Analysis describes our compensation strategy, philosophy, policies, programs, and practices for our Named Executive Officers, or NEOs, and the executive positions they held in 2023 as set forth below. </w:t>
      </w:r>
    </w:p>
    <w:p>
      <w:pPr>
        <w:pStyle w:val="TextBody"/>
        <w:bidi w:val="0"/>
        <w:spacing w:before="240" w:after="0"/>
        <w:jc w:val="left"/>
        <w:rPr>
          <w:rFonts w:ascii="arial" w:hAnsi="arial"/>
          <w:b/>
          <w:color w:val="0171B9"/>
          <w:sz w:val="28"/>
        </w:rPr>
      </w:pPr>
      <w:bookmarkStart w:id="31" w:name="toc445034_29"/>
      <w:bookmarkStart w:id="32" w:name="txa445034_100"/>
      <w:bookmarkEnd w:id="31"/>
      <w:bookmarkEnd w:id="32"/>
      <w:r>
        <w:rPr>
          <w:rFonts w:ascii="arial" w:hAnsi="arial"/>
          <w:b/>
          <w:color w:val="0171B9"/>
          <w:sz w:val="28"/>
        </w:rPr>
        <w:t xml:space="preserve">Our Named Executive Officers </w:t>
      </w:r>
    </w:p>
    <w:p>
      <w:pPr>
        <w:pStyle w:val="TextBody"/>
        <w:pBdr>
          <w:bottom w:val="single" w:sz="2" w:space="1" w:color="666666"/>
        </w:pBdr>
        <w:bidi w:val="0"/>
        <w:spacing w:lineRule="atLeast" w:line="142" w:before="0" w:after="40"/>
        <w:jc w:val="left"/>
        <w:rPr/>
      </w:pPr>
      <w:r>
        <w:rPr/>
        <w:t> </w:t>
      </w:r>
    </w:p>
    <w:p>
      <w:pPr>
        <w:pStyle w:val="TextBody"/>
        <w:bidi w:val="0"/>
        <w:spacing w:before="0" w:after="0"/>
        <w:jc w:val="left"/>
        <w:rPr/>
      </w:pPr>
      <w:r>
        <w:rPr/>
        <w:t> </w:t>
      </w:r>
    </w:p>
    <w:tbl>
      <w:tblPr>
        <w:tblW w:w="6940" w:type="dxa"/>
        <w:jc w:val="left"/>
        <w:tblInd w:w="0" w:type="dxa"/>
        <w:tblLayout w:type="fixed"/>
        <w:tblCellMar>
          <w:top w:w="0" w:type="dxa"/>
          <w:left w:w="0" w:type="dxa"/>
          <w:bottom w:w="0" w:type="dxa"/>
          <w:right w:w="0" w:type="dxa"/>
        </w:tblCellMar>
      </w:tblPr>
      <w:tblGrid>
        <w:gridCol w:w="1760"/>
        <w:gridCol w:w="120"/>
        <w:gridCol w:w="5060"/>
      </w:tblGrid>
      <w:tr>
        <w:trPr/>
        <w:tc>
          <w:tcPr>
            <w:tcW w:w="1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60" w:type="dxa"/>
            <w:tcBorders/>
            <w:vAlign w:val="center"/>
          </w:tcPr>
          <w:p>
            <w:pPr>
              <w:pStyle w:val="TableContents"/>
              <w:bidi w:val="0"/>
              <w:spacing w:before="0" w:after="283"/>
              <w:jc w:val="left"/>
              <w:rPr>
                <w:sz w:val="4"/>
                <w:szCs w:val="4"/>
              </w:rPr>
            </w:pPr>
            <w:r>
              <w:rPr>
                <w:sz w:val="4"/>
                <w:szCs w:val="4"/>
              </w:rPr>
            </w:r>
          </w:p>
        </w:tc>
      </w:tr>
      <w:tr>
        <w:trPr/>
        <w:tc>
          <w:tcPr>
            <w:tcW w:w="1760" w:type="dxa"/>
            <w:tcBorders>
              <w:bottom w:val="single" w:sz="8" w:space="0" w:color="000000"/>
            </w:tcBorders>
            <w:tcMar>
              <w:bottom w:w="28" w:type="dxa"/>
            </w:tcMar>
            <w:vAlign w:val="center"/>
          </w:tcPr>
          <w:p>
            <w:pPr>
              <w:pStyle w:val="TableContents"/>
              <w:bidi w:val="0"/>
              <w:spacing w:before="0" w:after="283"/>
              <w:jc w:val="left"/>
              <w:rPr>
                <w:b/>
              </w:rPr>
            </w:pPr>
            <w:r>
              <w:rPr>
                <w:b/>
              </w:rPr>
              <w:t>Name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5060" w:type="dxa"/>
            <w:tcBorders>
              <w:bottom w:val="single" w:sz="8" w:space="0" w:color="000000"/>
            </w:tcBorders>
            <w:tcMar>
              <w:bottom w:w="28" w:type="dxa"/>
            </w:tcMar>
            <w:vAlign w:val="center"/>
          </w:tcPr>
          <w:p>
            <w:pPr>
              <w:pStyle w:val="TableContents"/>
              <w:bidi w:val="0"/>
              <w:spacing w:before="0" w:after="283"/>
              <w:jc w:val="left"/>
              <w:rPr>
                <w:b/>
              </w:rPr>
            </w:pPr>
            <w:r>
              <w:rPr>
                <w:b/>
              </w:rPr>
              <w:t>Title</w:t>
            </w:r>
          </w:p>
        </w:tc>
      </w:tr>
      <w:tr>
        <w:trPr/>
        <w:tc>
          <w:tcPr>
            <w:tcW w:w="1760" w:type="dxa"/>
            <w:tcBorders/>
            <w:vAlign w:val="center"/>
          </w:tcPr>
          <w:p>
            <w:pPr>
              <w:pStyle w:val="TableContents"/>
              <w:bidi w:val="0"/>
              <w:spacing w:before="0" w:after="283"/>
              <w:jc w:val="left"/>
              <w:rPr>
                <w:sz w:val="4"/>
                <w:szCs w:val="4"/>
              </w:rPr>
            </w:pPr>
            <w:r>
              <w:rPr>
                <w:sz w:val="4"/>
                <w:szCs w:val="4"/>
              </w:rPr>
            </w:r>
          </w:p>
        </w:tc>
        <w:tc>
          <w:tcPr>
            <w:tcW w:w="5180" w:type="dxa"/>
            <w:gridSpan w:val="2"/>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0"/>
              <w:jc w:val="both"/>
              <w:rPr>
                <w:rFonts w:ascii="arial" w:hAnsi="arial"/>
                <w:b/>
                <w:sz w:val="19"/>
              </w:rPr>
            </w:pPr>
            <w:r>
              <w:rPr>
                <w:rFonts w:ascii="arial" w:hAnsi="arial"/>
                <w:b/>
                <w:sz w:val="19"/>
              </w:rPr>
              <w:t>Robert A. Bradway</w:t>
            </w:r>
          </w:p>
        </w:tc>
        <w:tc>
          <w:tcPr>
            <w:tcW w:w="12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0"/>
              <w:jc w:val="both"/>
              <w:rPr>
                <w:rFonts w:ascii="arial" w:hAnsi="arial"/>
                <w:sz w:val="19"/>
              </w:rPr>
            </w:pPr>
            <w:r>
              <w:rPr>
                <w:rFonts w:ascii="arial" w:hAnsi="arial"/>
                <w:sz w:val="19"/>
              </w:rPr>
              <w:t>Chief Executive Officer and President</w:t>
            </w:r>
          </w:p>
        </w:tc>
      </w:tr>
      <w:tr>
        <w:trPr/>
        <w:tc>
          <w:tcPr>
            <w:tcW w:w="1760" w:type="dxa"/>
            <w:tcBorders/>
            <w:vAlign w:val="center"/>
          </w:tcPr>
          <w:p>
            <w:pPr>
              <w:pStyle w:val="TableContents"/>
              <w:bidi w:val="0"/>
              <w:spacing w:before="0" w:after="283"/>
              <w:jc w:val="left"/>
              <w:rPr>
                <w:sz w:val="4"/>
                <w:szCs w:val="4"/>
              </w:rPr>
            </w:pPr>
            <w:r>
              <w:rPr>
                <w:sz w:val="4"/>
                <w:szCs w:val="4"/>
              </w:rPr>
            </w:r>
          </w:p>
        </w:tc>
        <w:tc>
          <w:tcPr>
            <w:tcW w:w="5180" w:type="dxa"/>
            <w:gridSpan w:val="2"/>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0"/>
              <w:jc w:val="both"/>
              <w:rPr>
                <w:rFonts w:ascii="arial" w:hAnsi="arial"/>
                <w:b/>
                <w:sz w:val="19"/>
              </w:rPr>
            </w:pPr>
            <w:r>
              <w:rPr>
                <w:rFonts w:ascii="arial" w:hAnsi="arial"/>
                <w:b/>
                <w:sz w:val="19"/>
              </w:rPr>
              <w:t>Murdo Gordon</w:t>
            </w:r>
          </w:p>
        </w:tc>
        <w:tc>
          <w:tcPr>
            <w:tcW w:w="12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0"/>
              <w:jc w:val="both"/>
              <w:rPr>
                <w:rFonts w:ascii="arial" w:hAnsi="arial"/>
                <w:sz w:val="19"/>
              </w:rPr>
            </w:pPr>
            <w:r>
              <w:rPr>
                <w:rFonts w:ascii="arial" w:hAnsi="arial"/>
                <w:sz w:val="19"/>
              </w:rPr>
              <w:t>Executive Vice President, Global Commercial Operations</w:t>
            </w:r>
          </w:p>
        </w:tc>
      </w:tr>
      <w:tr>
        <w:trPr/>
        <w:tc>
          <w:tcPr>
            <w:tcW w:w="1760" w:type="dxa"/>
            <w:tcBorders/>
            <w:vAlign w:val="center"/>
          </w:tcPr>
          <w:p>
            <w:pPr>
              <w:pStyle w:val="TableContents"/>
              <w:bidi w:val="0"/>
              <w:spacing w:before="0" w:after="283"/>
              <w:jc w:val="left"/>
              <w:rPr>
                <w:sz w:val="4"/>
                <w:szCs w:val="4"/>
              </w:rPr>
            </w:pPr>
            <w:r>
              <w:rPr>
                <w:sz w:val="4"/>
                <w:szCs w:val="4"/>
              </w:rPr>
            </w:r>
          </w:p>
        </w:tc>
        <w:tc>
          <w:tcPr>
            <w:tcW w:w="5180" w:type="dxa"/>
            <w:gridSpan w:val="2"/>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0"/>
              <w:jc w:val="both"/>
              <w:rPr>
                <w:rFonts w:ascii="arial" w:hAnsi="arial"/>
                <w:b/>
                <w:sz w:val="19"/>
              </w:rPr>
            </w:pPr>
            <w:r>
              <w:rPr>
                <w:rFonts w:ascii="arial" w:hAnsi="arial"/>
                <w:b/>
                <w:sz w:val="19"/>
              </w:rPr>
              <w:t>David M. Reese</w:t>
            </w:r>
          </w:p>
        </w:tc>
        <w:tc>
          <w:tcPr>
            <w:tcW w:w="12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0"/>
              <w:jc w:val="both"/>
              <w:rPr>
                <w:rFonts w:ascii="arial" w:hAnsi="arial"/>
                <w:sz w:val="19"/>
              </w:rPr>
            </w:pPr>
            <w:r>
              <w:rPr>
                <w:rFonts w:ascii="arial" w:hAnsi="arial"/>
                <w:sz w:val="19"/>
              </w:rPr>
              <w:t>Executive Vice President and Chief Technology Officer(1)</w:t>
            </w:r>
          </w:p>
        </w:tc>
      </w:tr>
      <w:tr>
        <w:trPr/>
        <w:tc>
          <w:tcPr>
            <w:tcW w:w="1760" w:type="dxa"/>
            <w:tcBorders/>
            <w:vAlign w:val="center"/>
          </w:tcPr>
          <w:p>
            <w:pPr>
              <w:pStyle w:val="TableContents"/>
              <w:bidi w:val="0"/>
              <w:spacing w:before="0" w:after="283"/>
              <w:jc w:val="left"/>
              <w:rPr>
                <w:sz w:val="4"/>
                <w:szCs w:val="4"/>
              </w:rPr>
            </w:pPr>
            <w:r>
              <w:rPr>
                <w:sz w:val="4"/>
                <w:szCs w:val="4"/>
              </w:rPr>
            </w:r>
          </w:p>
        </w:tc>
        <w:tc>
          <w:tcPr>
            <w:tcW w:w="5180" w:type="dxa"/>
            <w:gridSpan w:val="2"/>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0"/>
              <w:jc w:val="both"/>
              <w:rPr>
                <w:rFonts w:ascii="arial" w:hAnsi="arial"/>
                <w:b/>
                <w:sz w:val="19"/>
              </w:rPr>
            </w:pPr>
            <w:r>
              <w:rPr>
                <w:rFonts w:ascii="arial" w:hAnsi="arial"/>
                <w:b/>
                <w:sz w:val="19"/>
              </w:rPr>
              <w:t>Peter H. Griffith</w:t>
            </w:r>
          </w:p>
        </w:tc>
        <w:tc>
          <w:tcPr>
            <w:tcW w:w="12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0"/>
              <w:jc w:val="both"/>
              <w:rPr>
                <w:rFonts w:ascii="arial" w:hAnsi="arial"/>
                <w:sz w:val="19"/>
              </w:rPr>
            </w:pPr>
            <w:r>
              <w:rPr>
                <w:rFonts w:ascii="arial" w:hAnsi="arial"/>
                <w:sz w:val="19"/>
              </w:rPr>
              <w:t>Executive Vice President and Chief Financial Officer</w:t>
            </w:r>
          </w:p>
        </w:tc>
      </w:tr>
      <w:tr>
        <w:trPr/>
        <w:tc>
          <w:tcPr>
            <w:tcW w:w="1760" w:type="dxa"/>
            <w:tcBorders/>
            <w:vAlign w:val="center"/>
          </w:tcPr>
          <w:p>
            <w:pPr>
              <w:pStyle w:val="TableContents"/>
              <w:bidi w:val="0"/>
              <w:spacing w:before="0" w:after="283"/>
              <w:jc w:val="left"/>
              <w:rPr>
                <w:sz w:val="4"/>
                <w:szCs w:val="4"/>
              </w:rPr>
            </w:pPr>
            <w:r>
              <w:rPr>
                <w:sz w:val="4"/>
                <w:szCs w:val="4"/>
              </w:rPr>
            </w:r>
          </w:p>
        </w:tc>
        <w:tc>
          <w:tcPr>
            <w:tcW w:w="5180" w:type="dxa"/>
            <w:gridSpan w:val="2"/>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0"/>
              <w:jc w:val="both"/>
              <w:rPr>
                <w:rFonts w:ascii="arial" w:hAnsi="arial"/>
                <w:b/>
                <w:sz w:val="19"/>
              </w:rPr>
            </w:pPr>
            <w:r>
              <w:rPr>
                <w:rFonts w:ascii="arial" w:hAnsi="arial"/>
                <w:b/>
                <w:sz w:val="19"/>
              </w:rPr>
              <w:t>Esteban Santos</w:t>
            </w:r>
          </w:p>
        </w:tc>
        <w:tc>
          <w:tcPr>
            <w:tcW w:w="12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0"/>
              <w:jc w:val="both"/>
              <w:rPr>
                <w:rFonts w:ascii="arial" w:hAnsi="arial"/>
                <w:sz w:val="19"/>
              </w:rPr>
            </w:pPr>
            <w:r>
              <w:rPr>
                <w:rFonts w:ascii="arial" w:hAnsi="arial"/>
                <w:sz w:val="19"/>
              </w:rPr>
              <w:t>Executive Vice President, Operations</w:t>
            </w:r>
          </w:p>
        </w:tc>
      </w:tr>
    </w:tbl>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283"/>
              <w:jc w:val="left"/>
              <w:rPr/>
            </w:pPr>
            <w:r>
              <w:rPr/>
              <w:t>(1) </w:t>
            </w:r>
          </w:p>
        </w:tc>
        <w:tc>
          <w:tcPr>
            <w:tcW w:w="9888" w:type="dxa"/>
            <w:tcBorders/>
            <w:vAlign w:val="center"/>
          </w:tcPr>
          <w:p>
            <w:pPr>
              <w:pStyle w:val="TableContents"/>
              <w:bidi w:val="0"/>
              <w:spacing w:before="0" w:after="0"/>
              <w:jc w:val="both"/>
              <w:rPr>
                <w:rFonts w:ascii="arial" w:hAnsi="arial"/>
                <w:sz w:val="16"/>
              </w:rPr>
            </w:pPr>
            <w:r>
              <w:rPr>
                <w:rFonts w:ascii="arial" w:hAnsi="arial"/>
                <w:sz w:val="16"/>
              </w:rPr>
              <w:t xml:space="preserve">Dr. Reese was appointed as our Executive Vice President and Chief Technology Officer effective December 2023. Prior to this, he served as our Executive Vice President, Research and Development. </w:t>
            </w:r>
          </w:p>
        </w:tc>
      </w:tr>
    </w:tbl>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48  </w:t>
      </w:r>
      <w:r>
        <w:rPr>
          <w:rFonts w:ascii="arial" w:hAnsi="arial"/>
          <w:b/>
          <w:color w:val="474747"/>
          <w:sz w:val="22"/>
        </w:rPr>
        <w:drawing>
          <wp:inline distT="0" distB="0" distL="0" distR="0">
            <wp:extent cx="64770" cy="15240"/>
            <wp:effectExtent l="0" t="0" r="0" b="0"/>
            <wp:docPr id="172"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85" descr=""/>
                    <pic:cNvPicPr>
                      <a:picLocks noChangeAspect="1" noChangeArrowheads="1"/>
                    </pic:cNvPicPr>
                  </pic:nvPicPr>
                  <pic:blipFill>
                    <a:blip r:embed="rId89"/>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507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45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459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Compensation Discussion and Analysis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171B9"/>
          <w:sz w:val="28"/>
        </w:rPr>
      </w:pPr>
      <w:bookmarkStart w:id="33" w:name="toc445034_30"/>
      <w:bookmarkStart w:id="34" w:name="txa445034_101"/>
      <w:bookmarkEnd w:id="33"/>
      <w:bookmarkEnd w:id="34"/>
      <w:r>
        <w:rPr>
          <w:rFonts w:ascii="arial" w:hAnsi="arial"/>
          <w:b/>
          <w:color w:val="0171B9"/>
          <w:sz w:val="28"/>
        </w:rPr>
        <w:t xml:space="preserve">Our Strategy </w:t>
      </w:r>
    </w:p>
    <w:p>
      <w:pPr>
        <w:pStyle w:val="TextBody"/>
        <w:pBdr>
          <w:bottom w:val="single" w:sz="2" w:space="1" w:color="666666"/>
        </w:pBdr>
        <w:bidi w:val="0"/>
        <w:spacing w:lineRule="atLeast" w:line="142" w:before="0" w:after="40"/>
        <w:jc w:val="left"/>
        <w:rPr/>
      </w:pPr>
      <w:r>
        <w:rPr/>
        <w:t> </w:t>
      </w:r>
    </w:p>
    <w:p>
      <w:pPr>
        <w:pStyle w:val="TextBody"/>
        <w:bidi w:val="0"/>
        <w:spacing w:before="120" w:after="0"/>
        <w:jc w:val="both"/>
        <w:rPr>
          <w:rFonts w:ascii="arial" w:hAnsi="arial"/>
          <w:sz w:val="19"/>
        </w:rPr>
      </w:pPr>
      <w:r>
        <w:rPr>
          <w:rFonts w:ascii="arial" w:hAnsi="arial"/>
          <w:sz w:val="19"/>
        </w:rPr>
        <w:t xml:space="preserve">Our strategy is the integrated set of actions we take to improve our competitive position in the industry. The focus is inherently long-term in nature. Successful strategy is iterative and requires constant resource reallocation across the short-, medium-, and long-term. </w:t>
      </w:r>
    </w:p>
    <w:p>
      <w:pPr>
        <w:pStyle w:val="TextBody"/>
        <w:bidi w:val="0"/>
        <w:spacing w:before="240" w:after="0"/>
        <w:jc w:val="left"/>
        <w:rPr>
          <w:rFonts w:ascii="arial" w:hAnsi="arial"/>
          <w:b/>
          <w:sz w:val="22"/>
        </w:rPr>
      </w:pPr>
      <w:r>
        <w:rPr>
          <w:rFonts w:ascii="arial" w:hAnsi="arial"/>
          <w:b/>
          <w:sz w:val="22"/>
        </w:rPr>
        <w:t xml:space="preserve">How Our Board Oversees Our Strategy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27">
                <wp:simplePos x="0" y="0"/>
                <wp:positionH relativeFrom="column">
                  <wp:align>left</wp:align>
                </wp:positionH>
                <wp:positionV relativeFrom="line">
                  <wp:posOffset>635</wp:posOffset>
                </wp:positionV>
                <wp:extent cx="3110230" cy="969010"/>
                <wp:effectExtent l="0" t="0" r="0" b="0"/>
                <wp:wrapSquare wrapText="right"/>
                <wp:docPr id="173" name="Frame85"/>
                <a:graphic xmlns:a="http://schemas.openxmlformats.org/drawingml/2006/main">
                  <a:graphicData uri="http://schemas.microsoft.com/office/word/2010/wordprocessingShape">
                    <wps:wsp>
                      <wps:cNvSpPr txBox="1"/>
                      <wps:spPr>
                        <a:xfrm>
                          <a:off x="0" y="0"/>
                          <a:ext cx="3110230" cy="96901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Our Board of Directors, or Board, possesses a deep and broad set of skills and experiences that facilitate strong oversight of our strategic direction. Our Board engages in regular reviews of our strategy throughout the year and dedicates one meeting per year to a comprehensive review of our strategy and goals for the business for the short-, medium-, and long-term. It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6.3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Our Board of Directors, or Board, possesses a deep and broad set of skills and experiences that facilitate strong oversight of our strategic direction. Our Board engages in regular reviews of our strategy throughout the year and dedicates one meeting per year to a comprehensive review of our strategy and goals for the business for the short-, medium-, and long-term. It </w:t>
                      </w:r>
                    </w:p>
                  </w:txbxContent>
                </v:textbox>
                <w10:wrap type="square" side="right"/>
              </v:rect>
            </w:pict>
          </mc:Fallback>
        </mc:AlternateContent>
      </w:r>
      <w:r>
        <mc:AlternateContent>
          <mc:Choice Requires="wps">
            <w:drawing>
              <wp:anchor behindDoc="0" distT="0" distB="0" distL="0" distR="0" simplePos="0" locked="0" layoutInCell="1" allowOverlap="1" relativeHeight="328">
                <wp:simplePos x="0" y="0"/>
                <wp:positionH relativeFrom="column">
                  <wp:align>left</wp:align>
                </wp:positionH>
                <wp:positionV relativeFrom="line">
                  <wp:posOffset>635</wp:posOffset>
                </wp:positionV>
                <wp:extent cx="3175000" cy="692150"/>
                <wp:effectExtent l="0" t="0" r="0" b="0"/>
                <wp:wrapSquare wrapText="right"/>
                <wp:docPr id="174" name="Frame86"/>
                <a:graphic xmlns:a="http://schemas.openxmlformats.org/drawingml/2006/main">
                  <a:graphicData uri="http://schemas.microsoft.com/office/word/2010/wordprocessingShape">
                    <wps:wsp>
                      <wps:cNvSpPr txBox="1"/>
                      <wps:spPr>
                        <a:xfrm>
                          <a:off x="0" y="0"/>
                          <a:ext cx="3175000" cy="69215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also engages in review and discussion of longer-term trends to align on the developments and trends that are expected to inform nearer-term decisions. The Company’s management is then charged with implementing the business strategy as informed by the Board’s review.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4.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also engages in review and discussion of longer-term trends to align on the developments and trends that are expected to inform nearer-term decisions. The Company’s management is then charged with implementing the business strategy as informed by the Board’s review.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b/>
          <w:sz w:val="22"/>
        </w:rPr>
      </w:pPr>
      <w:r>
        <w:rPr>
          <w:rFonts w:ascii="arial" w:hAnsi="arial"/>
          <w:b/>
          <w:sz w:val="22"/>
        </w:rPr>
        <w:t xml:space="preserve">Our Mission and Therapeutic Pillars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29">
                <wp:simplePos x="0" y="0"/>
                <wp:positionH relativeFrom="column">
                  <wp:align>left</wp:align>
                </wp:positionH>
                <wp:positionV relativeFrom="line">
                  <wp:posOffset>635</wp:posOffset>
                </wp:positionV>
                <wp:extent cx="3110230" cy="415290"/>
                <wp:effectExtent l="0" t="0" r="0" b="0"/>
                <wp:wrapSquare wrapText="right"/>
                <wp:docPr id="175" name="Frame87"/>
                <a:graphic xmlns:a="http://schemas.openxmlformats.org/drawingml/2006/main">
                  <a:graphicData uri="http://schemas.microsoft.com/office/word/2010/wordprocessingShape">
                    <wps:wsp>
                      <wps:cNvSpPr txBox="1"/>
                      <wps:spPr>
                        <a:xfrm>
                          <a:off x="0" y="0"/>
                          <a:ext cx="3110230" cy="41529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Our mission is to serve patients and we do so by developing innovative medicines that have a significant impact on serious illness. Our business is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2.7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Our mission is to serve patients and we do so by developing innovative medicines that have a significant impact on serious illness. Our business is </w:t>
                      </w:r>
                    </w:p>
                  </w:txbxContent>
                </v:textbox>
                <w10:wrap type="square" side="right"/>
              </v:rect>
            </w:pict>
          </mc:Fallback>
        </mc:AlternateContent>
      </w:r>
      <w:r>
        <mc:AlternateContent>
          <mc:Choice Requires="wps">
            <w:drawing>
              <wp:anchor behindDoc="0" distT="0" distB="0" distL="0" distR="0" simplePos="0" locked="0" layoutInCell="1" allowOverlap="1" relativeHeight="330">
                <wp:simplePos x="0" y="0"/>
                <wp:positionH relativeFrom="column">
                  <wp:align>left</wp:align>
                </wp:positionH>
                <wp:positionV relativeFrom="line">
                  <wp:posOffset>635</wp:posOffset>
                </wp:positionV>
                <wp:extent cx="3175000" cy="415290"/>
                <wp:effectExtent l="0" t="0" r="0" b="0"/>
                <wp:wrapSquare wrapText="right"/>
                <wp:docPr id="176" name="Frame88"/>
                <a:graphic xmlns:a="http://schemas.openxmlformats.org/drawingml/2006/main">
                  <a:graphicData uri="http://schemas.microsoft.com/office/word/2010/wordprocessingShape">
                    <wps:wsp>
                      <wps:cNvSpPr txBox="1"/>
                      <wps:spPr>
                        <a:xfrm>
                          <a:off x="0" y="0"/>
                          <a:ext cx="3175000" cy="41529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organized across four therapeutic pillars: general medicine; oncology; inflammation; and rare disease. Our biosimilars business is integrated into these pillars.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2.7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organized across four therapeutic pillars: general medicine; oncology; inflammation; and rare disease. Our biosimilars business is integrated into these pillars.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center"/>
        <w:rPr/>
      </w:pPr>
      <w:r>
        <w:rPr/>
        <w:drawing>
          <wp:inline distT="0" distB="0" distL="0" distR="0">
            <wp:extent cx="579755" cy="261620"/>
            <wp:effectExtent l="0" t="0" r="0" b="0"/>
            <wp:docPr id="177"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86" descr=""/>
                    <pic:cNvPicPr>
                      <a:picLocks noChangeAspect="1" noChangeArrowheads="1"/>
                    </pic:cNvPicPr>
                  </pic:nvPicPr>
                  <pic:blipFill>
                    <a:blip r:embed="rId90"/>
                    <a:stretch>
                      <a:fillRect/>
                    </a:stretch>
                  </pic:blipFill>
                  <pic:spPr bwMode="auto">
                    <a:xfrm>
                      <a:off x="0" y="0"/>
                      <a:ext cx="579755" cy="26162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178"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87" descr=""/>
                    <pic:cNvPicPr>
                      <a:picLocks noChangeAspect="1" noChangeArrowheads="1"/>
                    </pic:cNvPicPr>
                  </pic:nvPicPr>
                  <pic:blipFill>
                    <a:blip r:embed="rId91"/>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49</w:t>
      </w:r>
      <w:r>
        <w:rPr>
          <w:rFonts w:ascii="arial" w:hAnsi="arial"/>
          <w:b/>
          <w:sz w:val="22"/>
        </w:rPr>
        <w:t xml:space="preserve"> </w:t>
      </w:r>
      <w:r>
        <w:br w:type="page"/>
      </w:r>
    </w:p>
    <w:p>
      <w:pPr>
        <w:pStyle w:val="HorizontalLine"/>
        <w:bidi w:val="0"/>
        <w:jc w:val="left"/>
        <w:rPr/>
      </w:pPr>
      <w:r>
        <w:rPr/>
      </w:r>
    </w:p>
    <w:tbl>
      <w:tblPr>
        <w:tblW w:w="507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45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459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Compensation Discussion and Analysis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sz w:val="18"/>
        </w:rPr>
      </w:pPr>
      <w:r>
        <w:rPr>
          <w:rFonts w:ascii="arial" w:hAnsi="arial"/>
          <w:b/>
          <w:sz w:val="18"/>
        </w:rPr>
        <w:t xml:space="preserve">2023 Activities Supporting Execution of Our Strategy </w:t>
      </w:r>
    </w:p>
    <w:p>
      <w:pPr>
        <w:pStyle w:val="TextBody"/>
        <w:bidi w:val="0"/>
        <w:spacing w:before="120" w:after="0"/>
        <w:jc w:val="both"/>
        <w:rPr>
          <w:rFonts w:ascii="arial" w:hAnsi="arial"/>
          <w:sz w:val="17"/>
        </w:rPr>
      </w:pPr>
      <w:r>
        <w:rPr>
          <w:rFonts w:ascii="arial" w:hAnsi="arial"/>
          <w:sz w:val="17"/>
        </w:rPr>
        <w:t xml:space="preserve">Select 2023 activities that support the execution of our strategic priorities and delivery of performance are summarized below and discussed further in the following pages.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25"/>
        <w:gridCol w:w="60"/>
        <w:gridCol w:w="2536"/>
        <w:gridCol w:w="60"/>
        <w:gridCol w:w="5624"/>
      </w:tblGrid>
      <w:tr>
        <w:trPr/>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24" w:type="dxa"/>
            <w:tcBorders/>
            <w:vAlign w:val="center"/>
          </w:tcPr>
          <w:p>
            <w:pPr>
              <w:pStyle w:val="TableContents"/>
              <w:bidi w:val="0"/>
              <w:spacing w:before="0" w:after="283"/>
              <w:jc w:val="left"/>
              <w:rPr>
                <w:sz w:val="4"/>
                <w:szCs w:val="4"/>
              </w:rPr>
            </w:pPr>
            <w:r>
              <w:rPr>
                <w:sz w:val="4"/>
                <w:szCs w:val="4"/>
              </w:rPr>
            </w:r>
          </w:p>
        </w:tc>
      </w:tr>
      <w:tr>
        <w:trPr/>
        <w:tc>
          <w:tcPr>
            <w:tcW w:w="1925" w:type="dxa"/>
            <w:tcBorders/>
            <w:shd w:fill="0171B9" w:val="clear"/>
            <w:vAlign w:val="center"/>
          </w:tcPr>
          <w:p>
            <w:pPr>
              <w:pStyle w:val="TableContents"/>
              <w:bidi w:val="0"/>
              <w:spacing w:before="0" w:after="283"/>
              <w:jc w:val="left"/>
              <w:rPr>
                <w:sz w:val="4"/>
                <w:szCs w:val="4"/>
              </w:rPr>
            </w:pPr>
            <w:r>
              <w:rPr>
                <w:sz w:val="4"/>
                <w:szCs w:val="4"/>
              </w:rPr>
            </w:r>
          </w:p>
        </w:tc>
        <w:tc>
          <w:tcPr>
            <w:tcW w:w="2596" w:type="dxa"/>
            <w:gridSpan w:val="2"/>
            <w:tcBorders>
              <w:left w:val="single" w:sz="6" w:space="0" w:color="0171B9"/>
              <w:right w:val="single" w:sz="6" w:space="0" w:color="0171B9"/>
            </w:tcBorders>
            <w:shd w:fill="0171B9" w:val="clear"/>
            <w:tcMar>
              <w:left w:w="28" w:type="dxa"/>
              <w:right w:w="28" w:type="dxa"/>
            </w:tcMar>
            <w:vAlign w:val="center"/>
          </w:tcPr>
          <w:p>
            <w:pPr>
              <w:pStyle w:val="TableContents"/>
              <w:bidi w:val="0"/>
              <w:spacing w:before="0" w:after="283"/>
              <w:jc w:val="left"/>
              <w:rPr/>
            </w:pPr>
            <w:r>
              <w:rPr/>
              <w:t> </w:t>
            </w:r>
          </w:p>
        </w:tc>
        <w:tc>
          <w:tcPr>
            <w:tcW w:w="5684" w:type="dxa"/>
            <w:gridSpan w:val="2"/>
            <w:tcBorders/>
            <w:shd w:fill="0171B9" w:val="clear"/>
            <w:vAlign w:val="center"/>
          </w:tcPr>
          <w:p>
            <w:pPr>
              <w:pStyle w:val="TableContents"/>
              <w:bidi w:val="0"/>
              <w:spacing w:before="0" w:after="283"/>
              <w:jc w:val="left"/>
              <w:rPr>
                <w:sz w:val="4"/>
                <w:szCs w:val="4"/>
              </w:rPr>
            </w:pPr>
            <w:r>
              <w:rPr>
                <w:sz w:val="4"/>
                <w:szCs w:val="4"/>
              </w:rPr>
            </w:r>
          </w:p>
        </w:tc>
      </w:tr>
      <w:tr>
        <w:trPr/>
        <w:tc>
          <w:tcPr>
            <w:tcW w:w="1925" w:type="dxa"/>
            <w:tcBorders/>
            <w:shd w:fill="0171B9" w:val="clear"/>
            <w:vAlign w:val="center"/>
          </w:tcPr>
          <w:p>
            <w:pPr>
              <w:pStyle w:val="TableContents"/>
              <w:bidi w:val="0"/>
              <w:spacing w:before="0" w:after="283"/>
              <w:jc w:val="center"/>
              <w:rPr>
                <w:b/>
                <w:color w:val="FFFFFF"/>
              </w:rPr>
            </w:pPr>
            <w:r>
              <w:rPr>
                <w:b/>
                <w:color w:val="FFFFFF"/>
              </w:rPr>
              <w:t>Strategic Priorities</w:t>
            </w:r>
          </w:p>
        </w:tc>
        <w:tc>
          <w:tcPr>
            <w:tcW w:w="60" w:type="dxa"/>
            <w:tcBorders>
              <w:left w:val="single" w:sz="6" w:space="0" w:color="0171B9"/>
            </w:tcBorders>
            <w:shd w:fill="0171B9" w:val="clear"/>
            <w:tcMar>
              <w:left w:w="28" w:type="dxa"/>
            </w:tcMar>
            <w:vAlign w:val="center"/>
          </w:tcPr>
          <w:p>
            <w:pPr>
              <w:pStyle w:val="TableContents"/>
              <w:bidi w:val="0"/>
              <w:spacing w:before="0" w:after="283"/>
              <w:jc w:val="left"/>
              <w:rPr/>
            </w:pPr>
            <w:r>
              <w:rPr/>
              <w:t> </w:t>
            </w:r>
          </w:p>
        </w:tc>
        <w:tc>
          <w:tcPr>
            <w:tcW w:w="2536" w:type="dxa"/>
            <w:tcBorders>
              <w:right w:val="single" w:sz="6" w:space="0" w:color="0171B9"/>
            </w:tcBorders>
            <w:shd w:fill="0171B9" w:val="clear"/>
            <w:tcMar>
              <w:right w:w="28"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Importance</w:t>
            </w:r>
          </w:p>
        </w:tc>
        <w:tc>
          <w:tcPr>
            <w:tcW w:w="60" w:type="dxa"/>
            <w:tcBorders/>
            <w:shd w:fill="0171B9" w:val="clear"/>
            <w:vAlign w:val="center"/>
          </w:tcPr>
          <w:p>
            <w:pPr>
              <w:pStyle w:val="TableContents"/>
              <w:bidi w:val="0"/>
              <w:spacing w:before="0" w:after="283"/>
              <w:jc w:val="left"/>
              <w:rPr/>
            </w:pPr>
            <w:r>
              <w:rPr/>
              <w:t> </w:t>
            </w:r>
          </w:p>
        </w:tc>
        <w:tc>
          <w:tcPr>
            <w:tcW w:w="5624" w:type="dxa"/>
            <w:tcBorders/>
            <w:shd w:fill="0171B9"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Select 2023 Activities</w:t>
            </w:r>
          </w:p>
        </w:tc>
      </w:tr>
      <w:tr>
        <w:trPr/>
        <w:tc>
          <w:tcPr>
            <w:tcW w:w="1925" w:type="dxa"/>
            <w:tcBorders/>
            <w:vAlign w:val="center"/>
          </w:tcPr>
          <w:p>
            <w:pPr>
              <w:pStyle w:val="TableContents"/>
              <w:bidi w:val="0"/>
              <w:spacing w:before="0" w:after="0"/>
              <w:jc w:val="both"/>
              <w:rPr/>
            </w:pPr>
            <w:r>
              <w:rPr/>
              <w:t> </w:t>
            </w:r>
          </w:p>
        </w:tc>
        <w:tc>
          <w:tcPr>
            <w:tcW w:w="60" w:type="dxa"/>
            <w:tcBorders>
              <w:left w:val="single" w:sz="6" w:space="0" w:color="0171B9"/>
            </w:tcBorders>
            <w:shd w:fill="FFFFFF" w:val="clear"/>
            <w:tcMar>
              <w:left w:w="28" w:type="dxa"/>
            </w:tcMar>
            <w:vAlign w:val="center"/>
          </w:tcPr>
          <w:p>
            <w:pPr>
              <w:pStyle w:val="TableContents"/>
              <w:bidi w:val="0"/>
              <w:spacing w:before="0" w:after="283"/>
              <w:jc w:val="left"/>
              <w:rPr/>
            </w:pPr>
            <w:r>
              <w:rPr/>
              <w:t> </w:t>
            </w:r>
          </w:p>
        </w:tc>
        <w:tc>
          <w:tcPr>
            <w:tcW w:w="2536" w:type="dxa"/>
            <w:tcBorders>
              <w:right w:val="single" w:sz="6" w:space="0" w:color="0171B9"/>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24" w:type="dxa"/>
            <w:tcBorders>
              <w:right w:val="single" w:sz="6" w:space="0" w:color="0171B9"/>
            </w:tcBorders>
            <w:shd w:fill="FFFFFF" w:val="clear"/>
            <w:tcMar>
              <w:right w:w="40" w:type="dxa"/>
            </w:tcMar>
            <w:vAlign w:val="center"/>
          </w:tcPr>
          <w:p>
            <w:pPr>
              <w:pStyle w:val="TableContents"/>
              <w:bidi w:val="0"/>
              <w:spacing w:before="0" w:after="283"/>
              <w:jc w:val="left"/>
              <w:rPr/>
            </w:pPr>
            <w:r>
              <w:rPr/>
              <w:t> </w:t>
            </w:r>
          </w:p>
        </w:tc>
      </w:tr>
      <w:tr>
        <w:trPr/>
        <w:tc>
          <w:tcPr>
            <w:tcW w:w="1925" w:type="dxa"/>
            <w:tcBorders/>
            <w:shd w:fill="0171B9" w:val="clear"/>
            <w:vAlign w:val="center"/>
          </w:tcPr>
          <w:p>
            <w:pPr>
              <w:pStyle w:val="TableContents"/>
              <w:bidi w:val="0"/>
              <w:spacing w:before="0" w:after="283"/>
              <w:jc w:val="left"/>
              <w:rPr>
                <w:sz w:val="4"/>
                <w:szCs w:val="4"/>
              </w:rPr>
            </w:pPr>
            <w:r>
              <w:rPr>
                <w:sz w:val="4"/>
                <w:szCs w:val="4"/>
              </w:rPr>
            </w:r>
          </w:p>
        </w:tc>
        <w:tc>
          <w:tcPr>
            <w:tcW w:w="2596" w:type="dxa"/>
            <w:gridSpan w:val="2"/>
            <w:tcBorders>
              <w:left w:val="single" w:sz="6" w:space="0" w:color="0171B9"/>
              <w:right w:val="single" w:sz="6" w:space="0" w:color="0171B9"/>
            </w:tcBorders>
            <w:shd w:fill="E0EDF6" w:val="clear"/>
            <w:tcMar>
              <w:left w:w="28" w:type="dxa"/>
              <w:right w:w="28" w:type="dxa"/>
            </w:tcMar>
            <w:vAlign w:val="center"/>
          </w:tcPr>
          <w:p>
            <w:pPr>
              <w:pStyle w:val="TableContents"/>
              <w:bidi w:val="0"/>
              <w:spacing w:before="0" w:after="283"/>
              <w:jc w:val="left"/>
              <w:rPr/>
            </w:pPr>
            <w:r>
              <w:rPr/>
              <w:t> </w:t>
            </w:r>
          </w:p>
        </w:tc>
        <w:tc>
          <w:tcPr>
            <w:tcW w:w="5684" w:type="dxa"/>
            <w:gridSpan w:val="2"/>
            <w:tcBorders>
              <w:right w:val="single" w:sz="6" w:space="0" w:color="0171B9"/>
            </w:tcBorders>
            <w:shd w:fill="E0EDF6" w:val="clear"/>
            <w:tcMar>
              <w:right w:w="28" w:type="dxa"/>
            </w:tcMar>
            <w:vAlign w:val="center"/>
          </w:tcPr>
          <w:p>
            <w:pPr>
              <w:pStyle w:val="TableContents"/>
              <w:bidi w:val="0"/>
              <w:spacing w:before="0" w:after="283"/>
              <w:jc w:val="left"/>
              <w:rPr/>
            </w:pPr>
            <w:r>
              <w:rPr/>
              <w:t> </w:t>
            </w:r>
          </w:p>
        </w:tc>
      </w:tr>
      <w:tr>
        <w:trPr/>
        <w:tc>
          <w:tcPr>
            <w:tcW w:w="1925" w:type="dxa"/>
            <w:tcBorders/>
            <w:shd w:fill="0171B9" w:val="clear"/>
            <w:vAlign w:val="center"/>
          </w:tcPr>
          <w:p>
            <w:pPr>
              <w:pStyle w:val="TableContents"/>
              <w:bidi w:val="0"/>
              <w:spacing w:before="0" w:after="0"/>
              <w:jc w:val="center"/>
              <w:rPr/>
            </w:pPr>
            <w:r>
              <w:rPr/>
              <w:drawing>
                <wp:inline distT="0" distB="0" distL="0" distR="0">
                  <wp:extent cx="485775" cy="428625"/>
                  <wp:effectExtent l="0" t="0" r="0" b="0"/>
                  <wp:docPr id="179"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88" descr=""/>
                          <pic:cNvPicPr>
                            <a:picLocks noChangeAspect="1" noChangeArrowheads="1"/>
                          </pic:cNvPicPr>
                        </pic:nvPicPr>
                        <pic:blipFill>
                          <a:blip r:embed="rId92"/>
                          <a:stretch>
                            <a:fillRect/>
                          </a:stretch>
                        </pic:blipFill>
                        <pic:spPr bwMode="auto">
                          <a:xfrm>
                            <a:off x="0" y="0"/>
                            <a:ext cx="485775" cy="428625"/>
                          </a:xfrm>
                          <a:prstGeom prst="rect">
                            <a:avLst/>
                          </a:prstGeom>
                        </pic:spPr>
                      </pic:pic>
                    </a:graphicData>
                  </a:graphic>
                </wp:inline>
              </w:drawing>
            </w:r>
            <w:r>
              <w:rPr/>
              <w:t xml:space="preserve"> </w:t>
            </w:r>
          </w:p>
          <w:p>
            <w:pPr>
              <w:pStyle w:val="TableContents"/>
              <w:bidi w:val="0"/>
              <w:spacing w:before="0" w:after="0"/>
              <w:jc w:val="center"/>
              <w:rPr>
                <w:rFonts w:ascii="arial" w:hAnsi="arial"/>
                <w:b/>
                <w:color w:val="FFFFFF"/>
                <w:sz w:val="16"/>
              </w:rPr>
            </w:pPr>
            <w:r>
              <w:rPr>
                <w:rFonts w:ascii="arial" w:hAnsi="arial"/>
                <w:b/>
                <w:color w:val="FFFFFF"/>
                <w:sz w:val="16"/>
              </w:rPr>
              <w:t>Internal and</w:t>
            </w:r>
          </w:p>
          <w:p>
            <w:pPr>
              <w:pStyle w:val="TableContents"/>
              <w:bidi w:val="0"/>
              <w:spacing w:before="0" w:after="0"/>
              <w:jc w:val="center"/>
              <w:rPr>
                <w:rFonts w:ascii="arial" w:hAnsi="arial"/>
                <w:b/>
                <w:color w:val="FFFFFF"/>
                <w:sz w:val="16"/>
              </w:rPr>
            </w:pPr>
            <w:r>
              <w:rPr>
                <w:rFonts w:ascii="arial" w:hAnsi="arial"/>
                <w:b/>
                <w:color w:val="FFFFFF"/>
                <w:sz w:val="16"/>
              </w:rPr>
              <w:t>External</w:t>
            </w:r>
          </w:p>
          <w:p>
            <w:pPr>
              <w:pStyle w:val="TableContents"/>
              <w:bidi w:val="0"/>
              <w:spacing w:before="0" w:after="20"/>
              <w:jc w:val="center"/>
              <w:rPr>
                <w:rFonts w:ascii="arial" w:hAnsi="arial"/>
                <w:b/>
                <w:color w:val="FFFFFF"/>
                <w:sz w:val="16"/>
              </w:rPr>
            </w:pPr>
            <w:r>
              <w:rPr>
                <w:rFonts w:ascii="arial" w:hAnsi="arial"/>
                <w:b/>
                <w:color w:val="FFFFFF"/>
                <w:sz w:val="16"/>
              </w:rPr>
              <w:t>Innovation</w:t>
            </w:r>
          </w:p>
        </w:tc>
        <w:tc>
          <w:tcPr>
            <w:tcW w:w="60" w:type="dxa"/>
            <w:tcBorders>
              <w:left w:val="single" w:sz="6" w:space="0" w:color="0171B9"/>
            </w:tcBorders>
            <w:shd w:fill="E0EDF6" w:val="clear"/>
            <w:tcMar>
              <w:left w:w="28" w:type="dxa"/>
            </w:tcMar>
            <w:vAlign w:val="center"/>
          </w:tcPr>
          <w:p>
            <w:pPr>
              <w:pStyle w:val="TableContents"/>
              <w:bidi w:val="0"/>
              <w:spacing w:before="0" w:after="283"/>
              <w:jc w:val="left"/>
              <w:rPr/>
            </w:pPr>
            <w:r>
              <w:rPr/>
              <w:t> </w:t>
            </w:r>
          </w:p>
        </w:tc>
        <w:tc>
          <w:tcPr>
            <w:tcW w:w="2536" w:type="dxa"/>
            <w:tcBorders>
              <w:right w:val="single" w:sz="6" w:space="0" w:color="0171B9"/>
            </w:tcBorders>
            <w:shd w:fill="E0EDF6" w:val="clear"/>
            <w:tcMar>
              <w:right w:w="28" w:type="dxa"/>
            </w:tcMar>
            <w:vAlign w:val="center"/>
          </w:tcPr>
          <w:p>
            <w:pPr>
              <w:pStyle w:val="TableContents"/>
              <w:bidi w:val="0"/>
              <w:spacing w:before="0" w:after="0"/>
              <w:jc w:val="both"/>
              <w:rPr>
                <w:rFonts w:ascii="arial" w:hAnsi="arial"/>
                <w:sz w:val="16"/>
              </w:rPr>
            </w:pPr>
            <w:r>
              <w:rPr>
                <w:rFonts w:ascii="arial" w:hAnsi="arial"/>
                <w:sz w:val="16"/>
              </w:rPr>
              <w:t>Innovation is at the core of our strategy. Our focus on developing innovative medicines to address important unmet needs guides how we allocate resources across internal and external programs. This results in a productive balance of internal and external programs and collaborations reflected in our current product portfolio and pipeline.</w:t>
            </w:r>
          </w:p>
        </w:tc>
        <w:tc>
          <w:tcPr>
            <w:tcW w:w="60" w:type="dxa"/>
            <w:tcBorders/>
            <w:shd w:fill="E0EDF6" w:val="clear"/>
            <w:vAlign w:val="center"/>
          </w:tcPr>
          <w:p>
            <w:pPr>
              <w:pStyle w:val="TableContents"/>
              <w:bidi w:val="0"/>
              <w:spacing w:before="0" w:after="283"/>
              <w:jc w:val="left"/>
              <w:rPr/>
            </w:pPr>
            <w:r>
              <w:rPr/>
              <w:t> </w:t>
            </w:r>
          </w:p>
        </w:tc>
        <w:tc>
          <w:tcPr>
            <w:tcW w:w="5624" w:type="dxa"/>
            <w:tcBorders>
              <w:right w:val="single" w:sz="6" w:space="0" w:color="0171B9"/>
            </w:tcBorders>
            <w:shd w:fill="E0EDF6" w:val="clear"/>
            <w:tcMar>
              <w:right w:w="40" w:type="dxa"/>
            </w:tcMar>
            <w:vAlign w:val="center"/>
          </w:tcPr>
          <w:p>
            <w:pPr>
              <w:pStyle w:val="TableContents"/>
              <w:bidi w:val="0"/>
              <w:spacing w:before="0" w:after="0"/>
              <w:jc w:val="both"/>
              <w:rPr/>
            </w:pPr>
            <w:r>
              <w:rPr>
                <w:color w:val="0171B9"/>
              </w:rPr>
              <w:t>•  </w:t>
            </w:r>
            <w:r>
              <w:rPr>
                <w:rFonts w:ascii="arial" w:hAnsi="arial"/>
                <w:b/>
                <w:color w:val="0171B9"/>
                <w:sz w:val="16"/>
              </w:rPr>
              <w:t xml:space="preserve">Executed key clinical studies </w:t>
            </w:r>
            <w:r>
              <w:rPr>
                <w:rFonts w:ascii="arial" w:hAnsi="arial"/>
                <w:sz w:val="16"/>
              </w:rPr>
              <w:t>and</w:t>
            </w:r>
            <w:r>
              <w:rPr>
                <w:rFonts w:ascii="arial" w:hAnsi="arial"/>
                <w:color w:val="0171B9"/>
                <w:sz w:val="16"/>
              </w:rPr>
              <w:t xml:space="preserve"> </w:t>
            </w:r>
            <w:r>
              <w:rPr>
                <w:rFonts w:ascii="arial" w:hAnsi="arial"/>
                <w:b/>
                <w:color w:val="0171B9"/>
                <w:sz w:val="16"/>
              </w:rPr>
              <w:t>advanced an innovative first-in-class pipeline delivering positive results:</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6"/>
              </w:rPr>
              <w:t xml:space="preserve">In our </w:t>
            </w:r>
            <w:r>
              <w:rPr>
                <w:rFonts w:ascii="arial" w:hAnsi="arial"/>
                <w:b/>
                <w:color w:val="0171B9"/>
                <w:sz w:val="16"/>
              </w:rPr>
              <w:t>oncology</w:t>
            </w:r>
            <w:r>
              <w:rPr>
                <w:rFonts w:ascii="arial" w:hAnsi="arial"/>
                <w:sz w:val="16"/>
              </w:rPr>
              <w:t xml:space="preserve"> therapeutic area we were granted </w:t>
            </w:r>
            <w:r>
              <w:rPr>
                <w:rFonts w:ascii="arial" w:hAnsi="arial"/>
                <w:b/>
                <w:color w:val="0171B9"/>
                <w:sz w:val="16"/>
              </w:rPr>
              <w:t>three Breakthrough Therapy Designations</w:t>
            </w:r>
            <w:r>
              <w:rPr>
                <w:rFonts w:ascii="arial" w:hAnsi="arial"/>
                <w:sz w:val="16"/>
              </w:rPr>
              <w:t>(1) by the U.S. Food and Drug Administration (FDA) while advancing our pipeline (as discussed further on page 56):</w:t>
            </w:r>
          </w:p>
          <w:p>
            <w:pPr>
              <w:pStyle w:val="TableContents"/>
              <w:bidi w:val="0"/>
              <w:spacing w:before="0" w:after="0"/>
              <w:jc w:val="both"/>
              <w:rPr/>
            </w:pPr>
            <w:r>
              <w:rPr/>
              <w:t>–  </w:t>
            </w:r>
            <w:r>
              <w:rPr>
                <w:rFonts w:ascii="arial" w:hAnsi="arial"/>
                <w:sz w:val="16"/>
              </w:rPr>
              <w:t xml:space="preserve">For </w:t>
            </w:r>
            <w:r>
              <w:rPr>
                <w:rFonts w:ascii="arial" w:hAnsi="arial"/>
                <w:b/>
                <w:color w:val="0171B9"/>
                <w:sz w:val="16"/>
              </w:rPr>
              <w:t>tarlatamab</w:t>
            </w:r>
            <w:r>
              <w:rPr>
                <w:rFonts w:ascii="arial" w:hAnsi="arial"/>
                <w:sz w:val="16"/>
              </w:rPr>
              <w:t xml:space="preserve"> for the treatment of patients with advanced small cell lung cancer (SCLC);</w:t>
            </w:r>
          </w:p>
          <w:p>
            <w:pPr>
              <w:pStyle w:val="TableContents"/>
              <w:bidi w:val="0"/>
              <w:spacing w:before="0" w:after="0"/>
              <w:jc w:val="both"/>
              <w:rPr/>
            </w:pPr>
            <w:r>
              <w:rPr/>
              <w:t>–  </w:t>
            </w:r>
            <w:r>
              <w:rPr>
                <w:rFonts w:ascii="arial" w:hAnsi="arial"/>
                <w:sz w:val="16"/>
              </w:rPr>
              <w:t xml:space="preserve">For </w:t>
            </w:r>
            <w:r>
              <w:rPr>
                <w:rFonts w:ascii="arial" w:hAnsi="arial"/>
                <w:b/>
                <w:color w:val="0171B9"/>
                <w:sz w:val="16"/>
              </w:rPr>
              <w:t>BLINCYTO®</w:t>
            </w:r>
            <w:r>
              <w:rPr>
                <w:rFonts w:ascii="arial" w:hAnsi="arial"/>
                <w:b/>
                <w:sz w:val="16"/>
              </w:rPr>
              <w:t xml:space="preserve"> </w:t>
            </w:r>
            <w:r>
              <w:rPr>
                <w:rFonts w:ascii="arial" w:hAnsi="arial"/>
                <w:sz w:val="16"/>
              </w:rPr>
              <w:t>for the treatment of patients with B-cell precursor acute lymphoblastic leukemia (B-ALL); and</w:t>
            </w:r>
          </w:p>
          <w:p>
            <w:pPr>
              <w:pStyle w:val="TableContents"/>
              <w:bidi w:val="0"/>
              <w:spacing w:before="0" w:after="0"/>
              <w:jc w:val="both"/>
              <w:rPr/>
            </w:pPr>
            <w:r>
              <w:rPr/>
              <w:t>–  </w:t>
            </w:r>
            <w:r>
              <w:rPr>
                <w:rFonts w:ascii="arial" w:hAnsi="arial"/>
                <w:sz w:val="16"/>
              </w:rPr>
              <w:t xml:space="preserve">For </w:t>
            </w:r>
            <w:r>
              <w:rPr>
                <w:rFonts w:ascii="arial" w:hAnsi="arial"/>
                <w:b/>
                <w:color w:val="0171B9"/>
                <w:sz w:val="16"/>
              </w:rPr>
              <w:t xml:space="preserve">LUMAKRAS® </w:t>
            </w:r>
            <w:r>
              <w:rPr>
                <w:rFonts w:ascii="arial" w:hAnsi="arial"/>
                <w:sz w:val="16"/>
              </w:rPr>
              <w:t xml:space="preserve">in combination with </w:t>
            </w:r>
            <w:r>
              <w:rPr>
                <w:rFonts w:ascii="arial" w:hAnsi="arial"/>
                <w:b/>
                <w:color w:val="0171B9"/>
                <w:sz w:val="16"/>
              </w:rPr>
              <w:t>Vectibix®</w:t>
            </w:r>
            <w:r>
              <w:rPr>
                <w:rFonts w:ascii="arial" w:hAnsi="arial"/>
                <w:sz w:val="16"/>
              </w:rPr>
              <w:t xml:space="preserve"> for the treatment of patients with KRAS G12C mutated metastatic colorectal cancer (CRC).</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6"/>
              </w:rPr>
              <w:t xml:space="preserve">In our </w:t>
            </w:r>
            <w:r>
              <w:rPr>
                <w:rFonts w:ascii="arial" w:hAnsi="arial"/>
                <w:b/>
                <w:color w:val="0171B9"/>
                <w:sz w:val="16"/>
              </w:rPr>
              <w:t>general medicine</w:t>
            </w:r>
            <w:r>
              <w:rPr>
                <w:rFonts w:ascii="arial" w:hAnsi="arial"/>
                <w:sz w:val="16"/>
              </w:rPr>
              <w:t xml:space="preserve"> therapeutic area, we advanced: </w:t>
            </w:r>
          </w:p>
          <w:p>
            <w:pPr>
              <w:pStyle w:val="TableContents"/>
              <w:bidi w:val="0"/>
              <w:spacing w:before="0" w:after="0"/>
              <w:jc w:val="both"/>
              <w:rPr/>
            </w:pPr>
            <w:r>
              <w:rPr/>
              <w:t>–  </w:t>
            </w:r>
            <w:r>
              <w:rPr>
                <w:rFonts w:ascii="arial" w:hAnsi="arial"/>
                <w:sz w:val="16"/>
              </w:rPr>
              <w:t xml:space="preserve">For </w:t>
            </w:r>
            <w:r>
              <w:rPr>
                <w:rFonts w:ascii="arial" w:hAnsi="arial"/>
                <w:b/>
                <w:color w:val="0171B9"/>
                <w:sz w:val="16"/>
              </w:rPr>
              <w:t>obesity</w:t>
            </w:r>
            <w:r>
              <w:rPr>
                <w:rFonts w:ascii="arial" w:hAnsi="arial"/>
                <w:b/>
                <w:sz w:val="16"/>
              </w:rPr>
              <w:t xml:space="preserve">, </w:t>
            </w:r>
            <w:r>
              <w:rPr>
                <w:rFonts w:ascii="arial" w:hAnsi="arial"/>
                <w:b/>
                <w:color w:val="0171B9"/>
                <w:sz w:val="16"/>
              </w:rPr>
              <w:t>maridebart cafraglutide</w:t>
            </w:r>
            <w:r>
              <w:rPr>
                <w:rFonts w:ascii="arial" w:hAnsi="arial"/>
                <w:sz w:val="16"/>
              </w:rPr>
              <w:t>, following our positive Phase 1 study results, we are actively conducting a Phase 2 study in overweight or obese adults with or without type 2 diabetes mellitus; and</w:t>
            </w:r>
          </w:p>
          <w:p>
            <w:pPr>
              <w:pStyle w:val="TableContents"/>
              <w:bidi w:val="0"/>
              <w:spacing w:before="0" w:after="0"/>
              <w:jc w:val="both"/>
              <w:rPr/>
            </w:pPr>
            <w:r>
              <w:rPr/>
              <w:t>–  </w:t>
            </w:r>
            <w:r>
              <w:rPr>
                <w:rFonts w:ascii="arial" w:hAnsi="arial"/>
                <w:sz w:val="16"/>
              </w:rPr>
              <w:t xml:space="preserve">For </w:t>
            </w:r>
            <w:r>
              <w:rPr>
                <w:rFonts w:ascii="arial" w:hAnsi="arial"/>
                <w:b/>
                <w:color w:val="0171B9"/>
                <w:sz w:val="16"/>
              </w:rPr>
              <w:t>cardiovascular disease</w:t>
            </w:r>
            <w:r>
              <w:rPr>
                <w:rFonts w:ascii="arial" w:hAnsi="arial"/>
                <w:sz w:val="16"/>
              </w:rPr>
              <w:t xml:space="preserve">, </w:t>
            </w:r>
            <w:r>
              <w:rPr>
                <w:rFonts w:ascii="arial" w:hAnsi="arial"/>
                <w:b/>
                <w:color w:val="0171B9"/>
                <w:sz w:val="16"/>
              </w:rPr>
              <w:t>olpasiran</w:t>
            </w:r>
            <w:r>
              <w:rPr>
                <w:rFonts w:ascii="arial" w:hAnsi="arial"/>
                <w:sz w:val="16"/>
              </w:rPr>
              <w:t>, a Phase 3 cardiovascular outcomes study in patients with atherosclerotic cardiovascular disease (ASCVD) and elevated Lp(a) is in progress.</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6"/>
              </w:rPr>
              <w:t xml:space="preserve">In our </w:t>
            </w:r>
            <w:r>
              <w:rPr>
                <w:rFonts w:ascii="arial" w:hAnsi="arial"/>
                <w:b/>
                <w:color w:val="0171B9"/>
                <w:sz w:val="16"/>
              </w:rPr>
              <w:t>inflammation</w:t>
            </w:r>
            <w:r>
              <w:rPr>
                <w:rFonts w:ascii="arial" w:hAnsi="arial"/>
                <w:sz w:val="16"/>
              </w:rPr>
              <w:t xml:space="preserve"> therapeutic area:</w:t>
            </w:r>
          </w:p>
          <w:p>
            <w:pPr>
              <w:pStyle w:val="TableContents"/>
              <w:bidi w:val="0"/>
              <w:spacing w:before="0" w:after="0"/>
              <w:jc w:val="both"/>
              <w:rPr/>
            </w:pPr>
            <w:r>
              <w:rPr/>
              <w:t>–  </w:t>
            </w:r>
            <w:r>
              <w:rPr>
                <w:rFonts w:ascii="arial" w:hAnsi="arial"/>
                <w:sz w:val="16"/>
              </w:rPr>
              <w:t xml:space="preserve">For </w:t>
            </w:r>
            <w:r>
              <w:rPr>
                <w:rFonts w:ascii="arial" w:hAnsi="arial"/>
                <w:b/>
                <w:color w:val="0171B9"/>
                <w:sz w:val="16"/>
              </w:rPr>
              <w:t>rocatinlimab</w:t>
            </w:r>
            <w:r>
              <w:rPr>
                <w:rFonts w:ascii="arial" w:hAnsi="arial"/>
                <w:sz w:val="16"/>
              </w:rPr>
              <w:t>(2), based on positive Phase 2 study results that demonstrated improvement in patients with moderate to severe atopic dermatitis, the Phase 3 ROCKET program composed of eight studies is in progress; and</w:t>
            </w:r>
          </w:p>
          <w:p>
            <w:pPr>
              <w:pStyle w:val="TableContents"/>
              <w:bidi w:val="0"/>
              <w:spacing w:before="0" w:after="0"/>
              <w:jc w:val="both"/>
              <w:rPr/>
            </w:pPr>
            <w:r>
              <w:rPr/>
              <w:t>–  </w:t>
            </w:r>
            <w:r>
              <w:rPr>
                <w:rFonts w:ascii="arial" w:hAnsi="arial"/>
                <w:sz w:val="16"/>
              </w:rPr>
              <w:t xml:space="preserve">For </w:t>
            </w:r>
            <w:r>
              <w:rPr>
                <w:rFonts w:ascii="arial" w:hAnsi="arial"/>
                <w:b/>
                <w:color w:val="0171B9"/>
                <w:sz w:val="16"/>
              </w:rPr>
              <w:t>TEZSPIRE®</w:t>
            </w:r>
            <w:r>
              <w:rPr>
                <w:rFonts w:ascii="arial" w:hAnsi="arial"/>
                <w:sz w:val="16"/>
              </w:rPr>
              <w:t>(3), Phase 3 studies investigating TEZSPIRE as a treatment in patients with eosinophilic esophagitis and in patients with chronic rhinosinusitis with nasal polyps and a Phase 2 study investigating TEZSPIRE in chronic obstructive pulmonary disease are in progress.</w:t>
            </w:r>
          </w:p>
          <w:p>
            <w:pPr>
              <w:pStyle w:val="TableContents"/>
              <w:bidi w:val="0"/>
              <w:spacing w:before="0" w:after="20"/>
              <w:jc w:val="left"/>
              <w:rPr/>
            </w:pPr>
            <w:r>
              <w:rPr/>
              <w:t> </w:t>
            </w:r>
          </w:p>
        </w:tc>
      </w:tr>
      <w:tr>
        <w:trPr/>
        <w:tc>
          <w:tcPr>
            <w:tcW w:w="1925" w:type="dxa"/>
            <w:tcBorders>
              <w:bottom w:val="single" w:sz="8" w:space="0" w:color="0171B9"/>
            </w:tcBorders>
            <w:shd w:fill="0171B9" w:val="clear"/>
            <w:tcMar>
              <w:bottom w:w="28" w:type="dxa"/>
            </w:tcMar>
            <w:vAlign w:val="center"/>
          </w:tcPr>
          <w:p>
            <w:pPr>
              <w:pStyle w:val="TableContents"/>
              <w:bidi w:val="0"/>
              <w:spacing w:before="0" w:after="283"/>
              <w:jc w:val="left"/>
              <w:rPr/>
            </w:pPr>
            <w:r>
              <w:rPr/>
              <w:t> </w:t>
            </w:r>
          </w:p>
        </w:tc>
        <w:tc>
          <w:tcPr>
            <w:tcW w:w="60" w:type="dxa"/>
            <w:tcBorders>
              <w:left w:val="single" w:sz="6" w:space="0" w:color="0171B9"/>
              <w:bottom w:val="single" w:sz="8" w:space="0" w:color="0171B9"/>
            </w:tcBorders>
            <w:shd w:fill="E0EDF6" w:val="clear"/>
            <w:tcMar>
              <w:left w:w="28" w:type="dxa"/>
              <w:bottom w:w="28" w:type="dxa"/>
            </w:tcMar>
            <w:vAlign w:val="center"/>
          </w:tcPr>
          <w:p>
            <w:pPr>
              <w:pStyle w:val="TableContents"/>
              <w:bidi w:val="0"/>
              <w:spacing w:before="0" w:after="283"/>
              <w:jc w:val="left"/>
              <w:rPr/>
            </w:pPr>
            <w:r>
              <w:rPr/>
              <w:t> </w:t>
            </w:r>
          </w:p>
        </w:tc>
        <w:tc>
          <w:tcPr>
            <w:tcW w:w="2536" w:type="dxa"/>
            <w:tcBorders>
              <w:bottom w:val="single" w:sz="8" w:space="0" w:color="0171B9"/>
              <w:right w:val="single" w:sz="6" w:space="0" w:color="0171B9"/>
            </w:tcBorders>
            <w:shd w:fill="E0EDF6" w:val="clear"/>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171B9"/>
            </w:tcBorders>
            <w:shd w:fill="E0EDF6" w:val="clear"/>
            <w:tcMar>
              <w:bottom w:w="28" w:type="dxa"/>
            </w:tcMar>
            <w:vAlign w:val="center"/>
          </w:tcPr>
          <w:p>
            <w:pPr>
              <w:pStyle w:val="TableContents"/>
              <w:bidi w:val="0"/>
              <w:spacing w:before="0" w:after="283"/>
              <w:jc w:val="left"/>
              <w:rPr/>
            </w:pPr>
            <w:r>
              <w:rPr/>
              <w:t> </w:t>
            </w:r>
          </w:p>
        </w:tc>
        <w:tc>
          <w:tcPr>
            <w:tcW w:w="5624" w:type="dxa"/>
            <w:tcBorders>
              <w:bottom w:val="single" w:sz="8" w:space="0" w:color="0171B9"/>
              <w:right w:val="single" w:sz="6" w:space="0" w:color="0171B9"/>
            </w:tcBorders>
            <w:shd w:fill="E0EDF6" w:val="clear"/>
            <w:tcMar>
              <w:bottom w:w="100" w:type="dxa"/>
              <w:right w:w="40" w:type="dxa"/>
            </w:tcMar>
            <w:vAlign w:val="center"/>
          </w:tcPr>
          <w:p>
            <w:pPr>
              <w:pStyle w:val="TableContents"/>
              <w:bidi w:val="0"/>
              <w:spacing w:before="0" w:after="0"/>
              <w:jc w:val="both"/>
              <w:rPr/>
            </w:pPr>
            <w:r>
              <w:rPr>
                <w:color w:val="0171B9"/>
              </w:rPr>
              <w:t>–</w:t>
            </w:r>
            <w:r>
              <w:rPr/>
              <w:t>  </w:t>
            </w:r>
            <w:r>
              <w:rPr>
                <w:rFonts w:ascii="arial" w:hAnsi="arial"/>
                <w:sz w:val="16"/>
              </w:rPr>
              <w:t xml:space="preserve">In our </w:t>
            </w:r>
            <w:r>
              <w:rPr>
                <w:rFonts w:ascii="arial" w:hAnsi="arial"/>
                <w:b/>
                <w:color w:val="0171B9"/>
                <w:sz w:val="16"/>
              </w:rPr>
              <w:t>rare disease</w:t>
            </w:r>
            <w:r>
              <w:rPr>
                <w:rFonts w:ascii="arial" w:hAnsi="arial"/>
                <w:sz w:val="16"/>
              </w:rPr>
              <w:t xml:space="preserve"> therapeutic area:</w:t>
            </w:r>
          </w:p>
          <w:p>
            <w:pPr>
              <w:pStyle w:val="TableContents"/>
              <w:bidi w:val="0"/>
              <w:spacing w:before="0" w:after="20"/>
              <w:jc w:val="both"/>
              <w:rPr/>
            </w:pPr>
            <w:r>
              <w:rPr/>
              <w:t>    </w:t>
            </w:r>
            <w:r>
              <w:rPr>
                <w:rFonts w:ascii="arial" w:hAnsi="arial"/>
                <w:sz w:val="16"/>
              </w:rPr>
              <w:t xml:space="preserve">In October 2023, we completed our $27.8 billion acquisition of </w:t>
            </w:r>
            <w:r>
              <w:rPr>
                <w:rFonts w:ascii="arial" w:hAnsi="arial"/>
                <w:b/>
                <w:color w:val="0171B9"/>
                <w:sz w:val="16"/>
              </w:rPr>
              <w:t>Horizon Therapeutics plc</w:t>
            </w:r>
            <w:r>
              <w:rPr>
                <w:rFonts w:ascii="arial" w:hAnsi="arial"/>
                <w:sz w:val="16"/>
              </w:rPr>
              <w:t xml:space="preserve">. This significant acquisition brings first-in-class or best-in-class innovative medicines that address rare autoimmune diseases, including </w:t>
            </w:r>
            <w:r>
              <w:rPr>
                <w:rFonts w:ascii="arial" w:hAnsi="arial"/>
                <w:b/>
                <w:color w:val="0171B9"/>
                <w:sz w:val="16"/>
              </w:rPr>
              <w:t>TEPEZZA®</w:t>
            </w:r>
            <w:r>
              <w:rPr>
                <w:rFonts w:ascii="arial" w:hAnsi="arial"/>
                <w:sz w:val="16"/>
              </w:rPr>
              <w:t xml:space="preserve"> (for thyroid eye disease), </w:t>
            </w:r>
            <w:r>
              <w:rPr>
                <w:rFonts w:ascii="arial" w:hAnsi="arial"/>
                <w:b/>
                <w:color w:val="0171B9"/>
                <w:sz w:val="16"/>
              </w:rPr>
              <w:t>KRYSTEXXA®</w:t>
            </w:r>
            <w:r>
              <w:rPr>
                <w:rFonts w:ascii="arial" w:hAnsi="arial"/>
                <w:sz w:val="16"/>
              </w:rPr>
              <w:t xml:space="preserve"> (for uncontrolled gout), and </w:t>
            </w:r>
            <w:r>
              <w:rPr>
                <w:rFonts w:ascii="arial" w:hAnsi="arial"/>
                <w:b/>
                <w:color w:val="0171B9"/>
                <w:sz w:val="16"/>
              </w:rPr>
              <w:t>UPLIZNA®</w:t>
            </w:r>
            <w:r>
              <w:rPr>
                <w:rFonts w:ascii="arial" w:hAnsi="arial"/>
                <w:sz w:val="16"/>
              </w:rPr>
              <w:t xml:space="preserve"> (for neuromyelitis optica spectrum disorder) as well as a pipeline of rare disease product candidates. The acquisition of the Horizon business with its important rare disease products and pipeline, coupled with </w:t>
            </w:r>
            <w:r>
              <w:rPr>
                <w:rFonts w:ascii="arial" w:hAnsi="arial"/>
                <w:b/>
                <w:color w:val="0171B9"/>
                <w:sz w:val="16"/>
              </w:rPr>
              <w:t>TAVNEOS®</w:t>
            </w:r>
            <w:r>
              <w:rPr>
                <w:rFonts w:ascii="arial" w:hAnsi="arial"/>
                <w:b/>
                <w:sz w:val="16"/>
              </w:rPr>
              <w:t xml:space="preserve"> </w:t>
            </w:r>
            <w:r>
              <w:rPr>
                <w:rFonts w:ascii="arial" w:hAnsi="arial"/>
                <w:sz w:val="16"/>
              </w:rPr>
              <w:t xml:space="preserve">(our first-in-class treatment for adult patients with severe active anti-neutrophil cytoplasmic autoantibody (ANCA)-associated vasculitis acquired from </w:t>
            </w:r>
            <w:r>
              <w:rPr>
                <w:rFonts w:ascii="arial" w:hAnsi="arial"/>
                <w:b/>
                <w:color w:val="0171B9"/>
                <w:sz w:val="16"/>
              </w:rPr>
              <w:t>ChemoCentryx, Inc.</w:t>
            </w:r>
            <w:r>
              <w:rPr>
                <w:rFonts w:ascii="arial" w:hAnsi="arial"/>
                <w:sz w:val="16"/>
              </w:rPr>
              <w:t xml:space="preserve">), comprise our new </w:t>
            </w:r>
            <w:r>
              <w:rPr>
                <w:rFonts w:ascii="arial" w:hAnsi="arial"/>
                <w:b/>
                <w:color w:val="0171B9"/>
                <w:sz w:val="16"/>
              </w:rPr>
              <w:t>rare disease therapeutic area</w:t>
            </w:r>
            <w:r>
              <w:rPr>
                <w:rFonts w:ascii="arial" w:hAnsi="arial"/>
                <w:sz w:val="16"/>
              </w:rPr>
              <w:t xml:space="preserve"> and fit well with our broad innovative portfolio, our experience in inflammatory diseases, our global infrastructure, and our capabilities in biologic process development and manufacturing.</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(1) </w:t>
            </w:r>
          </w:p>
        </w:tc>
        <w:tc>
          <w:tcPr>
            <w:tcW w:w="9919" w:type="dxa"/>
            <w:tcBorders/>
            <w:vAlign w:val="center"/>
          </w:tcPr>
          <w:p>
            <w:pPr>
              <w:pStyle w:val="TableContents"/>
              <w:bidi w:val="0"/>
              <w:spacing w:before="0" w:after="0"/>
              <w:jc w:val="both"/>
              <w:rPr>
                <w:rFonts w:ascii="arial" w:hAnsi="arial"/>
                <w:sz w:val="16"/>
              </w:rPr>
            </w:pPr>
            <w:r>
              <w:rPr>
                <w:rFonts w:ascii="arial" w:hAnsi="arial"/>
                <w:sz w:val="16"/>
              </w:rPr>
              <w:t xml:space="preserve">Breakthrough Therapy Designation is a process designed to expedite the development and review of drugs that are intended to treat a serious condition and preliminary clinical evidence indicates that the drug may demonstrate substantial improvement over available therapy on a clinically significant endpoint. </w:t>
            </w:r>
          </w:p>
        </w:tc>
      </w:tr>
    </w:tbl>
    <w:tbl>
      <w:tblPr>
        <w:tblW w:w="5785" w:type="dxa"/>
        <w:jc w:val="left"/>
        <w:tblInd w:w="0" w:type="dxa"/>
        <w:tblLayout w:type="fixed"/>
        <w:tblCellMar>
          <w:top w:w="0" w:type="dxa"/>
          <w:left w:w="0" w:type="dxa"/>
          <w:bottom w:w="0" w:type="dxa"/>
          <w:right w:w="0" w:type="dxa"/>
        </w:tblCellMar>
      </w:tblPr>
      <w:tblGrid>
        <w:gridCol w:w="365"/>
        <w:gridCol w:w="5420"/>
      </w:tblGrid>
      <w:tr>
        <w:trPr/>
        <w:tc>
          <w:tcPr>
            <w:tcW w:w="365" w:type="dxa"/>
            <w:tcBorders/>
            <w:vAlign w:val="center"/>
          </w:tcPr>
          <w:p>
            <w:pPr>
              <w:pStyle w:val="TableContents"/>
              <w:bidi w:val="0"/>
              <w:spacing w:before="0" w:after="283"/>
              <w:jc w:val="left"/>
              <w:rPr/>
            </w:pPr>
            <w:r>
              <w:rPr/>
              <w:t>(2) </w:t>
            </w:r>
          </w:p>
        </w:tc>
        <w:tc>
          <w:tcPr>
            <w:tcW w:w="5420" w:type="dxa"/>
            <w:tcBorders/>
            <w:vAlign w:val="center"/>
          </w:tcPr>
          <w:p>
            <w:pPr>
              <w:pStyle w:val="TableContents"/>
              <w:bidi w:val="0"/>
              <w:spacing w:before="0" w:after="0"/>
              <w:jc w:val="both"/>
              <w:rPr>
                <w:rFonts w:ascii="arial" w:hAnsi="arial"/>
                <w:sz w:val="16"/>
              </w:rPr>
            </w:pPr>
            <w:r>
              <w:rPr>
                <w:rFonts w:ascii="arial" w:hAnsi="arial"/>
                <w:sz w:val="16"/>
              </w:rPr>
              <w:t xml:space="preserve">Rocatinlimab is being developed in collaboration with Kyowa Kirin Co., Ltd. </w:t>
            </w:r>
          </w:p>
        </w:tc>
      </w:tr>
    </w:tbl>
    <w:tbl>
      <w:tblPr>
        <w:tblW w:w="5125" w:type="dxa"/>
        <w:jc w:val="left"/>
        <w:tblInd w:w="0" w:type="dxa"/>
        <w:tblLayout w:type="fixed"/>
        <w:tblCellMar>
          <w:top w:w="0" w:type="dxa"/>
          <w:left w:w="0" w:type="dxa"/>
          <w:bottom w:w="0" w:type="dxa"/>
          <w:right w:w="0" w:type="dxa"/>
        </w:tblCellMar>
      </w:tblPr>
      <w:tblGrid>
        <w:gridCol w:w="365"/>
        <w:gridCol w:w="4760"/>
      </w:tblGrid>
      <w:tr>
        <w:trPr/>
        <w:tc>
          <w:tcPr>
            <w:tcW w:w="365" w:type="dxa"/>
            <w:tcBorders/>
            <w:vAlign w:val="center"/>
          </w:tcPr>
          <w:p>
            <w:pPr>
              <w:pStyle w:val="TableContents"/>
              <w:bidi w:val="0"/>
              <w:spacing w:before="0" w:after="283"/>
              <w:jc w:val="left"/>
              <w:rPr/>
            </w:pPr>
            <w:r>
              <w:rPr/>
              <w:t>(3) </w:t>
            </w:r>
          </w:p>
        </w:tc>
        <w:tc>
          <w:tcPr>
            <w:tcW w:w="4760" w:type="dxa"/>
            <w:tcBorders/>
            <w:vAlign w:val="center"/>
          </w:tcPr>
          <w:p>
            <w:pPr>
              <w:pStyle w:val="TableContents"/>
              <w:bidi w:val="0"/>
              <w:spacing w:before="0" w:after="0"/>
              <w:jc w:val="both"/>
              <w:rPr>
                <w:rFonts w:ascii="arial" w:hAnsi="arial"/>
                <w:sz w:val="16"/>
              </w:rPr>
            </w:pPr>
            <w:r>
              <w:rPr>
                <w:rFonts w:ascii="arial" w:hAnsi="arial"/>
                <w:sz w:val="16"/>
              </w:rPr>
              <w:t xml:space="preserve">TEZSPIRE is being developed in collaboration with AstraZeneca. </w:t>
            </w:r>
          </w:p>
        </w:tc>
      </w:tr>
    </w:tbl>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50  </w:t>
      </w:r>
      <w:r>
        <w:rPr>
          <w:rFonts w:ascii="arial" w:hAnsi="arial"/>
          <w:b/>
          <w:color w:val="474747"/>
          <w:sz w:val="22"/>
        </w:rPr>
        <w:drawing>
          <wp:inline distT="0" distB="0" distL="0" distR="0">
            <wp:extent cx="64770" cy="15240"/>
            <wp:effectExtent l="0" t="0" r="0" b="0"/>
            <wp:docPr id="180"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89" descr=""/>
                    <pic:cNvPicPr>
                      <a:picLocks noChangeAspect="1" noChangeArrowheads="1"/>
                    </pic:cNvPicPr>
                  </pic:nvPicPr>
                  <pic:blipFill>
                    <a:blip r:embed="rId93"/>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507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45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459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Compensation Discussion and Analysis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25"/>
        <w:gridCol w:w="60"/>
        <w:gridCol w:w="4521"/>
        <w:gridCol w:w="60"/>
        <w:gridCol w:w="3639"/>
      </w:tblGrid>
      <w:tr>
        <w:trPr/>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9" w:type="dxa"/>
            <w:tcBorders/>
            <w:vAlign w:val="center"/>
          </w:tcPr>
          <w:p>
            <w:pPr>
              <w:pStyle w:val="TableContents"/>
              <w:bidi w:val="0"/>
              <w:spacing w:before="0" w:after="283"/>
              <w:jc w:val="left"/>
              <w:rPr>
                <w:sz w:val="4"/>
                <w:szCs w:val="4"/>
              </w:rPr>
            </w:pPr>
            <w:r>
              <w:rPr>
                <w:sz w:val="4"/>
                <w:szCs w:val="4"/>
              </w:rPr>
            </w:r>
          </w:p>
        </w:tc>
      </w:tr>
      <w:tr>
        <w:trPr/>
        <w:tc>
          <w:tcPr>
            <w:tcW w:w="1925" w:type="dxa"/>
            <w:tcBorders/>
            <w:shd w:fill="0171B9" w:val="clear"/>
            <w:vAlign w:val="center"/>
          </w:tcPr>
          <w:p>
            <w:pPr>
              <w:pStyle w:val="TableContents"/>
              <w:bidi w:val="0"/>
              <w:spacing w:before="0" w:after="283"/>
              <w:jc w:val="left"/>
              <w:rPr>
                <w:sz w:val="4"/>
                <w:szCs w:val="4"/>
              </w:rPr>
            </w:pPr>
            <w:r>
              <w:rPr>
                <w:sz w:val="4"/>
                <w:szCs w:val="4"/>
              </w:rPr>
            </w:r>
          </w:p>
        </w:tc>
        <w:tc>
          <w:tcPr>
            <w:tcW w:w="4581" w:type="dxa"/>
            <w:gridSpan w:val="2"/>
            <w:tcBorders>
              <w:left w:val="single" w:sz="6" w:space="0" w:color="0171B9"/>
              <w:right w:val="single" w:sz="6" w:space="0" w:color="0171B9"/>
            </w:tcBorders>
            <w:shd w:fill="0171B9" w:val="clear"/>
            <w:tcMar>
              <w:left w:w="28" w:type="dxa"/>
              <w:right w:w="28" w:type="dxa"/>
            </w:tcMar>
            <w:vAlign w:val="center"/>
          </w:tcPr>
          <w:p>
            <w:pPr>
              <w:pStyle w:val="TableContents"/>
              <w:bidi w:val="0"/>
              <w:spacing w:before="0" w:after="283"/>
              <w:jc w:val="left"/>
              <w:rPr/>
            </w:pPr>
            <w:r>
              <w:rPr/>
              <w:t> </w:t>
            </w:r>
          </w:p>
        </w:tc>
        <w:tc>
          <w:tcPr>
            <w:tcW w:w="3699" w:type="dxa"/>
            <w:gridSpan w:val="2"/>
            <w:tcBorders/>
            <w:shd w:fill="0171B9" w:val="clear"/>
            <w:vAlign w:val="center"/>
          </w:tcPr>
          <w:p>
            <w:pPr>
              <w:pStyle w:val="TableContents"/>
              <w:bidi w:val="0"/>
              <w:spacing w:before="0" w:after="283"/>
              <w:jc w:val="left"/>
              <w:rPr>
                <w:sz w:val="4"/>
                <w:szCs w:val="4"/>
              </w:rPr>
            </w:pPr>
            <w:r>
              <w:rPr>
                <w:sz w:val="4"/>
                <w:szCs w:val="4"/>
              </w:rPr>
            </w:r>
          </w:p>
        </w:tc>
      </w:tr>
      <w:tr>
        <w:trPr/>
        <w:tc>
          <w:tcPr>
            <w:tcW w:w="1925" w:type="dxa"/>
            <w:tcBorders/>
            <w:shd w:fill="0171B9" w:val="clear"/>
            <w:vAlign w:val="center"/>
          </w:tcPr>
          <w:p>
            <w:pPr>
              <w:pStyle w:val="TableContents"/>
              <w:bidi w:val="0"/>
              <w:spacing w:before="0" w:after="283"/>
              <w:jc w:val="center"/>
              <w:rPr>
                <w:b/>
                <w:color w:val="FFFFFF"/>
              </w:rPr>
            </w:pPr>
            <w:r>
              <w:rPr>
                <w:b/>
                <w:color w:val="FFFFFF"/>
              </w:rPr>
              <w:t>Strategic Priorities</w:t>
            </w:r>
          </w:p>
        </w:tc>
        <w:tc>
          <w:tcPr>
            <w:tcW w:w="60" w:type="dxa"/>
            <w:tcBorders>
              <w:left w:val="single" w:sz="6" w:space="0" w:color="0171B9"/>
            </w:tcBorders>
            <w:shd w:fill="0171B9" w:val="clear"/>
            <w:tcMar>
              <w:left w:w="28" w:type="dxa"/>
            </w:tcMar>
            <w:vAlign w:val="center"/>
          </w:tcPr>
          <w:p>
            <w:pPr>
              <w:pStyle w:val="TableContents"/>
              <w:bidi w:val="0"/>
              <w:spacing w:before="0" w:after="283"/>
              <w:jc w:val="left"/>
              <w:rPr/>
            </w:pPr>
            <w:r>
              <w:rPr/>
              <w:t> </w:t>
            </w:r>
          </w:p>
        </w:tc>
        <w:tc>
          <w:tcPr>
            <w:tcW w:w="4521" w:type="dxa"/>
            <w:tcBorders>
              <w:right w:val="single" w:sz="6" w:space="0" w:color="0171B9"/>
            </w:tcBorders>
            <w:shd w:fill="0171B9" w:val="clear"/>
            <w:tcMar>
              <w:right w:w="28"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Importance</w:t>
            </w:r>
          </w:p>
        </w:tc>
        <w:tc>
          <w:tcPr>
            <w:tcW w:w="60" w:type="dxa"/>
            <w:tcBorders/>
            <w:shd w:fill="0171B9" w:val="clear"/>
            <w:vAlign w:val="center"/>
          </w:tcPr>
          <w:p>
            <w:pPr>
              <w:pStyle w:val="TableContents"/>
              <w:bidi w:val="0"/>
              <w:spacing w:before="0" w:after="283"/>
              <w:jc w:val="left"/>
              <w:rPr/>
            </w:pPr>
            <w:r>
              <w:rPr/>
              <w:t> </w:t>
            </w:r>
          </w:p>
        </w:tc>
        <w:tc>
          <w:tcPr>
            <w:tcW w:w="3639" w:type="dxa"/>
            <w:tcBorders/>
            <w:shd w:fill="0171B9"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Select 2023 Activities</w:t>
            </w:r>
          </w:p>
        </w:tc>
      </w:tr>
      <w:tr>
        <w:trPr/>
        <w:tc>
          <w:tcPr>
            <w:tcW w:w="1925" w:type="dxa"/>
            <w:tcBorders/>
            <w:vAlign w:val="center"/>
          </w:tcPr>
          <w:p>
            <w:pPr>
              <w:pStyle w:val="TableContents"/>
              <w:bidi w:val="0"/>
              <w:spacing w:before="0" w:after="0"/>
              <w:jc w:val="both"/>
              <w:rPr/>
            </w:pPr>
            <w:r>
              <w:rPr/>
              <w:t> </w:t>
            </w:r>
          </w:p>
        </w:tc>
        <w:tc>
          <w:tcPr>
            <w:tcW w:w="60" w:type="dxa"/>
            <w:tcBorders>
              <w:left w:val="single" w:sz="6" w:space="0" w:color="0171B9"/>
            </w:tcBorders>
            <w:tcMar>
              <w:left w:w="28" w:type="dxa"/>
            </w:tcMar>
            <w:vAlign w:val="center"/>
          </w:tcPr>
          <w:p>
            <w:pPr>
              <w:pStyle w:val="TableContents"/>
              <w:bidi w:val="0"/>
              <w:spacing w:before="0" w:after="283"/>
              <w:jc w:val="left"/>
              <w:rPr/>
            </w:pPr>
            <w:r>
              <w:rPr/>
              <w:t> </w:t>
            </w:r>
          </w:p>
        </w:tc>
        <w:tc>
          <w:tcPr>
            <w:tcW w:w="4521" w:type="dxa"/>
            <w:tcBorders>
              <w:right w:val="single" w:sz="6" w:space="0" w:color="0171B9"/>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39" w:type="dxa"/>
            <w:tcBorders>
              <w:right w:val="single" w:sz="6" w:space="0" w:color="0171B9"/>
            </w:tcBorders>
            <w:tcMar>
              <w:right w:w="40" w:type="dxa"/>
            </w:tcMar>
            <w:vAlign w:val="center"/>
          </w:tcPr>
          <w:p>
            <w:pPr>
              <w:pStyle w:val="TableContents"/>
              <w:bidi w:val="0"/>
              <w:spacing w:before="0" w:after="283"/>
              <w:jc w:val="left"/>
              <w:rPr/>
            </w:pPr>
            <w:r>
              <w:rPr/>
              <w:t> </w:t>
            </w:r>
          </w:p>
        </w:tc>
      </w:tr>
      <w:tr>
        <w:trPr/>
        <w:tc>
          <w:tcPr>
            <w:tcW w:w="1925" w:type="dxa"/>
            <w:tcBorders/>
            <w:shd w:fill="0171B9" w:val="clear"/>
            <w:vAlign w:val="center"/>
          </w:tcPr>
          <w:p>
            <w:pPr>
              <w:pStyle w:val="TableContents"/>
              <w:bidi w:val="0"/>
              <w:spacing w:before="0" w:after="283"/>
              <w:jc w:val="left"/>
              <w:rPr>
                <w:sz w:val="4"/>
                <w:szCs w:val="4"/>
              </w:rPr>
            </w:pPr>
            <w:r>
              <w:rPr>
                <w:sz w:val="4"/>
                <w:szCs w:val="4"/>
              </w:rPr>
            </w:r>
          </w:p>
        </w:tc>
        <w:tc>
          <w:tcPr>
            <w:tcW w:w="4581" w:type="dxa"/>
            <w:gridSpan w:val="2"/>
            <w:tcBorders>
              <w:left w:val="single" w:sz="6" w:space="0" w:color="0171B9"/>
              <w:right w:val="single" w:sz="6" w:space="0" w:color="0171B9"/>
            </w:tcBorders>
            <w:tcMar>
              <w:left w:w="28" w:type="dxa"/>
              <w:right w:w="28" w:type="dxa"/>
            </w:tcMar>
            <w:vAlign w:val="center"/>
          </w:tcPr>
          <w:p>
            <w:pPr>
              <w:pStyle w:val="TableContents"/>
              <w:bidi w:val="0"/>
              <w:spacing w:before="0" w:after="283"/>
              <w:jc w:val="left"/>
              <w:rPr/>
            </w:pPr>
            <w:r>
              <w:rPr/>
              <w:t> </w:t>
            </w:r>
          </w:p>
        </w:tc>
        <w:tc>
          <w:tcPr>
            <w:tcW w:w="3699" w:type="dxa"/>
            <w:gridSpan w:val="2"/>
            <w:tcBorders>
              <w:right w:val="single" w:sz="6" w:space="0" w:color="0171B9"/>
            </w:tcBorders>
            <w:tcMar>
              <w:right w:w="28" w:type="dxa"/>
            </w:tcMar>
            <w:vAlign w:val="center"/>
          </w:tcPr>
          <w:p>
            <w:pPr>
              <w:pStyle w:val="TableContents"/>
              <w:bidi w:val="0"/>
              <w:spacing w:before="0" w:after="283"/>
              <w:jc w:val="left"/>
              <w:rPr/>
            </w:pPr>
            <w:r>
              <w:rPr/>
              <w:t> </w:t>
            </w:r>
          </w:p>
        </w:tc>
      </w:tr>
      <w:tr>
        <w:trPr/>
        <w:tc>
          <w:tcPr>
            <w:tcW w:w="1925" w:type="dxa"/>
            <w:tcBorders/>
            <w:shd w:fill="0171B9" w:val="clear"/>
            <w:vAlign w:val="center"/>
          </w:tcPr>
          <w:p>
            <w:pPr>
              <w:pStyle w:val="TableContents"/>
              <w:bidi w:val="0"/>
              <w:spacing w:before="0" w:after="0"/>
              <w:jc w:val="center"/>
              <w:rPr/>
            </w:pPr>
            <w:r>
              <w:rPr/>
              <w:drawing>
                <wp:inline distT="0" distB="0" distL="0" distR="0">
                  <wp:extent cx="200025" cy="419100"/>
                  <wp:effectExtent l="0" t="0" r="0" b="0"/>
                  <wp:docPr id="181"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90" descr=""/>
                          <pic:cNvPicPr>
                            <a:picLocks noChangeAspect="1" noChangeArrowheads="1"/>
                          </pic:cNvPicPr>
                        </pic:nvPicPr>
                        <pic:blipFill>
                          <a:blip r:embed="rId94"/>
                          <a:stretch>
                            <a:fillRect/>
                          </a:stretch>
                        </pic:blipFill>
                        <pic:spPr bwMode="auto">
                          <a:xfrm>
                            <a:off x="0" y="0"/>
                            <a:ext cx="200025" cy="419100"/>
                          </a:xfrm>
                          <a:prstGeom prst="rect">
                            <a:avLst/>
                          </a:prstGeom>
                        </pic:spPr>
                      </pic:pic>
                    </a:graphicData>
                  </a:graphic>
                </wp:inline>
              </w:drawing>
            </w:r>
            <w:r>
              <w:rPr/>
              <w:t xml:space="preserve"> </w:t>
            </w:r>
          </w:p>
          <w:p>
            <w:pPr>
              <w:pStyle w:val="TableContents"/>
              <w:bidi w:val="0"/>
              <w:spacing w:before="0" w:after="0"/>
              <w:jc w:val="center"/>
              <w:rPr>
                <w:rFonts w:ascii="arial" w:hAnsi="arial"/>
                <w:b/>
                <w:color w:val="FFFFFF"/>
                <w:sz w:val="16"/>
              </w:rPr>
            </w:pPr>
            <w:r>
              <w:rPr>
                <w:rFonts w:ascii="arial" w:hAnsi="arial"/>
                <w:b/>
                <w:color w:val="FFFFFF"/>
                <w:sz w:val="16"/>
              </w:rPr>
              <w:t>Branded</w:t>
            </w:r>
          </w:p>
          <w:p>
            <w:pPr>
              <w:pStyle w:val="TableContents"/>
              <w:bidi w:val="0"/>
              <w:spacing w:before="0" w:after="20"/>
              <w:jc w:val="center"/>
              <w:rPr>
                <w:rFonts w:ascii="arial" w:hAnsi="arial"/>
                <w:b/>
                <w:color w:val="FFFFFF"/>
                <w:sz w:val="16"/>
              </w:rPr>
            </w:pPr>
            <w:r>
              <w:rPr>
                <w:rFonts w:ascii="arial" w:hAnsi="arial"/>
                <w:b/>
                <w:color w:val="FFFFFF"/>
                <w:sz w:val="16"/>
              </w:rPr>
              <w:t>Biosimilars</w:t>
            </w:r>
          </w:p>
        </w:tc>
        <w:tc>
          <w:tcPr>
            <w:tcW w:w="60" w:type="dxa"/>
            <w:tcBorders>
              <w:left w:val="single" w:sz="6" w:space="0" w:color="0171B9"/>
            </w:tcBorders>
            <w:tcMar>
              <w:left w:w="28" w:type="dxa"/>
            </w:tcMar>
            <w:vAlign w:val="center"/>
          </w:tcPr>
          <w:p>
            <w:pPr>
              <w:pStyle w:val="TableContents"/>
              <w:bidi w:val="0"/>
              <w:spacing w:before="0" w:after="283"/>
              <w:jc w:val="left"/>
              <w:rPr/>
            </w:pPr>
            <w:r>
              <w:rPr/>
              <w:t> </w:t>
            </w:r>
          </w:p>
        </w:tc>
        <w:tc>
          <w:tcPr>
            <w:tcW w:w="4521" w:type="dxa"/>
            <w:tcBorders>
              <w:right w:val="single" w:sz="6" w:space="0" w:color="0171B9"/>
            </w:tcBorders>
            <w:tcMar>
              <w:right w:w="28" w:type="dxa"/>
            </w:tcMar>
            <w:vAlign w:val="center"/>
          </w:tcPr>
          <w:p>
            <w:pPr>
              <w:pStyle w:val="TableContents"/>
              <w:bidi w:val="0"/>
              <w:spacing w:before="0" w:after="0"/>
              <w:jc w:val="both"/>
              <w:rPr>
                <w:rFonts w:ascii="arial" w:hAnsi="arial"/>
                <w:sz w:val="16"/>
              </w:rPr>
            </w:pPr>
            <w:r>
              <w:rPr>
                <w:rFonts w:ascii="arial" w:hAnsi="arial"/>
                <w:sz w:val="16"/>
              </w:rPr>
              <w:t>Our branded biosimilars build on our existing business capabilities and increase the efficient use of our existing resources by being fully integrated with, and supported by, our biologic development, manufacturing, and global commercial operations capabilities.</w:t>
            </w:r>
          </w:p>
        </w:tc>
        <w:tc>
          <w:tcPr>
            <w:tcW w:w="60" w:type="dxa"/>
            <w:tcBorders/>
            <w:vAlign w:val="center"/>
          </w:tcPr>
          <w:p>
            <w:pPr>
              <w:pStyle w:val="TableContents"/>
              <w:bidi w:val="0"/>
              <w:spacing w:before="0" w:after="283"/>
              <w:jc w:val="left"/>
              <w:rPr/>
            </w:pPr>
            <w:r>
              <w:rPr/>
              <w:t> </w:t>
            </w:r>
          </w:p>
        </w:tc>
        <w:tc>
          <w:tcPr>
            <w:tcW w:w="3639" w:type="dxa"/>
            <w:tcBorders>
              <w:right w:val="single" w:sz="6" w:space="0" w:color="0171B9"/>
            </w:tcBorders>
            <w:tcMar>
              <w:right w:w="40" w:type="dxa"/>
            </w:tcMar>
            <w:vAlign w:val="center"/>
          </w:tcPr>
          <w:p>
            <w:pPr>
              <w:pStyle w:val="TableContents"/>
              <w:bidi w:val="0"/>
              <w:spacing w:before="0" w:after="0"/>
              <w:jc w:val="both"/>
              <w:rPr/>
            </w:pPr>
            <w:r>
              <w:rPr>
                <w:color w:val="0171B9"/>
              </w:rPr>
              <w:t>•</w:t>
            </w:r>
            <w:r>
              <w:rPr/>
              <w:t>  </w:t>
            </w:r>
            <w:r>
              <w:rPr>
                <w:rFonts w:ascii="arial" w:hAnsi="arial"/>
                <w:sz w:val="16"/>
              </w:rPr>
              <w:t>We continued development of our biosimilars portfolio, including the following advancements:</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6"/>
              </w:rPr>
              <w:t>The FDA accepted the Biologics License Applications (BLA) for:</w:t>
            </w:r>
          </w:p>
          <w:p>
            <w:pPr>
              <w:pStyle w:val="TableContents"/>
              <w:bidi w:val="0"/>
              <w:spacing w:before="0" w:after="0"/>
              <w:jc w:val="both"/>
              <w:rPr/>
            </w:pPr>
            <w:r>
              <w:rPr/>
              <w:t>–  </w:t>
            </w:r>
            <w:r>
              <w:rPr>
                <w:rFonts w:ascii="arial" w:hAnsi="arial"/>
                <w:b/>
                <w:color w:val="0171B9"/>
                <w:sz w:val="16"/>
              </w:rPr>
              <w:t>ABP 938</w:t>
            </w:r>
            <w:r>
              <w:rPr>
                <w:rFonts w:ascii="arial" w:hAnsi="arial"/>
                <w:b/>
                <w:sz w:val="16"/>
              </w:rPr>
              <w:t xml:space="preserve"> </w:t>
            </w:r>
            <w:r>
              <w:rPr>
                <w:rFonts w:ascii="arial" w:hAnsi="arial"/>
                <w:sz w:val="16"/>
              </w:rPr>
              <w:t>(biosimilar candidate to EYLEA®(1) (aflibercept)) in patients with neovascular age-related macular degeneration; and</w:t>
            </w:r>
          </w:p>
          <w:p>
            <w:pPr>
              <w:pStyle w:val="TableContents"/>
              <w:bidi w:val="0"/>
              <w:spacing w:before="0" w:after="0"/>
              <w:jc w:val="both"/>
              <w:rPr/>
            </w:pPr>
            <w:r>
              <w:rPr/>
              <w:t>–  </w:t>
            </w:r>
            <w:r>
              <w:rPr>
                <w:rFonts w:ascii="arial" w:hAnsi="arial"/>
                <w:b/>
                <w:color w:val="0171B9"/>
                <w:sz w:val="16"/>
              </w:rPr>
              <w:t>ABP 959</w:t>
            </w:r>
            <w:r>
              <w:rPr>
                <w:rFonts w:ascii="arial" w:hAnsi="arial"/>
                <w:sz w:val="16"/>
              </w:rPr>
              <w:t xml:space="preserve"> (biosimilar candidate to Soliris®(2) (eculizumab)) in adult patients with paroxysmal nocturnal hemoglobinuria.</w:t>
            </w:r>
          </w:p>
          <w:p>
            <w:pPr>
              <w:pStyle w:val="TableContents"/>
              <w:bidi w:val="0"/>
              <w:spacing w:before="0" w:after="20"/>
              <w:jc w:val="both"/>
              <w:rPr/>
            </w:pPr>
            <w:r>
              <w:rPr>
                <w:color w:val="0171B9"/>
              </w:rPr>
              <w:t>–</w:t>
            </w:r>
            <w:r>
              <w:rPr/>
              <w:t> </w:t>
            </w:r>
            <w:r>
              <w:rPr>
                <w:rFonts w:ascii="arial" w:hAnsi="arial"/>
                <w:sz w:val="16"/>
              </w:rPr>
              <w:t xml:space="preserve">We received FDA approval for </w:t>
            </w:r>
            <w:r>
              <w:rPr>
                <w:rFonts w:ascii="arial" w:hAnsi="arial"/>
                <w:b/>
                <w:color w:val="0171B9"/>
                <w:sz w:val="16"/>
              </w:rPr>
              <w:t>WEZLANA™</w:t>
            </w:r>
            <w:r>
              <w:rPr>
                <w:rFonts w:ascii="arial" w:hAnsi="arial"/>
                <w:sz w:val="16"/>
              </w:rPr>
              <w:t xml:space="preserve"> (biosimilar candidate to STELARA®(3) (ustekinumab)).</w:t>
            </w:r>
          </w:p>
        </w:tc>
      </w:tr>
      <w:tr>
        <w:trPr/>
        <w:tc>
          <w:tcPr>
            <w:tcW w:w="1925" w:type="dxa"/>
            <w:tcBorders/>
            <w:vAlign w:val="center"/>
          </w:tcPr>
          <w:p>
            <w:pPr>
              <w:pStyle w:val="TableContents"/>
              <w:bidi w:val="0"/>
              <w:spacing w:before="0" w:after="0"/>
              <w:jc w:val="both"/>
              <w:rPr/>
            </w:pPr>
            <w:r>
              <w:rPr/>
              <w:t> </w:t>
            </w:r>
          </w:p>
        </w:tc>
        <w:tc>
          <w:tcPr>
            <w:tcW w:w="60" w:type="dxa"/>
            <w:tcBorders>
              <w:left w:val="single" w:sz="6" w:space="0" w:color="0171B9"/>
            </w:tcBorders>
            <w:tcMar>
              <w:left w:w="28" w:type="dxa"/>
            </w:tcMar>
            <w:vAlign w:val="center"/>
          </w:tcPr>
          <w:p>
            <w:pPr>
              <w:pStyle w:val="TableContents"/>
              <w:bidi w:val="0"/>
              <w:spacing w:before="0" w:after="283"/>
              <w:jc w:val="left"/>
              <w:rPr/>
            </w:pPr>
            <w:r>
              <w:rPr/>
              <w:t> </w:t>
            </w:r>
          </w:p>
        </w:tc>
        <w:tc>
          <w:tcPr>
            <w:tcW w:w="4521" w:type="dxa"/>
            <w:tcBorders>
              <w:right w:val="single" w:sz="6" w:space="0" w:color="0171B9"/>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39" w:type="dxa"/>
            <w:tcBorders>
              <w:right w:val="single" w:sz="6" w:space="0" w:color="0171B9"/>
            </w:tcBorders>
            <w:tcMar>
              <w:right w:w="40" w:type="dxa"/>
            </w:tcMar>
            <w:vAlign w:val="center"/>
          </w:tcPr>
          <w:p>
            <w:pPr>
              <w:pStyle w:val="TableContents"/>
              <w:bidi w:val="0"/>
              <w:spacing w:before="0" w:after="283"/>
              <w:jc w:val="left"/>
              <w:rPr/>
            </w:pPr>
            <w:r>
              <w:rPr/>
              <w:t> </w:t>
            </w:r>
          </w:p>
        </w:tc>
      </w:tr>
      <w:tr>
        <w:trPr/>
        <w:tc>
          <w:tcPr>
            <w:tcW w:w="1925" w:type="dxa"/>
            <w:tcBorders/>
            <w:shd w:fill="0171B9" w:val="clear"/>
            <w:vAlign w:val="center"/>
          </w:tcPr>
          <w:p>
            <w:pPr>
              <w:pStyle w:val="TableContents"/>
              <w:bidi w:val="0"/>
              <w:spacing w:before="0" w:after="283"/>
              <w:jc w:val="left"/>
              <w:rPr>
                <w:sz w:val="4"/>
                <w:szCs w:val="4"/>
              </w:rPr>
            </w:pPr>
            <w:r>
              <w:rPr>
                <w:sz w:val="4"/>
                <w:szCs w:val="4"/>
              </w:rPr>
            </w:r>
          </w:p>
        </w:tc>
        <w:tc>
          <w:tcPr>
            <w:tcW w:w="4581" w:type="dxa"/>
            <w:gridSpan w:val="2"/>
            <w:tcBorders>
              <w:left w:val="single" w:sz="6" w:space="0" w:color="0171B9"/>
              <w:right w:val="single" w:sz="6" w:space="0" w:color="0171B9"/>
            </w:tcBorders>
            <w:shd w:fill="E0EDF6" w:val="clear"/>
            <w:tcMar>
              <w:left w:w="28" w:type="dxa"/>
              <w:right w:w="28" w:type="dxa"/>
            </w:tcMar>
            <w:vAlign w:val="center"/>
          </w:tcPr>
          <w:p>
            <w:pPr>
              <w:pStyle w:val="TableContents"/>
              <w:bidi w:val="0"/>
              <w:spacing w:before="0" w:after="283"/>
              <w:jc w:val="left"/>
              <w:rPr/>
            </w:pPr>
            <w:r>
              <w:rPr/>
              <w:t> </w:t>
            </w:r>
          </w:p>
        </w:tc>
        <w:tc>
          <w:tcPr>
            <w:tcW w:w="3699" w:type="dxa"/>
            <w:gridSpan w:val="2"/>
            <w:tcBorders>
              <w:right w:val="single" w:sz="6" w:space="0" w:color="0171B9"/>
            </w:tcBorders>
            <w:shd w:fill="E0EDF6" w:val="clear"/>
            <w:tcMar>
              <w:right w:w="28" w:type="dxa"/>
            </w:tcMar>
            <w:vAlign w:val="center"/>
          </w:tcPr>
          <w:p>
            <w:pPr>
              <w:pStyle w:val="TableContents"/>
              <w:bidi w:val="0"/>
              <w:spacing w:before="0" w:after="283"/>
              <w:jc w:val="left"/>
              <w:rPr/>
            </w:pPr>
            <w:r>
              <w:rPr/>
              <w:t> </w:t>
            </w:r>
          </w:p>
        </w:tc>
      </w:tr>
      <w:tr>
        <w:trPr/>
        <w:tc>
          <w:tcPr>
            <w:tcW w:w="1925" w:type="dxa"/>
            <w:tcBorders/>
            <w:shd w:fill="0171B9" w:val="clear"/>
            <w:vAlign w:val="center"/>
          </w:tcPr>
          <w:p>
            <w:pPr>
              <w:pStyle w:val="TableContents"/>
              <w:bidi w:val="0"/>
              <w:spacing w:before="0" w:after="0"/>
              <w:jc w:val="center"/>
              <w:rPr/>
            </w:pPr>
            <w:r>
              <w:rPr/>
              <w:drawing>
                <wp:inline distT="0" distB="0" distL="0" distR="0">
                  <wp:extent cx="400050" cy="390525"/>
                  <wp:effectExtent l="0" t="0" r="0" b="0"/>
                  <wp:docPr id="182"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91" descr=""/>
                          <pic:cNvPicPr>
                            <a:picLocks noChangeAspect="1" noChangeArrowheads="1"/>
                          </pic:cNvPicPr>
                        </pic:nvPicPr>
                        <pic:blipFill>
                          <a:blip r:embed="rId95"/>
                          <a:stretch>
                            <a:fillRect/>
                          </a:stretch>
                        </pic:blipFill>
                        <pic:spPr bwMode="auto">
                          <a:xfrm>
                            <a:off x="0" y="0"/>
                            <a:ext cx="400050" cy="390525"/>
                          </a:xfrm>
                          <a:prstGeom prst="rect">
                            <a:avLst/>
                          </a:prstGeom>
                        </pic:spPr>
                      </pic:pic>
                    </a:graphicData>
                  </a:graphic>
                </wp:inline>
              </w:drawing>
            </w:r>
            <w:r>
              <w:rPr/>
              <w:t xml:space="preserve"> </w:t>
            </w:r>
          </w:p>
          <w:p>
            <w:pPr>
              <w:pStyle w:val="TableContents"/>
              <w:bidi w:val="0"/>
              <w:spacing w:before="0" w:after="0"/>
              <w:jc w:val="center"/>
              <w:rPr>
                <w:rFonts w:ascii="arial" w:hAnsi="arial"/>
                <w:b/>
                <w:color w:val="FFFFFF"/>
                <w:sz w:val="16"/>
              </w:rPr>
            </w:pPr>
            <w:r>
              <w:rPr>
                <w:rFonts w:ascii="arial" w:hAnsi="arial"/>
                <w:b/>
                <w:color w:val="FFFFFF"/>
                <w:sz w:val="16"/>
              </w:rPr>
              <w:t>Global</w:t>
            </w:r>
          </w:p>
          <w:p>
            <w:pPr>
              <w:pStyle w:val="TableContents"/>
              <w:bidi w:val="0"/>
              <w:spacing w:before="0" w:after="20"/>
              <w:jc w:val="center"/>
              <w:rPr>
                <w:rFonts w:ascii="arial" w:hAnsi="arial"/>
                <w:b/>
                <w:color w:val="FFFFFF"/>
                <w:sz w:val="16"/>
              </w:rPr>
            </w:pPr>
            <w:r>
              <w:rPr>
                <w:rFonts w:ascii="arial" w:hAnsi="arial"/>
                <w:b/>
                <w:color w:val="FFFFFF"/>
                <w:sz w:val="16"/>
              </w:rPr>
              <w:t>Impact</w:t>
            </w:r>
          </w:p>
        </w:tc>
        <w:tc>
          <w:tcPr>
            <w:tcW w:w="60" w:type="dxa"/>
            <w:tcBorders>
              <w:left w:val="single" w:sz="6" w:space="0" w:color="0171B9"/>
            </w:tcBorders>
            <w:shd w:fill="E0EDF6" w:val="clear"/>
            <w:tcMar>
              <w:left w:w="28" w:type="dxa"/>
            </w:tcMar>
            <w:vAlign w:val="center"/>
          </w:tcPr>
          <w:p>
            <w:pPr>
              <w:pStyle w:val="TableContents"/>
              <w:bidi w:val="0"/>
              <w:spacing w:before="0" w:after="283"/>
              <w:jc w:val="left"/>
              <w:rPr/>
            </w:pPr>
            <w:r>
              <w:rPr/>
              <w:t> </w:t>
            </w:r>
          </w:p>
        </w:tc>
        <w:tc>
          <w:tcPr>
            <w:tcW w:w="4521" w:type="dxa"/>
            <w:tcBorders>
              <w:right w:val="single" w:sz="6" w:space="0" w:color="0171B9"/>
            </w:tcBorders>
            <w:shd w:fill="E0EDF6" w:val="clear"/>
            <w:tcMar>
              <w:right w:w="28" w:type="dxa"/>
            </w:tcMar>
            <w:vAlign w:val="center"/>
          </w:tcPr>
          <w:p>
            <w:pPr>
              <w:pStyle w:val="TableContents"/>
              <w:bidi w:val="0"/>
              <w:spacing w:before="0" w:after="0"/>
              <w:jc w:val="both"/>
              <w:rPr>
                <w:rFonts w:ascii="arial" w:hAnsi="arial"/>
                <w:sz w:val="16"/>
              </w:rPr>
            </w:pPr>
            <w:r>
              <w:rPr>
                <w:rFonts w:ascii="arial" w:hAnsi="arial"/>
                <w:sz w:val="16"/>
              </w:rPr>
              <w:t>We established a global presence to capture the full value of our innovative capabilities globally. International expansion is an important part of our growth strategy. Amgen has a presence in more than 100 countries around the world.</w:t>
            </w:r>
          </w:p>
        </w:tc>
        <w:tc>
          <w:tcPr>
            <w:tcW w:w="60" w:type="dxa"/>
            <w:tcBorders/>
            <w:shd w:fill="E0EDF6" w:val="clear"/>
            <w:vAlign w:val="center"/>
          </w:tcPr>
          <w:p>
            <w:pPr>
              <w:pStyle w:val="TableContents"/>
              <w:bidi w:val="0"/>
              <w:spacing w:before="0" w:after="283"/>
              <w:jc w:val="left"/>
              <w:rPr/>
            </w:pPr>
            <w:r>
              <w:rPr/>
              <w:t> </w:t>
            </w:r>
          </w:p>
        </w:tc>
        <w:tc>
          <w:tcPr>
            <w:tcW w:w="3639" w:type="dxa"/>
            <w:tcBorders>
              <w:right w:val="single" w:sz="6" w:space="0" w:color="0171B9"/>
            </w:tcBorders>
            <w:shd w:fill="E0EDF6" w:val="clear"/>
            <w:tcMar>
              <w:right w:w="40" w:type="dxa"/>
            </w:tcMar>
            <w:vAlign w:val="center"/>
          </w:tcPr>
          <w:p>
            <w:pPr>
              <w:pStyle w:val="TableContents"/>
              <w:bidi w:val="0"/>
              <w:spacing w:before="0" w:after="0"/>
              <w:jc w:val="both"/>
              <w:rPr/>
            </w:pPr>
            <w:r>
              <w:rPr>
                <w:color w:val="0171B9"/>
              </w:rPr>
              <w:t>•</w:t>
            </w:r>
            <w:r>
              <w:rPr/>
              <w:t>  </w:t>
            </w:r>
            <w:r>
              <w:rPr>
                <w:rFonts w:ascii="arial" w:hAnsi="arial"/>
                <w:sz w:val="16"/>
              </w:rPr>
              <w:t xml:space="preserve">We expanded our international footprint. This international footprint </w:t>
            </w:r>
            <w:r>
              <w:rPr>
                <w:rFonts w:ascii="arial" w:hAnsi="arial"/>
                <w:b/>
                <w:color w:val="0171B9"/>
                <w:sz w:val="16"/>
              </w:rPr>
              <w:t>allows us to deliver our medicines to more patients globally</w:t>
            </w:r>
            <w:r>
              <w:rPr>
                <w:rFonts w:ascii="arial" w:hAnsi="arial"/>
                <w:sz w:val="16"/>
              </w:rPr>
              <w:t>, a capability that we are leveraging to bring the innovative rare disease products and pipeline products from the Horizon acquisition to more patients around the world.</w:t>
            </w:r>
          </w:p>
        </w:tc>
      </w:tr>
      <w:tr>
        <w:trPr/>
        <w:tc>
          <w:tcPr>
            <w:tcW w:w="1925" w:type="dxa"/>
            <w:tcBorders/>
            <w:vAlign w:val="center"/>
          </w:tcPr>
          <w:p>
            <w:pPr>
              <w:pStyle w:val="TableContents"/>
              <w:bidi w:val="0"/>
              <w:spacing w:before="0" w:after="0"/>
              <w:jc w:val="both"/>
              <w:rPr/>
            </w:pPr>
            <w:r>
              <w:rPr/>
              <w:t> </w:t>
            </w:r>
          </w:p>
        </w:tc>
        <w:tc>
          <w:tcPr>
            <w:tcW w:w="60" w:type="dxa"/>
            <w:tcBorders>
              <w:left w:val="single" w:sz="6" w:space="0" w:color="0171B9"/>
            </w:tcBorders>
            <w:tcMar>
              <w:left w:w="28" w:type="dxa"/>
            </w:tcMar>
            <w:vAlign w:val="center"/>
          </w:tcPr>
          <w:p>
            <w:pPr>
              <w:pStyle w:val="TableContents"/>
              <w:bidi w:val="0"/>
              <w:spacing w:before="0" w:after="283"/>
              <w:jc w:val="left"/>
              <w:rPr/>
            </w:pPr>
            <w:r>
              <w:rPr/>
              <w:t> </w:t>
            </w:r>
          </w:p>
        </w:tc>
        <w:tc>
          <w:tcPr>
            <w:tcW w:w="4521" w:type="dxa"/>
            <w:tcBorders>
              <w:right w:val="single" w:sz="6" w:space="0" w:color="0171B9"/>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39" w:type="dxa"/>
            <w:tcBorders>
              <w:right w:val="single" w:sz="6" w:space="0" w:color="0171B9"/>
            </w:tcBorders>
            <w:tcMar>
              <w:right w:w="40" w:type="dxa"/>
            </w:tcMar>
            <w:vAlign w:val="center"/>
          </w:tcPr>
          <w:p>
            <w:pPr>
              <w:pStyle w:val="TableContents"/>
              <w:bidi w:val="0"/>
              <w:spacing w:before="0" w:after="283"/>
              <w:jc w:val="left"/>
              <w:rPr/>
            </w:pPr>
            <w:r>
              <w:rPr/>
              <w:t> </w:t>
            </w:r>
          </w:p>
        </w:tc>
      </w:tr>
      <w:tr>
        <w:trPr/>
        <w:tc>
          <w:tcPr>
            <w:tcW w:w="1925" w:type="dxa"/>
            <w:tcBorders/>
            <w:shd w:fill="0171B9" w:val="clear"/>
            <w:vAlign w:val="center"/>
          </w:tcPr>
          <w:p>
            <w:pPr>
              <w:pStyle w:val="TableContents"/>
              <w:bidi w:val="0"/>
              <w:spacing w:before="0" w:after="283"/>
              <w:jc w:val="left"/>
              <w:rPr>
                <w:sz w:val="4"/>
                <w:szCs w:val="4"/>
              </w:rPr>
            </w:pPr>
            <w:r>
              <w:rPr>
                <w:sz w:val="4"/>
                <w:szCs w:val="4"/>
              </w:rPr>
            </w:r>
          </w:p>
        </w:tc>
        <w:tc>
          <w:tcPr>
            <w:tcW w:w="4581" w:type="dxa"/>
            <w:gridSpan w:val="2"/>
            <w:tcBorders>
              <w:left w:val="single" w:sz="6" w:space="0" w:color="0171B9"/>
              <w:right w:val="single" w:sz="6" w:space="0" w:color="0171B9"/>
            </w:tcBorders>
            <w:tcMar>
              <w:left w:w="28" w:type="dxa"/>
              <w:right w:w="28" w:type="dxa"/>
            </w:tcMar>
            <w:vAlign w:val="center"/>
          </w:tcPr>
          <w:p>
            <w:pPr>
              <w:pStyle w:val="TableContents"/>
              <w:bidi w:val="0"/>
              <w:spacing w:before="0" w:after="283"/>
              <w:jc w:val="left"/>
              <w:rPr/>
            </w:pPr>
            <w:r>
              <w:rPr/>
              <w:t> </w:t>
            </w:r>
          </w:p>
        </w:tc>
        <w:tc>
          <w:tcPr>
            <w:tcW w:w="3699" w:type="dxa"/>
            <w:gridSpan w:val="2"/>
            <w:tcBorders>
              <w:right w:val="single" w:sz="6" w:space="0" w:color="0171B9"/>
            </w:tcBorders>
            <w:tcMar>
              <w:right w:w="28" w:type="dxa"/>
            </w:tcMar>
            <w:vAlign w:val="center"/>
          </w:tcPr>
          <w:p>
            <w:pPr>
              <w:pStyle w:val="TableContents"/>
              <w:bidi w:val="0"/>
              <w:spacing w:before="0" w:after="283"/>
              <w:jc w:val="left"/>
              <w:rPr/>
            </w:pPr>
            <w:r>
              <w:rPr/>
              <w:t> </w:t>
            </w:r>
          </w:p>
        </w:tc>
      </w:tr>
      <w:tr>
        <w:trPr/>
        <w:tc>
          <w:tcPr>
            <w:tcW w:w="1925" w:type="dxa"/>
            <w:tcBorders/>
            <w:shd w:fill="0171B9" w:val="clear"/>
            <w:vAlign w:val="center"/>
          </w:tcPr>
          <w:p>
            <w:pPr>
              <w:pStyle w:val="TableContents"/>
              <w:bidi w:val="0"/>
              <w:spacing w:before="0" w:after="0"/>
              <w:jc w:val="center"/>
              <w:rPr/>
            </w:pPr>
            <w:r>
              <w:rPr/>
              <w:drawing>
                <wp:inline distT="0" distB="0" distL="0" distR="0">
                  <wp:extent cx="266700" cy="381000"/>
                  <wp:effectExtent l="0" t="0" r="0" b="0"/>
                  <wp:docPr id="183"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92" descr=""/>
                          <pic:cNvPicPr>
                            <a:picLocks noChangeAspect="1" noChangeArrowheads="1"/>
                          </pic:cNvPicPr>
                        </pic:nvPicPr>
                        <pic:blipFill>
                          <a:blip r:embed="rId96"/>
                          <a:stretch>
                            <a:fillRect/>
                          </a:stretch>
                        </pic:blipFill>
                        <pic:spPr bwMode="auto">
                          <a:xfrm>
                            <a:off x="0" y="0"/>
                            <a:ext cx="266700" cy="381000"/>
                          </a:xfrm>
                          <a:prstGeom prst="rect">
                            <a:avLst/>
                          </a:prstGeom>
                        </pic:spPr>
                      </pic:pic>
                    </a:graphicData>
                  </a:graphic>
                </wp:inline>
              </w:drawing>
            </w:r>
            <w:r>
              <w:rPr/>
              <w:t xml:space="preserve"> </w:t>
            </w:r>
          </w:p>
          <w:p>
            <w:pPr>
              <w:pStyle w:val="TableContents"/>
              <w:bidi w:val="0"/>
              <w:spacing w:before="0" w:after="0"/>
              <w:jc w:val="center"/>
              <w:rPr>
                <w:rFonts w:ascii="arial" w:hAnsi="arial"/>
                <w:b/>
                <w:color w:val="FFFFFF"/>
                <w:sz w:val="16"/>
              </w:rPr>
            </w:pPr>
            <w:r>
              <w:rPr>
                <w:rFonts w:ascii="arial" w:hAnsi="arial"/>
                <w:b/>
                <w:color w:val="FFFFFF"/>
                <w:sz w:val="16"/>
              </w:rPr>
              <w:t>Manufacturing</w:t>
            </w:r>
          </w:p>
          <w:p>
            <w:pPr>
              <w:pStyle w:val="TableContents"/>
              <w:bidi w:val="0"/>
              <w:spacing w:before="0" w:after="20"/>
              <w:jc w:val="center"/>
              <w:rPr>
                <w:rFonts w:ascii="arial" w:hAnsi="arial"/>
                <w:b/>
                <w:color w:val="FFFFFF"/>
                <w:sz w:val="16"/>
              </w:rPr>
            </w:pPr>
            <w:r>
              <w:rPr>
                <w:rFonts w:ascii="arial" w:hAnsi="arial"/>
                <w:b/>
                <w:color w:val="FFFFFF"/>
                <w:sz w:val="16"/>
              </w:rPr>
              <w:t>Excellence</w:t>
            </w:r>
          </w:p>
        </w:tc>
        <w:tc>
          <w:tcPr>
            <w:tcW w:w="60" w:type="dxa"/>
            <w:tcBorders>
              <w:left w:val="single" w:sz="6" w:space="0" w:color="0171B9"/>
            </w:tcBorders>
            <w:tcMar>
              <w:left w:w="28" w:type="dxa"/>
            </w:tcMar>
            <w:vAlign w:val="center"/>
          </w:tcPr>
          <w:p>
            <w:pPr>
              <w:pStyle w:val="TableContents"/>
              <w:bidi w:val="0"/>
              <w:spacing w:before="0" w:after="283"/>
              <w:jc w:val="left"/>
              <w:rPr/>
            </w:pPr>
            <w:r>
              <w:rPr/>
              <w:t> </w:t>
            </w:r>
          </w:p>
        </w:tc>
        <w:tc>
          <w:tcPr>
            <w:tcW w:w="4521" w:type="dxa"/>
            <w:tcBorders>
              <w:right w:val="single" w:sz="6" w:space="0" w:color="0171B9"/>
            </w:tcBorders>
            <w:tcMar>
              <w:right w:w="28" w:type="dxa"/>
            </w:tcMar>
            <w:vAlign w:val="center"/>
          </w:tcPr>
          <w:p>
            <w:pPr>
              <w:pStyle w:val="TableContents"/>
              <w:bidi w:val="0"/>
              <w:spacing w:before="0" w:after="0"/>
              <w:jc w:val="both"/>
              <w:rPr>
                <w:rFonts w:ascii="arial" w:hAnsi="arial"/>
                <w:sz w:val="16"/>
              </w:rPr>
            </w:pPr>
            <w:r>
              <w:rPr>
                <w:rFonts w:ascii="arial" w:hAnsi="arial"/>
                <w:sz w:val="16"/>
              </w:rPr>
              <w:t>We are pioneering advanced technologies and implementing more environmentally responsible approaches throughout the Company to increase operational efficiency and reduce our environmental impact. Amgen EcovationTM is our proprietary approach to innovative manufacturing that is integrated into the upfront design, development, and execution of our new laboratory, manufacturing, and administrative buildings. This results in smaller footprint and highly resource efficient biomanufacturing plants that reduce our environmental impact. These facilities have been built in less time than conventional plants and have reduced operating costs.</w:t>
            </w:r>
          </w:p>
        </w:tc>
        <w:tc>
          <w:tcPr>
            <w:tcW w:w="60" w:type="dxa"/>
            <w:tcBorders/>
            <w:vAlign w:val="center"/>
          </w:tcPr>
          <w:p>
            <w:pPr>
              <w:pStyle w:val="TableContents"/>
              <w:bidi w:val="0"/>
              <w:spacing w:before="0" w:after="283"/>
              <w:jc w:val="left"/>
              <w:rPr/>
            </w:pPr>
            <w:r>
              <w:rPr/>
              <w:t> </w:t>
            </w:r>
          </w:p>
        </w:tc>
        <w:tc>
          <w:tcPr>
            <w:tcW w:w="3639" w:type="dxa"/>
            <w:tcBorders>
              <w:right w:val="single" w:sz="6" w:space="0" w:color="0171B9"/>
            </w:tcBorders>
            <w:tcMar>
              <w:right w:w="40" w:type="dxa"/>
            </w:tcMar>
            <w:vAlign w:val="center"/>
          </w:tcPr>
          <w:p>
            <w:pPr>
              <w:pStyle w:val="TableContents"/>
              <w:bidi w:val="0"/>
              <w:spacing w:before="0" w:after="20"/>
              <w:jc w:val="both"/>
              <w:rPr/>
            </w:pPr>
            <w:r>
              <w:rPr>
                <w:color w:val="0171B9"/>
              </w:rPr>
              <w:t>•</w:t>
            </w:r>
            <w:r>
              <w:rPr/>
              <w:t>  </w:t>
            </w:r>
            <w:r>
              <w:rPr>
                <w:rFonts w:ascii="arial" w:hAnsi="arial"/>
                <w:sz w:val="16"/>
              </w:rPr>
              <w:t xml:space="preserve">Amgen Ecovation has guided the design and construction of our </w:t>
            </w:r>
            <w:r>
              <w:rPr>
                <w:rFonts w:ascii="arial" w:hAnsi="arial"/>
                <w:b/>
                <w:color w:val="0171B9"/>
                <w:sz w:val="16"/>
              </w:rPr>
              <w:t>two new state-of-the-art U.S. facilities</w:t>
            </w:r>
            <w:r>
              <w:rPr>
                <w:rFonts w:ascii="arial" w:hAnsi="arial"/>
                <w:sz w:val="16"/>
              </w:rPr>
              <w:t xml:space="preserve"> in Ohio (recently licensed by the FDA) and North Carolina. In addition to helping to advance our 2027 environmental goals, these new facilities are expected to support our ability to meet the demand for our medicines and bring hundreds of full-time jobs to these regions while expanding our access to diverse talent.</w:t>
            </w:r>
          </w:p>
        </w:tc>
      </w:tr>
      <w:tr>
        <w:trPr/>
        <w:tc>
          <w:tcPr>
            <w:tcW w:w="1925" w:type="dxa"/>
            <w:tcBorders/>
            <w:vAlign w:val="center"/>
          </w:tcPr>
          <w:p>
            <w:pPr>
              <w:pStyle w:val="TableContents"/>
              <w:bidi w:val="0"/>
              <w:spacing w:before="0" w:after="0"/>
              <w:jc w:val="both"/>
              <w:rPr/>
            </w:pPr>
            <w:r>
              <w:rPr/>
              <w:t> </w:t>
            </w:r>
          </w:p>
        </w:tc>
        <w:tc>
          <w:tcPr>
            <w:tcW w:w="60" w:type="dxa"/>
            <w:tcBorders>
              <w:left w:val="single" w:sz="6" w:space="0" w:color="0171B9"/>
            </w:tcBorders>
            <w:tcMar>
              <w:left w:w="28" w:type="dxa"/>
            </w:tcMar>
            <w:vAlign w:val="center"/>
          </w:tcPr>
          <w:p>
            <w:pPr>
              <w:pStyle w:val="TableContents"/>
              <w:bidi w:val="0"/>
              <w:spacing w:before="0" w:after="283"/>
              <w:jc w:val="left"/>
              <w:rPr/>
            </w:pPr>
            <w:r>
              <w:rPr/>
              <w:t> </w:t>
            </w:r>
          </w:p>
        </w:tc>
        <w:tc>
          <w:tcPr>
            <w:tcW w:w="4521" w:type="dxa"/>
            <w:tcBorders>
              <w:right w:val="single" w:sz="6" w:space="0" w:color="0171B9"/>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39" w:type="dxa"/>
            <w:tcBorders>
              <w:right w:val="single" w:sz="6" w:space="0" w:color="0171B9"/>
            </w:tcBorders>
            <w:tcMar>
              <w:right w:w="40" w:type="dxa"/>
            </w:tcMar>
            <w:vAlign w:val="center"/>
          </w:tcPr>
          <w:p>
            <w:pPr>
              <w:pStyle w:val="TableContents"/>
              <w:bidi w:val="0"/>
              <w:spacing w:before="0" w:after="283"/>
              <w:jc w:val="left"/>
              <w:rPr/>
            </w:pPr>
            <w:r>
              <w:rPr/>
              <w:t> </w:t>
            </w:r>
          </w:p>
        </w:tc>
      </w:tr>
      <w:tr>
        <w:trPr/>
        <w:tc>
          <w:tcPr>
            <w:tcW w:w="1925" w:type="dxa"/>
            <w:tcBorders/>
            <w:shd w:fill="0171B9" w:val="clear"/>
            <w:vAlign w:val="center"/>
          </w:tcPr>
          <w:p>
            <w:pPr>
              <w:pStyle w:val="TableContents"/>
              <w:bidi w:val="0"/>
              <w:spacing w:before="0" w:after="283"/>
              <w:jc w:val="left"/>
              <w:rPr>
                <w:sz w:val="4"/>
                <w:szCs w:val="4"/>
              </w:rPr>
            </w:pPr>
            <w:r>
              <w:rPr>
                <w:sz w:val="4"/>
                <w:szCs w:val="4"/>
              </w:rPr>
            </w:r>
          </w:p>
        </w:tc>
        <w:tc>
          <w:tcPr>
            <w:tcW w:w="4581" w:type="dxa"/>
            <w:gridSpan w:val="2"/>
            <w:tcBorders>
              <w:left w:val="single" w:sz="6" w:space="0" w:color="0171B9"/>
              <w:right w:val="single" w:sz="6" w:space="0" w:color="0171B9"/>
            </w:tcBorders>
            <w:shd w:fill="E0EDF6" w:val="clear"/>
            <w:tcMar>
              <w:left w:w="28" w:type="dxa"/>
              <w:right w:w="28" w:type="dxa"/>
            </w:tcMar>
            <w:vAlign w:val="center"/>
          </w:tcPr>
          <w:p>
            <w:pPr>
              <w:pStyle w:val="TableContents"/>
              <w:bidi w:val="0"/>
              <w:spacing w:before="0" w:after="283"/>
              <w:jc w:val="left"/>
              <w:rPr/>
            </w:pPr>
            <w:r>
              <w:rPr/>
              <w:t> </w:t>
            </w:r>
          </w:p>
        </w:tc>
        <w:tc>
          <w:tcPr>
            <w:tcW w:w="3699" w:type="dxa"/>
            <w:gridSpan w:val="2"/>
            <w:tcBorders>
              <w:right w:val="single" w:sz="6" w:space="0" w:color="0171B9"/>
            </w:tcBorders>
            <w:shd w:fill="E0EDF6" w:val="clear"/>
            <w:tcMar>
              <w:right w:w="28" w:type="dxa"/>
            </w:tcMar>
            <w:vAlign w:val="center"/>
          </w:tcPr>
          <w:p>
            <w:pPr>
              <w:pStyle w:val="TableContents"/>
              <w:bidi w:val="0"/>
              <w:spacing w:before="0" w:after="283"/>
              <w:jc w:val="left"/>
              <w:rPr/>
            </w:pPr>
            <w:r>
              <w:rPr/>
              <w:t> </w:t>
            </w:r>
          </w:p>
        </w:tc>
      </w:tr>
      <w:tr>
        <w:trPr/>
        <w:tc>
          <w:tcPr>
            <w:tcW w:w="1925" w:type="dxa"/>
            <w:tcBorders/>
            <w:shd w:fill="0171B9" w:val="cle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400050" cy="485775"/>
                  <wp:effectExtent l="0" t="0" r="0" b="0"/>
                  <wp:docPr id="184"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93" descr=""/>
                          <pic:cNvPicPr>
                            <a:picLocks noChangeAspect="1" noChangeArrowheads="1"/>
                          </pic:cNvPicPr>
                        </pic:nvPicPr>
                        <pic:blipFill>
                          <a:blip r:embed="rId97"/>
                          <a:stretch>
                            <a:fillRect/>
                          </a:stretch>
                        </pic:blipFill>
                        <pic:spPr bwMode="auto">
                          <a:xfrm>
                            <a:off x="0" y="0"/>
                            <a:ext cx="400050" cy="485775"/>
                          </a:xfrm>
                          <a:prstGeom prst="rect">
                            <a:avLst/>
                          </a:prstGeom>
                        </pic:spPr>
                      </pic:pic>
                    </a:graphicData>
                  </a:graphic>
                </wp:inline>
              </w:drawing>
            </w:r>
            <w:r>
              <w:rPr/>
              <w:t xml:space="preserve"> </w:t>
            </w:r>
          </w:p>
          <w:p>
            <w:pPr>
              <w:pStyle w:val="TableContents"/>
              <w:bidi w:val="0"/>
              <w:spacing w:before="0" w:after="0"/>
              <w:jc w:val="center"/>
              <w:rPr>
                <w:rFonts w:ascii="arial" w:hAnsi="arial"/>
                <w:b/>
                <w:color w:val="FFFFFF"/>
                <w:sz w:val="16"/>
              </w:rPr>
            </w:pPr>
            <w:r>
              <w:rPr>
                <w:rFonts w:ascii="arial" w:hAnsi="arial"/>
                <w:b/>
                <w:color w:val="FFFFFF"/>
                <w:sz w:val="16"/>
              </w:rPr>
              <w:t>Continuous</w:t>
            </w:r>
          </w:p>
          <w:p>
            <w:pPr>
              <w:pStyle w:val="TableContents"/>
              <w:bidi w:val="0"/>
              <w:spacing w:before="0" w:after="20"/>
              <w:jc w:val="center"/>
              <w:rPr>
                <w:rFonts w:ascii="arial" w:hAnsi="arial"/>
                <w:b/>
                <w:color w:val="FFFFFF"/>
                <w:sz w:val="16"/>
              </w:rPr>
            </w:pPr>
            <w:r>
              <w:rPr>
                <w:rFonts w:ascii="arial" w:hAnsi="arial"/>
                <w:b/>
                <w:color w:val="FFFFFF"/>
                <w:sz w:val="16"/>
              </w:rPr>
              <w:t>Improvement</w:t>
            </w:r>
          </w:p>
        </w:tc>
        <w:tc>
          <w:tcPr>
            <w:tcW w:w="60" w:type="dxa"/>
            <w:tcBorders>
              <w:left w:val="single" w:sz="6" w:space="0" w:color="0171B9"/>
            </w:tcBorders>
            <w:shd w:fill="E0EDF6" w:val="clear"/>
            <w:tcMar>
              <w:left w:w="28" w:type="dxa"/>
            </w:tcMar>
            <w:vAlign w:val="center"/>
          </w:tcPr>
          <w:p>
            <w:pPr>
              <w:pStyle w:val="TableContents"/>
              <w:bidi w:val="0"/>
              <w:spacing w:before="0" w:after="283"/>
              <w:jc w:val="left"/>
              <w:rPr/>
            </w:pPr>
            <w:r>
              <w:rPr/>
              <w:t> </w:t>
            </w:r>
          </w:p>
        </w:tc>
        <w:tc>
          <w:tcPr>
            <w:tcW w:w="4521" w:type="dxa"/>
            <w:tcBorders>
              <w:right w:val="single" w:sz="6" w:space="0" w:color="0171B9"/>
            </w:tcBorders>
            <w:shd w:fill="E0EDF6" w:val="clear"/>
            <w:tcMar>
              <w:right w:w="28" w:type="dxa"/>
            </w:tcMar>
            <w:vAlign w:val="center"/>
          </w:tcPr>
          <w:p>
            <w:pPr>
              <w:pStyle w:val="TableContents"/>
              <w:bidi w:val="0"/>
              <w:spacing w:before="0" w:after="0"/>
              <w:jc w:val="both"/>
              <w:rPr>
                <w:rFonts w:ascii="arial" w:hAnsi="arial"/>
                <w:sz w:val="16"/>
              </w:rPr>
            </w:pPr>
            <w:r>
              <w:rPr>
                <w:rFonts w:ascii="arial" w:hAnsi="arial"/>
                <w:sz w:val="16"/>
              </w:rPr>
              <w:t>We prioritize continuous operating improvements to fund innovation. In addition to our ongoing digital transformation journey to achieve maximum efficiencies and drive innovation, we are focusing on integration of our acquisitions and collaborations to accelerate our realization of benefits from these investments.</w:t>
            </w:r>
          </w:p>
        </w:tc>
        <w:tc>
          <w:tcPr>
            <w:tcW w:w="60" w:type="dxa"/>
            <w:tcBorders/>
            <w:shd w:fill="E0EDF6" w:val="clear"/>
            <w:vAlign w:val="center"/>
          </w:tcPr>
          <w:p>
            <w:pPr>
              <w:pStyle w:val="TableContents"/>
              <w:bidi w:val="0"/>
              <w:spacing w:before="0" w:after="283"/>
              <w:jc w:val="left"/>
              <w:rPr/>
            </w:pPr>
            <w:r>
              <w:rPr/>
              <w:t> </w:t>
            </w:r>
          </w:p>
        </w:tc>
        <w:tc>
          <w:tcPr>
            <w:tcW w:w="3639" w:type="dxa"/>
            <w:tcBorders>
              <w:right w:val="single" w:sz="6" w:space="0" w:color="0171B9"/>
            </w:tcBorders>
            <w:shd w:fill="E0EDF6" w:val="clear"/>
            <w:tcMar>
              <w:right w:w="40" w:type="dxa"/>
            </w:tcMar>
            <w:vAlign w:val="center"/>
          </w:tcPr>
          <w:p>
            <w:pPr>
              <w:pStyle w:val="TableContents"/>
              <w:bidi w:val="0"/>
              <w:spacing w:before="0" w:after="0"/>
              <w:jc w:val="both"/>
              <w:rPr/>
            </w:pPr>
            <w:r>
              <w:rPr>
                <w:color w:val="0171B9"/>
              </w:rPr>
              <w:t>•</w:t>
            </w:r>
            <w:r>
              <w:rPr/>
              <w:t>  </w:t>
            </w:r>
            <w:r>
              <w:rPr>
                <w:rFonts w:ascii="arial" w:hAnsi="arial"/>
                <w:sz w:val="16"/>
              </w:rPr>
              <w:t xml:space="preserve">As part of our focus on the successful </w:t>
            </w:r>
            <w:r>
              <w:rPr>
                <w:rFonts w:ascii="arial" w:hAnsi="arial"/>
                <w:b/>
                <w:color w:val="0171B9"/>
                <w:sz w:val="16"/>
              </w:rPr>
              <w:t>integration of our acquisitions and collaborations</w:t>
            </w:r>
            <w:r>
              <w:rPr>
                <w:rFonts w:ascii="arial" w:hAnsi="arial"/>
                <w:sz w:val="16"/>
              </w:rPr>
              <w:t>, we established a Company-wide goal with targets focused on ChemoCentryx integration metrics. We exceeded these targets to increase new prescribers of TAVNEOS and to retain key ChemoCentryx commercial field and medical staff members. Our learnings from the successful integration of ChemoCentryx have prepared us to effectively integrate the larger Horizon acquisition.</w:t>
            </w:r>
          </w:p>
          <w:p>
            <w:pPr>
              <w:pStyle w:val="TableContents"/>
              <w:bidi w:val="0"/>
              <w:spacing w:before="0" w:after="0"/>
              <w:jc w:val="left"/>
              <w:rPr/>
            </w:pPr>
            <w:r>
              <w:rPr/>
              <w:t> </w:t>
            </w:r>
          </w:p>
          <w:p>
            <w:pPr>
              <w:pStyle w:val="TableContents"/>
              <w:bidi w:val="0"/>
              <w:spacing w:before="0" w:after="20"/>
              <w:jc w:val="both"/>
              <w:rPr/>
            </w:pPr>
            <w:r>
              <w:rPr>
                <w:color w:val="0171B9"/>
              </w:rPr>
              <w:t>•</w:t>
            </w:r>
            <w:r>
              <w:rPr/>
              <w:t>  </w:t>
            </w:r>
            <w:r>
              <w:rPr>
                <w:rFonts w:ascii="arial" w:hAnsi="arial"/>
                <w:sz w:val="16"/>
              </w:rPr>
              <w:t>We continue to invest in information technology platforms and Company-wide process simplification and automation to further enable speed and efficiencies throughout our Company.</w:t>
            </w:r>
          </w:p>
        </w:tc>
      </w:tr>
      <w:tr>
        <w:trPr/>
        <w:tc>
          <w:tcPr>
            <w:tcW w:w="1925" w:type="dxa"/>
            <w:tcBorders/>
            <w:vAlign w:val="center"/>
          </w:tcPr>
          <w:p>
            <w:pPr>
              <w:pStyle w:val="TableContents"/>
              <w:bidi w:val="0"/>
              <w:spacing w:before="0" w:after="0"/>
              <w:jc w:val="both"/>
              <w:rPr/>
            </w:pPr>
            <w:r>
              <w:rPr/>
              <w:t> </w:t>
            </w:r>
          </w:p>
        </w:tc>
        <w:tc>
          <w:tcPr>
            <w:tcW w:w="60" w:type="dxa"/>
            <w:tcBorders>
              <w:left w:val="single" w:sz="6" w:space="0" w:color="0171B9"/>
            </w:tcBorders>
            <w:tcMar>
              <w:left w:w="28" w:type="dxa"/>
            </w:tcMar>
            <w:vAlign w:val="center"/>
          </w:tcPr>
          <w:p>
            <w:pPr>
              <w:pStyle w:val="TableContents"/>
              <w:bidi w:val="0"/>
              <w:spacing w:before="0" w:after="283"/>
              <w:jc w:val="left"/>
              <w:rPr/>
            </w:pPr>
            <w:r>
              <w:rPr/>
              <w:t> </w:t>
            </w:r>
          </w:p>
        </w:tc>
        <w:tc>
          <w:tcPr>
            <w:tcW w:w="4521" w:type="dxa"/>
            <w:tcBorders>
              <w:right w:val="single" w:sz="6" w:space="0" w:color="0171B9"/>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39" w:type="dxa"/>
            <w:tcBorders>
              <w:right w:val="single" w:sz="6" w:space="0" w:color="0171B9"/>
            </w:tcBorders>
            <w:tcMar>
              <w:right w:w="40" w:type="dxa"/>
            </w:tcMar>
            <w:vAlign w:val="center"/>
          </w:tcPr>
          <w:p>
            <w:pPr>
              <w:pStyle w:val="TableContents"/>
              <w:bidi w:val="0"/>
              <w:spacing w:before="0" w:after="283"/>
              <w:jc w:val="left"/>
              <w:rPr/>
            </w:pPr>
            <w:r>
              <w:rPr/>
              <w:t> </w:t>
            </w:r>
          </w:p>
        </w:tc>
      </w:tr>
      <w:tr>
        <w:trPr/>
        <w:tc>
          <w:tcPr>
            <w:tcW w:w="1925" w:type="dxa"/>
            <w:tcBorders/>
            <w:shd w:fill="0171B9" w:val="clear"/>
            <w:vAlign w:val="center"/>
          </w:tcPr>
          <w:p>
            <w:pPr>
              <w:pStyle w:val="TableContents"/>
              <w:bidi w:val="0"/>
              <w:spacing w:before="0" w:after="283"/>
              <w:jc w:val="left"/>
              <w:rPr>
                <w:sz w:val="4"/>
                <w:szCs w:val="4"/>
              </w:rPr>
            </w:pPr>
            <w:r>
              <w:rPr>
                <w:sz w:val="4"/>
                <w:szCs w:val="4"/>
              </w:rPr>
            </w:r>
          </w:p>
        </w:tc>
        <w:tc>
          <w:tcPr>
            <w:tcW w:w="4581" w:type="dxa"/>
            <w:gridSpan w:val="2"/>
            <w:tcBorders>
              <w:left w:val="single" w:sz="6" w:space="0" w:color="0171B9"/>
              <w:right w:val="single" w:sz="6" w:space="0" w:color="0171B9"/>
            </w:tcBorders>
            <w:tcMar>
              <w:left w:w="28" w:type="dxa"/>
              <w:right w:w="28" w:type="dxa"/>
            </w:tcMar>
            <w:vAlign w:val="center"/>
          </w:tcPr>
          <w:p>
            <w:pPr>
              <w:pStyle w:val="TableContents"/>
              <w:bidi w:val="0"/>
              <w:spacing w:before="0" w:after="283"/>
              <w:jc w:val="left"/>
              <w:rPr/>
            </w:pPr>
            <w:r>
              <w:rPr/>
              <w:t> </w:t>
            </w:r>
          </w:p>
        </w:tc>
        <w:tc>
          <w:tcPr>
            <w:tcW w:w="3699" w:type="dxa"/>
            <w:gridSpan w:val="2"/>
            <w:tcBorders>
              <w:right w:val="single" w:sz="6" w:space="0" w:color="0171B9"/>
            </w:tcBorders>
            <w:tcMar>
              <w:right w:w="28" w:type="dxa"/>
            </w:tcMar>
            <w:vAlign w:val="center"/>
          </w:tcPr>
          <w:p>
            <w:pPr>
              <w:pStyle w:val="TableContents"/>
              <w:bidi w:val="0"/>
              <w:spacing w:before="0" w:after="283"/>
              <w:jc w:val="left"/>
              <w:rPr/>
            </w:pPr>
            <w:r>
              <w:rPr/>
              <w:t> </w:t>
            </w:r>
          </w:p>
        </w:tc>
      </w:tr>
      <w:tr>
        <w:trPr/>
        <w:tc>
          <w:tcPr>
            <w:tcW w:w="1925" w:type="dxa"/>
            <w:tcBorders>
              <w:bottom w:val="single" w:sz="8" w:space="0" w:color="0171B9"/>
            </w:tcBorders>
            <w:shd w:fill="0171B9" w:val="clear"/>
            <w:tcMar>
              <w:bottom w:w="80" w:type="dxa"/>
            </w:tcMar>
            <w:vAlign w:val="center"/>
          </w:tcPr>
          <w:p>
            <w:pPr>
              <w:pStyle w:val="TableContents"/>
              <w:bidi w:val="0"/>
              <w:spacing w:before="0" w:after="0"/>
              <w:jc w:val="center"/>
              <w:rPr/>
            </w:pPr>
            <w:r>
              <w:rPr/>
              <w:drawing>
                <wp:inline distT="0" distB="0" distL="0" distR="0">
                  <wp:extent cx="419100" cy="352425"/>
                  <wp:effectExtent l="0" t="0" r="0" b="0"/>
                  <wp:docPr id="185"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94" descr=""/>
                          <pic:cNvPicPr>
                            <a:picLocks noChangeAspect="1" noChangeArrowheads="1"/>
                          </pic:cNvPicPr>
                        </pic:nvPicPr>
                        <pic:blipFill>
                          <a:blip r:embed="rId98"/>
                          <a:stretch>
                            <a:fillRect/>
                          </a:stretch>
                        </pic:blipFill>
                        <pic:spPr bwMode="auto">
                          <a:xfrm>
                            <a:off x="0" y="0"/>
                            <a:ext cx="419100" cy="352425"/>
                          </a:xfrm>
                          <a:prstGeom prst="rect">
                            <a:avLst/>
                          </a:prstGeom>
                        </pic:spPr>
                      </pic:pic>
                    </a:graphicData>
                  </a:graphic>
                </wp:inline>
              </w:drawing>
            </w:r>
            <w:r>
              <w:rPr/>
              <w:t xml:space="preserve"> </w:t>
            </w:r>
          </w:p>
          <w:p>
            <w:pPr>
              <w:pStyle w:val="TableContents"/>
              <w:bidi w:val="0"/>
              <w:spacing w:before="0" w:after="20"/>
              <w:jc w:val="center"/>
              <w:rPr>
                <w:rFonts w:ascii="arial" w:hAnsi="arial"/>
                <w:b/>
                <w:color w:val="FFFFFF"/>
                <w:sz w:val="16"/>
              </w:rPr>
            </w:pPr>
            <w:r>
              <w:rPr>
                <w:rFonts w:ascii="arial" w:hAnsi="arial"/>
                <w:b/>
                <w:color w:val="FFFFFF"/>
                <w:sz w:val="16"/>
              </w:rPr>
              <w:t>Return of Capital</w:t>
            </w:r>
          </w:p>
        </w:tc>
        <w:tc>
          <w:tcPr>
            <w:tcW w:w="60" w:type="dxa"/>
            <w:tcBorders>
              <w:left w:val="single" w:sz="6" w:space="0" w:color="0171B9"/>
              <w:bottom w:val="single" w:sz="6" w:space="0" w:color="0171B9"/>
            </w:tcBorders>
            <w:tcMar>
              <w:left w:w="28" w:type="dxa"/>
              <w:bottom w:w="28" w:type="dxa"/>
            </w:tcMar>
            <w:vAlign w:val="center"/>
          </w:tcPr>
          <w:p>
            <w:pPr>
              <w:pStyle w:val="TableContents"/>
              <w:bidi w:val="0"/>
              <w:spacing w:before="0" w:after="283"/>
              <w:jc w:val="left"/>
              <w:rPr/>
            </w:pPr>
            <w:r>
              <w:rPr/>
              <w:t> </w:t>
            </w:r>
          </w:p>
        </w:tc>
        <w:tc>
          <w:tcPr>
            <w:tcW w:w="4521" w:type="dxa"/>
            <w:tcBorders>
              <w:bottom w:val="single" w:sz="6" w:space="0" w:color="0171B9"/>
              <w:right w:val="single" w:sz="6" w:space="0" w:color="0171B9"/>
            </w:tcBorders>
            <w:tcMar>
              <w:bottom w:w="80" w:type="dxa"/>
              <w:right w:w="28" w:type="dxa"/>
            </w:tcMar>
            <w:vAlign w:val="center"/>
          </w:tcPr>
          <w:p>
            <w:pPr>
              <w:pStyle w:val="TableContents"/>
              <w:bidi w:val="0"/>
              <w:spacing w:before="0" w:after="0"/>
              <w:jc w:val="both"/>
              <w:rPr>
                <w:rFonts w:ascii="arial" w:hAnsi="arial"/>
                <w:sz w:val="16"/>
              </w:rPr>
            </w:pPr>
            <w:r>
              <w:rPr>
                <w:rFonts w:ascii="arial" w:hAnsi="arial"/>
                <w:sz w:val="16"/>
              </w:rPr>
              <w:t>Our strong cash flows and balance sheet allow us to make substantial investments for long-term growth. We also recognize that stockholders who support investment in developing innovative medicines require an appropriate return on the capital they commit to Amgen. We returned excess capital through dividends.</w:t>
            </w:r>
          </w:p>
        </w:tc>
        <w:tc>
          <w:tcPr>
            <w:tcW w:w="60" w:type="dxa"/>
            <w:tcBorders>
              <w:bottom w:val="single" w:sz="6" w:space="0" w:color="0171B9"/>
            </w:tcBorders>
            <w:tcMar>
              <w:bottom w:w="28" w:type="dxa"/>
            </w:tcMar>
            <w:vAlign w:val="center"/>
          </w:tcPr>
          <w:p>
            <w:pPr>
              <w:pStyle w:val="TableContents"/>
              <w:bidi w:val="0"/>
              <w:spacing w:before="0" w:after="283"/>
              <w:jc w:val="left"/>
              <w:rPr/>
            </w:pPr>
            <w:r>
              <w:rPr/>
              <w:t> </w:t>
            </w:r>
          </w:p>
        </w:tc>
        <w:tc>
          <w:tcPr>
            <w:tcW w:w="3639" w:type="dxa"/>
            <w:tcBorders>
              <w:bottom w:val="single" w:sz="6" w:space="0" w:color="0171B9"/>
              <w:right w:val="single" w:sz="6" w:space="0" w:color="0171B9"/>
            </w:tcBorders>
            <w:tcMar>
              <w:bottom w:w="80" w:type="dxa"/>
              <w:right w:w="40" w:type="dxa"/>
            </w:tcMar>
            <w:vAlign w:val="center"/>
          </w:tcPr>
          <w:p>
            <w:pPr>
              <w:pStyle w:val="TableContents"/>
              <w:bidi w:val="0"/>
              <w:spacing w:before="0" w:after="0"/>
              <w:jc w:val="both"/>
              <w:rPr>
                <w:color w:val="0171B9"/>
              </w:rPr>
            </w:pPr>
            <w:r>
              <w:rPr>
                <w:color w:val="0171B9"/>
              </w:rPr>
              <w:t>•  </w:t>
            </w:r>
            <w:r>
              <w:rPr>
                <w:rFonts w:ascii="arial" w:hAnsi="arial"/>
                <w:b/>
                <w:color w:val="0171B9"/>
                <w:sz w:val="16"/>
              </w:rPr>
              <w:t>Invested $33.7 billion for long-term growth</w:t>
            </w:r>
            <w:r>
              <w:rPr>
                <w:rFonts w:ascii="arial" w:hAnsi="arial"/>
                <w:color w:val="0171B9"/>
                <w:sz w:val="16"/>
              </w:rPr>
              <w:t>:</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b/>
                <w:color w:val="0171B9"/>
                <w:sz w:val="16"/>
              </w:rPr>
              <w:t>$27.8 billion</w:t>
            </w:r>
            <w:r>
              <w:rPr>
                <w:rFonts w:ascii="arial" w:hAnsi="arial"/>
                <w:color w:val="0171B9"/>
                <w:sz w:val="16"/>
              </w:rPr>
              <w:t xml:space="preserve"> </w:t>
            </w:r>
            <w:r>
              <w:rPr>
                <w:rFonts w:ascii="arial" w:hAnsi="arial"/>
                <w:sz w:val="16"/>
              </w:rPr>
              <w:t>in</w:t>
            </w:r>
            <w:r>
              <w:rPr>
                <w:rFonts w:ascii="arial" w:hAnsi="arial"/>
                <w:color w:val="0171B9"/>
                <w:sz w:val="16"/>
              </w:rPr>
              <w:t xml:space="preserve"> </w:t>
            </w:r>
            <w:r>
              <w:rPr>
                <w:rFonts w:ascii="arial" w:hAnsi="arial"/>
                <w:b/>
                <w:color w:val="0171B9"/>
                <w:sz w:val="16"/>
              </w:rPr>
              <w:t>acquisitions</w:t>
            </w:r>
            <w:r>
              <w:rPr>
                <w:rFonts w:ascii="arial" w:hAnsi="arial"/>
                <w:sz w:val="16"/>
              </w:rPr>
              <w:t>;</w:t>
            </w:r>
          </w:p>
          <w:p>
            <w:pPr>
              <w:pStyle w:val="TableContents"/>
              <w:bidi w:val="0"/>
              <w:spacing w:before="0" w:after="0"/>
              <w:jc w:val="both"/>
              <w:rPr/>
            </w:pPr>
            <w:r>
              <w:rPr>
                <w:color w:val="0171B9"/>
              </w:rPr>
              <w:t>–</w:t>
            </w:r>
            <w:r>
              <w:rPr/>
              <w:t>  </w:t>
            </w:r>
            <w:r>
              <w:rPr>
                <w:rFonts w:ascii="arial" w:hAnsi="arial"/>
                <w:b/>
                <w:color w:val="0171B9"/>
                <w:sz w:val="16"/>
              </w:rPr>
              <w:t>$4.8 billion in research and development</w:t>
            </w:r>
            <w:r>
              <w:rPr>
                <w:rFonts w:ascii="arial" w:hAnsi="arial"/>
                <w:sz w:val="16"/>
              </w:rPr>
              <w:t>; and</w:t>
            </w:r>
          </w:p>
          <w:p>
            <w:pPr>
              <w:pStyle w:val="TableContents"/>
              <w:bidi w:val="0"/>
              <w:spacing w:before="0" w:after="0"/>
              <w:jc w:val="both"/>
              <w:rPr/>
            </w:pPr>
            <w:r>
              <w:rPr>
                <w:color w:val="0171B9"/>
              </w:rPr>
              <w:t>–</w:t>
            </w:r>
            <w:r>
              <w:rPr/>
              <w:t>  </w:t>
            </w:r>
            <w:r>
              <w:rPr>
                <w:rFonts w:ascii="arial" w:hAnsi="arial"/>
                <w:b/>
                <w:color w:val="0171B9"/>
                <w:sz w:val="16"/>
              </w:rPr>
              <w:t>$1.1 billion</w:t>
            </w:r>
            <w:r>
              <w:rPr>
                <w:rFonts w:ascii="arial" w:hAnsi="arial"/>
                <w:sz w:val="16"/>
              </w:rPr>
              <w:t xml:space="preserve"> in </w:t>
            </w:r>
            <w:r>
              <w:rPr>
                <w:rFonts w:ascii="arial" w:hAnsi="arial"/>
                <w:b/>
                <w:color w:val="0171B9"/>
                <w:sz w:val="16"/>
              </w:rPr>
              <w:t>capital expenditures</w:t>
            </w:r>
            <w:r>
              <w:rPr>
                <w:rFonts w:ascii="arial" w:hAnsi="arial"/>
                <w:sz w:val="16"/>
              </w:rPr>
              <w:t xml:space="preserve">, including investments in </w:t>
            </w:r>
            <w:r>
              <w:rPr>
                <w:rFonts w:ascii="arial" w:hAnsi="arial"/>
                <w:b/>
                <w:color w:val="0171B9"/>
                <w:sz w:val="16"/>
              </w:rPr>
              <w:t>manufacturing sites</w:t>
            </w:r>
            <w:r>
              <w:rPr>
                <w:rFonts w:ascii="arial" w:hAnsi="arial"/>
                <w:sz w:val="16"/>
              </w:rPr>
              <w:t xml:space="preserve"> that support our environmental goals.</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b/>
                <w:color w:val="0171B9"/>
                <w:sz w:val="16"/>
              </w:rPr>
              <w:t>Returned capital to investors in $4.6 billion of dividends paid</w:t>
            </w:r>
            <w:r>
              <w:rPr>
                <w:rFonts w:ascii="arial" w:hAnsi="arial"/>
                <w:sz w:val="16"/>
              </w:rPr>
              <w:t xml:space="preserve"> (</w:t>
            </w:r>
            <w:r>
              <w:rPr>
                <w:rFonts w:ascii="arial" w:hAnsi="arial"/>
                <w:b/>
                <w:color w:val="0171B9"/>
                <w:sz w:val="16"/>
              </w:rPr>
              <w:t>$2.13 per share per quarter</w:t>
            </w:r>
            <w:r>
              <w:rPr>
                <w:rFonts w:ascii="arial" w:hAnsi="arial"/>
                <w:sz w:val="16"/>
              </w:rPr>
              <w:t>, a 10% per share dividend increase over 2022).</w:t>
            </w:r>
          </w:p>
          <w:p>
            <w:pPr>
              <w:pStyle w:val="TableContents"/>
              <w:bidi w:val="0"/>
              <w:spacing w:before="0" w:after="20"/>
              <w:jc w:val="left"/>
              <w:rPr/>
            </w:pPr>
            <w:r>
              <w:rPr/>
              <w:t> </w:t>
            </w:r>
          </w:p>
        </w:tc>
      </w:tr>
    </w:tbl>
    <w:p>
      <w:pPr>
        <w:pStyle w:val="TextBody"/>
        <w:pBdr>
          <w:bottom w:val="single" w:sz="2" w:space="1" w:color="000000"/>
        </w:pBdr>
        <w:bidi w:val="0"/>
        <w:spacing w:lineRule="atLeast" w:line="160" w:before="0" w:after="40"/>
        <w:jc w:val="left"/>
        <w:rPr/>
      </w:pPr>
      <w:r>
        <w:rPr/>
        <w:t> </w:t>
      </w:r>
    </w:p>
    <w:tbl>
      <w:tblPr>
        <w:tblW w:w="5485" w:type="dxa"/>
        <w:jc w:val="left"/>
        <w:tblInd w:w="0" w:type="dxa"/>
        <w:tblLayout w:type="fixed"/>
        <w:tblCellMar>
          <w:top w:w="0" w:type="dxa"/>
          <w:left w:w="0" w:type="dxa"/>
          <w:bottom w:w="0" w:type="dxa"/>
          <w:right w:w="0" w:type="dxa"/>
        </w:tblCellMar>
      </w:tblPr>
      <w:tblGrid>
        <w:gridCol w:w="365"/>
        <w:gridCol w:w="5120"/>
      </w:tblGrid>
      <w:tr>
        <w:trPr/>
        <w:tc>
          <w:tcPr>
            <w:tcW w:w="365" w:type="dxa"/>
            <w:tcBorders/>
            <w:vAlign w:val="center"/>
          </w:tcPr>
          <w:p>
            <w:pPr>
              <w:pStyle w:val="TableContents"/>
              <w:bidi w:val="0"/>
              <w:spacing w:before="0" w:after="283"/>
              <w:jc w:val="left"/>
              <w:rPr/>
            </w:pPr>
            <w:r>
              <w:rPr/>
              <w:t>(1) </w:t>
            </w:r>
          </w:p>
        </w:tc>
        <w:tc>
          <w:tcPr>
            <w:tcW w:w="5120" w:type="dxa"/>
            <w:tcBorders/>
            <w:vAlign w:val="center"/>
          </w:tcPr>
          <w:p>
            <w:pPr>
              <w:pStyle w:val="TableContents"/>
              <w:bidi w:val="0"/>
              <w:spacing w:before="0" w:after="0"/>
              <w:jc w:val="both"/>
              <w:rPr>
                <w:rFonts w:ascii="arial" w:hAnsi="arial"/>
                <w:sz w:val="16"/>
              </w:rPr>
            </w:pPr>
            <w:r>
              <w:rPr>
                <w:rFonts w:ascii="arial" w:hAnsi="arial"/>
                <w:sz w:val="16"/>
              </w:rPr>
              <w:t xml:space="preserve">EYLEA is a registered trademark of Regeneron Pharmaceuticals, Inc. </w:t>
            </w:r>
          </w:p>
        </w:tc>
      </w:tr>
    </w:tbl>
    <w:tbl>
      <w:tblPr>
        <w:tblW w:w="5125" w:type="dxa"/>
        <w:jc w:val="left"/>
        <w:tblInd w:w="0" w:type="dxa"/>
        <w:tblLayout w:type="fixed"/>
        <w:tblCellMar>
          <w:top w:w="0" w:type="dxa"/>
          <w:left w:w="0" w:type="dxa"/>
          <w:bottom w:w="0" w:type="dxa"/>
          <w:right w:w="0" w:type="dxa"/>
        </w:tblCellMar>
      </w:tblPr>
      <w:tblGrid>
        <w:gridCol w:w="365"/>
        <w:gridCol w:w="4760"/>
      </w:tblGrid>
      <w:tr>
        <w:trPr/>
        <w:tc>
          <w:tcPr>
            <w:tcW w:w="365" w:type="dxa"/>
            <w:tcBorders/>
            <w:vAlign w:val="center"/>
          </w:tcPr>
          <w:p>
            <w:pPr>
              <w:pStyle w:val="TableContents"/>
              <w:bidi w:val="0"/>
              <w:spacing w:before="0" w:after="283"/>
              <w:jc w:val="left"/>
              <w:rPr/>
            </w:pPr>
            <w:r>
              <w:rPr/>
              <w:t>(2) </w:t>
            </w:r>
          </w:p>
        </w:tc>
        <w:tc>
          <w:tcPr>
            <w:tcW w:w="4760" w:type="dxa"/>
            <w:tcBorders/>
            <w:vAlign w:val="center"/>
          </w:tcPr>
          <w:p>
            <w:pPr>
              <w:pStyle w:val="TableContents"/>
              <w:bidi w:val="0"/>
              <w:spacing w:before="0" w:after="0"/>
              <w:jc w:val="both"/>
              <w:rPr>
                <w:rFonts w:ascii="arial" w:hAnsi="arial"/>
                <w:sz w:val="16"/>
              </w:rPr>
            </w:pPr>
            <w:r>
              <w:rPr>
                <w:rFonts w:ascii="arial" w:hAnsi="arial"/>
                <w:sz w:val="16"/>
              </w:rPr>
              <w:t xml:space="preserve">Soliris is a registered trademark of Alexion Pharmaceuticals, Inc. </w:t>
            </w:r>
          </w:p>
        </w:tc>
      </w:tr>
    </w:tbl>
    <w:tbl>
      <w:tblPr>
        <w:tblW w:w="4780" w:type="dxa"/>
        <w:jc w:val="left"/>
        <w:tblInd w:w="0" w:type="dxa"/>
        <w:tblLayout w:type="fixed"/>
        <w:tblCellMar>
          <w:top w:w="0" w:type="dxa"/>
          <w:left w:w="0" w:type="dxa"/>
          <w:bottom w:w="0" w:type="dxa"/>
          <w:right w:w="0" w:type="dxa"/>
        </w:tblCellMar>
      </w:tblPr>
      <w:tblGrid>
        <w:gridCol w:w="365"/>
        <w:gridCol w:w="4415"/>
      </w:tblGrid>
      <w:tr>
        <w:trPr/>
        <w:tc>
          <w:tcPr>
            <w:tcW w:w="365" w:type="dxa"/>
            <w:tcBorders/>
            <w:vAlign w:val="center"/>
          </w:tcPr>
          <w:p>
            <w:pPr>
              <w:pStyle w:val="TableContents"/>
              <w:bidi w:val="0"/>
              <w:spacing w:before="0" w:after="283"/>
              <w:jc w:val="left"/>
              <w:rPr/>
            </w:pPr>
            <w:r>
              <w:rPr/>
              <w:t>(3) </w:t>
            </w:r>
          </w:p>
        </w:tc>
        <w:tc>
          <w:tcPr>
            <w:tcW w:w="4415" w:type="dxa"/>
            <w:tcBorders/>
            <w:vAlign w:val="center"/>
          </w:tcPr>
          <w:p>
            <w:pPr>
              <w:pStyle w:val="TableContents"/>
              <w:bidi w:val="0"/>
              <w:spacing w:before="0" w:after="0"/>
              <w:jc w:val="both"/>
              <w:rPr>
                <w:rFonts w:ascii="arial" w:hAnsi="arial"/>
                <w:sz w:val="16"/>
              </w:rPr>
            </w:pPr>
            <w:r>
              <w:rPr>
                <w:rFonts w:ascii="arial" w:hAnsi="arial"/>
                <w:sz w:val="16"/>
              </w:rPr>
              <w:t xml:space="preserve">STELARA is a registered trademark of Johnson &amp; Johnson. </w:t>
            </w:r>
          </w:p>
        </w:tc>
      </w:tr>
    </w:tbl>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186"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95" descr=""/>
                    <pic:cNvPicPr>
                      <a:picLocks noChangeAspect="1" noChangeArrowheads="1"/>
                    </pic:cNvPicPr>
                  </pic:nvPicPr>
                  <pic:blipFill>
                    <a:blip r:embed="rId99"/>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51</w:t>
      </w:r>
      <w:r>
        <w:rPr>
          <w:rFonts w:ascii="arial" w:hAnsi="arial"/>
          <w:b/>
          <w:sz w:val="22"/>
        </w:rPr>
        <w:t xml:space="preserve"> </w:t>
      </w:r>
      <w:r>
        <w:br w:type="page"/>
      </w:r>
    </w:p>
    <w:p>
      <w:pPr>
        <w:pStyle w:val="HorizontalLine"/>
        <w:bidi w:val="0"/>
        <w:jc w:val="left"/>
        <w:rPr/>
      </w:pPr>
      <w:r>
        <w:rPr/>
      </w:r>
    </w:p>
    <w:tbl>
      <w:tblPr>
        <w:tblW w:w="507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45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459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Compensation Discussion and Analysis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171B9"/>
          <w:sz w:val="28"/>
        </w:rPr>
      </w:pPr>
      <w:bookmarkStart w:id="35" w:name="toc445034_31"/>
      <w:bookmarkStart w:id="36" w:name="txa445034_102"/>
      <w:bookmarkEnd w:id="35"/>
      <w:bookmarkEnd w:id="36"/>
      <w:r>
        <w:rPr>
          <w:rFonts w:ascii="arial" w:hAnsi="arial"/>
          <w:b/>
          <w:color w:val="0171B9"/>
          <w:sz w:val="28"/>
        </w:rPr>
        <w:t xml:space="preserve">Our Approach to Environmental Sustainability, Social Responsibility, and Corporate Governance </w:t>
      </w:r>
    </w:p>
    <w:p>
      <w:pPr>
        <w:pStyle w:val="TextBody"/>
        <w:bidi w:val="0"/>
        <w:spacing w:before="0" w:after="0"/>
        <w:jc w:val="left"/>
        <w:rPr/>
      </w:pPr>
      <w:r>
        <w:rPr/>
        <w:t> </w:t>
      </w:r>
    </w:p>
    <w:p>
      <w:pPr>
        <w:pStyle w:val="TextBody"/>
        <w:pBdr>
          <w:bottom w:val="single" w:sz="2" w:space="1" w:color="666666"/>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31">
                <wp:simplePos x="0" y="0"/>
                <wp:positionH relativeFrom="column">
                  <wp:align>left</wp:align>
                </wp:positionH>
                <wp:positionV relativeFrom="line">
                  <wp:posOffset>635</wp:posOffset>
                </wp:positionV>
                <wp:extent cx="3110230" cy="4796155"/>
                <wp:effectExtent l="0" t="0" r="0" b="0"/>
                <wp:wrapSquare wrapText="right"/>
                <wp:docPr id="187" name="Frame89"/>
                <a:graphic xmlns:a="http://schemas.openxmlformats.org/drawingml/2006/main">
                  <a:graphicData uri="http://schemas.microsoft.com/office/word/2010/wordprocessingShape">
                    <wps:wsp>
                      <wps:cNvSpPr txBox="1"/>
                      <wps:spPr>
                        <a:xfrm>
                          <a:off x="0" y="0"/>
                          <a:ext cx="3110230" cy="4796155"/>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Consistent with our commitment to the long-term and our mission to serve patients, we are focused on building a sustainable business. To that end, our environmental sustainability, social responsibility, and corporate governance (ESG) activities are integrated into our business pursuits and overseen by our Board. </w:t>
                            </w:r>
                          </w:p>
                          <w:p>
                            <w:pPr>
                              <w:pStyle w:val="TextBody"/>
                              <w:bidi w:val="0"/>
                              <w:spacing w:before="120" w:after="0"/>
                              <w:jc w:val="both"/>
                              <w:rPr>
                                <w:rFonts w:ascii="arial" w:hAnsi="arial"/>
                                <w:sz w:val="19"/>
                              </w:rPr>
                            </w:pPr>
                            <w:r>
                              <w:rPr>
                                <w:rFonts w:ascii="arial" w:hAnsi="arial"/>
                                <w:sz w:val="19"/>
                              </w:rPr>
                              <w:t xml:space="preserve">Our 2027 environmental sustainability plan features ambitious targets on carbon emissions, water conservation, and waste reductions. The plan, our third since 2007, includes a goal of achieving carbon neutrality(1) in our operations by 2027. The plan also includes goals to reduce water use by 40% and waste disposed by 75%.(1) After our successful delivery on the ESG goals under our 2022 annual cash incentive plan, our Compensation and Management Development Committee, or Compensation Committee, approved an expanded ESG goal for our 2023 Company performance goals designed to continue to hold ourselves accountable for, and systematically advance towards, our 2027 environmental sustainability goals, to drive measurable achievement of our Representation in Clinical Research (RISE) objectives (in support of our strategic priority of innovation), and to expand ownership and accountability for our culture of inclusion deeper into the organization by increasing the number of leaders accountable for action (in support of our strategic priority of continuous improvement) and of our diversity, inclusion, and belonging program. This 2023 ESG goal focused on these areas by requiring: </w:t>
                            </w:r>
                          </w:p>
                          <w:p>
                            <w:pPr>
                              <w:pStyle w:val="TextBody"/>
                              <w:bidi w:val="0"/>
                              <w:spacing w:before="0" w:after="0"/>
                              <w:jc w:val="left"/>
                              <w:rPr/>
                            </w:pPr>
                            <w:r>
                              <w:rPr/>
                              <w:t> </w:t>
                            </w:r>
                          </w:p>
                          <w:tbl>
                            <w:tblPr>
                              <w:tblW w:w="8665" w:type="dxa"/>
                              <w:jc w:val="left"/>
                              <w:tblInd w:w="0" w:type="dxa"/>
                              <w:tblLayout w:type="fixed"/>
                              <w:tblCellMar>
                                <w:top w:w="0" w:type="dxa"/>
                                <w:left w:w="0" w:type="dxa"/>
                                <w:bottom w:w="0" w:type="dxa"/>
                                <w:right w:w="0" w:type="dxa"/>
                              </w:tblCellMar>
                            </w:tblPr>
                            <w:tblGrid>
                              <w:gridCol w:w="125"/>
                              <w:gridCol w:w="60"/>
                              <w:gridCol w:w="848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8480" w:type="dxa"/>
                                  <w:tcBorders/>
                                  <w:vAlign w:val="center"/>
                                </w:tcPr>
                                <w:p>
                                  <w:pPr>
                                    <w:pStyle w:val="TableContents"/>
                                    <w:bidi w:val="0"/>
                                    <w:spacing w:before="0" w:after="0"/>
                                    <w:jc w:val="both"/>
                                    <w:rPr>
                                      <w:rFonts w:ascii="arial" w:hAnsi="arial"/>
                                      <w:sz w:val="19"/>
                                    </w:rPr>
                                  </w:pPr>
                                  <w:r>
                                    <w:rPr>
                                      <w:rFonts w:ascii="arial" w:hAnsi="arial"/>
                                      <w:sz w:val="19"/>
                                    </w:rPr>
                                    <w:t xml:space="preserve">Timely achievement of cumulative conservation targets for carbon, water, and waste disposed in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77.6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Consistent with our commitment to the long-term and our mission to serve patients, we are focused on building a sustainable business. To that end, our environmental sustainability, social responsibility, and corporate governance (ESG) activities are integrated into our business pursuits and overseen by our Board. </w:t>
                      </w:r>
                    </w:p>
                    <w:p>
                      <w:pPr>
                        <w:pStyle w:val="TextBody"/>
                        <w:bidi w:val="0"/>
                        <w:spacing w:before="120" w:after="0"/>
                        <w:jc w:val="both"/>
                        <w:rPr>
                          <w:rFonts w:ascii="arial" w:hAnsi="arial"/>
                          <w:sz w:val="19"/>
                        </w:rPr>
                      </w:pPr>
                      <w:r>
                        <w:rPr>
                          <w:rFonts w:ascii="arial" w:hAnsi="arial"/>
                          <w:sz w:val="19"/>
                        </w:rPr>
                        <w:t xml:space="preserve">Our 2027 environmental sustainability plan features ambitious targets on carbon emissions, water conservation, and waste reductions. The plan, our third since 2007, includes a goal of achieving carbon neutrality(1) in our operations by 2027. The plan also includes goals to reduce water use by 40% and waste disposed by 75%.(1) After our successful delivery on the ESG goals under our 2022 annual cash incentive plan, our Compensation and Management Development Committee, or Compensation Committee, approved an expanded ESG goal for our 2023 Company performance goals designed to continue to hold ourselves accountable for, and systematically advance towards, our 2027 environmental sustainability goals, to drive measurable achievement of our Representation in Clinical Research (RISE) objectives (in support of our strategic priority of innovation), and to expand ownership and accountability for our culture of inclusion deeper into the organization by increasing the number of leaders accountable for action (in support of our strategic priority of continuous improvement) and of our diversity, inclusion, and belonging program. This 2023 ESG goal focused on these areas by requiring: </w:t>
                      </w:r>
                    </w:p>
                    <w:p>
                      <w:pPr>
                        <w:pStyle w:val="TextBody"/>
                        <w:bidi w:val="0"/>
                        <w:spacing w:before="0" w:after="0"/>
                        <w:jc w:val="left"/>
                        <w:rPr/>
                      </w:pPr>
                      <w:r>
                        <w:rPr/>
                        <w:t> </w:t>
                      </w:r>
                    </w:p>
                    <w:tbl>
                      <w:tblPr>
                        <w:tblW w:w="8665" w:type="dxa"/>
                        <w:jc w:val="left"/>
                        <w:tblInd w:w="0" w:type="dxa"/>
                        <w:tblLayout w:type="fixed"/>
                        <w:tblCellMar>
                          <w:top w:w="0" w:type="dxa"/>
                          <w:left w:w="0" w:type="dxa"/>
                          <w:bottom w:w="0" w:type="dxa"/>
                          <w:right w:w="0" w:type="dxa"/>
                        </w:tblCellMar>
                      </w:tblPr>
                      <w:tblGrid>
                        <w:gridCol w:w="125"/>
                        <w:gridCol w:w="60"/>
                        <w:gridCol w:w="848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8480" w:type="dxa"/>
                            <w:tcBorders/>
                            <w:vAlign w:val="center"/>
                          </w:tcPr>
                          <w:p>
                            <w:pPr>
                              <w:pStyle w:val="TableContents"/>
                              <w:bidi w:val="0"/>
                              <w:spacing w:before="0" w:after="0"/>
                              <w:jc w:val="both"/>
                              <w:rPr>
                                <w:rFonts w:ascii="arial" w:hAnsi="arial"/>
                                <w:sz w:val="19"/>
                              </w:rPr>
                            </w:pPr>
                            <w:r>
                              <w:rPr>
                                <w:rFonts w:ascii="arial" w:hAnsi="arial"/>
                                <w:sz w:val="19"/>
                              </w:rPr>
                              <w:t xml:space="preserve">Timely achievement of cumulative conservation targets for carbon, water, and waste disposed in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32">
                <wp:simplePos x="0" y="0"/>
                <wp:positionH relativeFrom="column">
                  <wp:align>left</wp:align>
                </wp:positionH>
                <wp:positionV relativeFrom="line">
                  <wp:posOffset>635</wp:posOffset>
                </wp:positionV>
                <wp:extent cx="3175000" cy="3211195"/>
                <wp:effectExtent l="0" t="0" r="0" b="0"/>
                <wp:wrapSquare wrapText="right"/>
                <wp:docPr id="188" name="Frame90"/>
                <a:graphic xmlns:a="http://schemas.openxmlformats.org/drawingml/2006/main">
                  <a:graphicData uri="http://schemas.microsoft.com/office/word/2010/wordprocessingShape">
                    <wps:wsp>
                      <wps:cNvSpPr txBox="1"/>
                      <wps:spPr>
                        <a:xfrm>
                          <a:off x="0" y="0"/>
                          <a:ext cx="3175000" cy="3211195"/>
                        </a:xfrm>
                        <a:prstGeom prst="rect"/>
                        <a:solidFill>
                          <a:srgbClr val="FFFFFF"/>
                        </a:solidFill>
                      </wps:spPr>
                      <wps:txbx>
                        <w:txbxContent>
                          <w:tbl>
                            <w:tblPr>
                              <w:tblW w:w="6395" w:type="dxa"/>
                              <w:jc w:val="left"/>
                              <w:tblInd w:w="0" w:type="dxa"/>
                              <w:tblLayout w:type="fixed"/>
                              <w:tblCellMar>
                                <w:top w:w="0" w:type="dxa"/>
                                <w:left w:w="0" w:type="dxa"/>
                                <w:bottom w:w="0" w:type="dxa"/>
                                <w:right w:w="0" w:type="dxa"/>
                              </w:tblCellMar>
                            </w:tblPr>
                            <w:tblGrid>
                              <w:gridCol w:w="75"/>
                              <w:gridCol w:w="60"/>
                              <w:gridCol w:w="6260"/>
                            </w:tblGrid>
                            <w:tr>
                              <w:trPr/>
                              <w:tc>
                                <w:tcPr>
                                  <w:tcW w:w="7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0"/>
                                    <w:jc w:val="both"/>
                                    <w:rPr>
                                      <w:rFonts w:ascii="arial" w:hAnsi="arial"/>
                                      <w:sz w:val="19"/>
                                    </w:rPr>
                                  </w:pPr>
                                  <w:r>
                                    <w:rPr>
                                      <w:rFonts w:ascii="arial" w:hAnsi="arial"/>
                                      <w:sz w:val="19"/>
                                    </w:rPr>
                                    <w:t xml:space="preserve">2023, measured as a percentage of our 2027 environmental plan goals;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Measurable achievement of Representation in Clinical Research (RISE) program objectives by defining our success criteria for improvement in representative enrollment in clinical trials as well as key performance indicators to measure incorporation of diversity considerations in design and operational plans of interventional Phase 3 studies being conducted in the U.S., and developing a tracking system to monitor these key performance indicators;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Establishment and completion of diversity, inclusion, and belonging action plans in 2023 by an expanded group of leaders, including eligible directors and senior managers, to drive ownership and accountability for these activities deeper into the organization with a target goal of 90% participation. </w:t>
                                  </w:r>
                                </w:p>
                              </w:tc>
                            </w:tr>
                          </w:tbl>
                          <w:p>
                            <w:pPr>
                              <w:pStyle w:val="TextBody"/>
                              <w:bidi w:val="0"/>
                              <w:spacing w:before="240" w:after="0"/>
                              <w:jc w:val="both"/>
                              <w:rPr>
                                <w:rFonts w:ascii="arial" w:hAnsi="arial"/>
                                <w:sz w:val="19"/>
                              </w:rPr>
                            </w:pPr>
                            <w:r>
                              <w:rPr>
                                <w:rFonts w:ascii="arial" w:hAnsi="arial"/>
                                <w:sz w:val="19"/>
                              </w:rPr>
                              <w:t>For additional discussion, please see “Aligning Pay With Performance” and “Implementation of Our Strategic Priorities—</w:t>
                            </w:r>
                            <w:r>
                              <w:rPr>
                                <w:rFonts w:ascii="arial" w:hAnsi="arial"/>
                                <w:i/>
                                <w:sz w:val="19"/>
                              </w:rPr>
                              <w:t>2023 Annual Cash Incentive Plan</w:t>
                            </w:r>
                            <w:r>
                              <w:rPr>
                                <w:rFonts w:ascii="arial" w:hAnsi="arial"/>
                                <w:sz w:val="19"/>
                              </w:rPr>
                              <w:t>,” and “Elements of Compensation and Specific Compensation Decisions—</w:t>
                            </w:r>
                            <w:r>
                              <w:rPr>
                                <w:rFonts w:ascii="arial" w:hAnsi="arial"/>
                                <w:i/>
                                <w:sz w:val="19"/>
                              </w:rPr>
                              <w:t>Annual Cash Incentive Awards</w:t>
                            </w:r>
                            <w:r>
                              <w:rPr>
                                <w:rFonts w:ascii="arial" w:hAnsi="arial"/>
                                <w:sz w:val="19"/>
                              </w:rPr>
                              <w:t xml:space="preserve">—2023 Company Performance Goals” below. A description of our ESG efforts can be found in the “Corporate Governance” section, including the subsection “—Our Approach to Environmental Sustainability, Social Responsibility, and Human Capital Management.”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52.8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6395" w:type="dxa"/>
                        <w:jc w:val="left"/>
                        <w:tblInd w:w="0" w:type="dxa"/>
                        <w:tblLayout w:type="fixed"/>
                        <w:tblCellMar>
                          <w:top w:w="0" w:type="dxa"/>
                          <w:left w:w="0" w:type="dxa"/>
                          <w:bottom w:w="0" w:type="dxa"/>
                          <w:right w:w="0" w:type="dxa"/>
                        </w:tblCellMar>
                      </w:tblPr>
                      <w:tblGrid>
                        <w:gridCol w:w="75"/>
                        <w:gridCol w:w="60"/>
                        <w:gridCol w:w="6260"/>
                      </w:tblGrid>
                      <w:tr>
                        <w:trPr/>
                        <w:tc>
                          <w:tcPr>
                            <w:tcW w:w="75" w:type="dxa"/>
                            <w:tcBorders/>
                            <w:vAlign w:val="center"/>
                          </w:tcPr>
                          <w:p>
                            <w:pPr>
                              <w:pStyle w:val="TableContents"/>
                              <w:bidi w:val="0"/>
                              <w:spacing w:before="0" w:after="283"/>
                              <w:jc w:val="left"/>
                              <w:rPr>
                                <w:color w:val="000000"/>
                              </w:rPr>
                            </w:pPr>
                            <w:r>
                              <w:rPr>
                                <w:color w:val="000000"/>
                              </w:rPr>
                              <w:t> </w:t>
                            </w:r>
                          </w:p>
                        </w:tc>
                        <w:tc>
                          <w:tcPr>
                            <w:tcW w:w="6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0"/>
                              <w:jc w:val="both"/>
                              <w:rPr>
                                <w:rFonts w:ascii="arial" w:hAnsi="arial"/>
                                <w:sz w:val="19"/>
                              </w:rPr>
                            </w:pPr>
                            <w:r>
                              <w:rPr>
                                <w:rFonts w:ascii="arial" w:hAnsi="arial"/>
                                <w:sz w:val="19"/>
                              </w:rPr>
                              <w:t xml:space="preserve">2023, measured as a percentage of our 2027 environmental plan goals;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Measurable achievement of Representation in Clinical Research (RISE) program objectives by defining our success criteria for improvement in representative enrollment in clinical trials as well as key performance indicators to measure incorporation of diversity considerations in design and operational plans of interventional Phase 3 studies being conducted in the U.S., and developing a tracking system to monitor these key performance indicators;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Establishment and completion of diversity, inclusion, and belonging action plans in 2023 by an expanded group of leaders, including eligible directors and senior managers, to drive ownership and accountability for these activities deeper into the organization with a target goal of 90% participation. </w:t>
                            </w:r>
                          </w:p>
                        </w:tc>
                      </w:tr>
                    </w:tbl>
                    <w:p>
                      <w:pPr>
                        <w:pStyle w:val="TextBody"/>
                        <w:bidi w:val="0"/>
                        <w:spacing w:before="240" w:after="0"/>
                        <w:jc w:val="both"/>
                        <w:rPr>
                          <w:rFonts w:ascii="arial" w:hAnsi="arial"/>
                          <w:sz w:val="19"/>
                        </w:rPr>
                      </w:pPr>
                      <w:r>
                        <w:rPr>
                          <w:rFonts w:ascii="arial" w:hAnsi="arial"/>
                          <w:sz w:val="19"/>
                        </w:rPr>
                        <w:t>For additional discussion, please see “Aligning Pay With Performance” and “Implementation of Our Strategic Priorities—</w:t>
                      </w:r>
                      <w:r>
                        <w:rPr>
                          <w:rFonts w:ascii="arial" w:hAnsi="arial"/>
                          <w:i/>
                          <w:sz w:val="19"/>
                        </w:rPr>
                        <w:t>2023 Annual Cash Incentive Plan</w:t>
                      </w:r>
                      <w:r>
                        <w:rPr>
                          <w:rFonts w:ascii="arial" w:hAnsi="arial"/>
                          <w:sz w:val="19"/>
                        </w:rPr>
                        <w:t>,” and “Elements of Compensation and Specific Compensation Decisions—</w:t>
                      </w:r>
                      <w:r>
                        <w:rPr>
                          <w:rFonts w:ascii="arial" w:hAnsi="arial"/>
                          <w:i/>
                          <w:sz w:val="19"/>
                        </w:rPr>
                        <w:t>Annual Cash Incentive Awards</w:t>
                      </w:r>
                      <w:r>
                        <w:rPr>
                          <w:rFonts w:ascii="arial" w:hAnsi="arial"/>
                          <w:sz w:val="19"/>
                        </w:rPr>
                        <w:t xml:space="preserve">—2023 Company Performance Goals” below. A description of our ESG efforts can be found in the “Corporate Governance” section, including the subsection “—Our Approach to Environmental Sustainability, Social Responsibility, and Human Capital Management.” </w:t>
                      </w:r>
                    </w:p>
                  </w:txbxContent>
                </v:textbox>
                <w10:wrap type="square" side="right"/>
              </v:rect>
            </w:pict>
          </mc:Fallback>
        </mc:AlternateContent>
      </w:r>
    </w:p>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pPr>
            <w:r>
              <w:rPr/>
              <w:t>(1) </w:t>
            </w:r>
          </w:p>
        </w:tc>
        <w:tc>
          <w:tcPr>
            <w:tcW w:w="9905" w:type="dxa"/>
            <w:tcBorders/>
            <w:vAlign w:val="center"/>
          </w:tcPr>
          <w:p>
            <w:pPr>
              <w:pStyle w:val="TableContents"/>
              <w:bidi w:val="0"/>
              <w:spacing w:before="0" w:after="0"/>
              <w:jc w:val="both"/>
              <w:rPr>
                <w:rFonts w:ascii="arial" w:hAnsi="arial"/>
                <w:sz w:val="16"/>
              </w:rPr>
            </w:pPr>
            <w:r>
              <w:rPr>
                <w:rFonts w:ascii="arial" w:hAnsi="arial"/>
                <w:sz w:val="16"/>
              </w:rPr>
              <w:t xml:space="preserve">Carbon neutrality goal refers to Scope 1 and 2. Reductions take into account only verified reduction projections, do not take into account changes associated with the contraction or expansion of the Company and are measured against a 2019 baseline. </w:t>
            </w:r>
          </w:p>
        </w:tc>
      </w:tr>
    </w:tbl>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52  </w:t>
      </w:r>
      <w:r>
        <w:rPr>
          <w:rFonts w:ascii="arial" w:hAnsi="arial"/>
          <w:b/>
          <w:color w:val="474747"/>
          <w:sz w:val="22"/>
        </w:rPr>
        <w:drawing>
          <wp:inline distT="0" distB="0" distL="0" distR="0">
            <wp:extent cx="64770" cy="15240"/>
            <wp:effectExtent l="0" t="0" r="0" b="0"/>
            <wp:docPr id="189"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96" descr=""/>
                    <pic:cNvPicPr>
                      <a:picLocks noChangeAspect="1" noChangeArrowheads="1"/>
                    </pic:cNvPicPr>
                  </pic:nvPicPr>
                  <pic:blipFill>
                    <a:blip r:embed="rId100"/>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507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45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459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Compensation Discussion and Analysis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3470" w:type="dxa"/>
        <w:jc w:val="left"/>
        <w:tblInd w:w="0" w:type="dxa"/>
        <w:tblLayout w:type="fixed"/>
        <w:tblCellMar>
          <w:top w:w="0" w:type="dxa"/>
          <w:left w:w="0" w:type="dxa"/>
          <w:bottom w:w="0" w:type="dxa"/>
          <w:right w:w="0" w:type="dxa"/>
        </w:tblCellMar>
      </w:tblPr>
      <w:tblGrid>
        <w:gridCol w:w="3470"/>
      </w:tblGrid>
      <w:tr>
        <w:trPr/>
        <w:tc>
          <w:tcPr>
            <w:tcW w:w="3470" w:type="dxa"/>
            <w:tcBorders/>
            <w:vAlign w:val="center"/>
          </w:tcPr>
          <w:p>
            <w:pPr>
              <w:pStyle w:val="TableContents"/>
              <w:bidi w:val="0"/>
              <w:spacing w:before="0" w:after="283"/>
              <w:jc w:val="left"/>
              <w:rPr>
                <w:sz w:val="4"/>
                <w:szCs w:val="4"/>
              </w:rPr>
            </w:pPr>
            <w:r>
              <w:rPr>
                <w:sz w:val="4"/>
                <w:szCs w:val="4"/>
              </w:rPr>
            </w:r>
            <w:bookmarkStart w:id="37" w:name="txa445034_103"/>
            <w:bookmarkStart w:id="38" w:name="txa445034_103"/>
            <w:bookmarkEnd w:id="38"/>
          </w:p>
        </w:tc>
      </w:tr>
      <w:tr>
        <w:trPr/>
        <w:tc>
          <w:tcPr>
            <w:tcW w:w="3470" w:type="dxa"/>
            <w:tcBorders/>
            <w:vAlign w:val="center"/>
          </w:tcPr>
          <w:p>
            <w:pPr>
              <w:pStyle w:val="TableContents"/>
              <w:bidi w:val="0"/>
              <w:spacing w:before="0" w:after="283"/>
              <w:jc w:val="center"/>
              <w:rPr>
                <w:b/>
                <w:color w:val="0171B9"/>
              </w:rPr>
            </w:pPr>
            <w:bookmarkStart w:id="39" w:name="toc445034_32"/>
            <w:bookmarkEnd w:id="39"/>
            <w:r>
              <w:rPr>
                <w:b/>
                <w:color w:val="0171B9"/>
              </w:rPr>
              <w:t>Our Compensation Best Practices</w:t>
            </w:r>
          </w:p>
        </w:tc>
      </w:tr>
    </w:tbl>
    <w:p>
      <w:pPr>
        <w:pStyle w:val="TextBody"/>
        <w:bidi w:val="0"/>
        <w:jc w:val="left"/>
        <w:rPr>
          <w:bdr w:val="single" w:sz="2" w:space="1" w:color="000000"/>
        </w:rPr>
      </w:pPr>
      <w:r>
        <w:rPr>
          <w:bdr w:val="single" w:sz="2" w:space="1" w:color="000000"/>
        </w:rPr>
        <w:t> </w:t>
      </w:r>
      <w:r>
        <mc:AlternateContent>
          <mc:Choice Requires="wps">
            <w:drawing>
              <wp:anchor behindDoc="0" distT="0" distB="0" distL="0" distR="0" simplePos="0" locked="0" layoutInCell="1" allowOverlap="1" relativeHeight="333">
                <wp:simplePos x="0" y="0"/>
                <wp:positionH relativeFrom="column">
                  <wp:align>left</wp:align>
                </wp:positionH>
                <wp:positionV relativeFrom="line">
                  <wp:posOffset>635</wp:posOffset>
                </wp:positionV>
                <wp:extent cx="3110230" cy="6801485"/>
                <wp:effectExtent l="0" t="0" r="0" b="0"/>
                <wp:wrapSquare wrapText="right"/>
                <wp:docPr id="190" name="Frame91"/>
                <a:graphic xmlns:a="http://schemas.openxmlformats.org/drawingml/2006/main">
                  <a:graphicData uri="http://schemas.microsoft.com/office/word/2010/wordprocessingShape">
                    <wps:wsp>
                      <wps:cNvSpPr txBox="1"/>
                      <wps:spPr>
                        <a:xfrm>
                          <a:off x="0" y="0"/>
                          <a:ext cx="3110230" cy="6801485"/>
                        </a:xfrm>
                        <a:prstGeom prst="rect"/>
                        <a:solidFill>
                          <a:srgbClr val="FFFFFF"/>
                        </a:solidFill>
                      </wps:spPr>
                      <wps:txbx>
                        <w:txbxContent>
                          <w:p>
                            <w:pPr>
                              <w:pStyle w:val="TextBody"/>
                              <w:pBdr>
                                <w:bottom w:val="single" w:sz="2" w:space="1" w:color="000000"/>
                              </w:pBdr>
                              <w:bidi w:val="0"/>
                              <w:spacing w:lineRule="atLeast" w:line="142" w:before="0" w:after="40"/>
                              <w:jc w:val="left"/>
                              <w:rPr/>
                            </w:pPr>
                            <w:r>
                              <w:rPr/>
                              <w:t> </w:t>
                            </w:r>
                          </w:p>
                          <w:p>
                            <w:pPr>
                              <w:pStyle w:val="TextBody"/>
                              <w:bidi w:val="0"/>
                              <w:spacing w:before="40" w:after="0"/>
                              <w:jc w:val="center"/>
                              <w:rPr>
                                <w:rFonts w:ascii="arial" w:hAnsi="arial"/>
                                <w:b/>
                                <w:color w:val="0171B9"/>
                                <w:sz w:val="16"/>
                              </w:rPr>
                            </w:pPr>
                            <w:r>
                              <w:rPr>
                                <w:rFonts w:ascii="arial" w:hAnsi="arial"/>
                                <w:b/>
                                <w:color w:val="0171B9"/>
                                <w:sz w:val="16"/>
                              </w:rPr>
                              <w:t xml:space="preserve">What we do </w:t>
                            </w:r>
                          </w:p>
                          <w:p>
                            <w:pPr>
                              <w:pStyle w:val="TextBody"/>
                              <w:pBdr>
                                <w:bottom w:val="single" w:sz="2" w:space="1" w:color="000000"/>
                              </w:pBdr>
                              <w:bidi w:val="0"/>
                              <w:spacing w:lineRule="atLeast" w:line="142" w:before="0" w:after="40"/>
                              <w:jc w:val="left"/>
                              <w:rPr/>
                            </w:pPr>
                            <w:r>
                              <w:rPr/>
                              <w:t> </w:t>
                            </w:r>
                          </w:p>
                          <w:tbl>
                            <w:tblPr>
                              <w:tblW w:w="9370" w:type="dxa"/>
                              <w:jc w:val="left"/>
                              <w:tblInd w:w="0" w:type="dxa"/>
                              <w:tblLayout w:type="fixed"/>
                              <w:tblCellMar>
                                <w:top w:w="0" w:type="dxa"/>
                                <w:left w:w="0" w:type="dxa"/>
                                <w:bottom w:w="0" w:type="dxa"/>
                                <w:right w:w="0" w:type="dxa"/>
                              </w:tblCellMar>
                            </w:tblPr>
                            <w:tblGrid>
                              <w:gridCol w:w="245"/>
                              <w:gridCol w:w="60"/>
                              <w:gridCol w:w="9065"/>
                            </w:tblGrid>
                            <w:tr>
                              <w:trPr/>
                              <w:tc>
                                <w:tcPr>
                                  <w:tcW w:w="24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0"/>
                                    <w:jc w:val="both"/>
                                    <w:rPr>
                                      <w:rFonts w:ascii="arial" w:hAnsi="arial"/>
                                      <w:sz w:val="15"/>
                                    </w:rPr>
                                  </w:pPr>
                                  <w:r>
                                    <w:rPr>
                                      <w:rFonts w:ascii="arial" w:hAnsi="arial"/>
                                      <w:b/>
                                      <w:color w:val="0171B9"/>
                                      <w:sz w:val="15"/>
                                    </w:rPr>
                                    <w:t>Majority of compensation is performance based:</w:t>
                                  </w:r>
                                  <w:r>
                                    <w:rPr>
                                      <w:rFonts w:ascii="arial" w:hAnsi="arial"/>
                                      <w:sz w:val="15"/>
                                    </w:rPr>
                                    <w:t xml:space="preserve"> A substantial majority of NEO compensation is performance based and at risk. </w:t>
                                  </w:r>
                                </w:p>
                              </w:tc>
                            </w:tr>
                          </w:tbl>
                          <w:p>
                            <w:pPr>
                              <w:pStyle w:val="TextBody"/>
                              <w:bidi w:val="0"/>
                              <w:spacing w:before="0" w:after="0"/>
                              <w:jc w:val="left"/>
                              <w:rPr/>
                            </w:pPr>
                            <w:r>
                              <w:rPr/>
                              <w:t> </w:t>
                            </w:r>
                          </w:p>
                          <w:tbl>
                            <w:tblPr>
                              <w:tblW w:w="10030" w:type="dxa"/>
                              <w:jc w:val="left"/>
                              <w:tblInd w:w="0" w:type="dxa"/>
                              <w:tblLayout w:type="fixed"/>
                              <w:tblCellMar>
                                <w:top w:w="0" w:type="dxa"/>
                                <w:left w:w="0" w:type="dxa"/>
                                <w:bottom w:w="0" w:type="dxa"/>
                                <w:right w:w="0" w:type="dxa"/>
                              </w:tblCellMar>
                            </w:tblPr>
                            <w:tblGrid>
                              <w:gridCol w:w="245"/>
                              <w:gridCol w:w="60"/>
                              <w:gridCol w:w="9725"/>
                            </w:tblGrid>
                            <w:tr>
                              <w:trPr/>
                              <w:tc>
                                <w:tcPr>
                                  <w:tcW w:w="24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0"/>
                                    <w:jc w:val="both"/>
                                    <w:rPr>
                                      <w:rFonts w:ascii="arial" w:hAnsi="arial"/>
                                      <w:sz w:val="15"/>
                                    </w:rPr>
                                  </w:pPr>
                                  <w:r>
                                    <w:rPr>
                                      <w:rFonts w:ascii="arial" w:hAnsi="arial"/>
                                      <w:b/>
                                      <w:color w:val="0171B9"/>
                                      <w:sz w:val="15"/>
                                    </w:rPr>
                                    <w:t>Performance-based equity:</w:t>
                                  </w:r>
                                  <w:r>
                                    <w:rPr>
                                      <w:rFonts w:ascii="arial" w:hAnsi="arial"/>
                                      <w:sz w:val="15"/>
                                    </w:rPr>
                                    <w:t xml:space="preserve"> Our LTI equity award grants are primarily (80%) performance-based, with 50% in three-year performance units.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60"/>
                              <w:gridCol w:w="9900"/>
                            </w:tblGrid>
                            <w:tr>
                              <w:trPr/>
                              <w:tc>
                                <w:tcPr>
                                  <w:tcW w:w="24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15"/>
                                    </w:rPr>
                                  </w:pPr>
                                  <w:r>
                                    <w:rPr>
                                      <w:rFonts w:ascii="arial" w:hAnsi="arial"/>
                                      <w:b/>
                                      <w:color w:val="0171B9"/>
                                      <w:sz w:val="15"/>
                                    </w:rPr>
                                    <w:t>Minimum vesting periods:</w:t>
                                  </w:r>
                                  <w:r>
                                    <w:rPr>
                                      <w:rFonts w:ascii="arial" w:hAnsi="arial"/>
                                      <w:sz w:val="15"/>
                                    </w:rPr>
                                    <w:t xml:space="preserve"> Our equity incentive plan provides that our equity awards are subject to a minimum vesting period of no less than one year for 95% of equity awards granted. Our grants generally vest over four years, with no vesting in the first year and vesting in three approximately equal annual installments on the second, third, and fourth anniversaries of the grant date to promote retention.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60"/>
                              <w:gridCol w:w="9900"/>
                            </w:tblGrid>
                            <w:tr>
                              <w:trPr/>
                              <w:tc>
                                <w:tcPr>
                                  <w:tcW w:w="24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15"/>
                                    </w:rPr>
                                  </w:pPr>
                                  <w:r>
                                    <w:rPr>
                                      <w:rFonts w:ascii="arial" w:hAnsi="arial"/>
                                      <w:b/>
                                      <w:color w:val="0171B9"/>
                                      <w:sz w:val="15"/>
                                    </w:rPr>
                                    <w:t>Stock ownership and retention guidelines:</w:t>
                                  </w:r>
                                  <w:r>
                                    <w:rPr>
                                      <w:rFonts w:ascii="arial" w:hAnsi="arial"/>
                                      <w:sz w:val="15"/>
                                    </w:rPr>
                                    <w:t xml:space="preserve"> We have a six times base salary stock ownership requirement for our Chief Executive Officer. Our Executive Vice Presidents and Senior Vice Presidents have three times and two times base salary stock ownership requirements, respectively. Officers are required to hold shares of our Common Stock acquired through the vesting of restricted stock units, or RSUs, the payout of performance units, or the exercise of stock options until they have reached the required stock ownership level. Compliance with this policy is assessed annually and all executive officers, including our NEOs, who were expected to meet such guidelines by December 31, 2023, were in compliance.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60"/>
                              <w:gridCol w:w="9900"/>
                            </w:tblGrid>
                            <w:tr>
                              <w:trPr/>
                              <w:tc>
                                <w:tcPr>
                                  <w:tcW w:w="24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15"/>
                                    </w:rPr>
                                  </w:pPr>
                                  <w:r>
                                    <w:rPr>
                                      <w:rFonts w:ascii="arial" w:hAnsi="arial"/>
                                      <w:b/>
                                      <w:color w:val="0171B9"/>
                                      <w:sz w:val="15"/>
                                    </w:rPr>
                                    <w:t>Clawback Policy:</w:t>
                                  </w:r>
                                  <w:r>
                                    <w:rPr>
                                      <w:rFonts w:ascii="arial" w:hAnsi="arial"/>
                                      <w:sz w:val="15"/>
                                    </w:rPr>
                                    <w:t xml:space="preserve"> Our Compensation Committee has adopted an updated clawback policy(1) which is compliant with the NASDAQ Stock Market listing standards providing for the mandatory recovery from our Section 16 officers, including our NEOs, of erroneously awarded incentive-based executive compensation, including past cash bonuses and performance units payouts received by our executive officers, granted, earned, or vested, wholly or in part, upon the attainment of any financial reporting measure that is the subject of a financial restatement. The clawback policy is a no-fault policy as it is applicable to all Section 16 officers regardless of any misconduct or negligence. </w:t>
                                  </w:r>
                                </w:p>
                              </w:tc>
                            </w:tr>
                          </w:tbl>
                          <w:p>
                            <w:pPr>
                              <w:pStyle w:val="TextBody"/>
                              <w:bidi w:val="0"/>
                              <w:spacing w:before="0" w:after="0"/>
                              <w:jc w:val="left"/>
                              <w:rPr/>
                            </w:pPr>
                            <w:r>
                              <w:rPr/>
                              <w:t> </w:t>
                            </w:r>
                          </w:p>
                          <w:tbl>
                            <w:tblPr>
                              <w:tblW w:w="5965" w:type="dxa"/>
                              <w:jc w:val="left"/>
                              <w:tblInd w:w="0" w:type="dxa"/>
                              <w:tblLayout w:type="fixed"/>
                              <w:tblCellMar>
                                <w:top w:w="0" w:type="dxa"/>
                                <w:left w:w="0" w:type="dxa"/>
                                <w:bottom w:w="0" w:type="dxa"/>
                                <w:right w:w="0" w:type="dxa"/>
                              </w:tblCellMar>
                            </w:tblPr>
                            <w:tblGrid>
                              <w:gridCol w:w="245"/>
                              <w:gridCol w:w="60"/>
                              <w:gridCol w:w="5660"/>
                            </w:tblGrid>
                            <w:tr>
                              <w:trPr/>
                              <w:tc>
                                <w:tcPr>
                                  <w:tcW w:w="24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both"/>
                                    <w:rPr>
                                      <w:rFonts w:ascii="arial" w:hAnsi="arial"/>
                                      <w:sz w:val="15"/>
                                    </w:rPr>
                                  </w:pPr>
                                  <w:r>
                                    <w:rPr>
                                      <w:rFonts w:ascii="arial" w:hAnsi="arial"/>
                                      <w:b/>
                                      <w:color w:val="0171B9"/>
                                      <w:sz w:val="15"/>
                                    </w:rPr>
                                    <w:t>Recoupment Provisions for Misconduct:</w:t>
                                  </w:r>
                                  <w:r>
                                    <w:rPr>
                                      <w:rFonts w:ascii="arial" w:hAnsi="arial"/>
                                      <w:sz w:val="15"/>
                                    </w:rPr>
                                    <w:t xml:space="preserve"> Our recoupment mechanisms include: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both"/>
                                    <w:rPr>
                                      <w:rFonts w:ascii="arial" w:hAnsi="arial"/>
                                      <w:sz w:val="15"/>
                                    </w:rPr>
                                  </w:pPr>
                                  <w:r>
                                    <w:rPr>
                                      <w:rFonts w:ascii="arial" w:hAnsi="arial"/>
                                      <w:b/>
                                      <w:color w:val="0171B9"/>
                                      <w:sz w:val="15"/>
                                    </w:rPr>
                                    <w:t>Cash Incentive Compensation Plan Recoupment Provisions:</w:t>
                                  </w:r>
                                  <w:r>
                                    <w:rPr>
                                      <w:rFonts w:ascii="arial" w:hAnsi="arial"/>
                                      <w:b/>
                                      <w:sz w:val="15"/>
                                    </w:rPr>
                                    <w:t xml:space="preserve"> </w:t>
                                  </w:r>
                                  <w:r>
                                    <w:rPr>
                                      <w:rFonts w:ascii="arial" w:hAnsi="arial"/>
                                      <w:sz w:val="15"/>
                                    </w:rPr>
                                    <w:t xml:space="preserve">Recoupment provisions applicable to all staff members that expressly allow the Compensation Committee to determine that annual cash incentive awards are not earned fully, or in part, where such employee has engaged in misconduct that causes serious financial or reputational damage to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both"/>
                                    <w:rPr>
                                      <w:rFonts w:ascii="arial" w:hAnsi="arial"/>
                                      <w:sz w:val="15"/>
                                    </w:rPr>
                                  </w:pPr>
                                  <w:r>
                                    <w:rPr>
                                      <w:rFonts w:ascii="arial" w:hAnsi="arial"/>
                                      <w:b/>
                                      <w:color w:val="0171B9"/>
                                      <w:sz w:val="15"/>
                                    </w:rPr>
                                    <w:t xml:space="preserve">Equity Recoupment Policy: </w:t>
                                  </w:r>
                                  <w:r>
                                    <w:rPr>
                                      <w:rFonts w:ascii="arial" w:hAnsi="arial"/>
                                      <w:sz w:val="15"/>
                                    </w:rPr>
                                    <w:t xml:space="preserve">The Compensation Committee has adopted a policy that provides the Compensation Committee with the ability to cause the forfeiture and cancellation of unvested equity awards and any unexercised portion of any stock options (granted after December 31, 2020) should an executive officer be terminated for engaging in misconduct that caused serious financial or reputational damage to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60"/>
                              <w:gridCol w:w="9900"/>
                            </w:tblGrid>
                            <w:tr>
                              <w:trPr/>
                              <w:tc>
                                <w:tcPr>
                                  <w:tcW w:w="24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15"/>
                                    </w:rPr>
                                  </w:pPr>
                                  <w:r>
                                    <w:rPr>
                                      <w:rFonts w:ascii="arial" w:hAnsi="arial"/>
                                      <w:b/>
                                      <w:color w:val="0171B9"/>
                                      <w:sz w:val="15"/>
                                    </w:rPr>
                                    <w:t>Independent compensation consultant:</w:t>
                                  </w:r>
                                  <w:r>
                                    <w:rPr>
                                      <w:rFonts w:ascii="arial" w:hAnsi="arial"/>
                                      <w:sz w:val="15"/>
                                    </w:rPr>
                                    <w:t xml:space="preserve"> The Compensation Committee retained and sought advice from Frederic W. Cook &amp; Co., Inc., or FW Cook, to assist the Compensation Committee in its review and determination of executive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60"/>
                              <w:gridCol w:w="9900"/>
                            </w:tblGrid>
                            <w:tr>
                              <w:trPr/>
                              <w:tc>
                                <w:tcPr>
                                  <w:tcW w:w="24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15"/>
                                    </w:rPr>
                                  </w:pPr>
                                  <w:r>
                                    <w:rPr>
                                      <w:rFonts w:ascii="arial" w:hAnsi="arial"/>
                                      <w:b/>
                                      <w:color w:val="0171B9"/>
                                      <w:sz w:val="15"/>
                                    </w:rPr>
                                    <w:t>Amgen Values:</w:t>
                                  </w:r>
                                  <w:r>
                                    <w:rPr>
                                      <w:rFonts w:ascii="arial" w:hAnsi="arial"/>
                                      <w:sz w:val="15"/>
                                    </w:rPr>
                                    <w:t xml:space="preserve"> The Amgen Values(2) overlay our Company performance goals and the Compensation Committee assesses each NEO’s annual compensation, including the annual incentive award, based on compliance with these internal standards.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60"/>
                              <w:gridCol w:w="9900"/>
                            </w:tblGrid>
                            <w:tr>
                              <w:trPr/>
                              <w:tc>
                                <w:tcPr>
                                  <w:tcW w:w="24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15"/>
                                    </w:rPr>
                                  </w:pPr>
                                  <w:r>
                                    <w:rPr>
                                      <w:rFonts w:ascii="arial" w:hAnsi="arial"/>
                                      <w:b/>
                                      <w:color w:val="0171B9"/>
                                      <w:sz w:val="15"/>
                                    </w:rPr>
                                    <w:t>EEO-1 Disclosure:</w:t>
                                  </w:r>
                                  <w:r>
                                    <w:rPr>
                                      <w:rFonts w:ascii="arial" w:hAnsi="arial"/>
                                      <w:sz w:val="15"/>
                                    </w:rPr>
                                    <w:t xml:space="preserve"> To enhance transparency around the composition of our workforce, we disclose our annual Consolidated EEO-1 Report after our submission of the report to the U.S. Equal Employment Opportunity Commission.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35.5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pBdr>
                          <w:bottom w:val="single" w:sz="2" w:space="1" w:color="000000"/>
                        </w:pBdr>
                        <w:bidi w:val="0"/>
                        <w:spacing w:lineRule="atLeast" w:line="142" w:before="0" w:after="40"/>
                        <w:jc w:val="left"/>
                        <w:rPr/>
                      </w:pPr>
                      <w:r>
                        <w:rPr/>
                        <w:t> </w:t>
                      </w:r>
                    </w:p>
                    <w:p>
                      <w:pPr>
                        <w:pStyle w:val="TextBody"/>
                        <w:bidi w:val="0"/>
                        <w:spacing w:before="40" w:after="0"/>
                        <w:jc w:val="center"/>
                        <w:rPr>
                          <w:rFonts w:ascii="arial" w:hAnsi="arial"/>
                          <w:b/>
                          <w:color w:val="0171B9"/>
                          <w:sz w:val="16"/>
                        </w:rPr>
                      </w:pPr>
                      <w:r>
                        <w:rPr>
                          <w:rFonts w:ascii="arial" w:hAnsi="arial"/>
                          <w:b/>
                          <w:color w:val="0171B9"/>
                          <w:sz w:val="16"/>
                        </w:rPr>
                        <w:t xml:space="preserve">What we do </w:t>
                      </w:r>
                    </w:p>
                    <w:p>
                      <w:pPr>
                        <w:pStyle w:val="TextBody"/>
                        <w:pBdr>
                          <w:bottom w:val="single" w:sz="2" w:space="1" w:color="000000"/>
                        </w:pBdr>
                        <w:bidi w:val="0"/>
                        <w:spacing w:lineRule="atLeast" w:line="142" w:before="0" w:after="40"/>
                        <w:jc w:val="left"/>
                        <w:rPr/>
                      </w:pPr>
                      <w:r>
                        <w:rPr/>
                        <w:t> </w:t>
                      </w:r>
                    </w:p>
                    <w:tbl>
                      <w:tblPr>
                        <w:tblW w:w="9370" w:type="dxa"/>
                        <w:jc w:val="left"/>
                        <w:tblInd w:w="0" w:type="dxa"/>
                        <w:tblLayout w:type="fixed"/>
                        <w:tblCellMar>
                          <w:top w:w="0" w:type="dxa"/>
                          <w:left w:w="0" w:type="dxa"/>
                          <w:bottom w:w="0" w:type="dxa"/>
                          <w:right w:w="0" w:type="dxa"/>
                        </w:tblCellMar>
                      </w:tblPr>
                      <w:tblGrid>
                        <w:gridCol w:w="245"/>
                        <w:gridCol w:w="60"/>
                        <w:gridCol w:w="9065"/>
                      </w:tblGrid>
                      <w:tr>
                        <w:trPr/>
                        <w:tc>
                          <w:tcPr>
                            <w:tcW w:w="24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0"/>
                              <w:jc w:val="both"/>
                              <w:rPr>
                                <w:rFonts w:ascii="arial" w:hAnsi="arial"/>
                                <w:sz w:val="15"/>
                              </w:rPr>
                            </w:pPr>
                            <w:r>
                              <w:rPr>
                                <w:rFonts w:ascii="arial" w:hAnsi="arial"/>
                                <w:b/>
                                <w:color w:val="0171B9"/>
                                <w:sz w:val="15"/>
                              </w:rPr>
                              <w:t>Majority of compensation is performance based:</w:t>
                            </w:r>
                            <w:r>
                              <w:rPr>
                                <w:rFonts w:ascii="arial" w:hAnsi="arial"/>
                                <w:sz w:val="15"/>
                              </w:rPr>
                              <w:t xml:space="preserve"> A substantial majority of NEO compensation is performance based and at risk. </w:t>
                            </w:r>
                          </w:p>
                        </w:tc>
                      </w:tr>
                    </w:tbl>
                    <w:p>
                      <w:pPr>
                        <w:pStyle w:val="TextBody"/>
                        <w:bidi w:val="0"/>
                        <w:spacing w:before="0" w:after="0"/>
                        <w:jc w:val="left"/>
                        <w:rPr/>
                      </w:pPr>
                      <w:r>
                        <w:rPr/>
                        <w:t> </w:t>
                      </w:r>
                    </w:p>
                    <w:tbl>
                      <w:tblPr>
                        <w:tblW w:w="10030" w:type="dxa"/>
                        <w:jc w:val="left"/>
                        <w:tblInd w:w="0" w:type="dxa"/>
                        <w:tblLayout w:type="fixed"/>
                        <w:tblCellMar>
                          <w:top w:w="0" w:type="dxa"/>
                          <w:left w:w="0" w:type="dxa"/>
                          <w:bottom w:w="0" w:type="dxa"/>
                          <w:right w:w="0" w:type="dxa"/>
                        </w:tblCellMar>
                      </w:tblPr>
                      <w:tblGrid>
                        <w:gridCol w:w="245"/>
                        <w:gridCol w:w="60"/>
                        <w:gridCol w:w="9725"/>
                      </w:tblGrid>
                      <w:tr>
                        <w:trPr/>
                        <w:tc>
                          <w:tcPr>
                            <w:tcW w:w="24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0"/>
                              <w:jc w:val="both"/>
                              <w:rPr>
                                <w:rFonts w:ascii="arial" w:hAnsi="arial"/>
                                <w:sz w:val="15"/>
                              </w:rPr>
                            </w:pPr>
                            <w:r>
                              <w:rPr>
                                <w:rFonts w:ascii="arial" w:hAnsi="arial"/>
                                <w:b/>
                                <w:color w:val="0171B9"/>
                                <w:sz w:val="15"/>
                              </w:rPr>
                              <w:t>Performance-based equity:</w:t>
                            </w:r>
                            <w:r>
                              <w:rPr>
                                <w:rFonts w:ascii="arial" w:hAnsi="arial"/>
                                <w:sz w:val="15"/>
                              </w:rPr>
                              <w:t xml:space="preserve"> Our LTI equity award grants are primarily (80%) performance-based, with 50% in three-year performance units.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60"/>
                        <w:gridCol w:w="9900"/>
                      </w:tblGrid>
                      <w:tr>
                        <w:trPr/>
                        <w:tc>
                          <w:tcPr>
                            <w:tcW w:w="24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15"/>
                              </w:rPr>
                            </w:pPr>
                            <w:r>
                              <w:rPr>
                                <w:rFonts w:ascii="arial" w:hAnsi="arial"/>
                                <w:b/>
                                <w:color w:val="0171B9"/>
                                <w:sz w:val="15"/>
                              </w:rPr>
                              <w:t>Minimum vesting periods:</w:t>
                            </w:r>
                            <w:r>
                              <w:rPr>
                                <w:rFonts w:ascii="arial" w:hAnsi="arial"/>
                                <w:sz w:val="15"/>
                              </w:rPr>
                              <w:t xml:space="preserve"> Our equity incentive plan provides that our equity awards are subject to a minimum vesting period of no less than one year for 95% of equity awards granted. Our grants generally vest over four years, with no vesting in the first year and vesting in three approximately equal annual installments on the second, third, and fourth anniversaries of the grant date to promote retention.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60"/>
                        <w:gridCol w:w="9900"/>
                      </w:tblGrid>
                      <w:tr>
                        <w:trPr/>
                        <w:tc>
                          <w:tcPr>
                            <w:tcW w:w="24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15"/>
                              </w:rPr>
                            </w:pPr>
                            <w:r>
                              <w:rPr>
                                <w:rFonts w:ascii="arial" w:hAnsi="arial"/>
                                <w:b/>
                                <w:color w:val="0171B9"/>
                                <w:sz w:val="15"/>
                              </w:rPr>
                              <w:t>Stock ownership and retention guidelines:</w:t>
                            </w:r>
                            <w:r>
                              <w:rPr>
                                <w:rFonts w:ascii="arial" w:hAnsi="arial"/>
                                <w:sz w:val="15"/>
                              </w:rPr>
                              <w:t xml:space="preserve"> We have a six times base salary stock ownership requirement for our Chief Executive Officer. Our Executive Vice Presidents and Senior Vice Presidents have three times and two times base salary stock ownership requirements, respectively. Officers are required to hold shares of our Common Stock acquired through the vesting of restricted stock units, or RSUs, the payout of performance units, or the exercise of stock options until they have reached the required stock ownership level. Compliance with this policy is assessed annually and all executive officers, including our NEOs, who were expected to meet such guidelines by December 31, 2023, were in compliance.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60"/>
                        <w:gridCol w:w="9900"/>
                      </w:tblGrid>
                      <w:tr>
                        <w:trPr/>
                        <w:tc>
                          <w:tcPr>
                            <w:tcW w:w="24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15"/>
                              </w:rPr>
                            </w:pPr>
                            <w:r>
                              <w:rPr>
                                <w:rFonts w:ascii="arial" w:hAnsi="arial"/>
                                <w:b/>
                                <w:color w:val="0171B9"/>
                                <w:sz w:val="15"/>
                              </w:rPr>
                              <w:t>Clawback Policy:</w:t>
                            </w:r>
                            <w:r>
                              <w:rPr>
                                <w:rFonts w:ascii="arial" w:hAnsi="arial"/>
                                <w:sz w:val="15"/>
                              </w:rPr>
                              <w:t xml:space="preserve"> Our Compensation Committee has adopted an updated clawback policy(1) which is compliant with the NASDAQ Stock Market listing standards providing for the mandatory recovery from our Section 16 officers, including our NEOs, of erroneously awarded incentive-based executive compensation, including past cash bonuses and performance units payouts received by our executive officers, granted, earned, or vested, wholly or in part, upon the attainment of any financial reporting measure that is the subject of a financial restatement. The clawback policy is a no-fault policy as it is applicable to all Section 16 officers regardless of any misconduct or negligence. </w:t>
                            </w:r>
                          </w:p>
                        </w:tc>
                      </w:tr>
                    </w:tbl>
                    <w:p>
                      <w:pPr>
                        <w:pStyle w:val="TextBody"/>
                        <w:bidi w:val="0"/>
                        <w:spacing w:before="0" w:after="0"/>
                        <w:jc w:val="left"/>
                        <w:rPr/>
                      </w:pPr>
                      <w:r>
                        <w:rPr/>
                        <w:t> </w:t>
                      </w:r>
                    </w:p>
                    <w:tbl>
                      <w:tblPr>
                        <w:tblW w:w="5965" w:type="dxa"/>
                        <w:jc w:val="left"/>
                        <w:tblInd w:w="0" w:type="dxa"/>
                        <w:tblLayout w:type="fixed"/>
                        <w:tblCellMar>
                          <w:top w:w="0" w:type="dxa"/>
                          <w:left w:w="0" w:type="dxa"/>
                          <w:bottom w:w="0" w:type="dxa"/>
                          <w:right w:w="0" w:type="dxa"/>
                        </w:tblCellMar>
                      </w:tblPr>
                      <w:tblGrid>
                        <w:gridCol w:w="245"/>
                        <w:gridCol w:w="60"/>
                        <w:gridCol w:w="5660"/>
                      </w:tblGrid>
                      <w:tr>
                        <w:trPr/>
                        <w:tc>
                          <w:tcPr>
                            <w:tcW w:w="24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both"/>
                              <w:rPr>
                                <w:rFonts w:ascii="arial" w:hAnsi="arial"/>
                                <w:sz w:val="15"/>
                              </w:rPr>
                            </w:pPr>
                            <w:r>
                              <w:rPr>
                                <w:rFonts w:ascii="arial" w:hAnsi="arial"/>
                                <w:b/>
                                <w:color w:val="0171B9"/>
                                <w:sz w:val="15"/>
                              </w:rPr>
                              <w:t>Recoupment Provisions for Misconduct:</w:t>
                            </w:r>
                            <w:r>
                              <w:rPr>
                                <w:rFonts w:ascii="arial" w:hAnsi="arial"/>
                                <w:sz w:val="15"/>
                              </w:rPr>
                              <w:t xml:space="preserve"> Our recoupment mechanisms include: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both"/>
                              <w:rPr>
                                <w:rFonts w:ascii="arial" w:hAnsi="arial"/>
                                <w:sz w:val="15"/>
                              </w:rPr>
                            </w:pPr>
                            <w:r>
                              <w:rPr>
                                <w:rFonts w:ascii="arial" w:hAnsi="arial"/>
                                <w:b/>
                                <w:color w:val="0171B9"/>
                                <w:sz w:val="15"/>
                              </w:rPr>
                              <w:t>Cash Incentive Compensation Plan Recoupment Provisions:</w:t>
                            </w:r>
                            <w:r>
                              <w:rPr>
                                <w:rFonts w:ascii="arial" w:hAnsi="arial"/>
                                <w:b/>
                                <w:sz w:val="15"/>
                              </w:rPr>
                              <w:t xml:space="preserve"> </w:t>
                            </w:r>
                            <w:r>
                              <w:rPr>
                                <w:rFonts w:ascii="arial" w:hAnsi="arial"/>
                                <w:sz w:val="15"/>
                              </w:rPr>
                              <w:t xml:space="preserve">Recoupment provisions applicable to all staff members that expressly allow the Compensation Committee to determine that annual cash incentive awards are not earned fully, or in part, where such employee has engaged in misconduct that causes serious financial or reputational damage to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both"/>
                              <w:rPr>
                                <w:rFonts w:ascii="arial" w:hAnsi="arial"/>
                                <w:sz w:val="15"/>
                              </w:rPr>
                            </w:pPr>
                            <w:r>
                              <w:rPr>
                                <w:rFonts w:ascii="arial" w:hAnsi="arial"/>
                                <w:b/>
                                <w:color w:val="0171B9"/>
                                <w:sz w:val="15"/>
                              </w:rPr>
                              <w:t xml:space="preserve">Equity Recoupment Policy: </w:t>
                            </w:r>
                            <w:r>
                              <w:rPr>
                                <w:rFonts w:ascii="arial" w:hAnsi="arial"/>
                                <w:sz w:val="15"/>
                              </w:rPr>
                              <w:t xml:space="preserve">The Compensation Committee has adopted a policy that provides the Compensation Committee with the ability to cause the forfeiture and cancellation of unvested equity awards and any unexercised portion of any stock options (granted after December 31, 2020) should an executive officer be terminated for engaging in misconduct that caused serious financial or reputational damage to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60"/>
                        <w:gridCol w:w="9900"/>
                      </w:tblGrid>
                      <w:tr>
                        <w:trPr/>
                        <w:tc>
                          <w:tcPr>
                            <w:tcW w:w="24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15"/>
                              </w:rPr>
                            </w:pPr>
                            <w:r>
                              <w:rPr>
                                <w:rFonts w:ascii="arial" w:hAnsi="arial"/>
                                <w:b/>
                                <w:color w:val="0171B9"/>
                                <w:sz w:val="15"/>
                              </w:rPr>
                              <w:t>Independent compensation consultant:</w:t>
                            </w:r>
                            <w:r>
                              <w:rPr>
                                <w:rFonts w:ascii="arial" w:hAnsi="arial"/>
                                <w:sz w:val="15"/>
                              </w:rPr>
                              <w:t xml:space="preserve"> The Compensation Committee retained and sought advice from Frederic W. Cook &amp; Co., Inc., or FW Cook, to assist the Compensation Committee in its review and determination of executive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60"/>
                        <w:gridCol w:w="9900"/>
                      </w:tblGrid>
                      <w:tr>
                        <w:trPr/>
                        <w:tc>
                          <w:tcPr>
                            <w:tcW w:w="24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15"/>
                              </w:rPr>
                            </w:pPr>
                            <w:r>
                              <w:rPr>
                                <w:rFonts w:ascii="arial" w:hAnsi="arial"/>
                                <w:b/>
                                <w:color w:val="0171B9"/>
                                <w:sz w:val="15"/>
                              </w:rPr>
                              <w:t>Amgen Values:</w:t>
                            </w:r>
                            <w:r>
                              <w:rPr>
                                <w:rFonts w:ascii="arial" w:hAnsi="arial"/>
                                <w:sz w:val="15"/>
                              </w:rPr>
                              <w:t xml:space="preserve"> The Amgen Values(2) overlay our Company performance goals and the Compensation Committee assesses each NEO’s annual compensation, including the annual incentive award, based on compliance with these internal standards.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60"/>
                        <w:gridCol w:w="9900"/>
                      </w:tblGrid>
                      <w:tr>
                        <w:trPr/>
                        <w:tc>
                          <w:tcPr>
                            <w:tcW w:w="24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15"/>
                              </w:rPr>
                            </w:pPr>
                            <w:r>
                              <w:rPr>
                                <w:rFonts w:ascii="arial" w:hAnsi="arial"/>
                                <w:b/>
                                <w:color w:val="0171B9"/>
                                <w:sz w:val="15"/>
                              </w:rPr>
                              <w:t>EEO-1 Disclosure:</w:t>
                            </w:r>
                            <w:r>
                              <w:rPr>
                                <w:rFonts w:ascii="arial" w:hAnsi="arial"/>
                                <w:sz w:val="15"/>
                              </w:rPr>
                              <w:t xml:space="preserve"> To enhance transparency around the composition of our workforce, we disclose our annual Consolidated EEO-1 Report after our submission of the report to the U.S. Equal Employment Opportunity Commission.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34">
                <wp:simplePos x="0" y="0"/>
                <wp:positionH relativeFrom="column">
                  <wp:align>left</wp:align>
                </wp:positionH>
                <wp:positionV relativeFrom="line">
                  <wp:posOffset>635</wp:posOffset>
                </wp:positionV>
                <wp:extent cx="3175000" cy="4243070"/>
                <wp:effectExtent l="0" t="0" r="0" b="0"/>
                <wp:wrapSquare wrapText="right"/>
                <wp:docPr id="191" name="Frame92"/>
                <a:graphic xmlns:a="http://schemas.openxmlformats.org/drawingml/2006/main">
                  <a:graphicData uri="http://schemas.microsoft.com/office/word/2010/wordprocessingShape">
                    <wps:wsp>
                      <wps:cNvSpPr txBox="1"/>
                      <wps:spPr>
                        <a:xfrm>
                          <a:off x="0" y="0"/>
                          <a:ext cx="3175000" cy="4243070"/>
                        </a:xfrm>
                        <a:prstGeom prst="rect"/>
                        <a:solidFill>
                          <a:srgbClr val="FFFFFF"/>
                        </a:solidFill>
                      </wps:spPr>
                      <wps:txbx>
                        <w:txbxContent>
                          <w:p>
                            <w:pPr>
                              <w:pStyle w:val="TextBody"/>
                              <w:pBdr>
                                <w:bottom w:val="single" w:sz="2" w:space="1" w:color="000000"/>
                              </w:pBdr>
                              <w:bidi w:val="0"/>
                              <w:spacing w:lineRule="atLeast" w:line="142" w:before="0" w:after="40"/>
                              <w:jc w:val="left"/>
                              <w:rPr/>
                            </w:pPr>
                            <w:r>
                              <w:rPr/>
                              <w:t> </w:t>
                            </w:r>
                          </w:p>
                          <w:p>
                            <w:pPr>
                              <w:pStyle w:val="TextBody"/>
                              <w:bidi w:val="0"/>
                              <w:spacing w:before="40" w:after="0"/>
                              <w:jc w:val="center"/>
                              <w:rPr>
                                <w:rFonts w:ascii="arial" w:hAnsi="arial"/>
                                <w:b/>
                                <w:color w:val="0171B9"/>
                                <w:sz w:val="16"/>
                              </w:rPr>
                            </w:pPr>
                            <w:r>
                              <w:rPr>
                                <w:rFonts w:ascii="arial" w:hAnsi="arial"/>
                                <w:b/>
                                <w:color w:val="0171B9"/>
                                <w:sz w:val="16"/>
                              </w:rPr>
                              <w:t xml:space="preserve">What we don’t do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0"/>
                              <w:gridCol w:w="60"/>
                              <w:gridCol w:w="9945"/>
                            </w:tblGrid>
                            <w:tr>
                              <w:trPr/>
                              <w:tc>
                                <w:tcPr>
                                  <w:tcW w:w="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45" w:type="dxa"/>
                                  <w:tcBorders/>
                                  <w:vAlign w:val="center"/>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tLeast" w:line="200" w:before="0" w:after="0"/>
                                    <w:jc w:val="left"/>
                                    <w:rPr>
                                      <w:rFonts w:ascii="arial" w:hAnsi="arial"/>
                                      <w:b/>
                                      <w:color w:val="0171B9"/>
                                      <w:sz w:val="28"/>
                                    </w:rPr>
                                  </w:pPr>
                                  <w:r>
                                    <w:rPr>
                                      <w:rFonts w:ascii="arial" w:hAnsi="arial"/>
                                      <w:b/>
                                      <w:color w:val="0171B9"/>
                                      <w:sz w:val="28"/>
                                    </w:rPr>
                                    <w:t>×</w:t>
                                  </w:r>
                                </w:p>
                              </w:tc>
                              <w:tc>
                                <w:tcPr>
                                  <w:tcW w:w="60"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0"/>
                                    <w:jc w:val="both"/>
                                    <w:rPr>
                                      <w:rFonts w:ascii="arial" w:hAnsi="arial"/>
                                      <w:sz w:val="15"/>
                                    </w:rPr>
                                  </w:pPr>
                                  <w:r>
                                    <w:rPr>
                                      <w:rFonts w:ascii="arial" w:hAnsi="arial"/>
                                      <w:b/>
                                      <w:color w:val="0171B9"/>
                                      <w:sz w:val="15"/>
                                    </w:rPr>
                                    <w:t>No alterations to our established goals to respond to changing business conditions</w:t>
                                  </w:r>
                                  <w:r>
                                    <w:rPr>
                                      <w:rFonts w:ascii="arial" w:hAnsi="arial"/>
                                      <w:sz w:val="15"/>
                                    </w:rPr>
                                    <w:t xml:space="preserve"> (for example, we did not make any changes to established goals in response to the occurrence or challenges of the pandemic).</w:t>
                                  </w:r>
                                </w:p>
                                <w:p>
                                  <w:pPr>
                                    <w:pStyle w:val="TableContents"/>
                                    <w:bidi w:val="0"/>
                                    <w:spacing w:before="0" w:after="20"/>
                                    <w:jc w:val="left"/>
                                    <w:rPr/>
                                  </w:pPr>
                                  <w:r>
                                    <w:rPr/>
                                    <w:t> </w:t>
                                  </w:r>
                                </w:p>
                              </w:tc>
                            </w:tr>
                            <w:tr>
                              <w:trPr/>
                              <w:tc>
                                <w:tcPr>
                                  <w:tcW w:w="200" w:type="dxa"/>
                                  <w:tcBorders/>
                                  <w:vAlign w:val="center"/>
                                </w:tcPr>
                                <w:p>
                                  <w:pPr>
                                    <w:pStyle w:val="TableContents"/>
                                    <w:bidi w:val="0"/>
                                    <w:spacing w:lineRule="atLeast" w:line="200" w:before="0" w:after="0"/>
                                    <w:jc w:val="left"/>
                                    <w:rPr>
                                      <w:rFonts w:ascii="arial" w:hAnsi="arial"/>
                                      <w:b/>
                                      <w:color w:val="0171B9"/>
                                      <w:sz w:val="28"/>
                                    </w:rPr>
                                  </w:pPr>
                                  <w:r>
                                    <w:rPr>
                                      <w:rFonts w:ascii="arial" w:hAnsi="arial"/>
                                      <w:b/>
                                      <w:color w:val="0171B9"/>
                                      <w:sz w:val="28"/>
                                    </w:rPr>
                                    <w:t>×</w:t>
                                  </w:r>
                                </w:p>
                              </w:tc>
                              <w:tc>
                                <w:tcPr>
                                  <w:tcW w:w="60"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0"/>
                                    <w:jc w:val="both"/>
                                    <w:rPr>
                                      <w:rFonts w:ascii="arial" w:hAnsi="arial"/>
                                      <w:sz w:val="15"/>
                                    </w:rPr>
                                  </w:pPr>
                                  <w:r>
                                    <w:rPr>
                                      <w:rFonts w:ascii="arial" w:hAnsi="arial"/>
                                      <w:b/>
                                      <w:color w:val="0171B9"/>
                                      <w:sz w:val="15"/>
                                    </w:rPr>
                                    <w:t>No hedging or pledging:</w:t>
                                  </w:r>
                                  <w:r>
                                    <w:rPr>
                                      <w:rFonts w:ascii="arial" w:hAnsi="arial"/>
                                      <w:b/>
                                      <w:sz w:val="15"/>
                                    </w:rPr>
                                    <w:t xml:space="preserve"> </w:t>
                                  </w:r>
                                  <w:r>
                                    <w:rPr>
                                      <w:rFonts w:ascii="arial" w:hAnsi="arial"/>
                                      <w:sz w:val="15"/>
                                    </w:rPr>
                                    <w:t>With respect to our Common Stock, all of our staff members and Board members are prohibited from engaging in short sales, purchasing or pledging our Common Stock on margin(3), or entering into any hedging, derivative, or similar transactions.</w:t>
                                  </w:r>
                                </w:p>
                                <w:p>
                                  <w:pPr>
                                    <w:pStyle w:val="TableContents"/>
                                    <w:bidi w:val="0"/>
                                    <w:spacing w:before="0" w:after="20"/>
                                    <w:jc w:val="left"/>
                                    <w:rPr/>
                                  </w:pPr>
                                  <w:r>
                                    <w:rPr/>
                                    <w:t> </w:t>
                                  </w:r>
                                </w:p>
                              </w:tc>
                            </w:tr>
                            <w:tr>
                              <w:trPr/>
                              <w:tc>
                                <w:tcPr>
                                  <w:tcW w:w="200" w:type="dxa"/>
                                  <w:tcBorders/>
                                  <w:vAlign w:val="center"/>
                                </w:tcPr>
                                <w:p>
                                  <w:pPr>
                                    <w:pStyle w:val="TableContents"/>
                                    <w:bidi w:val="0"/>
                                    <w:spacing w:lineRule="atLeast" w:line="200" w:before="0" w:after="0"/>
                                    <w:jc w:val="left"/>
                                    <w:rPr>
                                      <w:rFonts w:ascii="arial" w:hAnsi="arial"/>
                                      <w:b/>
                                      <w:color w:val="0171B9"/>
                                      <w:sz w:val="28"/>
                                    </w:rPr>
                                  </w:pPr>
                                  <w:r>
                                    <w:rPr>
                                      <w:rFonts w:ascii="arial" w:hAnsi="arial"/>
                                      <w:b/>
                                      <w:color w:val="0171B9"/>
                                      <w:sz w:val="28"/>
                                    </w:rPr>
                                    <w:t>×</w:t>
                                  </w:r>
                                </w:p>
                              </w:tc>
                              <w:tc>
                                <w:tcPr>
                                  <w:tcW w:w="60"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0"/>
                                    <w:jc w:val="both"/>
                                    <w:rPr>
                                      <w:rFonts w:ascii="arial" w:hAnsi="arial"/>
                                      <w:sz w:val="15"/>
                                    </w:rPr>
                                  </w:pPr>
                                  <w:r>
                                    <w:rPr>
                                      <w:rFonts w:ascii="arial" w:hAnsi="arial"/>
                                      <w:b/>
                                      <w:color w:val="0171B9"/>
                                      <w:sz w:val="15"/>
                                    </w:rPr>
                                    <w:t>No re-pricing or backdating:</w:t>
                                  </w:r>
                                  <w:r>
                                    <w:rPr>
                                      <w:rFonts w:ascii="arial" w:hAnsi="arial"/>
                                      <w:sz w:val="15"/>
                                    </w:rPr>
                                    <w:t xml:space="preserve"> We have strong LTI equity award plans and policies that prohibit re-pricing or backdating of equity awards.</w:t>
                                  </w:r>
                                </w:p>
                                <w:p>
                                  <w:pPr>
                                    <w:pStyle w:val="TableContents"/>
                                    <w:bidi w:val="0"/>
                                    <w:spacing w:before="0" w:after="20"/>
                                    <w:jc w:val="left"/>
                                    <w:rPr/>
                                  </w:pPr>
                                  <w:r>
                                    <w:rPr/>
                                    <w:t> </w:t>
                                  </w:r>
                                </w:p>
                              </w:tc>
                            </w:tr>
                            <w:tr>
                              <w:trPr/>
                              <w:tc>
                                <w:tcPr>
                                  <w:tcW w:w="200" w:type="dxa"/>
                                  <w:tcBorders/>
                                  <w:vAlign w:val="center"/>
                                </w:tcPr>
                                <w:p>
                                  <w:pPr>
                                    <w:pStyle w:val="TableContents"/>
                                    <w:bidi w:val="0"/>
                                    <w:spacing w:lineRule="atLeast" w:line="200" w:before="0" w:after="0"/>
                                    <w:jc w:val="left"/>
                                    <w:rPr>
                                      <w:rFonts w:ascii="arial" w:hAnsi="arial"/>
                                      <w:b/>
                                      <w:color w:val="0171B9"/>
                                      <w:sz w:val="28"/>
                                    </w:rPr>
                                  </w:pPr>
                                  <w:r>
                                    <w:rPr>
                                      <w:rFonts w:ascii="arial" w:hAnsi="arial"/>
                                      <w:b/>
                                      <w:color w:val="0171B9"/>
                                      <w:sz w:val="28"/>
                                    </w:rPr>
                                    <w:t>×</w:t>
                                  </w:r>
                                </w:p>
                              </w:tc>
                              <w:tc>
                                <w:tcPr>
                                  <w:tcW w:w="60"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0"/>
                                    <w:jc w:val="both"/>
                                    <w:rPr>
                                      <w:rFonts w:ascii="arial" w:hAnsi="arial"/>
                                      <w:sz w:val="15"/>
                                    </w:rPr>
                                  </w:pPr>
                                  <w:r>
                                    <w:rPr>
                                      <w:rFonts w:ascii="arial" w:hAnsi="arial"/>
                                      <w:b/>
                                      <w:color w:val="0171B9"/>
                                      <w:sz w:val="15"/>
                                    </w:rPr>
                                    <w:t>No tax gross-ups:</w:t>
                                  </w:r>
                                  <w:r>
                                    <w:rPr>
                                      <w:rFonts w:ascii="arial" w:hAnsi="arial"/>
                                      <w:sz w:val="15"/>
                                    </w:rPr>
                                    <w:t xml:space="preserve"> We do not provide tax gross-ups, except for business-related payments such as reimbursement of certain relocation expenses on behalf of newly hired and current executives who agree to relocate to work on the Company’s behalf.</w:t>
                                  </w:r>
                                </w:p>
                                <w:p>
                                  <w:pPr>
                                    <w:pStyle w:val="TableContents"/>
                                    <w:bidi w:val="0"/>
                                    <w:spacing w:before="0" w:after="20"/>
                                    <w:jc w:val="left"/>
                                    <w:rPr/>
                                  </w:pPr>
                                  <w:r>
                                    <w:rPr/>
                                    <w:t> </w:t>
                                  </w:r>
                                </w:p>
                              </w:tc>
                            </w:tr>
                            <w:tr>
                              <w:trPr/>
                              <w:tc>
                                <w:tcPr>
                                  <w:tcW w:w="200" w:type="dxa"/>
                                  <w:tcBorders/>
                                  <w:vAlign w:val="center"/>
                                </w:tcPr>
                                <w:p>
                                  <w:pPr>
                                    <w:pStyle w:val="TableContents"/>
                                    <w:bidi w:val="0"/>
                                    <w:spacing w:lineRule="atLeast" w:line="200" w:before="0" w:after="0"/>
                                    <w:jc w:val="left"/>
                                    <w:rPr>
                                      <w:rFonts w:ascii="arial" w:hAnsi="arial"/>
                                      <w:b/>
                                      <w:color w:val="0171B9"/>
                                      <w:sz w:val="28"/>
                                    </w:rPr>
                                  </w:pPr>
                                  <w:r>
                                    <w:rPr>
                                      <w:rFonts w:ascii="arial" w:hAnsi="arial"/>
                                      <w:b/>
                                      <w:color w:val="0171B9"/>
                                      <w:sz w:val="28"/>
                                    </w:rPr>
                                    <w:t>×</w:t>
                                  </w:r>
                                </w:p>
                              </w:tc>
                              <w:tc>
                                <w:tcPr>
                                  <w:tcW w:w="60"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0"/>
                                    <w:jc w:val="both"/>
                                    <w:rPr>
                                      <w:rFonts w:ascii="arial" w:hAnsi="arial"/>
                                      <w:sz w:val="15"/>
                                    </w:rPr>
                                  </w:pPr>
                                  <w:r>
                                    <w:rPr>
                                      <w:rFonts w:ascii="arial" w:hAnsi="arial"/>
                                      <w:b/>
                                      <w:color w:val="0171B9"/>
                                      <w:sz w:val="15"/>
                                    </w:rPr>
                                    <w:t>No single-trigger and no gross-ups in the event of a change of control:</w:t>
                                  </w:r>
                                  <w:r>
                                    <w:rPr>
                                      <w:rFonts w:ascii="arial" w:hAnsi="arial"/>
                                      <w:sz w:val="15"/>
                                    </w:rPr>
                                    <w:t xml:space="preserve"> We do not have “single-trigger” equity vesting acceleration upon a change of control for RSUs and stock options and do not provide tax gross-ups on change of control payments.</w:t>
                                  </w:r>
                                </w:p>
                                <w:p>
                                  <w:pPr>
                                    <w:pStyle w:val="TableContents"/>
                                    <w:bidi w:val="0"/>
                                    <w:spacing w:before="0" w:after="20"/>
                                    <w:jc w:val="left"/>
                                    <w:rPr/>
                                  </w:pPr>
                                  <w:r>
                                    <w:rPr/>
                                    <w:t> </w:t>
                                  </w:r>
                                </w:p>
                              </w:tc>
                            </w:tr>
                            <w:tr>
                              <w:trPr/>
                              <w:tc>
                                <w:tcPr>
                                  <w:tcW w:w="200" w:type="dxa"/>
                                  <w:tcBorders/>
                                  <w:vAlign w:val="center"/>
                                </w:tcPr>
                                <w:p>
                                  <w:pPr>
                                    <w:pStyle w:val="TableContents"/>
                                    <w:bidi w:val="0"/>
                                    <w:spacing w:lineRule="atLeast" w:line="200" w:before="0" w:after="0"/>
                                    <w:jc w:val="left"/>
                                    <w:rPr>
                                      <w:rFonts w:ascii="arial" w:hAnsi="arial"/>
                                      <w:b/>
                                      <w:color w:val="0171B9"/>
                                      <w:sz w:val="28"/>
                                    </w:rPr>
                                  </w:pPr>
                                  <w:r>
                                    <w:rPr>
                                      <w:rFonts w:ascii="arial" w:hAnsi="arial"/>
                                      <w:b/>
                                      <w:color w:val="0171B9"/>
                                      <w:sz w:val="28"/>
                                    </w:rPr>
                                    <w:t>×</w:t>
                                  </w:r>
                                </w:p>
                              </w:tc>
                              <w:tc>
                                <w:tcPr>
                                  <w:tcW w:w="60"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0"/>
                                    <w:jc w:val="both"/>
                                    <w:rPr>
                                      <w:rFonts w:ascii="arial" w:hAnsi="arial"/>
                                      <w:sz w:val="15"/>
                                    </w:rPr>
                                  </w:pPr>
                                  <w:r>
                                    <w:rPr>
                                      <w:rFonts w:ascii="arial" w:hAnsi="arial"/>
                                      <w:b/>
                                      <w:color w:val="0171B9"/>
                                      <w:sz w:val="15"/>
                                    </w:rPr>
                                    <w:t>No excessive perks:</w:t>
                                  </w:r>
                                  <w:r>
                                    <w:rPr>
                                      <w:rFonts w:ascii="arial" w:hAnsi="arial"/>
                                      <w:sz w:val="15"/>
                                    </w:rPr>
                                    <w:t xml:space="preserve"> Our perquisites are limited to those with a clear business-related rationale.</w:t>
                                  </w:r>
                                </w:p>
                                <w:p>
                                  <w:pPr>
                                    <w:pStyle w:val="TableContents"/>
                                    <w:bidi w:val="0"/>
                                    <w:spacing w:before="0" w:after="20"/>
                                    <w:jc w:val="left"/>
                                    <w:rPr/>
                                  </w:pPr>
                                  <w:r>
                                    <w:rPr/>
                                    <w:t> </w:t>
                                  </w:r>
                                </w:p>
                              </w:tc>
                            </w:tr>
                            <w:tr>
                              <w:trPr/>
                              <w:tc>
                                <w:tcPr>
                                  <w:tcW w:w="200" w:type="dxa"/>
                                  <w:tcBorders/>
                                  <w:vAlign w:val="center"/>
                                </w:tcPr>
                                <w:p>
                                  <w:pPr>
                                    <w:pStyle w:val="TableContents"/>
                                    <w:bidi w:val="0"/>
                                    <w:spacing w:lineRule="atLeast" w:line="200" w:before="0" w:after="0"/>
                                    <w:jc w:val="left"/>
                                    <w:rPr>
                                      <w:rFonts w:ascii="arial" w:hAnsi="arial"/>
                                      <w:b/>
                                      <w:color w:val="0171B9"/>
                                      <w:sz w:val="28"/>
                                    </w:rPr>
                                  </w:pPr>
                                  <w:r>
                                    <w:rPr>
                                      <w:rFonts w:ascii="arial" w:hAnsi="arial"/>
                                      <w:b/>
                                      <w:color w:val="0171B9"/>
                                      <w:sz w:val="28"/>
                                    </w:rPr>
                                    <w:t>×</w:t>
                                  </w:r>
                                </w:p>
                              </w:tc>
                              <w:tc>
                                <w:tcPr>
                                  <w:tcW w:w="60"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0"/>
                                    <w:jc w:val="both"/>
                                    <w:rPr>
                                      <w:rFonts w:ascii="arial" w:hAnsi="arial"/>
                                      <w:sz w:val="15"/>
                                    </w:rPr>
                                  </w:pPr>
                                  <w:r>
                                    <w:rPr>
                                      <w:rFonts w:ascii="arial" w:hAnsi="arial"/>
                                      <w:b/>
                                      <w:color w:val="0171B9"/>
                                      <w:sz w:val="15"/>
                                    </w:rPr>
                                    <w:t>No employment agreements:</w:t>
                                  </w:r>
                                  <w:r>
                                    <w:rPr>
                                      <w:rFonts w:ascii="arial" w:hAnsi="arial"/>
                                      <w:sz w:val="15"/>
                                    </w:rPr>
                                    <w:t xml:space="preserve"> We do not have employment contracts or guaranteed bonuses, other than in countries where they are required by law.</w:t>
                                  </w:r>
                                </w:p>
                                <w:p>
                                  <w:pPr>
                                    <w:pStyle w:val="TableContents"/>
                                    <w:bidi w:val="0"/>
                                    <w:spacing w:before="0" w:after="20"/>
                                    <w:jc w:val="left"/>
                                    <w:rPr/>
                                  </w:pPr>
                                  <w:r>
                                    <w:rPr/>
                                    <w:t> </w:t>
                                  </w:r>
                                </w:p>
                              </w:tc>
                            </w:tr>
                            <w:tr>
                              <w:trPr/>
                              <w:tc>
                                <w:tcPr>
                                  <w:tcW w:w="200" w:type="dxa"/>
                                  <w:tcBorders/>
                                  <w:vAlign w:val="center"/>
                                </w:tcPr>
                                <w:p>
                                  <w:pPr>
                                    <w:pStyle w:val="TableContents"/>
                                    <w:bidi w:val="0"/>
                                    <w:spacing w:lineRule="atLeast" w:line="200" w:before="0" w:after="0"/>
                                    <w:jc w:val="left"/>
                                    <w:rPr>
                                      <w:rFonts w:ascii="arial" w:hAnsi="arial"/>
                                      <w:b/>
                                      <w:color w:val="0171B9"/>
                                      <w:sz w:val="28"/>
                                    </w:rPr>
                                  </w:pPr>
                                  <w:r>
                                    <w:rPr>
                                      <w:rFonts w:ascii="arial" w:hAnsi="arial"/>
                                      <w:b/>
                                      <w:color w:val="0171B9"/>
                                      <w:sz w:val="28"/>
                                    </w:rPr>
                                    <w:t>×</w:t>
                                  </w:r>
                                </w:p>
                              </w:tc>
                              <w:tc>
                                <w:tcPr>
                                  <w:tcW w:w="60"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0"/>
                                    <w:jc w:val="both"/>
                                    <w:rPr>
                                      <w:rFonts w:ascii="arial" w:hAnsi="arial"/>
                                      <w:sz w:val="15"/>
                                    </w:rPr>
                                  </w:pPr>
                                  <w:r>
                                    <w:rPr>
                                      <w:rFonts w:ascii="arial" w:hAnsi="arial"/>
                                      <w:b/>
                                      <w:color w:val="0171B9"/>
                                      <w:sz w:val="15"/>
                                    </w:rPr>
                                    <w:t>No dividends paid on unvested equity:</w:t>
                                  </w:r>
                                  <w:r>
                                    <w:rPr>
                                      <w:rFonts w:ascii="arial" w:hAnsi="arial"/>
                                      <w:sz w:val="15"/>
                                    </w:rPr>
                                    <w:t xml:space="preserve"> Dividends equivalents accrue on our performance units and RSUs, but are paid out in shares of our Common Stock only when, and to the extent that, the underlying award is earned and vested. Stock options do not have dividend equivalent rights.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34.1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pBdr>
                          <w:bottom w:val="single" w:sz="2" w:space="1" w:color="000000"/>
                        </w:pBdr>
                        <w:bidi w:val="0"/>
                        <w:spacing w:lineRule="atLeast" w:line="142" w:before="0" w:after="40"/>
                        <w:jc w:val="left"/>
                        <w:rPr/>
                      </w:pPr>
                      <w:r>
                        <w:rPr/>
                        <w:t> </w:t>
                      </w:r>
                    </w:p>
                    <w:p>
                      <w:pPr>
                        <w:pStyle w:val="TextBody"/>
                        <w:bidi w:val="0"/>
                        <w:spacing w:before="40" w:after="0"/>
                        <w:jc w:val="center"/>
                        <w:rPr>
                          <w:rFonts w:ascii="arial" w:hAnsi="arial"/>
                          <w:b/>
                          <w:color w:val="0171B9"/>
                          <w:sz w:val="16"/>
                        </w:rPr>
                      </w:pPr>
                      <w:r>
                        <w:rPr>
                          <w:rFonts w:ascii="arial" w:hAnsi="arial"/>
                          <w:b/>
                          <w:color w:val="0171B9"/>
                          <w:sz w:val="16"/>
                        </w:rPr>
                        <w:t xml:space="preserve">What we don’t do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0"/>
                        <w:gridCol w:w="60"/>
                        <w:gridCol w:w="9945"/>
                      </w:tblGrid>
                      <w:tr>
                        <w:trPr/>
                        <w:tc>
                          <w:tcPr>
                            <w:tcW w:w="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45" w:type="dxa"/>
                            <w:tcBorders/>
                            <w:vAlign w:val="center"/>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tLeast" w:line="200" w:before="0" w:after="0"/>
                              <w:jc w:val="left"/>
                              <w:rPr>
                                <w:rFonts w:ascii="arial" w:hAnsi="arial"/>
                                <w:b/>
                                <w:color w:val="0171B9"/>
                                <w:sz w:val="28"/>
                              </w:rPr>
                            </w:pPr>
                            <w:r>
                              <w:rPr>
                                <w:rFonts w:ascii="arial" w:hAnsi="arial"/>
                                <w:b/>
                                <w:color w:val="0171B9"/>
                                <w:sz w:val="28"/>
                              </w:rPr>
                              <w:t>×</w:t>
                            </w:r>
                          </w:p>
                        </w:tc>
                        <w:tc>
                          <w:tcPr>
                            <w:tcW w:w="60"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0"/>
                              <w:jc w:val="both"/>
                              <w:rPr>
                                <w:rFonts w:ascii="arial" w:hAnsi="arial"/>
                                <w:sz w:val="15"/>
                              </w:rPr>
                            </w:pPr>
                            <w:r>
                              <w:rPr>
                                <w:rFonts w:ascii="arial" w:hAnsi="arial"/>
                                <w:b/>
                                <w:color w:val="0171B9"/>
                                <w:sz w:val="15"/>
                              </w:rPr>
                              <w:t>No alterations to our established goals to respond to changing business conditions</w:t>
                            </w:r>
                            <w:r>
                              <w:rPr>
                                <w:rFonts w:ascii="arial" w:hAnsi="arial"/>
                                <w:sz w:val="15"/>
                              </w:rPr>
                              <w:t xml:space="preserve"> (for example, we did not make any changes to established goals in response to the occurrence or challenges of the pandemic).</w:t>
                            </w:r>
                          </w:p>
                          <w:p>
                            <w:pPr>
                              <w:pStyle w:val="TableContents"/>
                              <w:bidi w:val="0"/>
                              <w:spacing w:before="0" w:after="20"/>
                              <w:jc w:val="left"/>
                              <w:rPr/>
                            </w:pPr>
                            <w:r>
                              <w:rPr/>
                              <w:t> </w:t>
                            </w:r>
                          </w:p>
                        </w:tc>
                      </w:tr>
                      <w:tr>
                        <w:trPr/>
                        <w:tc>
                          <w:tcPr>
                            <w:tcW w:w="200" w:type="dxa"/>
                            <w:tcBorders/>
                            <w:vAlign w:val="center"/>
                          </w:tcPr>
                          <w:p>
                            <w:pPr>
                              <w:pStyle w:val="TableContents"/>
                              <w:bidi w:val="0"/>
                              <w:spacing w:lineRule="atLeast" w:line="200" w:before="0" w:after="0"/>
                              <w:jc w:val="left"/>
                              <w:rPr>
                                <w:rFonts w:ascii="arial" w:hAnsi="arial"/>
                                <w:b/>
                                <w:color w:val="0171B9"/>
                                <w:sz w:val="28"/>
                              </w:rPr>
                            </w:pPr>
                            <w:r>
                              <w:rPr>
                                <w:rFonts w:ascii="arial" w:hAnsi="arial"/>
                                <w:b/>
                                <w:color w:val="0171B9"/>
                                <w:sz w:val="28"/>
                              </w:rPr>
                              <w:t>×</w:t>
                            </w:r>
                          </w:p>
                        </w:tc>
                        <w:tc>
                          <w:tcPr>
                            <w:tcW w:w="60"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0"/>
                              <w:jc w:val="both"/>
                              <w:rPr>
                                <w:rFonts w:ascii="arial" w:hAnsi="arial"/>
                                <w:sz w:val="15"/>
                              </w:rPr>
                            </w:pPr>
                            <w:r>
                              <w:rPr>
                                <w:rFonts w:ascii="arial" w:hAnsi="arial"/>
                                <w:b/>
                                <w:color w:val="0171B9"/>
                                <w:sz w:val="15"/>
                              </w:rPr>
                              <w:t>No hedging or pledging:</w:t>
                            </w:r>
                            <w:r>
                              <w:rPr>
                                <w:rFonts w:ascii="arial" w:hAnsi="arial"/>
                                <w:b/>
                                <w:sz w:val="15"/>
                              </w:rPr>
                              <w:t xml:space="preserve"> </w:t>
                            </w:r>
                            <w:r>
                              <w:rPr>
                                <w:rFonts w:ascii="arial" w:hAnsi="arial"/>
                                <w:sz w:val="15"/>
                              </w:rPr>
                              <w:t>With respect to our Common Stock, all of our staff members and Board members are prohibited from engaging in short sales, purchasing or pledging our Common Stock on margin(3), or entering into any hedging, derivative, or similar transactions.</w:t>
                            </w:r>
                          </w:p>
                          <w:p>
                            <w:pPr>
                              <w:pStyle w:val="TableContents"/>
                              <w:bidi w:val="0"/>
                              <w:spacing w:before="0" w:after="20"/>
                              <w:jc w:val="left"/>
                              <w:rPr/>
                            </w:pPr>
                            <w:r>
                              <w:rPr/>
                              <w:t> </w:t>
                            </w:r>
                          </w:p>
                        </w:tc>
                      </w:tr>
                      <w:tr>
                        <w:trPr/>
                        <w:tc>
                          <w:tcPr>
                            <w:tcW w:w="200" w:type="dxa"/>
                            <w:tcBorders/>
                            <w:vAlign w:val="center"/>
                          </w:tcPr>
                          <w:p>
                            <w:pPr>
                              <w:pStyle w:val="TableContents"/>
                              <w:bidi w:val="0"/>
                              <w:spacing w:lineRule="atLeast" w:line="200" w:before="0" w:after="0"/>
                              <w:jc w:val="left"/>
                              <w:rPr>
                                <w:rFonts w:ascii="arial" w:hAnsi="arial"/>
                                <w:b/>
                                <w:color w:val="0171B9"/>
                                <w:sz w:val="28"/>
                              </w:rPr>
                            </w:pPr>
                            <w:r>
                              <w:rPr>
                                <w:rFonts w:ascii="arial" w:hAnsi="arial"/>
                                <w:b/>
                                <w:color w:val="0171B9"/>
                                <w:sz w:val="28"/>
                              </w:rPr>
                              <w:t>×</w:t>
                            </w:r>
                          </w:p>
                        </w:tc>
                        <w:tc>
                          <w:tcPr>
                            <w:tcW w:w="60"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0"/>
                              <w:jc w:val="both"/>
                              <w:rPr>
                                <w:rFonts w:ascii="arial" w:hAnsi="arial"/>
                                <w:sz w:val="15"/>
                              </w:rPr>
                            </w:pPr>
                            <w:r>
                              <w:rPr>
                                <w:rFonts w:ascii="arial" w:hAnsi="arial"/>
                                <w:b/>
                                <w:color w:val="0171B9"/>
                                <w:sz w:val="15"/>
                              </w:rPr>
                              <w:t>No re-pricing or backdating:</w:t>
                            </w:r>
                            <w:r>
                              <w:rPr>
                                <w:rFonts w:ascii="arial" w:hAnsi="arial"/>
                                <w:sz w:val="15"/>
                              </w:rPr>
                              <w:t xml:space="preserve"> We have strong LTI equity award plans and policies that prohibit re-pricing or backdating of equity awards.</w:t>
                            </w:r>
                          </w:p>
                          <w:p>
                            <w:pPr>
                              <w:pStyle w:val="TableContents"/>
                              <w:bidi w:val="0"/>
                              <w:spacing w:before="0" w:after="20"/>
                              <w:jc w:val="left"/>
                              <w:rPr/>
                            </w:pPr>
                            <w:r>
                              <w:rPr/>
                              <w:t> </w:t>
                            </w:r>
                          </w:p>
                        </w:tc>
                      </w:tr>
                      <w:tr>
                        <w:trPr/>
                        <w:tc>
                          <w:tcPr>
                            <w:tcW w:w="200" w:type="dxa"/>
                            <w:tcBorders/>
                            <w:vAlign w:val="center"/>
                          </w:tcPr>
                          <w:p>
                            <w:pPr>
                              <w:pStyle w:val="TableContents"/>
                              <w:bidi w:val="0"/>
                              <w:spacing w:lineRule="atLeast" w:line="200" w:before="0" w:after="0"/>
                              <w:jc w:val="left"/>
                              <w:rPr>
                                <w:rFonts w:ascii="arial" w:hAnsi="arial"/>
                                <w:b/>
                                <w:color w:val="0171B9"/>
                                <w:sz w:val="28"/>
                              </w:rPr>
                            </w:pPr>
                            <w:r>
                              <w:rPr>
                                <w:rFonts w:ascii="arial" w:hAnsi="arial"/>
                                <w:b/>
                                <w:color w:val="0171B9"/>
                                <w:sz w:val="28"/>
                              </w:rPr>
                              <w:t>×</w:t>
                            </w:r>
                          </w:p>
                        </w:tc>
                        <w:tc>
                          <w:tcPr>
                            <w:tcW w:w="60"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0"/>
                              <w:jc w:val="both"/>
                              <w:rPr>
                                <w:rFonts w:ascii="arial" w:hAnsi="arial"/>
                                <w:sz w:val="15"/>
                              </w:rPr>
                            </w:pPr>
                            <w:r>
                              <w:rPr>
                                <w:rFonts w:ascii="arial" w:hAnsi="arial"/>
                                <w:b/>
                                <w:color w:val="0171B9"/>
                                <w:sz w:val="15"/>
                              </w:rPr>
                              <w:t>No tax gross-ups:</w:t>
                            </w:r>
                            <w:r>
                              <w:rPr>
                                <w:rFonts w:ascii="arial" w:hAnsi="arial"/>
                                <w:sz w:val="15"/>
                              </w:rPr>
                              <w:t xml:space="preserve"> We do not provide tax gross-ups, except for business-related payments such as reimbursement of certain relocation expenses on behalf of newly hired and current executives who agree to relocate to work on the Company’s behalf.</w:t>
                            </w:r>
                          </w:p>
                          <w:p>
                            <w:pPr>
                              <w:pStyle w:val="TableContents"/>
                              <w:bidi w:val="0"/>
                              <w:spacing w:before="0" w:after="20"/>
                              <w:jc w:val="left"/>
                              <w:rPr/>
                            </w:pPr>
                            <w:r>
                              <w:rPr/>
                              <w:t> </w:t>
                            </w:r>
                          </w:p>
                        </w:tc>
                      </w:tr>
                      <w:tr>
                        <w:trPr/>
                        <w:tc>
                          <w:tcPr>
                            <w:tcW w:w="200" w:type="dxa"/>
                            <w:tcBorders/>
                            <w:vAlign w:val="center"/>
                          </w:tcPr>
                          <w:p>
                            <w:pPr>
                              <w:pStyle w:val="TableContents"/>
                              <w:bidi w:val="0"/>
                              <w:spacing w:lineRule="atLeast" w:line="200" w:before="0" w:after="0"/>
                              <w:jc w:val="left"/>
                              <w:rPr>
                                <w:rFonts w:ascii="arial" w:hAnsi="arial"/>
                                <w:b/>
                                <w:color w:val="0171B9"/>
                                <w:sz w:val="28"/>
                              </w:rPr>
                            </w:pPr>
                            <w:r>
                              <w:rPr>
                                <w:rFonts w:ascii="arial" w:hAnsi="arial"/>
                                <w:b/>
                                <w:color w:val="0171B9"/>
                                <w:sz w:val="28"/>
                              </w:rPr>
                              <w:t>×</w:t>
                            </w:r>
                          </w:p>
                        </w:tc>
                        <w:tc>
                          <w:tcPr>
                            <w:tcW w:w="60"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0"/>
                              <w:jc w:val="both"/>
                              <w:rPr>
                                <w:rFonts w:ascii="arial" w:hAnsi="arial"/>
                                <w:sz w:val="15"/>
                              </w:rPr>
                            </w:pPr>
                            <w:r>
                              <w:rPr>
                                <w:rFonts w:ascii="arial" w:hAnsi="arial"/>
                                <w:b/>
                                <w:color w:val="0171B9"/>
                                <w:sz w:val="15"/>
                              </w:rPr>
                              <w:t>No single-trigger and no gross-ups in the event of a change of control:</w:t>
                            </w:r>
                            <w:r>
                              <w:rPr>
                                <w:rFonts w:ascii="arial" w:hAnsi="arial"/>
                                <w:sz w:val="15"/>
                              </w:rPr>
                              <w:t xml:space="preserve"> We do not have “single-trigger” equity vesting acceleration upon a change of control for RSUs and stock options and do not provide tax gross-ups on change of control payments.</w:t>
                            </w:r>
                          </w:p>
                          <w:p>
                            <w:pPr>
                              <w:pStyle w:val="TableContents"/>
                              <w:bidi w:val="0"/>
                              <w:spacing w:before="0" w:after="20"/>
                              <w:jc w:val="left"/>
                              <w:rPr/>
                            </w:pPr>
                            <w:r>
                              <w:rPr/>
                              <w:t> </w:t>
                            </w:r>
                          </w:p>
                        </w:tc>
                      </w:tr>
                      <w:tr>
                        <w:trPr/>
                        <w:tc>
                          <w:tcPr>
                            <w:tcW w:w="200" w:type="dxa"/>
                            <w:tcBorders/>
                            <w:vAlign w:val="center"/>
                          </w:tcPr>
                          <w:p>
                            <w:pPr>
                              <w:pStyle w:val="TableContents"/>
                              <w:bidi w:val="0"/>
                              <w:spacing w:lineRule="atLeast" w:line="200" w:before="0" w:after="0"/>
                              <w:jc w:val="left"/>
                              <w:rPr>
                                <w:rFonts w:ascii="arial" w:hAnsi="arial"/>
                                <w:b/>
                                <w:color w:val="0171B9"/>
                                <w:sz w:val="28"/>
                              </w:rPr>
                            </w:pPr>
                            <w:r>
                              <w:rPr>
                                <w:rFonts w:ascii="arial" w:hAnsi="arial"/>
                                <w:b/>
                                <w:color w:val="0171B9"/>
                                <w:sz w:val="28"/>
                              </w:rPr>
                              <w:t>×</w:t>
                            </w:r>
                          </w:p>
                        </w:tc>
                        <w:tc>
                          <w:tcPr>
                            <w:tcW w:w="60"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0"/>
                              <w:jc w:val="both"/>
                              <w:rPr>
                                <w:rFonts w:ascii="arial" w:hAnsi="arial"/>
                                <w:sz w:val="15"/>
                              </w:rPr>
                            </w:pPr>
                            <w:r>
                              <w:rPr>
                                <w:rFonts w:ascii="arial" w:hAnsi="arial"/>
                                <w:b/>
                                <w:color w:val="0171B9"/>
                                <w:sz w:val="15"/>
                              </w:rPr>
                              <w:t>No excessive perks:</w:t>
                            </w:r>
                            <w:r>
                              <w:rPr>
                                <w:rFonts w:ascii="arial" w:hAnsi="arial"/>
                                <w:sz w:val="15"/>
                              </w:rPr>
                              <w:t xml:space="preserve"> Our perquisites are limited to those with a clear business-related rationale.</w:t>
                            </w:r>
                          </w:p>
                          <w:p>
                            <w:pPr>
                              <w:pStyle w:val="TableContents"/>
                              <w:bidi w:val="0"/>
                              <w:spacing w:before="0" w:after="20"/>
                              <w:jc w:val="left"/>
                              <w:rPr/>
                            </w:pPr>
                            <w:r>
                              <w:rPr/>
                              <w:t> </w:t>
                            </w:r>
                          </w:p>
                        </w:tc>
                      </w:tr>
                      <w:tr>
                        <w:trPr/>
                        <w:tc>
                          <w:tcPr>
                            <w:tcW w:w="200" w:type="dxa"/>
                            <w:tcBorders/>
                            <w:vAlign w:val="center"/>
                          </w:tcPr>
                          <w:p>
                            <w:pPr>
                              <w:pStyle w:val="TableContents"/>
                              <w:bidi w:val="0"/>
                              <w:spacing w:lineRule="atLeast" w:line="200" w:before="0" w:after="0"/>
                              <w:jc w:val="left"/>
                              <w:rPr>
                                <w:rFonts w:ascii="arial" w:hAnsi="arial"/>
                                <w:b/>
                                <w:color w:val="0171B9"/>
                                <w:sz w:val="28"/>
                              </w:rPr>
                            </w:pPr>
                            <w:r>
                              <w:rPr>
                                <w:rFonts w:ascii="arial" w:hAnsi="arial"/>
                                <w:b/>
                                <w:color w:val="0171B9"/>
                                <w:sz w:val="28"/>
                              </w:rPr>
                              <w:t>×</w:t>
                            </w:r>
                          </w:p>
                        </w:tc>
                        <w:tc>
                          <w:tcPr>
                            <w:tcW w:w="60"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0"/>
                              <w:jc w:val="both"/>
                              <w:rPr>
                                <w:rFonts w:ascii="arial" w:hAnsi="arial"/>
                                <w:sz w:val="15"/>
                              </w:rPr>
                            </w:pPr>
                            <w:r>
                              <w:rPr>
                                <w:rFonts w:ascii="arial" w:hAnsi="arial"/>
                                <w:b/>
                                <w:color w:val="0171B9"/>
                                <w:sz w:val="15"/>
                              </w:rPr>
                              <w:t>No employment agreements:</w:t>
                            </w:r>
                            <w:r>
                              <w:rPr>
                                <w:rFonts w:ascii="arial" w:hAnsi="arial"/>
                                <w:sz w:val="15"/>
                              </w:rPr>
                              <w:t xml:space="preserve"> We do not have employment contracts or guaranteed bonuses, other than in countries where they are required by law.</w:t>
                            </w:r>
                          </w:p>
                          <w:p>
                            <w:pPr>
                              <w:pStyle w:val="TableContents"/>
                              <w:bidi w:val="0"/>
                              <w:spacing w:before="0" w:after="20"/>
                              <w:jc w:val="left"/>
                              <w:rPr/>
                            </w:pPr>
                            <w:r>
                              <w:rPr/>
                              <w:t> </w:t>
                            </w:r>
                          </w:p>
                        </w:tc>
                      </w:tr>
                      <w:tr>
                        <w:trPr/>
                        <w:tc>
                          <w:tcPr>
                            <w:tcW w:w="200" w:type="dxa"/>
                            <w:tcBorders/>
                            <w:vAlign w:val="center"/>
                          </w:tcPr>
                          <w:p>
                            <w:pPr>
                              <w:pStyle w:val="TableContents"/>
                              <w:bidi w:val="0"/>
                              <w:spacing w:lineRule="atLeast" w:line="200" w:before="0" w:after="0"/>
                              <w:jc w:val="left"/>
                              <w:rPr>
                                <w:rFonts w:ascii="arial" w:hAnsi="arial"/>
                                <w:b/>
                                <w:color w:val="0171B9"/>
                                <w:sz w:val="28"/>
                              </w:rPr>
                            </w:pPr>
                            <w:r>
                              <w:rPr>
                                <w:rFonts w:ascii="arial" w:hAnsi="arial"/>
                                <w:b/>
                                <w:color w:val="0171B9"/>
                                <w:sz w:val="28"/>
                              </w:rPr>
                              <w:t>×</w:t>
                            </w:r>
                          </w:p>
                        </w:tc>
                        <w:tc>
                          <w:tcPr>
                            <w:tcW w:w="60"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0"/>
                              <w:jc w:val="both"/>
                              <w:rPr>
                                <w:rFonts w:ascii="arial" w:hAnsi="arial"/>
                                <w:sz w:val="15"/>
                              </w:rPr>
                            </w:pPr>
                            <w:r>
                              <w:rPr>
                                <w:rFonts w:ascii="arial" w:hAnsi="arial"/>
                                <w:b/>
                                <w:color w:val="0171B9"/>
                                <w:sz w:val="15"/>
                              </w:rPr>
                              <w:t>No dividends paid on unvested equity:</w:t>
                            </w:r>
                            <w:r>
                              <w:rPr>
                                <w:rFonts w:ascii="arial" w:hAnsi="arial"/>
                                <w:sz w:val="15"/>
                              </w:rPr>
                              <w:t xml:space="preserve"> Dividends equivalents accrue on our performance units and RSUs, but are paid out in shares of our Common Stock only when, and to the extent that, the underlying award is earned and vested. Stock options do not have dividend equivalent rights.</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(1) </w:t>
            </w:r>
          </w:p>
        </w:tc>
        <w:tc>
          <w:tcPr>
            <w:tcW w:w="9939" w:type="dxa"/>
            <w:tcBorders/>
            <w:vAlign w:val="center"/>
          </w:tcPr>
          <w:p>
            <w:pPr>
              <w:pStyle w:val="TableContents"/>
              <w:bidi w:val="0"/>
              <w:spacing w:before="0" w:after="0"/>
              <w:jc w:val="both"/>
              <w:rPr>
                <w:rFonts w:ascii="arial" w:hAnsi="arial"/>
                <w:sz w:val="14"/>
              </w:rPr>
            </w:pPr>
            <w:r>
              <w:rPr>
                <w:rFonts w:ascii="arial" w:hAnsi="arial"/>
                <w:sz w:val="14"/>
              </w:rPr>
              <w:t xml:space="preserve">Our clawback policy is available on our website at </w:t>
            </w:r>
            <w:r>
              <w:rPr>
                <w:rFonts w:ascii="arial" w:hAnsi="arial"/>
                <w:i/>
                <w:color w:val="0171B9"/>
                <w:sz w:val="14"/>
              </w:rPr>
              <w:t>https://wwwext.amgen.com/about/how-we-operate/corporate-governance/amgen-policy-on-recovery-of-erroneously-awarded-compensation</w:t>
            </w:r>
            <w:r>
              <w:rPr>
                <w:rFonts w:ascii="arial" w:hAnsi="arial"/>
                <w:sz w:val="14"/>
              </w:rPr>
              <w:t xml:space="preserve"> and filed in our Form 10-K for the year ended December 31, 2023. Reference to our website is not intended to function as a hyperlink and the information contained on our website is not intended to be part of this proxy statement. </w:t>
            </w:r>
          </w:p>
        </w:tc>
      </w:tr>
    </w:tbl>
    <w:tbl>
      <w:tblPr>
        <w:tblW w:w="6505" w:type="dxa"/>
        <w:jc w:val="left"/>
        <w:tblInd w:w="0" w:type="dxa"/>
        <w:tblLayout w:type="fixed"/>
        <w:tblCellMar>
          <w:top w:w="0" w:type="dxa"/>
          <w:left w:w="0" w:type="dxa"/>
          <w:bottom w:w="0" w:type="dxa"/>
          <w:right w:w="0" w:type="dxa"/>
        </w:tblCellMar>
      </w:tblPr>
      <w:tblGrid>
        <w:gridCol w:w="365"/>
        <w:gridCol w:w="6140"/>
      </w:tblGrid>
      <w:tr>
        <w:trPr/>
        <w:tc>
          <w:tcPr>
            <w:tcW w:w="365" w:type="dxa"/>
            <w:tcBorders/>
            <w:vAlign w:val="center"/>
          </w:tcPr>
          <w:p>
            <w:pPr>
              <w:pStyle w:val="TableContents"/>
              <w:bidi w:val="0"/>
              <w:spacing w:before="0" w:after="283"/>
              <w:jc w:val="left"/>
              <w:rPr/>
            </w:pPr>
            <w:r>
              <w:rPr/>
              <w:t>(2) </w:t>
            </w:r>
          </w:p>
        </w:tc>
        <w:tc>
          <w:tcPr>
            <w:tcW w:w="6140" w:type="dxa"/>
            <w:tcBorders/>
            <w:vAlign w:val="center"/>
          </w:tcPr>
          <w:p>
            <w:pPr>
              <w:pStyle w:val="TableContents"/>
              <w:bidi w:val="0"/>
              <w:spacing w:before="0" w:after="0"/>
              <w:jc w:val="both"/>
              <w:rPr>
                <w:rFonts w:ascii="arial" w:hAnsi="arial"/>
                <w:sz w:val="14"/>
              </w:rPr>
            </w:pPr>
            <w:r>
              <w:rPr>
                <w:rFonts w:ascii="arial" w:hAnsi="arial"/>
                <w:sz w:val="14"/>
              </w:rPr>
              <w:t xml:space="preserve">For additional discussion, please see “Our Values” in this Compensation Discussion and Analysis. </w:t>
            </w:r>
          </w:p>
        </w:tc>
      </w:tr>
    </w:tbl>
    <w:tbl>
      <w:tblPr>
        <w:tblW w:w="10205" w:type="dxa"/>
        <w:jc w:val="left"/>
        <w:tblInd w:w="0" w:type="dxa"/>
        <w:tblLayout w:type="fixed"/>
        <w:tblCellMar>
          <w:top w:w="0" w:type="dxa"/>
          <w:left w:w="0" w:type="dxa"/>
          <w:bottom w:w="0" w:type="dxa"/>
          <w:right w:w="0" w:type="dxa"/>
        </w:tblCellMar>
      </w:tblPr>
      <w:tblGrid>
        <w:gridCol w:w="350"/>
        <w:gridCol w:w="9855"/>
      </w:tblGrid>
      <w:tr>
        <w:trPr/>
        <w:tc>
          <w:tcPr>
            <w:tcW w:w="350" w:type="dxa"/>
            <w:tcBorders/>
            <w:vAlign w:val="center"/>
          </w:tcPr>
          <w:p>
            <w:pPr>
              <w:pStyle w:val="TableContents"/>
              <w:bidi w:val="0"/>
              <w:spacing w:before="0" w:after="283"/>
              <w:jc w:val="left"/>
              <w:rPr/>
            </w:pPr>
            <w:r>
              <w:rPr/>
              <w:t>(3) </w:t>
            </w:r>
          </w:p>
        </w:tc>
        <w:tc>
          <w:tcPr>
            <w:tcW w:w="9855" w:type="dxa"/>
            <w:tcBorders/>
            <w:vAlign w:val="center"/>
          </w:tcPr>
          <w:p>
            <w:pPr>
              <w:pStyle w:val="TableContents"/>
              <w:bidi w:val="0"/>
              <w:spacing w:before="0" w:after="0"/>
              <w:jc w:val="both"/>
              <w:rPr>
                <w:rFonts w:ascii="arial" w:hAnsi="arial"/>
                <w:sz w:val="14"/>
              </w:rPr>
            </w:pPr>
            <w:r>
              <w:rPr>
                <w:rFonts w:ascii="arial" w:hAnsi="arial"/>
                <w:sz w:val="14"/>
              </w:rPr>
              <w:t>With the exception of the use of a margin account to purchase our common stock in connection with the exercise of Amgen-granted stock options (i.</w:t>
            </w:r>
            <w:r>
              <w:rPr>
                <w:rFonts w:ascii="arial" w:hAnsi="arial"/>
                <w:i/>
                <w:sz w:val="14"/>
              </w:rPr>
              <w:t>e.</w:t>
            </w:r>
            <w:r>
              <w:rPr>
                <w:rFonts w:ascii="arial" w:hAnsi="arial"/>
                <w:sz w:val="14"/>
              </w:rPr>
              <w:t xml:space="preserve">, “cashless exercises”).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192"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97" descr=""/>
                    <pic:cNvPicPr>
                      <a:picLocks noChangeAspect="1" noChangeArrowheads="1"/>
                    </pic:cNvPicPr>
                  </pic:nvPicPr>
                  <pic:blipFill>
                    <a:blip r:embed="rId101"/>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53</w:t>
      </w:r>
      <w:r>
        <w:rPr>
          <w:rFonts w:ascii="arial" w:hAnsi="arial"/>
          <w:b/>
          <w:sz w:val="22"/>
        </w:rPr>
        <w:t xml:space="preserve"> </w:t>
      </w:r>
      <w:r>
        <w:br w:type="page"/>
      </w:r>
    </w:p>
    <w:p>
      <w:pPr>
        <w:pStyle w:val="HorizontalLine"/>
        <w:bidi w:val="0"/>
        <w:jc w:val="left"/>
        <w:rPr/>
      </w:pPr>
      <w:r>
        <w:rPr/>
      </w:r>
    </w:p>
    <w:tbl>
      <w:tblPr>
        <w:tblW w:w="507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45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459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Compensation Discussion and Analysis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171B9"/>
          <w:sz w:val="26"/>
        </w:rPr>
      </w:pPr>
      <w:bookmarkStart w:id="40" w:name="toc445034_33"/>
      <w:bookmarkStart w:id="41" w:name="txa445034_104"/>
      <w:bookmarkEnd w:id="40"/>
      <w:bookmarkEnd w:id="41"/>
      <w:r>
        <w:rPr>
          <w:rFonts w:ascii="arial" w:hAnsi="arial"/>
          <w:b/>
          <w:color w:val="0171B9"/>
          <w:sz w:val="26"/>
        </w:rPr>
        <w:t xml:space="preserve">Aligning Pay With Performance </w:t>
      </w:r>
    </w:p>
    <w:p>
      <w:pPr>
        <w:pStyle w:val="TextBody"/>
        <w:pBdr>
          <w:bottom w:val="single" w:sz="2" w:space="1" w:color="666666"/>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35">
                <wp:simplePos x="0" y="0"/>
                <wp:positionH relativeFrom="column">
                  <wp:align>left</wp:align>
                </wp:positionH>
                <wp:positionV relativeFrom="line">
                  <wp:posOffset>635</wp:posOffset>
                </wp:positionV>
                <wp:extent cx="3110230" cy="2303780"/>
                <wp:effectExtent l="0" t="0" r="0" b="0"/>
                <wp:wrapSquare wrapText="right"/>
                <wp:docPr id="193" name="Frame93"/>
                <a:graphic xmlns:a="http://schemas.openxmlformats.org/drawingml/2006/main">
                  <a:graphicData uri="http://schemas.microsoft.com/office/word/2010/wordprocessingShape">
                    <wps:wsp>
                      <wps:cNvSpPr txBox="1"/>
                      <wps:spPr>
                        <a:xfrm>
                          <a:off x="0" y="0"/>
                          <a:ext cx="3110230" cy="2303780"/>
                        </a:xfrm>
                        <a:prstGeom prst="rect"/>
                        <a:solidFill>
                          <a:srgbClr val="FFFFFF"/>
                        </a:solidFill>
                      </wps:spPr>
                      <wps:txbx>
                        <w:txbxContent>
                          <w:p>
                            <w:pPr>
                              <w:pStyle w:val="TextBody"/>
                              <w:bidi w:val="0"/>
                              <w:spacing w:before="0" w:after="0"/>
                              <w:jc w:val="both"/>
                              <w:rPr>
                                <w:rFonts w:ascii="arial" w:hAnsi="arial"/>
                                <w:sz w:val="18"/>
                              </w:rPr>
                            </w:pPr>
                            <w:r>
                              <w:rPr>
                                <w:rFonts w:ascii="arial" w:hAnsi="arial"/>
                                <w:sz w:val="18"/>
                              </w:rPr>
                              <w:t xml:space="preserve">A substantial majority of each NEO’s compensation is at risk and earned based on our execution of our strategy and performance. Our annual cash and long-term equity incentive programs promote focus on activities supporting the execution of our strategic priorities as well as near- and long-term stockholder value creation with compensation earned based on our financial, operating, and stock price performance. </w:t>
                            </w:r>
                          </w:p>
                          <w:p>
                            <w:pPr>
                              <w:pStyle w:val="TextBody"/>
                              <w:bidi w:val="0"/>
                              <w:spacing w:before="120" w:after="0"/>
                              <w:jc w:val="left"/>
                              <w:rPr>
                                <w:rFonts w:ascii="arial" w:hAnsi="arial"/>
                                <w:b/>
                                <w:sz w:val="18"/>
                              </w:rPr>
                            </w:pPr>
                            <w:r>
                              <w:rPr>
                                <w:rFonts w:ascii="arial" w:hAnsi="arial"/>
                                <w:b/>
                                <w:sz w:val="18"/>
                              </w:rPr>
                              <w:t xml:space="preserve">Our Executive Compensation Objectives </w:t>
                            </w:r>
                          </w:p>
                          <w:p>
                            <w:pPr>
                              <w:pStyle w:val="TextBody"/>
                              <w:bidi w:val="0"/>
                              <w:spacing w:before="120" w:after="0"/>
                              <w:jc w:val="both"/>
                              <w:rPr>
                                <w:rFonts w:ascii="arial" w:hAnsi="arial"/>
                                <w:sz w:val="18"/>
                              </w:rPr>
                            </w:pPr>
                            <w:r>
                              <w:rPr>
                                <w:rFonts w:ascii="arial" w:hAnsi="arial"/>
                                <w:sz w:val="18"/>
                              </w:rPr>
                              <w:t xml:space="preserve">Our executive compensation program is designed to achieve the following objectives: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b/>
                                      <w:sz w:val="18"/>
                                    </w:rPr>
                                    <w:t>Pay for performance in a manner that strongly aligns with stockholder interests</w:t>
                                  </w:r>
                                  <w:r>
                                    <w:rPr>
                                      <w:rFonts w:ascii="arial" w:hAnsi="arial"/>
                                      <w:sz w:val="18"/>
                                    </w:rPr>
                                    <w:t xml:space="preserve"> by rewarding both our short- and long-term performance.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81.4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8"/>
                        </w:rPr>
                      </w:pPr>
                      <w:r>
                        <w:rPr>
                          <w:rFonts w:ascii="arial" w:hAnsi="arial"/>
                          <w:sz w:val="18"/>
                        </w:rPr>
                        <w:t xml:space="preserve">A substantial majority of each NEO’s compensation is at risk and earned based on our execution of our strategy and performance. Our annual cash and long-term equity incentive programs promote focus on activities supporting the execution of our strategic priorities as well as near- and long-term stockholder value creation with compensation earned based on our financial, operating, and stock price performance. </w:t>
                      </w:r>
                    </w:p>
                    <w:p>
                      <w:pPr>
                        <w:pStyle w:val="TextBody"/>
                        <w:bidi w:val="0"/>
                        <w:spacing w:before="120" w:after="0"/>
                        <w:jc w:val="left"/>
                        <w:rPr>
                          <w:rFonts w:ascii="arial" w:hAnsi="arial"/>
                          <w:b/>
                          <w:sz w:val="18"/>
                        </w:rPr>
                      </w:pPr>
                      <w:r>
                        <w:rPr>
                          <w:rFonts w:ascii="arial" w:hAnsi="arial"/>
                          <w:b/>
                          <w:sz w:val="18"/>
                        </w:rPr>
                        <w:t xml:space="preserve">Our Executive Compensation Objectives </w:t>
                      </w:r>
                    </w:p>
                    <w:p>
                      <w:pPr>
                        <w:pStyle w:val="TextBody"/>
                        <w:bidi w:val="0"/>
                        <w:spacing w:before="120" w:after="0"/>
                        <w:jc w:val="both"/>
                        <w:rPr>
                          <w:rFonts w:ascii="arial" w:hAnsi="arial"/>
                          <w:sz w:val="18"/>
                        </w:rPr>
                      </w:pPr>
                      <w:r>
                        <w:rPr>
                          <w:rFonts w:ascii="arial" w:hAnsi="arial"/>
                          <w:sz w:val="18"/>
                        </w:rPr>
                        <w:t xml:space="preserve">Our executive compensation program is designed to achieve the following objectives: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b/>
                                <w:sz w:val="18"/>
                              </w:rPr>
                              <w:t>Pay for performance in a manner that strongly aligns with stockholder interests</w:t>
                            </w:r>
                            <w:r>
                              <w:rPr>
                                <w:rFonts w:ascii="arial" w:hAnsi="arial"/>
                                <w:sz w:val="18"/>
                              </w:rPr>
                              <w:t xml:space="preserve"> by rewarding both our short- and long-term performance.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36">
                <wp:simplePos x="0" y="0"/>
                <wp:positionH relativeFrom="column">
                  <wp:align>left</wp:align>
                </wp:positionH>
                <wp:positionV relativeFrom="line">
                  <wp:posOffset>635</wp:posOffset>
                </wp:positionV>
                <wp:extent cx="3175000" cy="2120900"/>
                <wp:effectExtent l="0" t="0" r="0" b="0"/>
                <wp:wrapSquare wrapText="right"/>
                <wp:docPr id="194" name="Frame94"/>
                <a:graphic xmlns:a="http://schemas.openxmlformats.org/drawingml/2006/main">
                  <a:graphicData uri="http://schemas.microsoft.com/office/word/2010/wordprocessingShape">
                    <wps:wsp>
                      <wps:cNvSpPr txBox="1"/>
                      <wps:spPr>
                        <a:xfrm>
                          <a:off x="0" y="0"/>
                          <a:ext cx="3175000" cy="2120900"/>
                        </a:xfrm>
                        <a:prstGeom prst="rect"/>
                        <a:solidFill>
                          <a:srgbClr val="FFFFFF"/>
                        </a:solidFill>
                      </wps:spPr>
                      <wps:txbx>
                        <w:txbxContent>
                          <w:tbl>
                            <w:tblPr>
                              <w:tblW w:w="9835" w:type="dxa"/>
                              <w:jc w:val="left"/>
                              <w:tblInd w:w="0" w:type="dxa"/>
                              <w:tblLayout w:type="fixed"/>
                              <w:tblCellMar>
                                <w:top w:w="0" w:type="dxa"/>
                                <w:left w:w="0" w:type="dxa"/>
                                <w:bottom w:w="0" w:type="dxa"/>
                                <w:right w:w="0" w:type="dxa"/>
                              </w:tblCellMar>
                            </w:tblPr>
                            <w:tblGrid>
                              <w:gridCol w:w="125"/>
                              <w:gridCol w:w="60"/>
                              <w:gridCol w:w="965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9650" w:type="dxa"/>
                                  <w:tcBorders/>
                                  <w:vAlign w:val="center"/>
                                </w:tcPr>
                                <w:p>
                                  <w:pPr>
                                    <w:pStyle w:val="TableContents"/>
                                    <w:bidi w:val="0"/>
                                    <w:spacing w:before="0" w:after="0"/>
                                    <w:jc w:val="both"/>
                                    <w:rPr>
                                      <w:rFonts w:ascii="arial" w:hAnsi="arial"/>
                                      <w:sz w:val="18"/>
                                    </w:rPr>
                                  </w:pPr>
                                  <w:r>
                                    <w:rPr>
                                      <w:rFonts w:ascii="arial" w:hAnsi="arial"/>
                                      <w:b/>
                                      <w:sz w:val="18"/>
                                    </w:rPr>
                                    <w:t>Drive our business strategy</w:t>
                                  </w:r>
                                  <w:r>
                                    <w:rPr>
                                      <w:rFonts w:ascii="arial" w:hAnsi="arial"/>
                                      <w:sz w:val="18"/>
                                    </w:rPr>
                                    <w:t xml:space="preserve"> by positioning our staff to execute on our strategic priorities in the near- and longer-term.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b/>
                                      <w:sz w:val="18"/>
                                    </w:rPr>
                                    <w:t>Attract, motivate, and retain the highest level of talent</w:t>
                                  </w:r>
                                  <w:r>
                                    <w:rPr>
                                      <w:rFonts w:ascii="arial" w:hAnsi="arial"/>
                                      <w:sz w:val="18"/>
                                    </w:rPr>
                                    <w:t xml:space="preserve"> by providing competitive compensation, consistent with their roles and responsibilities, our success, and their contributions to this success.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b/>
                                      <w:sz w:val="18"/>
                                    </w:rPr>
                                    <w:t xml:space="preserve">Mitigate compensation risk </w:t>
                                  </w:r>
                                  <w:r>
                                    <w:rPr>
                                      <w:rFonts w:ascii="arial" w:hAnsi="arial"/>
                                      <w:sz w:val="18"/>
                                    </w:rPr>
                                    <w:t xml:space="preserve">by maintaining pay practices that reward actions and outcomes consistent with the sound operation of our Company and with the creation of long-term stockholder value.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b/>
                                      <w:sz w:val="18"/>
                                    </w:rPr>
                                    <w:t>Consider all Amgen staff members</w:t>
                                  </w:r>
                                  <w:r>
                                    <w:rPr>
                                      <w:rFonts w:ascii="arial" w:hAnsi="arial"/>
                                      <w:sz w:val="18"/>
                                    </w:rPr>
                                    <w:t xml:space="preserve"> in the design of our executive compensation program, to ensure a consistent approach that encourages and rewards all staff members who contribute to our success.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67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9835" w:type="dxa"/>
                        <w:jc w:val="left"/>
                        <w:tblInd w:w="0" w:type="dxa"/>
                        <w:tblLayout w:type="fixed"/>
                        <w:tblCellMar>
                          <w:top w:w="0" w:type="dxa"/>
                          <w:left w:w="0" w:type="dxa"/>
                          <w:bottom w:w="0" w:type="dxa"/>
                          <w:right w:w="0" w:type="dxa"/>
                        </w:tblCellMar>
                      </w:tblPr>
                      <w:tblGrid>
                        <w:gridCol w:w="125"/>
                        <w:gridCol w:w="60"/>
                        <w:gridCol w:w="965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9650" w:type="dxa"/>
                            <w:tcBorders/>
                            <w:vAlign w:val="center"/>
                          </w:tcPr>
                          <w:p>
                            <w:pPr>
                              <w:pStyle w:val="TableContents"/>
                              <w:bidi w:val="0"/>
                              <w:spacing w:before="0" w:after="0"/>
                              <w:jc w:val="both"/>
                              <w:rPr>
                                <w:rFonts w:ascii="arial" w:hAnsi="arial"/>
                                <w:sz w:val="18"/>
                              </w:rPr>
                            </w:pPr>
                            <w:r>
                              <w:rPr>
                                <w:rFonts w:ascii="arial" w:hAnsi="arial"/>
                                <w:b/>
                                <w:sz w:val="18"/>
                              </w:rPr>
                              <w:t>Drive our business strategy</w:t>
                            </w:r>
                            <w:r>
                              <w:rPr>
                                <w:rFonts w:ascii="arial" w:hAnsi="arial"/>
                                <w:sz w:val="18"/>
                              </w:rPr>
                              <w:t xml:space="preserve"> by positioning our staff to execute on our strategic priorities in the near- and longer-term.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b/>
                                <w:sz w:val="18"/>
                              </w:rPr>
                              <w:t>Attract, motivate, and retain the highest level of talent</w:t>
                            </w:r>
                            <w:r>
                              <w:rPr>
                                <w:rFonts w:ascii="arial" w:hAnsi="arial"/>
                                <w:sz w:val="18"/>
                              </w:rPr>
                              <w:t xml:space="preserve"> by providing competitive compensation, consistent with their roles and responsibilities, our success, and their contributions to this success.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b/>
                                <w:sz w:val="18"/>
                              </w:rPr>
                              <w:t xml:space="preserve">Mitigate compensation risk </w:t>
                            </w:r>
                            <w:r>
                              <w:rPr>
                                <w:rFonts w:ascii="arial" w:hAnsi="arial"/>
                                <w:sz w:val="18"/>
                              </w:rPr>
                              <w:t xml:space="preserve">by maintaining pay practices that reward actions and outcomes consistent with the sound operation of our Company and with the creation of long-term stockholder value.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b/>
                                <w:sz w:val="18"/>
                              </w:rPr>
                              <w:t>Consider all Amgen staff members</w:t>
                            </w:r>
                            <w:r>
                              <w:rPr>
                                <w:rFonts w:ascii="arial" w:hAnsi="arial"/>
                                <w:sz w:val="18"/>
                              </w:rPr>
                              <w:t xml:space="preserve"> in the design of our executive compensation program, to ensure a consistent approach that encourages and rewards all staff members who contribute to our success.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b/>
          <w:color w:val="0171B9"/>
          <w:sz w:val="26"/>
        </w:rPr>
      </w:pPr>
      <w:bookmarkStart w:id="42" w:name="toc445034_34"/>
      <w:bookmarkStart w:id="43" w:name="txa445034_105"/>
      <w:bookmarkEnd w:id="42"/>
      <w:bookmarkEnd w:id="43"/>
      <w:r>
        <w:rPr>
          <w:rFonts w:ascii="arial" w:hAnsi="arial"/>
          <w:b/>
          <w:color w:val="0171B9"/>
          <w:sz w:val="26"/>
        </w:rPr>
        <w:t xml:space="preserve">Implementation of Our Strategic Priorities </w:t>
      </w:r>
    </w:p>
    <w:p>
      <w:pPr>
        <w:pStyle w:val="TextBody"/>
        <w:pBdr>
          <w:bottom w:val="single" w:sz="2" w:space="1" w:color="666666"/>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3175000" cy="5534025"/>
                <wp:effectExtent l="0" t="0" r="0" b="0"/>
                <wp:wrapSquare wrapText="right"/>
                <wp:docPr id="195" name="Frame96"/>
                <a:graphic xmlns:a="http://schemas.openxmlformats.org/drawingml/2006/main">
                  <a:graphicData uri="http://schemas.microsoft.com/office/word/2010/wordprocessingShape">
                    <wps:wsp>
                      <wps:cNvSpPr txBox="1"/>
                      <wps:spPr>
                        <a:xfrm>
                          <a:off x="0" y="0"/>
                          <a:ext cx="3175000" cy="5534025"/>
                        </a:xfrm>
                        <a:prstGeom prst="rect"/>
                        <a:solidFill>
                          <a:srgbClr val="FFFFFF"/>
                        </a:solidFill>
                      </wps:spPr>
                      <wps:txbx>
                        <w:txbxContent>
                          <w:p>
                            <w:pPr>
                              <w:pStyle w:val="TextBody"/>
                              <w:bidi w:val="0"/>
                              <w:spacing w:before="0" w:after="0"/>
                              <w:jc w:val="center"/>
                              <w:rPr>
                                <w:rFonts w:ascii="arial" w:hAnsi="arial"/>
                                <w:b/>
                                <w:color w:val="0171B9"/>
                                <w:sz w:val="18"/>
                              </w:rPr>
                            </w:pPr>
                            <w:r>
                              <w:rPr>
                                <w:rFonts w:ascii="arial" w:hAnsi="arial"/>
                                <w:b/>
                                <w:color w:val="0171B9"/>
                                <w:sz w:val="18"/>
                              </w:rPr>
                              <w:t xml:space="preserve">Annual Dividend Increases </w:t>
                            </w:r>
                          </w:p>
                          <w:p>
                            <w:pPr>
                              <w:pStyle w:val="TextBody"/>
                              <w:bidi w:val="0"/>
                              <w:spacing w:before="40" w:after="0"/>
                              <w:jc w:val="center"/>
                              <w:rPr>
                                <w:rFonts w:ascii="arial" w:hAnsi="arial"/>
                                <w:b/>
                                <w:color w:val="0171B9"/>
                                <w:sz w:val="18"/>
                              </w:rPr>
                            </w:pPr>
                            <w:r>
                              <w:rPr>
                                <w:rFonts w:ascii="arial" w:hAnsi="arial"/>
                                <w:b/>
                                <w:color w:val="0171B9"/>
                                <w:sz w:val="18"/>
                              </w:rPr>
                              <w:t xml:space="preserve">661% dividend per share increase since inception </w:t>
                            </w:r>
                          </w:p>
                          <w:p>
                            <w:pPr>
                              <w:pStyle w:val="TextBody"/>
                              <w:bidi w:val="0"/>
                              <w:spacing w:before="0" w:after="0"/>
                              <w:jc w:val="left"/>
                              <w:rPr/>
                            </w:pPr>
                            <w:r>
                              <w:rPr/>
                              <w:t> </w:t>
                            </w:r>
                          </w:p>
                          <w:p>
                            <w:pPr>
                              <w:pStyle w:val="TextBody"/>
                              <w:bidi w:val="0"/>
                              <w:spacing w:before="0" w:after="0"/>
                              <w:jc w:val="center"/>
                              <w:rPr/>
                            </w:pPr>
                            <w:r>
                              <w:rPr/>
                              <w:drawing>
                                <wp:inline distT="0" distB="0" distL="0" distR="0">
                                  <wp:extent cx="3170555" cy="1600835"/>
                                  <wp:effectExtent l="0" t="0" r="0" b="0"/>
                                  <wp:docPr id="196"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99" descr=""/>
                                          <pic:cNvPicPr>
                                            <a:picLocks noChangeAspect="1" noChangeArrowheads="1"/>
                                          </pic:cNvPicPr>
                                        </pic:nvPicPr>
                                        <pic:blipFill>
                                          <a:blip r:embed="rId102"/>
                                          <a:stretch>
                                            <a:fillRect/>
                                          </a:stretch>
                                        </pic:blipFill>
                                        <pic:spPr bwMode="auto">
                                          <a:xfrm>
                                            <a:off x="0" y="0"/>
                                            <a:ext cx="3170555" cy="1600835"/>
                                          </a:xfrm>
                                          <a:prstGeom prst="rect">
                                            <a:avLst/>
                                          </a:prstGeom>
                                        </pic:spPr>
                                      </pic:pic>
                                    </a:graphicData>
                                  </a:graphic>
                                </wp:inline>
                              </w:drawing>
                            </w:r>
                            <w:r>
                              <w:rPr/>
                              <w:t xml:space="preserve"> </w:t>
                            </w:r>
                          </w:p>
                          <w:p>
                            <w:pPr>
                              <w:pStyle w:val="TextBody"/>
                              <w:bidi w:val="0"/>
                              <w:spacing w:before="60" w:after="0"/>
                              <w:jc w:val="both"/>
                              <w:rPr>
                                <w:rFonts w:ascii="arial" w:hAnsi="arial"/>
                                <w:sz w:val="18"/>
                              </w:rPr>
                            </w:pPr>
                            <w:r>
                              <w:rPr>
                                <w:rFonts w:ascii="arial" w:hAnsi="arial"/>
                                <w:sz w:val="18"/>
                              </w:rPr>
                              <w:t xml:space="preserve">Depicted below is our one-year, three-year, five-year, and 10-year total shareholder return, or TSR, for the period ending December 31, 2023. As shown, we delivered long-term shareholder value and returns with a ten-year TSR of 232%, outperforming our peer group and the Standard &amp; Poor’s 500 Index, or S&amp;P 500, for this period. In 2023, we achieved a one-year TSR of 13%, outperforming our peer group and at the 70.9th percentile of the S&amp;P 500. A three-year TSR modifier relative to the TSR of the companies in the S&amp;P 500 is utilized in our performance award program. </w:t>
                            </w:r>
                          </w:p>
                          <w:p>
                            <w:pPr>
                              <w:pStyle w:val="TextBody"/>
                              <w:bidi w:val="0"/>
                              <w:spacing w:before="60" w:after="0"/>
                              <w:jc w:val="center"/>
                              <w:rPr>
                                <w:rFonts w:ascii="arial" w:hAnsi="arial"/>
                                <w:b/>
                                <w:color w:val="0171B9"/>
                                <w:sz w:val="18"/>
                              </w:rPr>
                            </w:pPr>
                            <w:r>
                              <w:rPr>
                                <w:rFonts w:ascii="arial" w:hAnsi="arial"/>
                                <w:b/>
                                <w:color w:val="0171B9"/>
                                <w:sz w:val="18"/>
                              </w:rPr>
                              <w:t xml:space="preserve">Total Shareholder Return </w:t>
                            </w:r>
                          </w:p>
                          <w:p>
                            <w:pPr>
                              <w:pStyle w:val="TextBody"/>
                              <w:bidi w:val="0"/>
                              <w:spacing w:before="0" w:after="0"/>
                              <w:jc w:val="left"/>
                              <w:rPr/>
                            </w:pPr>
                            <w:r>
                              <w:rPr/>
                              <w:t> </w:t>
                            </w:r>
                          </w:p>
                          <w:p>
                            <w:pPr>
                              <w:pStyle w:val="TextBody"/>
                              <w:bidi w:val="0"/>
                              <w:spacing w:before="0" w:after="0"/>
                              <w:jc w:val="center"/>
                              <w:rPr/>
                            </w:pPr>
                            <w:r>
                              <w:rPr/>
                              <w:drawing>
                                <wp:inline distT="0" distB="0" distL="0" distR="0">
                                  <wp:extent cx="3213100" cy="1706245"/>
                                  <wp:effectExtent l="0" t="0" r="0" b="0"/>
                                  <wp:docPr id="197"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00" descr=""/>
                                          <pic:cNvPicPr>
                                            <a:picLocks noChangeAspect="1" noChangeArrowheads="1"/>
                                          </pic:cNvPicPr>
                                        </pic:nvPicPr>
                                        <pic:blipFill>
                                          <a:blip r:embed="rId103"/>
                                          <a:stretch>
                                            <a:fillRect/>
                                          </a:stretch>
                                        </pic:blipFill>
                                        <pic:spPr bwMode="auto">
                                          <a:xfrm>
                                            <a:off x="0" y="0"/>
                                            <a:ext cx="3213100" cy="1706245"/>
                                          </a:xfrm>
                                          <a:prstGeom prst="rect">
                                            <a:avLst/>
                                          </a:prstGeom>
                                        </pic:spPr>
                                      </pic:pic>
                                    </a:graphicData>
                                  </a:graphic>
                                </wp:inline>
                              </w:drawing>
                            </w:r>
                            <w:r>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35.7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center"/>
                        <w:rPr>
                          <w:rFonts w:ascii="arial" w:hAnsi="arial"/>
                          <w:b/>
                          <w:color w:val="0171B9"/>
                          <w:sz w:val="18"/>
                        </w:rPr>
                      </w:pPr>
                      <w:r>
                        <w:rPr>
                          <w:rFonts w:ascii="arial" w:hAnsi="arial"/>
                          <w:b/>
                          <w:color w:val="0171B9"/>
                          <w:sz w:val="18"/>
                        </w:rPr>
                        <w:t xml:space="preserve">Annual Dividend Increases </w:t>
                      </w:r>
                    </w:p>
                    <w:p>
                      <w:pPr>
                        <w:pStyle w:val="TextBody"/>
                        <w:bidi w:val="0"/>
                        <w:spacing w:before="40" w:after="0"/>
                        <w:jc w:val="center"/>
                        <w:rPr>
                          <w:rFonts w:ascii="arial" w:hAnsi="arial"/>
                          <w:b/>
                          <w:color w:val="0171B9"/>
                          <w:sz w:val="18"/>
                        </w:rPr>
                      </w:pPr>
                      <w:r>
                        <w:rPr>
                          <w:rFonts w:ascii="arial" w:hAnsi="arial"/>
                          <w:b/>
                          <w:color w:val="0171B9"/>
                          <w:sz w:val="18"/>
                        </w:rPr>
                        <w:t xml:space="preserve">661% dividend per share increase since inception </w:t>
                      </w:r>
                    </w:p>
                    <w:p>
                      <w:pPr>
                        <w:pStyle w:val="TextBody"/>
                        <w:bidi w:val="0"/>
                        <w:spacing w:before="0" w:after="0"/>
                        <w:jc w:val="left"/>
                        <w:rPr/>
                      </w:pPr>
                      <w:r>
                        <w:rPr/>
                        <w:t> </w:t>
                      </w:r>
                    </w:p>
                    <w:p>
                      <w:pPr>
                        <w:pStyle w:val="TextBody"/>
                        <w:bidi w:val="0"/>
                        <w:spacing w:before="0" w:after="0"/>
                        <w:jc w:val="center"/>
                        <w:rPr/>
                      </w:pPr>
                      <w:r>
                        <w:rPr/>
                        <w:drawing>
                          <wp:inline distT="0" distB="0" distL="0" distR="0">
                            <wp:extent cx="3170555" cy="1600835"/>
                            <wp:effectExtent l="0" t="0" r="0" b="0"/>
                            <wp:docPr id="198"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99" descr=""/>
                                    <pic:cNvPicPr>
                                      <a:picLocks noChangeAspect="1" noChangeArrowheads="1"/>
                                    </pic:cNvPicPr>
                                  </pic:nvPicPr>
                                  <pic:blipFill>
                                    <a:blip r:embed="rId104"/>
                                    <a:stretch>
                                      <a:fillRect/>
                                    </a:stretch>
                                  </pic:blipFill>
                                  <pic:spPr bwMode="auto">
                                    <a:xfrm>
                                      <a:off x="0" y="0"/>
                                      <a:ext cx="3170555" cy="1600835"/>
                                    </a:xfrm>
                                    <a:prstGeom prst="rect">
                                      <a:avLst/>
                                    </a:prstGeom>
                                  </pic:spPr>
                                </pic:pic>
                              </a:graphicData>
                            </a:graphic>
                          </wp:inline>
                        </w:drawing>
                      </w:r>
                      <w:r>
                        <w:rPr/>
                        <w:t xml:space="preserve"> </w:t>
                      </w:r>
                    </w:p>
                    <w:p>
                      <w:pPr>
                        <w:pStyle w:val="TextBody"/>
                        <w:bidi w:val="0"/>
                        <w:spacing w:before="60" w:after="0"/>
                        <w:jc w:val="both"/>
                        <w:rPr>
                          <w:rFonts w:ascii="arial" w:hAnsi="arial"/>
                          <w:sz w:val="18"/>
                        </w:rPr>
                      </w:pPr>
                      <w:r>
                        <w:rPr>
                          <w:rFonts w:ascii="arial" w:hAnsi="arial"/>
                          <w:sz w:val="18"/>
                        </w:rPr>
                        <w:t xml:space="preserve">Depicted below is our one-year, three-year, five-year, and 10-year total shareholder return, or TSR, for the period ending December 31, 2023. As shown, we delivered long-term shareholder value and returns with a ten-year TSR of 232%, outperforming our peer group and the Standard &amp; Poor’s 500 Index, or S&amp;P 500, for this period. In 2023, we achieved a one-year TSR of 13%, outperforming our peer group and at the 70.9th percentile of the S&amp;P 500. A three-year TSR modifier relative to the TSR of the companies in the S&amp;P 500 is utilized in our performance award program. </w:t>
                      </w:r>
                    </w:p>
                    <w:p>
                      <w:pPr>
                        <w:pStyle w:val="TextBody"/>
                        <w:bidi w:val="0"/>
                        <w:spacing w:before="60" w:after="0"/>
                        <w:jc w:val="center"/>
                        <w:rPr>
                          <w:rFonts w:ascii="arial" w:hAnsi="arial"/>
                          <w:b/>
                          <w:color w:val="0171B9"/>
                          <w:sz w:val="18"/>
                        </w:rPr>
                      </w:pPr>
                      <w:r>
                        <w:rPr>
                          <w:rFonts w:ascii="arial" w:hAnsi="arial"/>
                          <w:b/>
                          <w:color w:val="0171B9"/>
                          <w:sz w:val="18"/>
                        </w:rPr>
                        <w:t xml:space="preserve">Total Shareholder Return </w:t>
                      </w:r>
                    </w:p>
                    <w:p>
                      <w:pPr>
                        <w:pStyle w:val="TextBody"/>
                        <w:bidi w:val="0"/>
                        <w:spacing w:before="0" w:after="0"/>
                        <w:jc w:val="left"/>
                        <w:rPr/>
                      </w:pPr>
                      <w:r>
                        <w:rPr/>
                        <w:t> </w:t>
                      </w:r>
                    </w:p>
                    <w:p>
                      <w:pPr>
                        <w:pStyle w:val="TextBody"/>
                        <w:bidi w:val="0"/>
                        <w:spacing w:before="0" w:after="0"/>
                        <w:jc w:val="center"/>
                        <w:rPr/>
                      </w:pPr>
                      <w:r>
                        <w:rPr/>
                        <w:drawing>
                          <wp:inline distT="0" distB="0" distL="0" distR="0">
                            <wp:extent cx="3213100" cy="1706245"/>
                            <wp:effectExtent l="0" t="0" r="0" b="0"/>
                            <wp:docPr id="199"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00" descr=""/>
                                    <pic:cNvPicPr>
                                      <a:picLocks noChangeAspect="1" noChangeArrowheads="1"/>
                                    </pic:cNvPicPr>
                                  </pic:nvPicPr>
                                  <pic:blipFill>
                                    <a:blip r:embed="rId105"/>
                                    <a:stretch>
                                      <a:fillRect/>
                                    </a:stretch>
                                  </pic:blipFill>
                                  <pic:spPr bwMode="auto">
                                    <a:xfrm>
                                      <a:off x="0" y="0"/>
                                      <a:ext cx="3213100" cy="1706245"/>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337">
                <wp:simplePos x="0" y="0"/>
                <wp:positionH relativeFrom="column">
                  <wp:align>left</wp:align>
                </wp:positionH>
                <wp:positionV relativeFrom="line">
                  <wp:posOffset>635</wp:posOffset>
                </wp:positionV>
                <wp:extent cx="3110230" cy="5019675"/>
                <wp:effectExtent l="0" t="0" r="0" b="0"/>
                <wp:wrapSquare wrapText="right"/>
                <wp:docPr id="200" name="Frame95"/>
                <a:graphic xmlns:a="http://schemas.openxmlformats.org/drawingml/2006/main">
                  <a:graphicData uri="http://schemas.microsoft.com/office/word/2010/wordprocessingShape">
                    <wps:wsp>
                      <wps:cNvSpPr txBox="1"/>
                      <wps:spPr>
                        <a:xfrm>
                          <a:off x="0" y="0"/>
                          <a:ext cx="3110230" cy="5019675"/>
                        </a:xfrm>
                        <a:prstGeom prst="rect"/>
                        <a:solidFill>
                          <a:srgbClr val="FFFFFF"/>
                        </a:solidFill>
                      </wps:spPr>
                      <wps:txbx>
                        <w:txbxContent>
                          <w:p>
                            <w:pPr>
                              <w:pStyle w:val="TextBody"/>
                              <w:bidi w:val="0"/>
                              <w:spacing w:before="0" w:after="0"/>
                              <w:jc w:val="left"/>
                              <w:rPr>
                                <w:rFonts w:ascii="arial" w:hAnsi="arial"/>
                                <w:b/>
                                <w:sz w:val="20"/>
                              </w:rPr>
                            </w:pPr>
                            <w:r>
                              <w:rPr>
                                <w:rFonts w:ascii="arial" w:hAnsi="arial"/>
                                <w:b/>
                                <w:sz w:val="20"/>
                              </w:rPr>
                              <w:t xml:space="preserve">Our 2023 Performance </w:t>
                            </w:r>
                          </w:p>
                          <w:p>
                            <w:pPr>
                              <w:pStyle w:val="TextBody"/>
                              <w:bidi w:val="0"/>
                              <w:spacing w:before="120" w:after="0"/>
                              <w:jc w:val="both"/>
                              <w:rPr>
                                <w:rFonts w:ascii="arial" w:hAnsi="arial"/>
                                <w:sz w:val="18"/>
                              </w:rPr>
                            </w:pPr>
                            <w:r>
                              <w:rPr>
                                <w:rFonts w:ascii="arial" w:hAnsi="arial"/>
                                <w:sz w:val="18"/>
                              </w:rPr>
                              <w:t xml:space="preserve">We delivered strong performance and attractive financial results in 2023 and executed well on our strategic priority of internal and external innovation, including by completing our October 2023 acquisition of Horizon Therapeutics that strengthens our portfolio of first-in-class and best-in-class innovative therapeutics by adding complementary medicines addressing the needs of patients suffering from rare diseases. We executed on our capital allocation priorities and accomplished these objectives while advancing our other strategic priorities and our ESG efforts. </w:t>
                            </w:r>
                          </w:p>
                          <w:p>
                            <w:pPr>
                              <w:pStyle w:val="TextBody"/>
                              <w:bidi w:val="0"/>
                              <w:spacing w:before="0" w:after="0"/>
                              <w:jc w:val="left"/>
                              <w:rPr/>
                            </w:pPr>
                            <w:r>
                              <w:rPr/>
                              <w:t> </w:t>
                            </w:r>
                          </w:p>
                          <w:p>
                            <w:pPr>
                              <w:pStyle w:val="TextBody"/>
                              <w:bidi w:val="0"/>
                              <w:spacing w:before="0" w:after="0"/>
                              <w:ind w:left="0" w:right="0" w:firstLine="100"/>
                              <w:jc w:val="both"/>
                              <w:rPr>
                                <w:rFonts w:ascii="arial" w:hAnsi="arial"/>
                                <w:sz w:val="18"/>
                              </w:rPr>
                            </w:pPr>
                            <w:r>
                              <w:rPr>
                                <w:rFonts w:ascii="arial" w:hAnsi="arial"/>
                                <w:sz w:val="18"/>
                              </w:rPr>
                              <w:drawing>
                                <wp:inline distT="0" distB="0" distL="0" distR="0">
                                  <wp:extent cx="982980" cy="323850"/>
                                  <wp:effectExtent l="0" t="0" r="0" b="0"/>
                                  <wp:docPr id="201"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98" descr=""/>
                                          <pic:cNvPicPr>
                                            <a:picLocks noChangeAspect="1" noChangeArrowheads="1"/>
                                          </pic:cNvPicPr>
                                        </pic:nvPicPr>
                                        <pic:blipFill>
                                          <a:blip r:embed="rId106"/>
                                          <a:stretch>
                                            <a:fillRect/>
                                          </a:stretch>
                                        </pic:blipFill>
                                        <pic:spPr bwMode="auto">
                                          <a:xfrm>
                                            <a:off x="0" y="0"/>
                                            <a:ext cx="982980" cy="323850"/>
                                          </a:xfrm>
                                          <a:prstGeom prst="rect">
                                            <a:avLst/>
                                          </a:prstGeom>
                                        </pic:spPr>
                                      </pic:pic>
                                    </a:graphicData>
                                  </a:graphic>
                                </wp:inline>
                              </w:drawing>
                              <w:t xml:space="preserve">Our strong cash flows and balance sheet allowed us to make significant investments for long-term growth, Including in strategic business acquisitions (such as our October 2023 $27.8 billion acquisition of Horizon Therapeutics), in our internal research and development projects, and in our capital projects (such as our Ohio facility recently licensed by the FDA and our North Carolina facility), while simultaneously growing our dividend. </w:t>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8" w:space="0" w:color="666666"/>
                                    <w:left w:val="single" w:sz="8" w:space="0" w:color="666666"/>
                                    <w:right w:val="single" w:sz="8" w:space="0" w:color="666666"/>
                                  </w:tcBorders>
                                  <w:shd w:fill="F2F7FB" w:val="clear"/>
                                  <w:tcMar>
                                    <w:top w:w="28" w:type="dxa"/>
                                    <w:left w:w="160" w:type="dxa"/>
                                    <w:right w:w="28" w:type="dxa"/>
                                  </w:tcMar>
                                  <w:vAlign w:val="center"/>
                                </w:tcPr>
                                <w:p>
                                  <w:pPr>
                                    <w:pStyle w:val="TableContents"/>
                                    <w:bidi w:val="0"/>
                                    <w:spacing w:before="0" w:after="283"/>
                                    <w:jc w:val="left"/>
                                    <w:rPr/>
                                  </w:pPr>
                                  <w:r>
                                    <w:rPr/>
                                    <w:t> </w:t>
                                  </w:r>
                                </w:p>
                              </w:tc>
                            </w:tr>
                            <w:tr>
                              <w:trPr/>
                              <w:tc>
                                <w:tcPr>
                                  <w:tcW w:w="10205" w:type="dxa"/>
                                  <w:tcBorders>
                                    <w:left w:val="single" w:sz="8" w:space="0" w:color="666666"/>
                                    <w:bottom w:val="single" w:sz="8" w:space="0" w:color="666666"/>
                                    <w:right w:val="single" w:sz="8" w:space="0" w:color="666666"/>
                                  </w:tcBorders>
                                  <w:shd w:fill="F2F7FB" w:val="clear"/>
                                  <w:tcMar>
                                    <w:left w:w="160" w:type="dxa"/>
                                    <w:bottom w:w="60" w:type="dxa"/>
                                    <w:right w:w="40" w:type="dxa"/>
                                  </w:tcMar>
                                  <w:vAlign w:val="center"/>
                                </w:tcPr>
                                <w:p>
                                  <w:pPr>
                                    <w:pStyle w:val="TableContents"/>
                                    <w:bidi w:val="0"/>
                                    <w:spacing w:before="0" w:after="0"/>
                                    <w:jc w:val="center"/>
                                    <w:rPr>
                                      <w:rFonts w:ascii="arial" w:hAnsi="arial"/>
                                      <w:b/>
                                      <w:color w:val="0171B9"/>
                                      <w:sz w:val="18"/>
                                    </w:rPr>
                                  </w:pPr>
                                  <w:r>
                                    <w:rPr>
                                      <w:rFonts w:ascii="arial" w:hAnsi="arial"/>
                                      <w:b/>
                                      <w:color w:val="0171B9"/>
                                      <w:sz w:val="18"/>
                                    </w:rPr>
                                    <w:t>In 2023, while investing $27.8 billion in a strategic business acquisition, $4.8 billion in research and development, and $1.1 billion in capital projects, we also returned capital to our stockholders in $4.6 billion of dividends.</w:t>
                                  </w:r>
                                </w:p>
                                <w:p>
                                  <w:pPr>
                                    <w:pStyle w:val="TableContents"/>
                                    <w:bidi w:val="0"/>
                                    <w:spacing w:before="0" w:after="20"/>
                                    <w:jc w:val="left"/>
                                    <w:rPr/>
                                  </w:pPr>
                                  <w:r>
                                    <w:rPr/>
                                    <w:t> </w:t>
                                  </w:r>
                                </w:p>
                              </w:tc>
                            </w:tr>
                          </w:tbl>
                          <w:p>
                            <w:pPr>
                              <w:pStyle w:val="TextBody"/>
                              <w:bidi w:val="0"/>
                              <w:spacing w:before="240" w:after="0"/>
                              <w:jc w:val="both"/>
                              <w:rPr>
                                <w:rFonts w:ascii="arial" w:hAnsi="arial"/>
                                <w:sz w:val="18"/>
                              </w:rPr>
                            </w:pPr>
                            <w:r>
                              <w:rPr>
                                <w:rFonts w:ascii="arial" w:hAnsi="arial"/>
                                <w:sz w:val="18"/>
                              </w:rPr>
                              <w:t xml:space="preserve">We increased our quarterly dividend per share 10% over 2022 (to $2.13 per share per quarter for 2023). Our annualized dividend per share has increased 661% since the inception of our dividend in 2011.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95.2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sz w:val="20"/>
                        </w:rPr>
                      </w:pPr>
                      <w:r>
                        <w:rPr>
                          <w:rFonts w:ascii="arial" w:hAnsi="arial"/>
                          <w:b/>
                          <w:sz w:val="20"/>
                        </w:rPr>
                        <w:t xml:space="preserve">Our 2023 Performance </w:t>
                      </w:r>
                    </w:p>
                    <w:p>
                      <w:pPr>
                        <w:pStyle w:val="TextBody"/>
                        <w:bidi w:val="0"/>
                        <w:spacing w:before="120" w:after="0"/>
                        <w:jc w:val="both"/>
                        <w:rPr>
                          <w:rFonts w:ascii="arial" w:hAnsi="arial"/>
                          <w:sz w:val="18"/>
                        </w:rPr>
                      </w:pPr>
                      <w:r>
                        <w:rPr>
                          <w:rFonts w:ascii="arial" w:hAnsi="arial"/>
                          <w:sz w:val="18"/>
                        </w:rPr>
                        <w:t xml:space="preserve">We delivered strong performance and attractive financial results in 2023 and executed well on our strategic priority of internal and external innovation, including by completing our October 2023 acquisition of Horizon Therapeutics that strengthens our portfolio of first-in-class and best-in-class innovative therapeutics by adding complementary medicines addressing the needs of patients suffering from rare diseases. We executed on our capital allocation priorities and accomplished these objectives while advancing our other strategic priorities and our ESG efforts. </w:t>
                      </w:r>
                    </w:p>
                    <w:p>
                      <w:pPr>
                        <w:pStyle w:val="TextBody"/>
                        <w:bidi w:val="0"/>
                        <w:spacing w:before="0" w:after="0"/>
                        <w:jc w:val="left"/>
                        <w:rPr/>
                      </w:pPr>
                      <w:r>
                        <w:rPr/>
                        <w:t> </w:t>
                      </w:r>
                    </w:p>
                    <w:p>
                      <w:pPr>
                        <w:pStyle w:val="TextBody"/>
                        <w:bidi w:val="0"/>
                        <w:spacing w:before="0" w:after="0"/>
                        <w:ind w:left="0" w:right="0" w:firstLine="100"/>
                        <w:jc w:val="both"/>
                        <w:rPr>
                          <w:rFonts w:ascii="arial" w:hAnsi="arial"/>
                          <w:sz w:val="18"/>
                        </w:rPr>
                      </w:pPr>
                      <w:r>
                        <w:rPr>
                          <w:rFonts w:ascii="arial" w:hAnsi="arial"/>
                          <w:sz w:val="18"/>
                        </w:rPr>
                        <w:drawing>
                          <wp:inline distT="0" distB="0" distL="0" distR="0">
                            <wp:extent cx="982980" cy="323850"/>
                            <wp:effectExtent l="0" t="0" r="0" b="0"/>
                            <wp:docPr id="202"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98" descr=""/>
                                    <pic:cNvPicPr>
                                      <a:picLocks noChangeAspect="1" noChangeArrowheads="1"/>
                                    </pic:cNvPicPr>
                                  </pic:nvPicPr>
                                  <pic:blipFill>
                                    <a:blip r:embed="rId107"/>
                                    <a:stretch>
                                      <a:fillRect/>
                                    </a:stretch>
                                  </pic:blipFill>
                                  <pic:spPr bwMode="auto">
                                    <a:xfrm>
                                      <a:off x="0" y="0"/>
                                      <a:ext cx="982980" cy="323850"/>
                                    </a:xfrm>
                                    <a:prstGeom prst="rect">
                                      <a:avLst/>
                                    </a:prstGeom>
                                  </pic:spPr>
                                </pic:pic>
                              </a:graphicData>
                            </a:graphic>
                          </wp:inline>
                        </w:drawing>
                        <w:t xml:space="preserve">Our strong cash flows and balance sheet allowed us to make significant investments for long-term growth, Including in strategic business acquisitions (such as our October 2023 $27.8 billion acquisition of Horizon Therapeutics), in our internal research and development projects, and in our capital projects (such as our Ohio facility recently licensed by the FDA and our North Carolina facility), while simultaneously growing our dividend. </w:t>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8" w:space="0" w:color="666666"/>
                              <w:left w:val="single" w:sz="8" w:space="0" w:color="666666"/>
                              <w:right w:val="single" w:sz="8" w:space="0" w:color="666666"/>
                            </w:tcBorders>
                            <w:shd w:fill="F2F7FB" w:val="clear"/>
                            <w:tcMar>
                              <w:top w:w="28" w:type="dxa"/>
                              <w:left w:w="160" w:type="dxa"/>
                              <w:right w:w="28" w:type="dxa"/>
                            </w:tcMar>
                            <w:vAlign w:val="center"/>
                          </w:tcPr>
                          <w:p>
                            <w:pPr>
                              <w:pStyle w:val="TableContents"/>
                              <w:bidi w:val="0"/>
                              <w:spacing w:before="0" w:after="283"/>
                              <w:jc w:val="left"/>
                              <w:rPr/>
                            </w:pPr>
                            <w:r>
                              <w:rPr/>
                              <w:t> </w:t>
                            </w:r>
                          </w:p>
                        </w:tc>
                      </w:tr>
                      <w:tr>
                        <w:trPr/>
                        <w:tc>
                          <w:tcPr>
                            <w:tcW w:w="10205" w:type="dxa"/>
                            <w:tcBorders>
                              <w:left w:val="single" w:sz="8" w:space="0" w:color="666666"/>
                              <w:bottom w:val="single" w:sz="8" w:space="0" w:color="666666"/>
                              <w:right w:val="single" w:sz="8" w:space="0" w:color="666666"/>
                            </w:tcBorders>
                            <w:shd w:fill="F2F7FB" w:val="clear"/>
                            <w:tcMar>
                              <w:left w:w="160" w:type="dxa"/>
                              <w:bottom w:w="60" w:type="dxa"/>
                              <w:right w:w="40" w:type="dxa"/>
                            </w:tcMar>
                            <w:vAlign w:val="center"/>
                          </w:tcPr>
                          <w:p>
                            <w:pPr>
                              <w:pStyle w:val="TableContents"/>
                              <w:bidi w:val="0"/>
                              <w:spacing w:before="0" w:after="0"/>
                              <w:jc w:val="center"/>
                              <w:rPr>
                                <w:rFonts w:ascii="arial" w:hAnsi="arial"/>
                                <w:b/>
                                <w:color w:val="0171B9"/>
                                <w:sz w:val="18"/>
                              </w:rPr>
                            </w:pPr>
                            <w:r>
                              <w:rPr>
                                <w:rFonts w:ascii="arial" w:hAnsi="arial"/>
                                <w:b/>
                                <w:color w:val="0171B9"/>
                                <w:sz w:val="18"/>
                              </w:rPr>
                              <w:t>In 2023, while investing $27.8 billion in a strategic business acquisition, $4.8 billion in research and development, and $1.1 billion in capital projects, we also returned capital to our stockholders in $4.6 billion of dividends.</w:t>
                            </w:r>
                          </w:p>
                          <w:p>
                            <w:pPr>
                              <w:pStyle w:val="TableContents"/>
                              <w:bidi w:val="0"/>
                              <w:spacing w:before="0" w:after="20"/>
                              <w:jc w:val="left"/>
                              <w:rPr/>
                            </w:pPr>
                            <w:r>
                              <w:rPr/>
                              <w:t> </w:t>
                            </w:r>
                          </w:p>
                        </w:tc>
                      </w:tr>
                    </w:tbl>
                    <w:p>
                      <w:pPr>
                        <w:pStyle w:val="TextBody"/>
                        <w:bidi w:val="0"/>
                        <w:spacing w:before="240" w:after="0"/>
                        <w:jc w:val="both"/>
                        <w:rPr>
                          <w:rFonts w:ascii="arial" w:hAnsi="arial"/>
                          <w:sz w:val="18"/>
                        </w:rPr>
                      </w:pPr>
                      <w:r>
                        <w:rPr>
                          <w:rFonts w:ascii="arial" w:hAnsi="arial"/>
                          <w:sz w:val="18"/>
                        </w:rPr>
                        <w:t xml:space="preserve">We increased our quarterly dividend per share 10% over 2022 (to $2.13 per share per quarter for 2023). Our annualized dividend per share has increased 661% since the inception of our dividend in 2011. </w:t>
                      </w:r>
                    </w:p>
                  </w:txbxContent>
                </v:textbox>
                <w10:wrap type="square" side="right"/>
              </v:rect>
            </w:pict>
          </mc:Fallback>
        </mc:AlternateContent>
      </w:r>
    </w:p>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tbl>
      <w:tblPr>
        <w:tblW w:w="4840" w:type="dxa"/>
        <w:jc w:val="left"/>
        <w:tblInd w:w="0" w:type="dxa"/>
        <w:tblLayout w:type="fixed"/>
        <w:tblCellMar>
          <w:top w:w="0" w:type="dxa"/>
          <w:left w:w="0" w:type="dxa"/>
          <w:bottom w:w="0" w:type="dxa"/>
          <w:right w:w="0" w:type="dxa"/>
        </w:tblCellMar>
      </w:tblPr>
      <w:tblGrid>
        <w:gridCol w:w="155"/>
        <w:gridCol w:w="4685"/>
      </w:tblGrid>
      <w:tr>
        <w:trPr/>
        <w:tc>
          <w:tcPr>
            <w:tcW w:w="155" w:type="dxa"/>
            <w:tcBorders/>
            <w:vAlign w:val="center"/>
          </w:tcPr>
          <w:p>
            <w:pPr>
              <w:pStyle w:val="TableContents"/>
              <w:bidi w:val="0"/>
              <w:spacing w:before="0" w:after="283"/>
              <w:jc w:val="left"/>
              <w:rPr/>
            </w:pPr>
            <w:r>
              <w:rPr/>
              <w:t>*</w:t>
            </w:r>
          </w:p>
        </w:tc>
        <w:tc>
          <w:tcPr>
            <w:tcW w:w="4685" w:type="dxa"/>
            <w:tcBorders/>
            <w:vAlign w:val="center"/>
          </w:tcPr>
          <w:p>
            <w:pPr>
              <w:pStyle w:val="TableContents"/>
              <w:bidi w:val="0"/>
              <w:spacing w:before="0" w:after="0"/>
              <w:jc w:val="both"/>
              <w:rPr>
                <w:rFonts w:ascii="arial" w:hAnsi="arial"/>
                <w:sz w:val="16"/>
              </w:rPr>
            </w:pPr>
            <w:r>
              <w:rPr>
                <w:rFonts w:ascii="arial" w:hAnsi="arial"/>
                <w:sz w:val="16"/>
              </w:rPr>
              <w:t xml:space="preserve">Represents annualized dividend after September 2011 initiation. </w:t>
            </w:r>
          </w:p>
        </w:tc>
      </w:tr>
    </w:tbl>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54  </w:t>
      </w:r>
      <w:r>
        <w:rPr>
          <w:rFonts w:ascii="arial" w:hAnsi="arial"/>
          <w:b/>
          <w:color w:val="474747"/>
          <w:sz w:val="22"/>
        </w:rPr>
        <w:drawing>
          <wp:inline distT="0" distB="0" distL="0" distR="0">
            <wp:extent cx="642620" cy="152400"/>
            <wp:effectExtent l="0" t="0" r="0" b="0"/>
            <wp:docPr id="203"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01" descr=""/>
                    <pic:cNvPicPr>
                      <a:picLocks noChangeAspect="1" noChangeArrowheads="1"/>
                    </pic:cNvPicPr>
                  </pic:nvPicPr>
                  <pic:blipFill>
                    <a:blip r:embed="rId108"/>
                    <a:stretch>
                      <a:fillRect/>
                    </a:stretch>
                  </pic:blipFill>
                  <pic:spPr bwMode="auto">
                    <a:xfrm>
                      <a:off x="0" y="0"/>
                      <a:ext cx="642620" cy="15240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507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45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459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Compensation Discussion and Analysis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39">
                <wp:simplePos x="0" y="0"/>
                <wp:positionH relativeFrom="column">
                  <wp:align>left</wp:align>
                </wp:positionH>
                <wp:positionV relativeFrom="line">
                  <wp:posOffset>635</wp:posOffset>
                </wp:positionV>
                <wp:extent cx="3110230" cy="9972040"/>
                <wp:effectExtent l="0" t="0" r="0" b="0"/>
                <wp:wrapSquare wrapText="right"/>
                <wp:docPr id="204" name="Frame97"/>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p>
                            <w:pPr>
                              <w:pStyle w:val="TextBody"/>
                              <w:bidi w:val="0"/>
                              <w:spacing w:before="0" w:after="0"/>
                              <w:jc w:val="left"/>
                              <w:rPr>
                                <w:rFonts w:ascii="arial" w:hAnsi="arial"/>
                                <w:b/>
                                <w:sz w:val="24"/>
                              </w:rPr>
                            </w:pPr>
                            <w:r>
                              <w:rPr>
                                <w:rFonts w:ascii="arial" w:hAnsi="arial"/>
                                <w:b/>
                                <w:sz w:val="24"/>
                              </w:rPr>
                              <w:t xml:space="preserve">2023 Annual Cash Incentive Plan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8" w:space="0" w:color="000000"/>
                                    <w:left w:val="single" w:sz="8" w:space="0" w:color="000000"/>
                                    <w:bottom w:val="single" w:sz="8" w:space="0" w:color="000000"/>
                                    <w:right w:val="single" w:sz="8" w:space="0" w:color="000000"/>
                                  </w:tcBorders>
                                  <w:shd w:fill="F2F7FB" w:val="clear"/>
                                  <w:tcMar>
                                    <w:top w:w="28" w:type="dxa"/>
                                    <w:left w:w="160"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both"/>
                                    <w:rPr>
                                      <w:rFonts w:ascii="arial" w:hAnsi="arial"/>
                                      <w:b/>
                                      <w:color w:val="0171B9"/>
                                      <w:sz w:val="19"/>
                                    </w:rPr>
                                  </w:pPr>
                                  <w:r>
                                    <w:rPr>
                                      <w:rFonts w:ascii="arial" w:hAnsi="arial"/>
                                      <w:b/>
                                      <w:color w:val="0171B9"/>
                                      <w:sz w:val="19"/>
                                    </w:rPr>
                                    <w:t>Earned amounts from our 2023 annual cash incentive plan are tied directly to our performance based on pre-established financial and operating performance goals designed to drive execution of our strategic priorities.</w:t>
                                  </w:r>
                                </w:p>
                                <w:p>
                                  <w:pPr>
                                    <w:pStyle w:val="TableContents"/>
                                    <w:bidi w:val="0"/>
                                    <w:spacing w:before="0" w:after="20"/>
                                    <w:jc w:val="left"/>
                                    <w:rPr/>
                                  </w:pPr>
                                  <w:r>
                                    <w:rPr/>
                                    <w:t> </w:t>
                                  </w:r>
                                </w:p>
                              </w:tc>
                            </w:tr>
                          </w:tbl>
                          <w:p>
                            <w:pPr>
                              <w:pStyle w:val="TextBody"/>
                              <w:bidi w:val="0"/>
                              <w:spacing w:before="0" w:after="0"/>
                              <w:jc w:val="left"/>
                              <w:rPr/>
                            </w:pPr>
                            <w:r>
                              <w:rPr/>
                              <w:t> </w:t>
                            </w:r>
                          </w:p>
                          <w:tbl>
                            <w:tblPr>
                              <w:tblW w:w="8150" w:type="dxa"/>
                              <w:jc w:val="left"/>
                              <w:tblInd w:w="0" w:type="dxa"/>
                              <w:tblLayout w:type="fixed"/>
                              <w:tblCellMar>
                                <w:top w:w="0" w:type="dxa"/>
                                <w:left w:w="0" w:type="dxa"/>
                                <w:bottom w:w="0" w:type="dxa"/>
                                <w:right w:w="0" w:type="dxa"/>
                              </w:tblCellMar>
                            </w:tblPr>
                            <w:tblGrid>
                              <w:gridCol w:w="4835"/>
                              <w:gridCol w:w="120"/>
                              <w:gridCol w:w="200"/>
                              <w:gridCol w:w="870"/>
                              <w:gridCol w:w="60"/>
                              <w:gridCol w:w="120"/>
                              <w:gridCol w:w="93"/>
                              <w:gridCol w:w="872"/>
                              <w:gridCol w:w="60"/>
                              <w:gridCol w:w="60"/>
                              <w:gridCol w:w="860"/>
                            </w:tblGrid>
                            <w:tr>
                              <w:trPr/>
                              <w:tc>
                                <w:tcPr>
                                  <w:tcW w:w="48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4835" w:type="dxa"/>
                                  <w:tcBorders>
                                    <w:top w:val="single" w:sz="8" w:space="0" w:color="000000"/>
                                    <w:left w:val="single" w:sz="8" w:space="0" w:color="000000"/>
                                  </w:tcBorders>
                                  <w:tcMar>
                                    <w:top w:w="28" w:type="dxa"/>
                                    <w:left w:w="160" w:type="dxa"/>
                                  </w:tcMar>
                                  <w:vAlign w:val="center"/>
                                </w:tcPr>
                                <w:p>
                                  <w:pPr>
                                    <w:pStyle w:val="TableContents"/>
                                    <w:bidi w:val="0"/>
                                    <w:spacing w:before="0" w:after="283"/>
                                    <w:jc w:val="left"/>
                                    <w:rPr>
                                      <w:b/>
                                    </w:rPr>
                                  </w:pPr>
                                  <w:r>
                                    <w:rPr>
                                      <w:b/>
                                    </w:rPr>
                                    <w:t>Goal</w:t>
                                  </w:r>
                                </w:p>
                              </w:tc>
                              <w:tc>
                                <w:tcPr>
                                  <w:tcW w:w="120" w:type="dxa"/>
                                  <w:tcBorders>
                                    <w:top w:val="single" w:sz="8" w:space="0" w:color="000000"/>
                                  </w:tcBorders>
                                  <w:tcMar>
                                    <w:top w:w="28" w:type="dxa"/>
                                  </w:tcMar>
                                  <w:vAlign w:val="center"/>
                                </w:tcPr>
                                <w:p>
                                  <w:pPr>
                                    <w:pStyle w:val="TableContents"/>
                                    <w:bidi w:val="0"/>
                                    <w:spacing w:before="0" w:after="283"/>
                                    <w:jc w:val="left"/>
                                    <w:rPr/>
                                  </w:pPr>
                                  <w:r>
                                    <w:rPr/>
                                    <w:t>  </w:t>
                                  </w:r>
                                </w:p>
                              </w:tc>
                              <w:tc>
                                <w:tcPr>
                                  <w:tcW w:w="1070" w:type="dxa"/>
                                  <w:gridSpan w:val="2"/>
                                  <w:tcBorders>
                                    <w:top w:val="single" w:sz="8" w:space="0" w:color="000000"/>
                                  </w:tcBorders>
                                  <w:tcMar>
                                    <w:top w:w="28" w:type="dxa"/>
                                  </w:tcMar>
                                  <w:vAlign w:val="center"/>
                                </w:tcPr>
                                <w:p>
                                  <w:pPr>
                                    <w:pStyle w:val="TableContents"/>
                                    <w:bidi w:val="0"/>
                                    <w:spacing w:before="0" w:after="283"/>
                                    <w:jc w:val="right"/>
                                    <w:rPr>
                                      <w:b/>
                                    </w:rPr>
                                  </w:pPr>
                                  <w:r>
                                    <w:rPr>
                                      <w:b/>
                                    </w:rPr>
                                    <w:t>Weighting</w:t>
                                  </w:r>
                                </w:p>
                              </w:tc>
                              <w:tc>
                                <w:tcPr>
                                  <w:tcW w:w="60" w:type="dxa"/>
                                  <w:tcBorders>
                                    <w:top w:val="single" w:sz="8" w:space="0" w:color="000000"/>
                                  </w:tcBorders>
                                  <w:tcMar>
                                    <w:top w:w="28" w:type="dxa"/>
                                  </w:tcMar>
                                  <w:vAlign w:val="center"/>
                                </w:tcPr>
                                <w:p>
                                  <w:pPr>
                                    <w:pStyle w:val="TableContents"/>
                                    <w:bidi w:val="0"/>
                                    <w:spacing w:before="0" w:after="283"/>
                                    <w:jc w:val="left"/>
                                    <w:rPr/>
                                  </w:pPr>
                                  <w:r>
                                    <w:rPr/>
                                    <w:t> </w:t>
                                  </w:r>
                                </w:p>
                              </w:tc>
                              <w:tc>
                                <w:tcPr>
                                  <w:tcW w:w="120" w:type="dxa"/>
                                  <w:tcBorders>
                                    <w:top w:val="single" w:sz="8" w:space="0" w:color="000000"/>
                                  </w:tcBorders>
                                  <w:tcMar>
                                    <w:top w:w="28" w:type="dxa"/>
                                  </w:tcMar>
                                  <w:vAlign w:val="center"/>
                                </w:tcPr>
                                <w:p>
                                  <w:pPr>
                                    <w:pStyle w:val="TableContents"/>
                                    <w:bidi w:val="0"/>
                                    <w:spacing w:before="0" w:after="283"/>
                                    <w:jc w:val="left"/>
                                    <w:rPr/>
                                  </w:pPr>
                                  <w:r>
                                    <w:rPr/>
                                    <w:t>  </w:t>
                                  </w:r>
                                </w:p>
                              </w:tc>
                              <w:tc>
                                <w:tcPr>
                                  <w:tcW w:w="965" w:type="dxa"/>
                                  <w:gridSpan w:val="2"/>
                                  <w:tcBorders>
                                    <w:top w:val="single" w:sz="8" w:space="0" w:color="000000"/>
                                  </w:tcBorders>
                                  <w:tcMar>
                                    <w:top w:w="28" w:type="dxa"/>
                                  </w:tcMar>
                                  <w:vAlign w:val="center"/>
                                </w:tcPr>
                                <w:p>
                                  <w:pPr>
                                    <w:pStyle w:val="TableContents"/>
                                    <w:bidi w:val="0"/>
                                    <w:spacing w:before="0" w:after="283"/>
                                    <w:jc w:val="right"/>
                                    <w:rPr>
                                      <w:b/>
                                    </w:rPr>
                                  </w:pPr>
                                  <w:r>
                                    <w:rPr>
                                      <w:b/>
                                    </w:rPr>
                                    <w:t>% of</w:t>
                                    <w:br/>
                                    <w:t>Target</w:t>
                                    <w:br/>
                                    <w:t>Achieved</w:t>
                                  </w:r>
                                </w:p>
                              </w:tc>
                              <w:tc>
                                <w:tcPr>
                                  <w:tcW w:w="60" w:type="dxa"/>
                                  <w:tcBorders>
                                    <w:top w:val="single" w:sz="8" w:space="0" w:color="000000"/>
                                  </w:tcBorders>
                                  <w:tcMar>
                                    <w:top w:w="28" w:type="dxa"/>
                                  </w:tcMar>
                                  <w:vAlign w:val="center"/>
                                </w:tcPr>
                                <w:p>
                                  <w:pPr>
                                    <w:pStyle w:val="TableContents"/>
                                    <w:bidi w:val="0"/>
                                    <w:spacing w:before="0" w:after="283"/>
                                    <w:jc w:val="left"/>
                                    <w:rPr/>
                                  </w:pPr>
                                  <w:r>
                                    <w:rPr/>
                                    <w:t> </w:t>
                                  </w:r>
                                </w:p>
                              </w:tc>
                              <w:tc>
                                <w:tcPr>
                                  <w:tcW w:w="60" w:type="dxa"/>
                                  <w:tcBorders>
                                    <w:top w:val="single" w:sz="8" w:space="0" w:color="000000"/>
                                  </w:tcBorders>
                                  <w:tcMar>
                                    <w:top w:w="28" w:type="dxa"/>
                                  </w:tcMar>
                                  <w:vAlign w:val="center"/>
                                </w:tcPr>
                                <w:p>
                                  <w:pPr>
                                    <w:pStyle w:val="TableContents"/>
                                    <w:bidi w:val="0"/>
                                    <w:spacing w:before="0" w:after="283"/>
                                    <w:jc w:val="left"/>
                                    <w:rPr/>
                                  </w:pPr>
                                  <w:r>
                                    <w:rPr/>
                                    <w:t> </w:t>
                                  </w:r>
                                </w:p>
                              </w:tc>
                              <w:tc>
                                <w:tcPr>
                                  <w:tcW w:w="860" w:type="dxa"/>
                                  <w:tcBorders>
                                    <w:top w:val="single" w:sz="8" w:space="0" w:color="000000"/>
                                    <w:right w:val="single" w:sz="8" w:space="0" w:color="000000"/>
                                  </w:tcBorders>
                                  <w:tcMar>
                                    <w:top w:w="28" w:type="dxa"/>
                                    <w:right w:w="40" w:type="dxa"/>
                                  </w:tcMar>
                                  <w:vAlign w:val="center"/>
                                </w:tcPr>
                                <w:p>
                                  <w:pPr>
                                    <w:pStyle w:val="TableContents"/>
                                    <w:bidi w:val="0"/>
                                    <w:spacing w:before="0" w:after="0"/>
                                    <w:jc w:val="right"/>
                                    <w:rPr>
                                      <w:rFonts w:ascii="arial" w:hAnsi="arial"/>
                                      <w:b/>
                                      <w:sz w:val="18"/>
                                    </w:rPr>
                                  </w:pPr>
                                  <w:r>
                                    <w:rPr>
                                      <w:rFonts w:ascii="arial" w:hAnsi="arial"/>
                                      <w:b/>
                                      <w:sz w:val="18"/>
                                    </w:rPr>
                                    <w:t>Resulting</w:t>
                                  </w:r>
                                </w:p>
                                <w:p>
                                  <w:pPr>
                                    <w:pStyle w:val="TableContents"/>
                                    <w:bidi w:val="0"/>
                                    <w:spacing w:before="0" w:after="20"/>
                                    <w:jc w:val="right"/>
                                    <w:rPr>
                                      <w:rFonts w:ascii="arial" w:hAnsi="arial"/>
                                      <w:b/>
                                      <w:sz w:val="18"/>
                                    </w:rPr>
                                  </w:pPr>
                                  <w:r>
                                    <w:rPr>
                                      <w:rFonts w:ascii="arial" w:hAnsi="arial"/>
                                      <w:b/>
                                      <w:sz w:val="18"/>
                                    </w:rPr>
                                    <w:t>Weighted</w:t>
                                    <w:br/>
                                    <w:t>Score</w:t>
                                  </w:r>
                                </w:p>
                              </w:tc>
                            </w:tr>
                            <w:tr>
                              <w:trPr/>
                              <w:tc>
                                <w:tcPr>
                                  <w:tcW w:w="7230" w:type="dxa"/>
                                  <w:gridSpan w:val="9"/>
                                  <w:tcBorders>
                                    <w:top w:val="single" w:sz="6" w:space="0" w:color="000000"/>
                                    <w:left w:val="single" w:sz="8" w:space="0" w:color="000000"/>
                                  </w:tcBorders>
                                  <w:shd w:fill="0171B9" w:val="clear"/>
                                  <w:tcMar>
                                    <w:top w:w="28" w:type="dxa"/>
                                    <w:left w:w="160" w:type="dxa"/>
                                  </w:tcMar>
                                  <w:vAlign w:val="center"/>
                                </w:tcPr>
                                <w:p>
                                  <w:pPr>
                                    <w:pStyle w:val="TableContents"/>
                                    <w:bidi w:val="0"/>
                                    <w:spacing w:before="0" w:after="283"/>
                                    <w:jc w:val="left"/>
                                    <w:rPr/>
                                  </w:pPr>
                                  <w:r>
                                    <w:rPr/>
                                    <w:t> </w:t>
                                  </w:r>
                                </w:p>
                              </w:tc>
                              <w:tc>
                                <w:tcPr>
                                  <w:tcW w:w="920" w:type="dxa"/>
                                  <w:gridSpan w:val="2"/>
                                  <w:tcBorders>
                                    <w:top w:val="single" w:sz="6" w:space="0" w:color="000000"/>
                                    <w:right w:val="single" w:sz="8" w:space="0" w:color="000000"/>
                                  </w:tcBorders>
                                  <w:shd w:fill="0171B9" w:val="clear"/>
                                  <w:tcMar>
                                    <w:top w:w="28" w:type="dxa"/>
                                    <w:right w:w="28" w:type="dxa"/>
                                  </w:tcMar>
                                  <w:vAlign w:val="center"/>
                                </w:tcPr>
                                <w:p>
                                  <w:pPr>
                                    <w:pStyle w:val="TableContents"/>
                                    <w:bidi w:val="0"/>
                                    <w:spacing w:before="0" w:after="283"/>
                                    <w:jc w:val="left"/>
                                    <w:rPr/>
                                  </w:pPr>
                                  <w:r>
                                    <w:rPr/>
                                    <w:t> </w:t>
                                  </w:r>
                                </w:p>
                              </w:tc>
                            </w:tr>
                            <w:tr>
                              <w:trPr/>
                              <w:tc>
                                <w:tcPr>
                                  <w:tcW w:w="7170" w:type="dxa"/>
                                  <w:gridSpan w:val="8"/>
                                  <w:tcBorders>
                                    <w:left w:val="single" w:sz="8" w:space="0" w:color="000000"/>
                                    <w:bottom w:val="single" w:sz="6" w:space="0" w:color="000000"/>
                                  </w:tcBorders>
                                  <w:shd w:fill="0171B9" w:val="clear"/>
                                  <w:tcMar>
                                    <w:left w:w="160" w:type="dxa"/>
                                    <w:bottom w:w="80" w:type="dxa"/>
                                  </w:tcMar>
                                  <w:vAlign w:val="center"/>
                                </w:tcPr>
                                <w:p>
                                  <w:pPr>
                                    <w:pStyle w:val="TableContents"/>
                                    <w:bidi w:val="0"/>
                                    <w:spacing w:before="0" w:after="283"/>
                                    <w:jc w:val="left"/>
                                    <w:rPr>
                                      <w:b/>
                                      <w:color w:val="FFFFFF"/>
                                    </w:rPr>
                                  </w:pPr>
                                  <w:r>
                                    <w:rPr>
                                      <w:b/>
                                      <w:color w:val="FFFFFF"/>
                                    </w:rPr>
                                    <w:t>1. Financial Performance</w:t>
                                  </w:r>
                                </w:p>
                              </w:tc>
                              <w:tc>
                                <w:tcPr>
                                  <w:tcW w:w="60" w:type="dxa"/>
                                  <w:tcBorders>
                                    <w:bottom w:val="single" w:sz="6" w:space="0" w:color="000000"/>
                                  </w:tcBorders>
                                  <w:shd w:fill="0171B9" w:val="clear"/>
                                  <w:tcMar>
                                    <w:bottom w:w="80" w:type="dxa"/>
                                  </w:tcMar>
                                  <w:vAlign w:val="center"/>
                                </w:tcPr>
                                <w:p>
                                  <w:pPr>
                                    <w:pStyle w:val="TableContents"/>
                                    <w:bidi w:val="0"/>
                                    <w:spacing w:before="0" w:after="0"/>
                                    <w:jc w:val="left"/>
                                    <w:rPr>
                                      <w:color w:val="FFFFFF"/>
                                    </w:rPr>
                                  </w:pPr>
                                  <w:r>
                                    <w:rPr>
                                      <w:color w:val="FFFFFF"/>
                                    </w:rPr>
                                    <w:t> </w:t>
                                  </w:r>
                                </w:p>
                              </w:tc>
                              <w:tc>
                                <w:tcPr>
                                  <w:tcW w:w="60" w:type="dxa"/>
                                  <w:tcBorders>
                                    <w:bottom w:val="single" w:sz="6" w:space="0" w:color="000000"/>
                                  </w:tcBorders>
                                  <w:shd w:fill="0171B9" w:val="clear"/>
                                  <w:tcMar>
                                    <w:bottom w:w="28" w:type="dxa"/>
                                  </w:tcMar>
                                  <w:vAlign w:val="center"/>
                                </w:tcPr>
                                <w:p>
                                  <w:pPr>
                                    <w:pStyle w:val="TableContents"/>
                                    <w:bidi w:val="0"/>
                                    <w:spacing w:before="0" w:after="283"/>
                                    <w:jc w:val="left"/>
                                    <w:rPr/>
                                  </w:pPr>
                                  <w:r>
                                    <w:rPr/>
                                    <w:t> </w:t>
                                  </w:r>
                                </w:p>
                              </w:tc>
                              <w:tc>
                                <w:tcPr>
                                  <w:tcW w:w="860" w:type="dxa"/>
                                  <w:tcBorders>
                                    <w:bottom w:val="single" w:sz="6" w:space="0" w:color="000000"/>
                                    <w:right w:val="single" w:sz="8" w:space="0" w:color="000000"/>
                                  </w:tcBorders>
                                  <w:shd w:fill="0171B9" w:val="clear"/>
                                  <w:tcMar>
                                    <w:bottom w:w="80" w:type="dxa"/>
                                    <w:right w:w="40" w:type="dxa"/>
                                  </w:tcMar>
                                  <w:vAlign w:val="center"/>
                                </w:tcPr>
                                <w:p>
                                  <w:pPr>
                                    <w:pStyle w:val="TableContents"/>
                                    <w:bidi w:val="0"/>
                                    <w:spacing w:before="0" w:after="283"/>
                                    <w:jc w:val="right"/>
                                    <w:rPr>
                                      <w:b/>
                                      <w:color w:val="FFFFFF"/>
                                    </w:rPr>
                                  </w:pPr>
                                  <w:r>
                                    <w:rPr>
                                      <w:b/>
                                      <w:color w:val="FFFFFF"/>
                                    </w:rPr>
                                    <w:t>109.8% </w:t>
                                  </w:r>
                                </w:p>
                              </w:tc>
                            </w:tr>
                            <w:tr>
                              <w:trPr/>
                              <w:tc>
                                <w:tcPr>
                                  <w:tcW w:w="4835" w:type="dxa"/>
                                  <w:tcBorders>
                                    <w:left w:val="single" w:sz="8" w:space="0" w:color="000000"/>
                                  </w:tcBorders>
                                  <w:shd w:fill="CCE2F1" w:val="clear"/>
                                  <w:tcMar>
                                    <w:left w:w="160" w:type="dxa"/>
                                  </w:tcMar>
                                  <w:vAlign w:val="center"/>
                                </w:tcPr>
                                <w:p>
                                  <w:pPr>
                                    <w:pStyle w:val="TableContents"/>
                                    <w:bidi w:val="0"/>
                                    <w:spacing w:before="0" w:after="283"/>
                                    <w:jc w:val="left"/>
                                    <w:rPr/>
                                  </w:pPr>
                                  <w:r>
                                    <w:rPr/>
                                    <w:t> </w:t>
                                  </w:r>
                                </w:p>
                              </w:tc>
                              <w:tc>
                                <w:tcPr>
                                  <w:tcW w:w="1250" w:type="dxa"/>
                                  <w:gridSpan w:val="4"/>
                                  <w:tcBorders/>
                                  <w:shd w:fill="CCE2F1" w:val="clear"/>
                                  <w:vAlign w:val="center"/>
                                </w:tcPr>
                                <w:p>
                                  <w:pPr>
                                    <w:pStyle w:val="TableContents"/>
                                    <w:bidi w:val="0"/>
                                    <w:spacing w:before="0" w:after="283"/>
                                    <w:jc w:val="left"/>
                                    <w:rPr>
                                      <w:sz w:val="4"/>
                                      <w:szCs w:val="4"/>
                                    </w:rPr>
                                  </w:pPr>
                                  <w:r>
                                    <w:rPr>
                                      <w:sz w:val="4"/>
                                      <w:szCs w:val="4"/>
                                    </w:rPr>
                                  </w:r>
                                </w:p>
                              </w:tc>
                              <w:tc>
                                <w:tcPr>
                                  <w:tcW w:w="1145" w:type="dxa"/>
                                  <w:gridSpan w:val="4"/>
                                  <w:tcBorders/>
                                  <w:shd w:fill="CCE2F1" w:val="clear"/>
                                  <w:vAlign w:val="center"/>
                                </w:tcPr>
                                <w:p>
                                  <w:pPr>
                                    <w:pStyle w:val="TableContents"/>
                                    <w:bidi w:val="0"/>
                                    <w:spacing w:before="0" w:after="283"/>
                                    <w:jc w:val="left"/>
                                    <w:rPr>
                                      <w:sz w:val="4"/>
                                      <w:szCs w:val="4"/>
                                    </w:rPr>
                                  </w:pPr>
                                  <w:r>
                                    <w:rPr>
                                      <w:sz w:val="4"/>
                                      <w:szCs w:val="4"/>
                                    </w:rPr>
                                  </w:r>
                                </w:p>
                              </w:tc>
                              <w:tc>
                                <w:tcPr>
                                  <w:tcW w:w="920" w:type="dxa"/>
                                  <w:gridSpan w:val="2"/>
                                  <w:tcBorders>
                                    <w:right w:val="single" w:sz="8" w:space="0" w:color="000000"/>
                                  </w:tcBorders>
                                  <w:shd w:fill="CCE2F1" w:val="clear"/>
                                  <w:tcMar>
                                    <w:right w:w="28" w:type="dxa"/>
                                  </w:tcMar>
                                  <w:vAlign w:val="center"/>
                                </w:tcPr>
                                <w:p>
                                  <w:pPr>
                                    <w:pStyle w:val="TableContents"/>
                                    <w:bidi w:val="0"/>
                                    <w:spacing w:before="0" w:after="283"/>
                                    <w:jc w:val="left"/>
                                    <w:rPr/>
                                  </w:pPr>
                                  <w:r>
                                    <w:rPr/>
                                    <w:t> </w:t>
                                  </w:r>
                                </w:p>
                              </w:tc>
                            </w:tr>
                            <w:tr>
                              <w:trPr/>
                              <w:tc>
                                <w:tcPr>
                                  <w:tcW w:w="4835" w:type="dxa"/>
                                  <w:tcBorders>
                                    <w:left w:val="single" w:sz="8" w:space="0" w:color="000000"/>
                                  </w:tcBorders>
                                  <w:shd w:fill="CCE2F1" w:val="clear"/>
                                  <w:tcMar>
                                    <w:left w:w="160" w:type="dxa"/>
                                  </w:tcMar>
                                  <w:vAlign w:val="center"/>
                                </w:tcPr>
                                <w:p>
                                  <w:pPr>
                                    <w:pStyle w:val="TableContents"/>
                                    <w:bidi w:val="0"/>
                                    <w:spacing w:before="0" w:after="0"/>
                                    <w:jc w:val="both"/>
                                    <w:rPr>
                                      <w:rFonts w:ascii="arial" w:hAnsi="arial"/>
                                      <w:sz w:val="19"/>
                                    </w:rPr>
                                  </w:pPr>
                                  <w:r>
                                    <w:rPr>
                                      <w:rFonts w:ascii="arial" w:hAnsi="arial"/>
                                      <w:sz w:val="19"/>
                                    </w:rPr>
                                    <w:t>a. Revenues</w:t>
                                  </w:r>
                                </w:p>
                                <w:p>
                                  <w:pPr>
                                    <w:pStyle w:val="TableContents"/>
                                    <w:bidi w:val="0"/>
                                    <w:spacing w:before="0" w:after="0"/>
                                    <w:jc w:val="both"/>
                                    <w:rPr/>
                                  </w:pPr>
                                  <w:r>
                                    <w:rPr/>
                                    <w:t>   </w:t>
                                  </w:r>
                                  <w:r>
                                    <w:rPr>
                                      <w:rFonts w:ascii="arial" w:hAnsi="arial"/>
                                      <w:sz w:val="19"/>
                                    </w:rPr>
                                    <w:t>Target  $26.483B</w:t>
                                  </w:r>
                                </w:p>
                                <w:p>
                                  <w:pPr>
                                    <w:pStyle w:val="TableContents"/>
                                    <w:bidi w:val="0"/>
                                    <w:spacing w:before="0" w:after="20"/>
                                    <w:jc w:val="both"/>
                                    <w:rPr/>
                                  </w:pPr>
                                  <w:r>
                                    <w:rPr/>
                                    <w:t>   </w:t>
                                  </w:r>
                                  <w:r>
                                    <w:rPr>
                                      <w:rFonts w:ascii="arial" w:hAnsi="arial"/>
                                      <w:sz w:val="19"/>
                                    </w:rPr>
                                    <w:t>Results $28.190B</w:t>
                                  </w:r>
                                </w:p>
                              </w:tc>
                              <w:tc>
                                <w:tcPr>
                                  <w:tcW w:w="120" w:type="dxa"/>
                                  <w:tcBorders/>
                                  <w:shd w:fill="CCE2F1" w:val="clear"/>
                                  <w:vAlign w:val="center"/>
                                </w:tcPr>
                                <w:p>
                                  <w:pPr>
                                    <w:pStyle w:val="TableContents"/>
                                    <w:bidi w:val="0"/>
                                    <w:spacing w:before="0" w:after="283"/>
                                    <w:jc w:val="left"/>
                                    <w:rPr/>
                                  </w:pPr>
                                  <w:r>
                                    <w:rPr/>
                                    <w:t>  </w:t>
                                  </w:r>
                                </w:p>
                              </w:tc>
                              <w:tc>
                                <w:tcPr>
                                  <w:tcW w:w="200" w:type="dxa"/>
                                  <w:tcBorders/>
                                  <w:shd w:fill="CCE2F1" w:val="clear"/>
                                  <w:vAlign w:val="center"/>
                                </w:tcPr>
                                <w:p>
                                  <w:pPr>
                                    <w:pStyle w:val="TableContents"/>
                                    <w:bidi w:val="0"/>
                                    <w:spacing w:before="0" w:after="283"/>
                                    <w:jc w:val="left"/>
                                    <w:rPr/>
                                  </w:pPr>
                                  <w:r>
                                    <w:rPr/>
                                    <w:t> </w:t>
                                  </w:r>
                                </w:p>
                              </w:tc>
                              <w:tc>
                                <w:tcPr>
                                  <w:tcW w:w="870" w:type="dxa"/>
                                  <w:tcBorders/>
                                  <w:shd w:fill="CCE2F1" w:val="clear"/>
                                  <w:vAlign w:val="center"/>
                                </w:tcPr>
                                <w:p>
                                  <w:pPr>
                                    <w:pStyle w:val="TableContents"/>
                                    <w:bidi w:val="0"/>
                                    <w:spacing w:before="0" w:after="283"/>
                                    <w:jc w:val="right"/>
                                    <w:rPr/>
                                  </w:pPr>
                                  <w:r>
                                    <w:rPr/>
                                    <w:t>30%</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93" w:type="dxa"/>
                                  <w:tcBorders/>
                                  <w:shd w:fill="CCE2F1" w:val="clear"/>
                                  <w:vAlign w:val="center"/>
                                </w:tcPr>
                                <w:p>
                                  <w:pPr>
                                    <w:pStyle w:val="TableContents"/>
                                    <w:bidi w:val="0"/>
                                    <w:spacing w:before="0" w:after="283"/>
                                    <w:jc w:val="left"/>
                                    <w:rPr/>
                                  </w:pPr>
                                  <w:r>
                                    <w:rPr/>
                                    <w:t> </w:t>
                                  </w:r>
                                </w:p>
                              </w:tc>
                              <w:tc>
                                <w:tcPr>
                                  <w:tcW w:w="872" w:type="dxa"/>
                                  <w:tcBorders/>
                                  <w:shd w:fill="CCE2F1" w:val="clear"/>
                                  <w:vAlign w:val="center"/>
                                </w:tcPr>
                                <w:p>
                                  <w:pPr>
                                    <w:pStyle w:val="TableContents"/>
                                    <w:bidi w:val="0"/>
                                    <w:spacing w:before="0" w:after="283"/>
                                    <w:jc w:val="right"/>
                                    <w:rPr/>
                                  </w:pPr>
                                  <w:r>
                                    <w:rPr/>
                                    <w:t>213.7%</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860" w:type="dxa"/>
                                  <w:tcBorders>
                                    <w:right w:val="single" w:sz="8" w:space="0" w:color="000000"/>
                                  </w:tcBorders>
                                  <w:shd w:fill="CCE2F1" w:val="clear"/>
                                  <w:tcMar>
                                    <w:right w:w="40" w:type="dxa"/>
                                  </w:tcMar>
                                  <w:vAlign w:val="center"/>
                                </w:tcPr>
                                <w:p>
                                  <w:pPr>
                                    <w:pStyle w:val="TableContents"/>
                                    <w:bidi w:val="0"/>
                                    <w:spacing w:before="0" w:after="283"/>
                                    <w:jc w:val="right"/>
                                    <w:rPr/>
                                  </w:pPr>
                                  <w:r>
                                    <w:rPr/>
                                    <w:t>64.1% </w:t>
                                  </w:r>
                                </w:p>
                              </w:tc>
                            </w:tr>
                            <w:tr>
                              <w:trPr/>
                              <w:tc>
                                <w:tcPr>
                                  <w:tcW w:w="4835" w:type="dxa"/>
                                  <w:tcBorders>
                                    <w:left w:val="single" w:sz="8" w:space="0" w:color="000000"/>
                                  </w:tcBorders>
                                  <w:tcMar>
                                    <w:left w:w="160" w:type="dxa"/>
                                  </w:tcMar>
                                  <w:vAlign w:val="center"/>
                                </w:tcPr>
                                <w:p>
                                  <w:pPr>
                                    <w:pStyle w:val="TableContents"/>
                                    <w:bidi w:val="0"/>
                                    <w:spacing w:before="0" w:after="283"/>
                                    <w:jc w:val="left"/>
                                    <w:rPr/>
                                  </w:pPr>
                                  <w:r>
                                    <w:rPr/>
                                    <w:t> </w:t>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145" w:type="dxa"/>
                                  <w:gridSpan w:val="4"/>
                                  <w:tcBorders/>
                                  <w:vAlign w:val="center"/>
                                </w:tcPr>
                                <w:p>
                                  <w:pPr>
                                    <w:pStyle w:val="TableContents"/>
                                    <w:bidi w:val="0"/>
                                    <w:spacing w:before="0" w:after="283"/>
                                    <w:jc w:val="left"/>
                                    <w:rPr>
                                      <w:sz w:val="4"/>
                                      <w:szCs w:val="4"/>
                                    </w:rPr>
                                  </w:pPr>
                                  <w:r>
                                    <w:rPr>
                                      <w:sz w:val="4"/>
                                      <w:szCs w:val="4"/>
                                    </w:rPr>
                                  </w:r>
                                </w:p>
                              </w:tc>
                              <w:tc>
                                <w:tcPr>
                                  <w:tcW w:w="920" w:type="dxa"/>
                                  <w:gridSpan w:val="2"/>
                                  <w:tcBorders>
                                    <w:right w:val="single" w:sz="8" w:space="0" w:color="000000"/>
                                  </w:tcBorders>
                                  <w:tcMar>
                                    <w:right w:w="28" w:type="dxa"/>
                                  </w:tcMar>
                                  <w:vAlign w:val="center"/>
                                </w:tcPr>
                                <w:p>
                                  <w:pPr>
                                    <w:pStyle w:val="TableContents"/>
                                    <w:bidi w:val="0"/>
                                    <w:spacing w:before="0" w:after="283"/>
                                    <w:jc w:val="left"/>
                                    <w:rPr/>
                                  </w:pPr>
                                  <w:r>
                                    <w:rPr/>
                                    <w:t> </w:t>
                                  </w:r>
                                </w:p>
                              </w:tc>
                            </w:tr>
                            <w:tr>
                              <w:trPr/>
                              <w:tc>
                                <w:tcPr>
                                  <w:tcW w:w="4835" w:type="dxa"/>
                                  <w:tcBorders>
                                    <w:left w:val="single" w:sz="8" w:space="0" w:color="000000"/>
                                  </w:tcBorders>
                                  <w:tcMar>
                                    <w:left w:w="160" w:type="dxa"/>
                                  </w:tcMar>
                                  <w:vAlign w:val="center"/>
                                </w:tcPr>
                                <w:p>
                                  <w:pPr>
                                    <w:pStyle w:val="TableContents"/>
                                    <w:bidi w:val="0"/>
                                    <w:spacing w:before="0" w:after="0"/>
                                    <w:jc w:val="left"/>
                                    <w:rPr>
                                      <w:rFonts w:ascii="arial" w:hAnsi="arial"/>
                                      <w:sz w:val="19"/>
                                    </w:rPr>
                                  </w:pPr>
                                  <w:r>
                                    <w:rPr>
                                      <w:rFonts w:ascii="arial" w:hAnsi="arial"/>
                                      <w:sz w:val="19"/>
                                    </w:rPr>
                                    <w:t>b. Non-GAAP Net Income(1)</w:t>
                                  </w:r>
                                </w:p>
                                <w:p>
                                  <w:pPr>
                                    <w:pStyle w:val="TableContents"/>
                                    <w:bidi w:val="0"/>
                                    <w:spacing w:before="0" w:after="0"/>
                                    <w:jc w:val="both"/>
                                    <w:rPr/>
                                  </w:pPr>
                                  <w:r>
                                    <w:rPr/>
                                    <w:t>   </w:t>
                                  </w:r>
                                  <w:r>
                                    <w:rPr>
                                      <w:rFonts w:ascii="arial" w:hAnsi="arial"/>
                                      <w:sz w:val="19"/>
                                    </w:rPr>
                                    <w:t>Target $9.570B</w:t>
                                  </w:r>
                                </w:p>
                                <w:p>
                                  <w:pPr>
                                    <w:pStyle w:val="TableContents"/>
                                    <w:bidi w:val="0"/>
                                    <w:spacing w:before="0" w:after="20"/>
                                    <w:jc w:val="both"/>
                                    <w:rPr/>
                                  </w:pPr>
                                  <w:r>
                                    <w:rPr/>
                                    <w:t>   </w:t>
                                  </w:r>
                                  <w:r>
                                    <w:rPr>
                                      <w:rFonts w:ascii="arial" w:hAnsi="arial"/>
                                      <w:sz w:val="19"/>
                                    </w:rPr>
                                    <w:t>Results $10.034B</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152.4%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right w:val="single" w:sz="8" w:space="0" w:color="000000"/>
                                  </w:tcBorders>
                                  <w:tcMar>
                                    <w:right w:w="40" w:type="dxa"/>
                                  </w:tcMar>
                                  <w:vAlign w:val="center"/>
                                </w:tcPr>
                                <w:p>
                                  <w:pPr>
                                    <w:pStyle w:val="TableContents"/>
                                    <w:bidi w:val="0"/>
                                    <w:spacing w:before="0" w:after="283"/>
                                    <w:jc w:val="right"/>
                                    <w:rPr/>
                                  </w:pPr>
                                  <w:r>
                                    <w:rPr/>
                                    <w:t>45.7% </w:t>
                                  </w:r>
                                </w:p>
                              </w:tc>
                            </w:tr>
                            <w:tr>
                              <w:trPr/>
                              <w:tc>
                                <w:tcPr>
                                  <w:tcW w:w="7230" w:type="dxa"/>
                                  <w:gridSpan w:val="9"/>
                                  <w:tcBorders>
                                    <w:top w:val="single" w:sz="6" w:space="0" w:color="000000"/>
                                    <w:left w:val="single" w:sz="8" w:space="0" w:color="000000"/>
                                  </w:tcBorders>
                                  <w:shd w:fill="0171B9" w:val="clear"/>
                                  <w:tcMar>
                                    <w:top w:w="28" w:type="dxa"/>
                                    <w:left w:w="160" w:type="dxa"/>
                                  </w:tcMar>
                                  <w:vAlign w:val="center"/>
                                </w:tcPr>
                                <w:p>
                                  <w:pPr>
                                    <w:pStyle w:val="TableContents"/>
                                    <w:bidi w:val="0"/>
                                    <w:spacing w:before="0" w:after="283"/>
                                    <w:jc w:val="left"/>
                                    <w:rPr/>
                                  </w:pPr>
                                  <w:r>
                                    <w:rPr/>
                                    <w:t> </w:t>
                                  </w:r>
                                </w:p>
                              </w:tc>
                              <w:tc>
                                <w:tcPr>
                                  <w:tcW w:w="920" w:type="dxa"/>
                                  <w:gridSpan w:val="2"/>
                                  <w:tcBorders>
                                    <w:top w:val="single" w:sz="6" w:space="0" w:color="000000"/>
                                    <w:right w:val="single" w:sz="8" w:space="0" w:color="000000"/>
                                  </w:tcBorders>
                                  <w:shd w:fill="0171B9" w:val="clear"/>
                                  <w:tcMar>
                                    <w:top w:w="28" w:type="dxa"/>
                                    <w:right w:w="28" w:type="dxa"/>
                                  </w:tcMar>
                                  <w:vAlign w:val="center"/>
                                </w:tcPr>
                                <w:p>
                                  <w:pPr>
                                    <w:pStyle w:val="TableContents"/>
                                    <w:bidi w:val="0"/>
                                    <w:spacing w:before="0" w:after="283"/>
                                    <w:jc w:val="left"/>
                                    <w:rPr/>
                                  </w:pPr>
                                  <w:r>
                                    <w:rPr/>
                                    <w:t> </w:t>
                                  </w:r>
                                </w:p>
                              </w:tc>
                            </w:tr>
                            <w:tr>
                              <w:trPr/>
                              <w:tc>
                                <w:tcPr>
                                  <w:tcW w:w="7170" w:type="dxa"/>
                                  <w:gridSpan w:val="8"/>
                                  <w:tcBorders>
                                    <w:left w:val="single" w:sz="8" w:space="0" w:color="000000"/>
                                    <w:bottom w:val="single" w:sz="6" w:space="0" w:color="000000"/>
                                  </w:tcBorders>
                                  <w:shd w:fill="0171B9" w:val="clear"/>
                                  <w:tcMar>
                                    <w:left w:w="160" w:type="dxa"/>
                                    <w:bottom w:w="100" w:type="dxa"/>
                                  </w:tcMar>
                                  <w:vAlign w:val="center"/>
                                </w:tcPr>
                                <w:p>
                                  <w:pPr>
                                    <w:pStyle w:val="TableContents"/>
                                    <w:bidi w:val="0"/>
                                    <w:spacing w:before="0" w:after="283"/>
                                    <w:jc w:val="left"/>
                                    <w:rPr>
                                      <w:b/>
                                      <w:color w:val="FFFFFF"/>
                                    </w:rPr>
                                  </w:pPr>
                                  <w:r>
                                    <w:rPr>
                                      <w:b/>
                                      <w:color w:val="FFFFFF"/>
                                    </w:rPr>
                                    <w:t>2. Progress Innovative Pipeline</w:t>
                                  </w:r>
                                </w:p>
                              </w:tc>
                              <w:tc>
                                <w:tcPr>
                                  <w:tcW w:w="60" w:type="dxa"/>
                                  <w:tcBorders>
                                    <w:bottom w:val="single" w:sz="6" w:space="0" w:color="000000"/>
                                  </w:tcBorders>
                                  <w:shd w:fill="0171B9" w:val="clear"/>
                                  <w:tcMar>
                                    <w:bottom w:w="100" w:type="dxa"/>
                                  </w:tcMar>
                                  <w:vAlign w:val="center"/>
                                </w:tcPr>
                                <w:p>
                                  <w:pPr>
                                    <w:pStyle w:val="TableContents"/>
                                    <w:bidi w:val="0"/>
                                    <w:spacing w:before="0" w:after="0"/>
                                    <w:jc w:val="left"/>
                                    <w:rPr>
                                      <w:color w:val="FFFFFF"/>
                                    </w:rPr>
                                  </w:pPr>
                                  <w:r>
                                    <w:rPr>
                                      <w:color w:val="FFFFFF"/>
                                    </w:rPr>
                                    <w:t> </w:t>
                                  </w:r>
                                </w:p>
                              </w:tc>
                              <w:tc>
                                <w:tcPr>
                                  <w:tcW w:w="60" w:type="dxa"/>
                                  <w:tcBorders>
                                    <w:bottom w:val="single" w:sz="6" w:space="0" w:color="000000"/>
                                  </w:tcBorders>
                                  <w:shd w:fill="0171B9" w:val="clear"/>
                                  <w:tcMar>
                                    <w:bottom w:w="28" w:type="dxa"/>
                                  </w:tcMar>
                                  <w:vAlign w:val="center"/>
                                </w:tcPr>
                                <w:p>
                                  <w:pPr>
                                    <w:pStyle w:val="TableContents"/>
                                    <w:bidi w:val="0"/>
                                    <w:spacing w:before="0" w:after="283"/>
                                    <w:jc w:val="left"/>
                                    <w:rPr/>
                                  </w:pPr>
                                  <w:r>
                                    <w:rPr/>
                                    <w:t> </w:t>
                                  </w:r>
                                </w:p>
                              </w:tc>
                              <w:tc>
                                <w:tcPr>
                                  <w:tcW w:w="860" w:type="dxa"/>
                                  <w:tcBorders>
                                    <w:bottom w:val="single" w:sz="6" w:space="0" w:color="000000"/>
                                    <w:right w:val="single" w:sz="8" w:space="0" w:color="000000"/>
                                  </w:tcBorders>
                                  <w:shd w:fill="0171B9" w:val="clear"/>
                                  <w:tcMar>
                                    <w:bottom w:w="100" w:type="dxa"/>
                                    <w:right w:w="40" w:type="dxa"/>
                                  </w:tcMar>
                                  <w:vAlign w:val="center"/>
                                </w:tcPr>
                                <w:p>
                                  <w:pPr>
                                    <w:pStyle w:val="TableContents"/>
                                    <w:bidi w:val="0"/>
                                    <w:spacing w:before="0" w:after="283"/>
                                    <w:jc w:val="right"/>
                                    <w:rPr>
                                      <w:b/>
                                      <w:color w:val="FFFFFF"/>
                                    </w:rPr>
                                  </w:pPr>
                                  <w:r>
                                    <w:rPr>
                                      <w:b/>
                                      <w:color w:val="FFFFFF"/>
                                    </w:rPr>
                                    <w:t>28.3% </w:t>
                                  </w:r>
                                </w:p>
                              </w:tc>
                            </w:tr>
                            <w:tr>
                              <w:trPr/>
                              <w:tc>
                                <w:tcPr>
                                  <w:tcW w:w="4835" w:type="dxa"/>
                                  <w:tcBorders>
                                    <w:left w:val="single" w:sz="8" w:space="0" w:color="000000"/>
                                  </w:tcBorders>
                                  <w:shd w:fill="CCE2F1" w:val="clear"/>
                                  <w:tcMar>
                                    <w:left w:w="160" w:type="dxa"/>
                                  </w:tcMar>
                                  <w:vAlign w:val="center"/>
                                </w:tcPr>
                                <w:p>
                                  <w:pPr>
                                    <w:pStyle w:val="TableContents"/>
                                    <w:bidi w:val="0"/>
                                    <w:spacing w:before="0" w:after="283"/>
                                    <w:jc w:val="left"/>
                                    <w:rPr/>
                                  </w:pPr>
                                  <w:r>
                                    <w:rPr/>
                                    <w:t> </w:t>
                                  </w:r>
                                </w:p>
                              </w:tc>
                              <w:tc>
                                <w:tcPr>
                                  <w:tcW w:w="1250" w:type="dxa"/>
                                  <w:gridSpan w:val="4"/>
                                  <w:tcBorders/>
                                  <w:shd w:fill="CCE2F1" w:val="clear"/>
                                  <w:vAlign w:val="center"/>
                                </w:tcPr>
                                <w:p>
                                  <w:pPr>
                                    <w:pStyle w:val="TableContents"/>
                                    <w:bidi w:val="0"/>
                                    <w:spacing w:before="0" w:after="283"/>
                                    <w:jc w:val="left"/>
                                    <w:rPr>
                                      <w:sz w:val="4"/>
                                      <w:szCs w:val="4"/>
                                    </w:rPr>
                                  </w:pPr>
                                  <w:r>
                                    <w:rPr>
                                      <w:sz w:val="4"/>
                                      <w:szCs w:val="4"/>
                                    </w:rPr>
                                  </w:r>
                                </w:p>
                              </w:tc>
                              <w:tc>
                                <w:tcPr>
                                  <w:tcW w:w="1145" w:type="dxa"/>
                                  <w:gridSpan w:val="4"/>
                                  <w:tcBorders/>
                                  <w:shd w:fill="CCE2F1" w:val="clear"/>
                                  <w:vAlign w:val="center"/>
                                </w:tcPr>
                                <w:p>
                                  <w:pPr>
                                    <w:pStyle w:val="TableContents"/>
                                    <w:bidi w:val="0"/>
                                    <w:spacing w:before="0" w:after="283"/>
                                    <w:jc w:val="left"/>
                                    <w:rPr>
                                      <w:sz w:val="4"/>
                                      <w:szCs w:val="4"/>
                                    </w:rPr>
                                  </w:pPr>
                                  <w:r>
                                    <w:rPr>
                                      <w:sz w:val="4"/>
                                      <w:szCs w:val="4"/>
                                    </w:rPr>
                                  </w:r>
                                </w:p>
                              </w:tc>
                              <w:tc>
                                <w:tcPr>
                                  <w:tcW w:w="920" w:type="dxa"/>
                                  <w:gridSpan w:val="2"/>
                                  <w:tcBorders>
                                    <w:right w:val="single" w:sz="8" w:space="0" w:color="000000"/>
                                  </w:tcBorders>
                                  <w:shd w:fill="CCE2F1" w:val="clear"/>
                                  <w:tcMar>
                                    <w:right w:w="28" w:type="dxa"/>
                                  </w:tcMar>
                                  <w:vAlign w:val="center"/>
                                </w:tcPr>
                                <w:p>
                                  <w:pPr>
                                    <w:pStyle w:val="TableContents"/>
                                    <w:bidi w:val="0"/>
                                    <w:spacing w:before="0" w:after="283"/>
                                    <w:jc w:val="left"/>
                                    <w:rPr/>
                                  </w:pPr>
                                  <w:r>
                                    <w:rPr/>
                                    <w:t> </w:t>
                                  </w:r>
                                </w:p>
                              </w:tc>
                            </w:tr>
                            <w:tr>
                              <w:trPr/>
                              <w:tc>
                                <w:tcPr>
                                  <w:tcW w:w="4835" w:type="dxa"/>
                                  <w:tcBorders>
                                    <w:left w:val="single" w:sz="8" w:space="0" w:color="000000"/>
                                  </w:tcBorders>
                                  <w:shd w:fill="CCE2F1" w:val="clear"/>
                                  <w:tcMar>
                                    <w:left w:w="160" w:type="dxa"/>
                                  </w:tcMar>
                                  <w:vAlign w:val="center"/>
                                </w:tcPr>
                                <w:p>
                                  <w:pPr>
                                    <w:pStyle w:val="TableContents"/>
                                    <w:bidi w:val="0"/>
                                    <w:spacing w:before="0" w:after="0"/>
                                    <w:jc w:val="left"/>
                                    <w:rPr>
                                      <w:rFonts w:ascii="arial" w:hAnsi="arial"/>
                                      <w:sz w:val="19"/>
                                    </w:rPr>
                                  </w:pPr>
                                  <w:r>
                                    <w:rPr>
                                      <w:rFonts w:ascii="arial" w:hAnsi="arial"/>
                                      <w:sz w:val="19"/>
                                    </w:rPr>
                                    <w:t>a. Advance Early Pipeline</w:t>
                                  </w:r>
                                </w:p>
                              </w:tc>
                              <w:tc>
                                <w:tcPr>
                                  <w:tcW w:w="120" w:type="dxa"/>
                                  <w:tcBorders/>
                                  <w:shd w:fill="CCE2F1" w:val="clear"/>
                                  <w:vAlign w:val="center"/>
                                </w:tcPr>
                                <w:p>
                                  <w:pPr>
                                    <w:pStyle w:val="TableContents"/>
                                    <w:bidi w:val="0"/>
                                    <w:spacing w:before="0" w:after="283"/>
                                    <w:jc w:val="left"/>
                                    <w:rPr/>
                                  </w:pPr>
                                  <w:r>
                                    <w:rPr/>
                                    <w:t>  </w:t>
                                  </w:r>
                                </w:p>
                              </w:tc>
                              <w:tc>
                                <w:tcPr>
                                  <w:tcW w:w="200" w:type="dxa"/>
                                  <w:tcBorders/>
                                  <w:shd w:fill="CCE2F1" w:val="clear"/>
                                  <w:vAlign w:val="center"/>
                                </w:tcPr>
                                <w:p>
                                  <w:pPr>
                                    <w:pStyle w:val="TableContents"/>
                                    <w:bidi w:val="0"/>
                                    <w:spacing w:before="0" w:after="283"/>
                                    <w:jc w:val="left"/>
                                    <w:rPr/>
                                  </w:pPr>
                                  <w:r>
                                    <w:rPr/>
                                    <w:t> </w:t>
                                  </w:r>
                                </w:p>
                              </w:tc>
                              <w:tc>
                                <w:tcPr>
                                  <w:tcW w:w="870" w:type="dxa"/>
                                  <w:tcBorders/>
                                  <w:shd w:fill="CCE2F1" w:val="clear"/>
                                  <w:vAlign w:val="center"/>
                                </w:tcPr>
                                <w:p>
                                  <w:pPr>
                                    <w:pStyle w:val="TableContents"/>
                                    <w:bidi w:val="0"/>
                                    <w:spacing w:before="0" w:after="283"/>
                                    <w:jc w:val="right"/>
                                    <w:rPr/>
                                  </w:pPr>
                                  <w:r>
                                    <w:rPr/>
                                    <w:t>10%</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93" w:type="dxa"/>
                                  <w:tcBorders/>
                                  <w:shd w:fill="CCE2F1" w:val="clear"/>
                                  <w:vAlign w:val="center"/>
                                </w:tcPr>
                                <w:p>
                                  <w:pPr>
                                    <w:pStyle w:val="TableContents"/>
                                    <w:bidi w:val="0"/>
                                    <w:spacing w:before="0" w:after="283"/>
                                    <w:jc w:val="left"/>
                                    <w:rPr/>
                                  </w:pPr>
                                  <w:r>
                                    <w:rPr/>
                                    <w:t> </w:t>
                                  </w:r>
                                </w:p>
                              </w:tc>
                              <w:tc>
                                <w:tcPr>
                                  <w:tcW w:w="872" w:type="dxa"/>
                                  <w:tcBorders/>
                                  <w:shd w:fill="CCE2F1" w:val="clear"/>
                                  <w:vAlign w:val="center"/>
                                </w:tcPr>
                                <w:p>
                                  <w:pPr>
                                    <w:pStyle w:val="TableContents"/>
                                    <w:bidi w:val="0"/>
                                    <w:spacing w:before="0" w:after="283"/>
                                    <w:jc w:val="right"/>
                                    <w:rPr/>
                                  </w:pPr>
                                  <w:r>
                                    <w:rPr/>
                                    <w:t>100.0%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860" w:type="dxa"/>
                                  <w:tcBorders>
                                    <w:right w:val="single" w:sz="8" w:space="0" w:color="000000"/>
                                  </w:tcBorders>
                                  <w:shd w:fill="CCE2F1" w:val="clear"/>
                                  <w:tcMar>
                                    <w:right w:w="40" w:type="dxa"/>
                                  </w:tcMar>
                                  <w:vAlign w:val="center"/>
                                </w:tcPr>
                                <w:p>
                                  <w:pPr>
                                    <w:pStyle w:val="TableContents"/>
                                    <w:bidi w:val="0"/>
                                    <w:spacing w:before="0" w:after="283"/>
                                    <w:jc w:val="right"/>
                                    <w:rPr/>
                                  </w:pPr>
                                  <w:r>
                                    <w:rPr/>
                                    <w:t>10.0% </w:t>
                                  </w:r>
                                </w:p>
                              </w:tc>
                            </w:tr>
                            <w:tr>
                              <w:trPr/>
                              <w:tc>
                                <w:tcPr>
                                  <w:tcW w:w="4835" w:type="dxa"/>
                                  <w:tcBorders>
                                    <w:left w:val="single" w:sz="8" w:space="0" w:color="000000"/>
                                  </w:tcBorders>
                                  <w:tcMar>
                                    <w:left w:w="160" w:type="dxa"/>
                                  </w:tcMar>
                                  <w:vAlign w:val="center"/>
                                </w:tcPr>
                                <w:p>
                                  <w:pPr>
                                    <w:pStyle w:val="TableContents"/>
                                    <w:bidi w:val="0"/>
                                    <w:spacing w:before="0" w:after="283"/>
                                    <w:jc w:val="left"/>
                                    <w:rPr/>
                                  </w:pPr>
                                  <w:r>
                                    <w:rPr/>
                                    <w:t> </w:t>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145" w:type="dxa"/>
                                  <w:gridSpan w:val="4"/>
                                  <w:tcBorders/>
                                  <w:vAlign w:val="center"/>
                                </w:tcPr>
                                <w:p>
                                  <w:pPr>
                                    <w:pStyle w:val="TableContents"/>
                                    <w:bidi w:val="0"/>
                                    <w:spacing w:before="0" w:after="283"/>
                                    <w:jc w:val="left"/>
                                    <w:rPr>
                                      <w:sz w:val="4"/>
                                      <w:szCs w:val="4"/>
                                    </w:rPr>
                                  </w:pPr>
                                  <w:r>
                                    <w:rPr>
                                      <w:sz w:val="4"/>
                                      <w:szCs w:val="4"/>
                                    </w:rPr>
                                  </w:r>
                                </w:p>
                              </w:tc>
                              <w:tc>
                                <w:tcPr>
                                  <w:tcW w:w="920" w:type="dxa"/>
                                  <w:gridSpan w:val="2"/>
                                  <w:tcBorders>
                                    <w:right w:val="single" w:sz="8" w:space="0" w:color="000000"/>
                                  </w:tcBorders>
                                  <w:tcMar>
                                    <w:right w:w="28" w:type="dxa"/>
                                  </w:tcMar>
                                  <w:vAlign w:val="center"/>
                                </w:tcPr>
                                <w:p>
                                  <w:pPr>
                                    <w:pStyle w:val="TableContents"/>
                                    <w:bidi w:val="0"/>
                                    <w:spacing w:before="0" w:after="283"/>
                                    <w:jc w:val="left"/>
                                    <w:rPr/>
                                  </w:pPr>
                                  <w:r>
                                    <w:rPr/>
                                    <w:t> </w:t>
                                  </w:r>
                                </w:p>
                              </w:tc>
                            </w:tr>
                            <w:tr>
                              <w:trPr/>
                              <w:tc>
                                <w:tcPr>
                                  <w:tcW w:w="4835" w:type="dxa"/>
                                  <w:tcBorders>
                                    <w:left w:val="single" w:sz="8" w:space="0" w:color="000000"/>
                                  </w:tcBorders>
                                  <w:tcMar>
                                    <w:left w:w="160" w:type="dxa"/>
                                  </w:tcMar>
                                  <w:vAlign w:val="center"/>
                                </w:tcPr>
                                <w:p>
                                  <w:pPr>
                                    <w:pStyle w:val="TableContents"/>
                                    <w:bidi w:val="0"/>
                                    <w:spacing w:before="0" w:after="0"/>
                                    <w:jc w:val="left"/>
                                    <w:rPr>
                                      <w:rFonts w:ascii="arial" w:hAnsi="arial"/>
                                      <w:sz w:val="19"/>
                                    </w:rPr>
                                  </w:pPr>
                                  <w:r>
                                    <w:rPr>
                                      <w:rFonts w:ascii="arial" w:hAnsi="arial"/>
                                      <w:sz w:val="19"/>
                                    </w:rPr>
                                    <w:t>b. Execute Key Clinical Studies and Regulatory Filings</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91.6%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right w:val="single" w:sz="8" w:space="0" w:color="000000"/>
                                  </w:tcBorders>
                                  <w:tcMar>
                                    <w:right w:w="40" w:type="dxa"/>
                                  </w:tcMar>
                                  <w:vAlign w:val="center"/>
                                </w:tcPr>
                                <w:p>
                                  <w:pPr>
                                    <w:pStyle w:val="TableContents"/>
                                    <w:bidi w:val="0"/>
                                    <w:spacing w:before="0" w:after="283"/>
                                    <w:jc w:val="right"/>
                                    <w:rPr/>
                                  </w:pPr>
                                  <w:r>
                                    <w:rPr/>
                                    <w:t>18.3% </w:t>
                                  </w:r>
                                </w:p>
                              </w:tc>
                            </w:tr>
                            <w:tr>
                              <w:trPr/>
                              <w:tc>
                                <w:tcPr>
                                  <w:tcW w:w="7230" w:type="dxa"/>
                                  <w:gridSpan w:val="9"/>
                                  <w:tcBorders>
                                    <w:top w:val="single" w:sz="6" w:space="0" w:color="000000"/>
                                    <w:left w:val="single" w:sz="8" w:space="0" w:color="000000"/>
                                  </w:tcBorders>
                                  <w:shd w:fill="0171B9" w:val="clear"/>
                                  <w:tcMar>
                                    <w:top w:w="28" w:type="dxa"/>
                                    <w:left w:w="160" w:type="dxa"/>
                                  </w:tcMar>
                                  <w:vAlign w:val="center"/>
                                </w:tcPr>
                                <w:p>
                                  <w:pPr>
                                    <w:pStyle w:val="TableContents"/>
                                    <w:bidi w:val="0"/>
                                    <w:spacing w:before="0" w:after="283"/>
                                    <w:jc w:val="left"/>
                                    <w:rPr/>
                                  </w:pPr>
                                  <w:r>
                                    <w:rPr/>
                                    <w:t> </w:t>
                                  </w:r>
                                </w:p>
                              </w:tc>
                              <w:tc>
                                <w:tcPr>
                                  <w:tcW w:w="920" w:type="dxa"/>
                                  <w:gridSpan w:val="2"/>
                                  <w:tcBorders>
                                    <w:top w:val="single" w:sz="6" w:space="0" w:color="000000"/>
                                    <w:right w:val="single" w:sz="8" w:space="0" w:color="000000"/>
                                  </w:tcBorders>
                                  <w:shd w:fill="0171B9" w:val="clear"/>
                                  <w:tcMar>
                                    <w:top w:w="28" w:type="dxa"/>
                                    <w:right w:w="28" w:type="dxa"/>
                                  </w:tcMar>
                                  <w:vAlign w:val="center"/>
                                </w:tcPr>
                                <w:p>
                                  <w:pPr>
                                    <w:pStyle w:val="TableContents"/>
                                    <w:bidi w:val="0"/>
                                    <w:spacing w:before="0" w:after="283"/>
                                    <w:jc w:val="left"/>
                                    <w:rPr/>
                                  </w:pPr>
                                  <w:r>
                                    <w:rPr/>
                                    <w:t> </w:t>
                                  </w:r>
                                </w:p>
                              </w:tc>
                            </w:tr>
                            <w:tr>
                              <w:trPr/>
                              <w:tc>
                                <w:tcPr>
                                  <w:tcW w:w="7170" w:type="dxa"/>
                                  <w:gridSpan w:val="8"/>
                                  <w:tcBorders>
                                    <w:left w:val="single" w:sz="8" w:space="0" w:color="000000"/>
                                    <w:bottom w:val="single" w:sz="6" w:space="0" w:color="000000"/>
                                  </w:tcBorders>
                                  <w:shd w:fill="0171B9" w:val="clear"/>
                                  <w:tcMar>
                                    <w:left w:w="160" w:type="dxa"/>
                                    <w:bottom w:w="100" w:type="dxa"/>
                                  </w:tcMar>
                                  <w:vAlign w:val="center"/>
                                </w:tcPr>
                                <w:p>
                                  <w:pPr>
                                    <w:pStyle w:val="TableContents"/>
                                    <w:bidi w:val="0"/>
                                    <w:spacing w:before="0" w:after="283"/>
                                    <w:jc w:val="left"/>
                                    <w:rPr>
                                      <w:b/>
                                      <w:color w:val="FFFFFF"/>
                                    </w:rPr>
                                  </w:pPr>
                                  <w:r>
                                    <w:rPr>
                                      <w:b/>
                                      <w:color w:val="FFFFFF"/>
                                    </w:rPr>
                                    <w:t>3. Deliver Annual Priorities</w:t>
                                  </w:r>
                                </w:p>
                              </w:tc>
                              <w:tc>
                                <w:tcPr>
                                  <w:tcW w:w="60" w:type="dxa"/>
                                  <w:tcBorders>
                                    <w:bottom w:val="single" w:sz="6" w:space="0" w:color="000000"/>
                                  </w:tcBorders>
                                  <w:shd w:fill="0171B9" w:val="clear"/>
                                  <w:tcMar>
                                    <w:bottom w:w="100" w:type="dxa"/>
                                  </w:tcMar>
                                  <w:vAlign w:val="center"/>
                                </w:tcPr>
                                <w:p>
                                  <w:pPr>
                                    <w:pStyle w:val="TableContents"/>
                                    <w:bidi w:val="0"/>
                                    <w:spacing w:before="0" w:after="0"/>
                                    <w:jc w:val="left"/>
                                    <w:rPr>
                                      <w:color w:val="FFFFFF"/>
                                    </w:rPr>
                                  </w:pPr>
                                  <w:r>
                                    <w:rPr>
                                      <w:color w:val="FFFFFF"/>
                                    </w:rPr>
                                    <w:t> </w:t>
                                  </w:r>
                                </w:p>
                              </w:tc>
                              <w:tc>
                                <w:tcPr>
                                  <w:tcW w:w="60" w:type="dxa"/>
                                  <w:tcBorders>
                                    <w:bottom w:val="single" w:sz="6" w:space="0" w:color="000000"/>
                                  </w:tcBorders>
                                  <w:shd w:fill="0171B9" w:val="clear"/>
                                  <w:tcMar>
                                    <w:bottom w:w="28" w:type="dxa"/>
                                  </w:tcMar>
                                  <w:vAlign w:val="center"/>
                                </w:tcPr>
                                <w:p>
                                  <w:pPr>
                                    <w:pStyle w:val="TableContents"/>
                                    <w:bidi w:val="0"/>
                                    <w:spacing w:before="0" w:after="283"/>
                                    <w:jc w:val="left"/>
                                    <w:rPr/>
                                  </w:pPr>
                                  <w:r>
                                    <w:rPr/>
                                    <w:t> </w:t>
                                  </w:r>
                                </w:p>
                              </w:tc>
                              <w:tc>
                                <w:tcPr>
                                  <w:tcW w:w="860" w:type="dxa"/>
                                  <w:tcBorders>
                                    <w:bottom w:val="single" w:sz="6" w:space="0" w:color="000000"/>
                                    <w:right w:val="single" w:sz="8" w:space="0" w:color="000000"/>
                                  </w:tcBorders>
                                  <w:shd w:fill="0171B9" w:val="clear"/>
                                  <w:tcMar>
                                    <w:bottom w:w="100" w:type="dxa"/>
                                    <w:right w:w="40" w:type="dxa"/>
                                  </w:tcMar>
                                  <w:vAlign w:val="center"/>
                                </w:tcPr>
                                <w:p>
                                  <w:pPr>
                                    <w:pStyle w:val="TableContents"/>
                                    <w:bidi w:val="0"/>
                                    <w:spacing w:before="0" w:after="283"/>
                                    <w:jc w:val="right"/>
                                    <w:rPr>
                                      <w:b/>
                                      <w:color w:val="FFFFFF"/>
                                    </w:rPr>
                                  </w:pPr>
                                  <w:r>
                                    <w:rPr>
                                      <w:b/>
                                      <w:color w:val="FFFFFF"/>
                                    </w:rPr>
                                    <w:t>21.2% </w:t>
                                  </w:r>
                                </w:p>
                              </w:tc>
                            </w:tr>
                            <w:tr>
                              <w:trPr/>
                              <w:tc>
                                <w:tcPr>
                                  <w:tcW w:w="4835" w:type="dxa"/>
                                  <w:tcBorders>
                                    <w:left w:val="single" w:sz="8" w:space="0" w:color="000000"/>
                                  </w:tcBorders>
                                  <w:shd w:fill="CCE2F1" w:val="clear"/>
                                  <w:tcMar>
                                    <w:left w:w="160" w:type="dxa"/>
                                  </w:tcMar>
                                  <w:vAlign w:val="center"/>
                                </w:tcPr>
                                <w:p>
                                  <w:pPr>
                                    <w:pStyle w:val="TableContents"/>
                                    <w:bidi w:val="0"/>
                                    <w:spacing w:before="0" w:after="283"/>
                                    <w:jc w:val="left"/>
                                    <w:rPr/>
                                  </w:pPr>
                                  <w:r>
                                    <w:rPr/>
                                    <w:t> </w:t>
                                  </w:r>
                                </w:p>
                              </w:tc>
                              <w:tc>
                                <w:tcPr>
                                  <w:tcW w:w="1250" w:type="dxa"/>
                                  <w:gridSpan w:val="4"/>
                                  <w:tcBorders/>
                                  <w:shd w:fill="CCE2F1" w:val="clear"/>
                                  <w:vAlign w:val="center"/>
                                </w:tcPr>
                                <w:p>
                                  <w:pPr>
                                    <w:pStyle w:val="TableContents"/>
                                    <w:bidi w:val="0"/>
                                    <w:spacing w:before="0" w:after="283"/>
                                    <w:jc w:val="left"/>
                                    <w:rPr>
                                      <w:sz w:val="4"/>
                                      <w:szCs w:val="4"/>
                                    </w:rPr>
                                  </w:pPr>
                                  <w:r>
                                    <w:rPr>
                                      <w:sz w:val="4"/>
                                      <w:szCs w:val="4"/>
                                    </w:rPr>
                                  </w:r>
                                </w:p>
                              </w:tc>
                              <w:tc>
                                <w:tcPr>
                                  <w:tcW w:w="1145" w:type="dxa"/>
                                  <w:gridSpan w:val="4"/>
                                  <w:tcBorders/>
                                  <w:shd w:fill="CCE2F1" w:val="clear"/>
                                  <w:vAlign w:val="center"/>
                                </w:tcPr>
                                <w:p>
                                  <w:pPr>
                                    <w:pStyle w:val="TableContents"/>
                                    <w:bidi w:val="0"/>
                                    <w:spacing w:before="0" w:after="283"/>
                                    <w:jc w:val="left"/>
                                    <w:rPr>
                                      <w:sz w:val="4"/>
                                      <w:szCs w:val="4"/>
                                    </w:rPr>
                                  </w:pPr>
                                  <w:r>
                                    <w:rPr>
                                      <w:sz w:val="4"/>
                                      <w:szCs w:val="4"/>
                                    </w:rPr>
                                  </w:r>
                                </w:p>
                              </w:tc>
                              <w:tc>
                                <w:tcPr>
                                  <w:tcW w:w="920" w:type="dxa"/>
                                  <w:gridSpan w:val="2"/>
                                  <w:tcBorders>
                                    <w:right w:val="single" w:sz="8" w:space="0" w:color="000000"/>
                                  </w:tcBorders>
                                  <w:shd w:fill="CCE2F1" w:val="clear"/>
                                  <w:tcMar>
                                    <w:right w:w="28" w:type="dxa"/>
                                  </w:tcMar>
                                  <w:vAlign w:val="center"/>
                                </w:tcPr>
                                <w:p>
                                  <w:pPr>
                                    <w:pStyle w:val="TableContents"/>
                                    <w:bidi w:val="0"/>
                                    <w:spacing w:before="0" w:after="283"/>
                                    <w:jc w:val="left"/>
                                    <w:rPr/>
                                  </w:pPr>
                                  <w:r>
                                    <w:rPr/>
                                    <w:t> </w:t>
                                  </w:r>
                                </w:p>
                              </w:tc>
                            </w:tr>
                            <w:tr>
                              <w:trPr/>
                              <w:tc>
                                <w:tcPr>
                                  <w:tcW w:w="4835" w:type="dxa"/>
                                  <w:tcBorders>
                                    <w:left w:val="single" w:sz="8" w:space="0" w:color="000000"/>
                                  </w:tcBorders>
                                  <w:shd w:fill="CCE2F1" w:val="clear"/>
                                  <w:tcMar>
                                    <w:left w:w="160" w:type="dxa"/>
                                  </w:tcMar>
                                  <w:vAlign w:val="center"/>
                                </w:tcPr>
                                <w:p>
                                  <w:pPr>
                                    <w:pStyle w:val="TableContents"/>
                                    <w:bidi w:val="0"/>
                                    <w:spacing w:before="0" w:after="0"/>
                                    <w:jc w:val="left"/>
                                    <w:rPr>
                                      <w:rFonts w:ascii="arial" w:hAnsi="arial"/>
                                      <w:sz w:val="19"/>
                                    </w:rPr>
                                  </w:pPr>
                                  <w:r>
                                    <w:rPr>
                                      <w:rFonts w:ascii="arial" w:hAnsi="arial"/>
                                      <w:sz w:val="19"/>
                                    </w:rPr>
                                    <w:t>a. Environmental, Social, and Governance</w:t>
                                  </w:r>
                                </w:p>
                              </w:tc>
                              <w:tc>
                                <w:tcPr>
                                  <w:tcW w:w="120" w:type="dxa"/>
                                  <w:tcBorders/>
                                  <w:shd w:fill="CCE2F1" w:val="clear"/>
                                  <w:vAlign w:val="center"/>
                                </w:tcPr>
                                <w:p>
                                  <w:pPr>
                                    <w:pStyle w:val="TableContents"/>
                                    <w:bidi w:val="0"/>
                                    <w:spacing w:before="0" w:after="283"/>
                                    <w:jc w:val="left"/>
                                    <w:rPr/>
                                  </w:pPr>
                                  <w:r>
                                    <w:rPr/>
                                    <w:t>  </w:t>
                                  </w:r>
                                </w:p>
                              </w:tc>
                              <w:tc>
                                <w:tcPr>
                                  <w:tcW w:w="200" w:type="dxa"/>
                                  <w:tcBorders/>
                                  <w:shd w:fill="CCE2F1" w:val="clear"/>
                                  <w:vAlign w:val="center"/>
                                </w:tcPr>
                                <w:p>
                                  <w:pPr>
                                    <w:pStyle w:val="TableContents"/>
                                    <w:bidi w:val="0"/>
                                    <w:spacing w:before="0" w:after="283"/>
                                    <w:jc w:val="left"/>
                                    <w:rPr/>
                                  </w:pPr>
                                  <w:r>
                                    <w:rPr/>
                                    <w:t> </w:t>
                                  </w:r>
                                </w:p>
                              </w:tc>
                              <w:tc>
                                <w:tcPr>
                                  <w:tcW w:w="870" w:type="dxa"/>
                                  <w:tcBorders/>
                                  <w:shd w:fill="CCE2F1" w:val="clear"/>
                                  <w:vAlign w:val="center"/>
                                </w:tcPr>
                                <w:p>
                                  <w:pPr>
                                    <w:pStyle w:val="TableContents"/>
                                    <w:bidi w:val="0"/>
                                    <w:spacing w:before="0" w:after="283"/>
                                    <w:jc w:val="right"/>
                                    <w:rPr/>
                                  </w:pPr>
                                  <w:r>
                                    <w:rPr/>
                                    <w:t>5%</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93" w:type="dxa"/>
                                  <w:tcBorders/>
                                  <w:shd w:fill="CCE2F1" w:val="clear"/>
                                  <w:vAlign w:val="center"/>
                                </w:tcPr>
                                <w:p>
                                  <w:pPr>
                                    <w:pStyle w:val="TableContents"/>
                                    <w:bidi w:val="0"/>
                                    <w:spacing w:before="0" w:after="283"/>
                                    <w:jc w:val="left"/>
                                    <w:rPr/>
                                  </w:pPr>
                                  <w:r>
                                    <w:rPr/>
                                    <w:t> </w:t>
                                  </w:r>
                                </w:p>
                              </w:tc>
                              <w:tc>
                                <w:tcPr>
                                  <w:tcW w:w="872" w:type="dxa"/>
                                  <w:tcBorders/>
                                  <w:shd w:fill="CCE2F1" w:val="clear"/>
                                  <w:vAlign w:val="center"/>
                                </w:tcPr>
                                <w:p>
                                  <w:pPr>
                                    <w:pStyle w:val="TableContents"/>
                                    <w:bidi w:val="0"/>
                                    <w:spacing w:before="0" w:after="283"/>
                                    <w:jc w:val="right"/>
                                    <w:rPr/>
                                  </w:pPr>
                                  <w:r>
                                    <w:rPr/>
                                    <w:t>197.3%</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860" w:type="dxa"/>
                                  <w:tcBorders>
                                    <w:right w:val="single" w:sz="8" w:space="0" w:color="000000"/>
                                  </w:tcBorders>
                                  <w:shd w:fill="CCE2F1" w:val="clear"/>
                                  <w:tcMar>
                                    <w:right w:w="40" w:type="dxa"/>
                                  </w:tcMar>
                                  <w:vAlign w:val="center"/>
                                </w:tcPr>
                                <w:p>
                                  <w:pPr>
                                    <w:pStyle w:val="TableContents"/>
                                    <w:bidi w:val="0"/>
                                    <w:spacing w:before="0" w:after="283"/>
                                    <w:jc w:val="right"/>
                                    <w:rPr/>
                                  </w:pPr>
                                  <w:r>
                                    <w:rPr/>
                                    <w:t>9.9% </w:t>
                                  </w:r>
                                </w:p>
                              </w:tc>
                            </w:tr>
                            <w:tr>
                              <w:trPr/>
                              <w:tc>
                                <w:tcPr>
                                  <w:tcW w:w="4835" w:type="dxa"/>
                                  <w:tcBorders>
                                    <w:left w:val="single" w:sz="8" w:space="0" w:color="000000"/>
                                  </w:tcBorders>
                                  <w:tcMar>
                                    <w:left w:w="160" w:type="dxa"/>
                                  </w:tcMar>
                                  <w:vAlign w:val="center"/>
                                </w:tcPr>
                                <w:p>
                                  <w:pPr>
                                    <w:pStyle w:val="TableContents"/>
                                    <w:bidi w:val="0"/>
                                    <w:spacing w:before="0" w:after="283"/>
                                    <w:jc w:val="left"/>
                                    <w:rPr/>
                                  </w:pPr>
                                  <w:r>
                                    <w:rPr/>
                                    <w:t> </w:t>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145" w:type="dxa"/>
                                  <w:gridSpan w:val="4"/>
                                  <w:tcBorders/>
                                  <w:vAlign w:val="center"/>
                                </w:tcPr>
                                <w:p>
                                  <w:pPr>
                                    <w:pStyle w:val="TableContents"/>
                                    <w:bidi w:val="0"/>
                                    <w:spacing w:before="0" w:after="283"/>
                                    <w:jc w:val="left"/>
                                    <w:rPr>
                                      <w:sz w:val="4"/>
                                      <w:szCs w:val="4"/>
                                    </w:rPr>
                                  </w:pPr>
                                  <w:r>
                                    <w:rPr>
                                      <w:sz w:val="4"/>
                                      <w:szCs w:val="4"/>
                                    </w:rPr>
                                  </w:r>
                                </w:p>
                              </w:tc>
                              <w:tc>
                                <w:tcPr>
                                  <w:tcW w:w="920" w:type="dxa"/>
                                  <w:gridSpan w:val="2"/>
                                  <w:tcBorders>
                                    <w:right w:val="single" w:sz="8" w:space="0" w:color="000000"/>
                                  </w:tcBorders>
                                  <w:tcMar>
                                    <w:right w:w="28" w:type="dxa"/>
                                  </w:tcMar>
                                  <w:vAlign w:val="center"/>
                                </w:tcPr>
                                <w:p>
                                  <w:pPr>
                                    <w:pStyle w:val="TableContents"/>
                                    <w:bidi w:val="0"/>
                                    <w:spacing w:before="0" w:after="283"/>
                                    <w:jc w:val="left"/>
                                    <w:rPr/>
                                  </w:pPr>
                                  <w:r>
                                    <w:rPr/>
                                    <w:t> </w:t>
                                  </w:r>
                                </w:p>
                              </w:tc>
                            </w:tr>
                            <w:tr>
                              <w:trPr/>
                              <w:tc>
                                <w:tcPr>
                                  <w:tcW w:w="4835" w:type="dxa"/>
                                  <w:tcBorders>
                                    <w:left w:val="single" w:sz="8" w:space="0" w:color="000000"/>
                                  </w:tcBorders>
                                  <w:tcMar>
                                    <w:left w:w="160" w:type="dxa"/>
                                  </w:tcMar>
                                  <w:vAlign w:val="center"/>
                                </w:tcPr>
                                <w:p>
                                  <w:pPr>
                                    <w:pStyle w:val="TableContents"/>
                                    <w:bidi w:val="0"/>
                                    <w:spacing w:before="0" w:after="0"/>
                                    <w:jc w:val="left"/>
                                    <w:rPr>
                                      <w:rFonts w:ascii="arial" w:hAnsi="arial"/>
                                      <w:sz w:val="19"/>
                                    </w:rPr>
                                  </w:pPr>
                                  <w:r>
                                    <w:rPr>
                                      <w:rFonts w:ascii="arial" w:hAnsi="arial"/>
                                      <w:sz w:val="19"/>
                                    </w:rPr>
                                    <w:t>b. Successful Integrations and Collaborations</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225.0%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right w:val="single" w:sz="8" w:space="0" w:color="000000"/>
                                  </w:tcBorders>
                                  <w:tcMar>
                                    <w:right w:w="40" w:type="dxa"/>
                                  </w:tcMar>
                                  <w:vAlign w:val="center"/>
                                </w:tcPr>
                                <w:p>
                                  <w:pPr>
                                    <w:pStyle w:val="TableContents"/>
                                    <w:bidi w:val="0"/>
                                    <w:spacing w:before="0" w:after="283"/>
                                    <w:jc w:val="right"/>
                                    <w:rPr/>
                                  </w:pPr>
                                  <w:r>
                                    <w:rPr/>
                                    <w:t>11.3% </w:t>
                                  </w:r>
                                </w:p>
                              </w:tc>
                            </w:tr>
                            <w:tr>
                              <w:trPr/>
                              <w:tc>
                                <w:tcPr>
                                  <w:tcW w:w="4835" w:type="dxa"/>
                                  <w:tcBorders>
                                    <w:top w:val="single" w:sz="6" w:space="0" w:color="000000"/>
                                    <w:left w:val="single" w:sz="8" w:space="0" w:color="000000"/>
                                  </w:tcBorders>
                                  <w:shd w:fill="0171B9" w:val="clear"/>
                                  <w:tcMar>
                                    <w:top w:w="28" w:type="dxa"/>
                                    <w:left w:w="160" w:type="dxa"/>
                                  </w:tcMar>
                                  <w:vAlign w:val="center"/>
                                </w:tcPr>
                                <w:p>
                                  <w:pPr>
                                    <w:pStyle w:val="TableContents"/>
                                    <w:bidi w:val="0"/>
                                    <w:spacing w:before="0" w:after="283"/>
                                    <w:jc w:val="left"/>
                                    <w:rPr/>
                                  </w:pPr>
                                  <w:r>
                                    <w:rPr/>
                                    <w:t> </w:t>
                                  </w:r>
                                </w:p>
                              </w:tc>
                              <w:tc>
                                <w:tcPr>
                                  <w:tcW w:w="1250" w:type="dxa"/>
                                  <w:gridSpan w:val="4"/>
                                  <w:tcBorders>
                                    <w:top w:val="single" w:sz="6" w:space="0" w:color="000000"/>
                                  </w:tcBorders>
                                  <w:shd w:fill="0171B9" w:val="clear"/>
                                  <w:tcMar>
                                    <w:top w:w="28" w:type="dxa"/>
                                  </w:tcMar>
                                  <w:vAlign w:val="center"/>
                                </w:tcPr>
                                <w:p>
                                  <w:pPr>
                                    <w:pStyle w:val="TableContents"/>
                                    <w:bidi w:val="0"/>
                                    <w:spacing w:before="0" w:after="283"/>
                                    <w:jc w:val="left"/>
                                    <w:rPr/>
                                  </w:pPr>
                                  <w:r>
                                    <w:rPr/>
                                    <w:t> </w:t>
                                  </w:r>
                                </w:p>
                              </w:tc>
                              <w:tc>
                                <w:tcPr>
                                  <w:tcW w:w="1145" w:type="dxa"/>
                                  <w:gridSpan w:val="4"/>
                                  <w:tcBorders>
                                    <w:top w:val="single" w:sz="6" w:space="0" w:color="000000"/>
                                  </w:tcBorders>
                                  <w:shd w:fill="0171B9" w:val="clear"/>
                                  <w:tcMar>
                                    <w:top w:w="28" w:type="dxa"/>
                                  </w:tcMar>
                                  <w:vAlign w:val="center"/>
                                </w:tcPr>
                                <w:p>
                                  <w:pPr>
                                    <w:pStyle w:val="TableContents"/>
                                    <w:bidi w:val="0"/>
                                    <w:spacing w:before="0" w:after="283"/>
                                    <w:jc w:val="left"/>
                                    <w:rPr/>
                                  </w:pPr>
                                  <w:r>
                                    <w:rPr/>
                                    <w:t> </w:t>
                                  </w:r>
                                </w:p>
                              </w:tc>
                              <w:tc>
                                <w:tcPr>
                                  <w:tcW w:w="920" w:type="dxa"/>
                                  <w:gridSpan w:val="2"/>
                                  <w:tcBorders>
                                    <w:top w:val="single" w:sz="6" w:space="0" w:color="000000"/>
                                    <w:right w:val="single" w:sz="8" w:space="0" w:color="000000"/>
                                  </w:tcBorders>
                                  <w:shd w:fill="0171B9" w:val="clear"/>
                                  <w:tcMar>
                                    <w:top w:w="28" w:type="dxa"/>
                                    <w:right w:w="28" w:type="dxa"/>
                                  </w:tcMar>
                                  <w:vAlign w:val="center"/>
                                </w:tcPr>
                                <w:p>
                                  <w:pPr>
                                    <w:pStyle w:val="TableContents"/>
                                    <w:bidi w:val="0"/>
                                    <w:spacing w:before="0" w:after="283"/>
                                    <w:jc w:val="left"/>
                                    <w:rPr/>
                                  </w:pPr>
                                  <w:r>
                                    <w:rPr/>
                                    <w:t> </w:t>
                                  </w:r>
                                </w:p>
                              </w:tc>
                            </w:tr>
                            <w:tr>
                              <w:trPr/>
                              <w:tc>
                                <w:tcPr>
                                  <w:tcW w:w="4835" w:type="dxa"/>
                                  <w:tcBorders>
                                    <w:left w:val="single" w:sz="8" w:space="0" w:color="000000"/>
                                    <w:bottom w:val="single" w:sz="8" w:space="0" w:color="000000"/>
                                  </w:tcBorders>
                                  <w:shd w:fill="0171B9" w:val="clear"/>
                                  <w:tcMar>
                                    <w:left w:w="160" w:type="dxa"/>
                                    <w:bottom w:w="100" w:type="dxa"/>
                                  </w:tcMar>
                                  <w:vAlign w:val="center"/>
                                </w:tcPr>
                                <w:p>
                                  <w:pPr>
                                    <w:pStyle w:val="TableContents"/>
                                    <w:bidi w:val="0"/>
                                    <w:spacing w:before="0" w:after="283"/>
                                    <w:jc w:val="left"/>
                                    <w:rPr>
                                      <w:color w:val="FFFFFF"/>
                                    </w:rPr>
                                  </w:pPr>
                                  <w:r>
                                    <w:rPr>
                                      <w:color w:val="FFFFFF"/>
                                    </w:rPr>
                                    <w:t xml:space="preserve">   </w:t>
                                  </w:r>
                                  <w:r>
                                    <w:rPr>
                                      <w:b/>
                                      <w:color w:val="FFFFFF"/>
                                    </w:rPr>
                                    <w:t>Final Score</w:t>
                                  </w:r>
                                </w:p>
                              </w:tc>
                              <w:tc>
                                <w:tcPr>
                                  <w:tcW w:w="120" w:type="dxa"/>
                                  <w:tcBorders>
                                    <w:bottom w:val="single" w:sz="8" w:space="0" w:color="000000"/>
                                  </w:tcBorders>
                                  <w:shd w:fill="0171B9" w:val="clear"/>
                                  <w:tcMar>
                                    <w:bottom w:w="28" w:type="dxa"/>
                                  </w:tcMar>
                                  <w:vAlign w:val="center"/>
                                </w:tcPr>
                                <w:p>
                                  <w:pPr>
                                    <w:pStyle w:val="TableContents"/>
                                    <w:bidi w:val="0"/>
                                    <w:spacing w:before="0" w:after="283"/>
                                    <w:jc w:val="left"/>
                                    <w:rPr/>
                                  </w:pPr>
                                  <w:r>
                                    <w:rPr/>
                                    <w:t>  </w:t>
                                  </w:r>
                                </w:p>
                              </w:tc>
                              <w:tc>
                                <w:tcPr>
                                  <w:tcW w:w="200" w:type="dxa"/>
                                  <w:tcBorders>
                                    <w:bottom w:val="single" w:sz="8" w:space="0" w:color="000000"/>
                                  </w:tcBorders>
                                  <w:shd w:fill="0171B9" w:val="clear"/>
                                  <w:tcMar>
                                    <w:bottom w:w="28" w:type="dxa"/>
                                  </w:tcMar>
                                  <w:vAlign w:val="center"/>
                                </w:tcPr>
                                <w:p>
                                  <w:pPr>
                                    <w:pStyle w:val="TableContents"/>
                                    <w:bidi w:val="0"/>
                                    <w:spacing w:before="0" w:after="283"/>
                                    <w:jc w:val="left"/>
                                    <w:rPr/>
                                  </w:pPr>
                                  <w:r>
                                    <w:rPr/>
                                    <w:t> </w:t>
                                  </w:r>
                                </w:p>
                              </w:tc>
                              <w:tc>
                                <w:tcPr>
                                  <w:tcW w:w="870" w:type="dxa"/>
                                  <w:tcBorders>
                                    <w:bottom w:val="single" w:sz="8" w:space="0" w:color="000000"/>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0171B9" w:val="clear"/>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shd w:fill="0171B9" w:val="clear"/>
                                  <w:tcMar>
                                    <w:bottom w:w="28" w:type="dxa"/>
                                  </w:tcMar>
                                  <w:vAlign w:val="center"/>
                                </w:tcPr>
                                <w:p>
                                  <w:pPr>
                                    <w:pStyle w:val="TableContents"/>
                                    <w:bidi w:val="0"/>
                                    <w:spacing w:before="0" w:after="283"/>
                                    <w:jc w:val="left"/>
                                    <w:rPr/>
                                  </w:pPr>
                                  <w:r>
                                    <w:rPr/>
                                    <w:t>  </w:t>
                                  </w:r>
                                </w:p>
                              </w:tc>
                              <w:tc>
                                <w:tcPr>
                                  <w:tcW w:w="93" w:type="dxa"/>
                                  <w:tcBorders>
                                    <w:bottom w:val="single" w:sz="8" w:space="0" w:color="000000"/>
                                  </w:tcBorders>
                                  <w:shd w:fill="0171B9" w:val="clear"/>
                                  <w:tcMar>
                                    <w:bottom w:w="28" w:type="dxa"/>
                                  </w:tcMar>
                                  <w:vAlign w:val="center"/>
                                </w:tcPr>
                                <w:p>
                                  <w:pPr>
                                    <w:pStyle w:val="TableContents"/>
                                    <w:bidi w:val="0"/>
                                    <w:spacing w:before="0" w:after="283"/>
                                    <w:jc w:val="left"/>
                                    <w:rPr/>
                                  </w:pPr>
                                  <w:r>
                                    <w:rPr/>
                                    <w:t> </w:t>
                                  </w:r>
                                </w:p>
                              </w:tc>
                              <w:tc>
                                <w:tcPr>
                                  <w:tcW w:w="872" w:type="dxa"/>
                                  <w:tcBorders>
                                    <w:bottom w:val="single" w:sz="8" w:space="0" w:color="000000"/>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0171B9"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right w:val="single" w:sz="8" w:space="0" w:color="000000"/>
                                  </w:tcBorders>
                                  <w:shd w:fill="0171B9" w:val="clear"/>
                                  <w:tcMar>
                                    <w:bottom w:w="100" w:type="dxa"/>
                                    <w:right w:w="40" w:type="dxa"/>
                                  </w:tcMar>
                                  <w:vAlign w:val="center"/>
                                </w:tcPr>
                                <w:p>
                                  <w:pPr>
                                    <w:pStyle w:val="TableContents"/>
                                    <w:bidi w:val="0"/>
                                    <w:spacing w:before="0" w:after="283"/>
                                    <w:jc w:val="right"/>
                                    <w:rPr>
                                      <w:b/>
                                      <w:color w:val="FFFFFF"/>
                                    </w:rPr>
                                  </w:pPr>
                                  <w:r>
                                    <w:rPr>
                                      <w:b/>
                                      <w:color w:val="FFFFFF"/>
                                    </w:rPr>
                                    <w:t>159.3%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sz w:val="24"/>
                        </w:rPr>
                      </w:pPr>
                      <w:r>
                        <w:rPr>
                          <w:rFonts w:ascii="arial" w:hAnsi="arial"/>
                          <w:b/>
                          <w:sz w:val="24"/>
                        </w:rPr>
                        <w:t xml:space="preserve">2023 Annual Cash Incentive Plan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8" w:space="0" w:color="000000"/>
                              <w:left w:val="single" w:sz="8" w:space="0" w:color="000000"/>
                              <w:bottom w:val="single" w:sz="8" w:space="0" w:color="000000"/>
                              <w:right w:val="single" w:sz="8" w:space="0" w:color="000000"/>
                            </w:tcBorders>
                            <w:shd w:fill="F2F7FB" w:val="clear"/>
                            <w:tcMar>
                              <w:top w:w="28" w:type="dxa"/>
                              <w:left w:w="160"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both"/>
                              <w:rPr>
                                <w:rFonts w:ascii="arial" w:hAnsi="arial"/>
                                <w:b/>
                                <w:color w:val="0171B9"/>
                                <w:sz w:val="19"/>
                              </w:rPr>
                            </w:pPr>
                            <w:r>
                              <w:rPr>
                                <w:rFonts w:ascii="arial" w:hAnsi="arial"/>
                                <w:b/>
                                <w:color w:val="0171B9"/>
                                <w:sz w:val="19"/>
                              </w:rPr>
                              <w:t>Earned amounts from our 2023 annual cash incentive plan are tied directly to our performance based on pre-established financial and operating performance goals designed to drive execution of our strategic priorities.</w:t>
                            </w:r>
                          </w:p>
                          <w:p>
                            <w:pPr>
                              <w:pStyle w:val="TableContents"/>
                              <w:bidi w:val="0"/>
                              <w:spacing w:before="0" w:after="20"/>
                              <w:jc w:val="left"/>
                              <w:rPr/>
                            </w:pPr>
                            <w:r>
                              <w:rPr/>
                              <w:t> </w:t>
                            </w:r>
                          </w:p>
                        </w:tc>
                      </w:tr>
                    </w:tbl>
                    <w:p>
                      <w:pPr>
                        <w:pStyle w:val="TextBody"/>
                        <w:bidi w:val="0"/>
                        <w:spacing w:before="0" w:after="0"/>
                        <w:jc w:val="left"/>
                        <w:rPr/>
                      </w:pPr>
                      <w:r>
                        <w:rPr/>
                        <w:t> </w:t>
                      </w:r>
                    </w:p>
                    <w:tbl>
                      <w:tblPr>
                        <w:tblW w:w="8150" w:type="dxa"/>
                        <w:jc w:val="left"/>
                        <w:tblInd w:w="0" w:type="dxa"/>
                        <w:tblLayout w:type="fixed"/>
                        <w:tblCellMar>
                          <w:top w:w="0" w:type="dxa"/>
                          <w:left w:w="0" w:type="dxa"/>
                          <w:bottom w:w="0" w:type="dxa"/>
                          <w:right w:w="0" w:type="dxa"/>
                        </w:tblCellMar>
                      </w:tblPr>
                      <w:tblGrid>
                        <w:gridCol w:w="4835"/>
                        <w:gridCol w:w="120"/>
                        <w:gridCol w:w="200"/>
                        <w:gridCol w:w="870"/>
                        <w:gridCol w:w="60"/>
                        <w:gridCol w:w="120"/>
                        <w:gridCol w:w="93"/>
                        <w:gridCol w:w="872"/>
                        <w:gridCol w:w="60"/>
                        <w:gridCol w:w="60"/>
                        <w:gridCol w:w="860"/>
                      </w:tblGrid>
                      <w:tr>
                        <w:trPr/>
                        <w:tc>
                          <w:tcPr>
                            <w:tcW w:w="48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4835" w:type="dxa"/>
                            <w:tcBorders>
                              <w:top w:val="single" w:sz="8" w:space="0" w:color="000000"/>
                              <w:left w:val="single" w:sz="8" w:space="0" w:color="000000"/>
                            </w:tcBorders>
                            <w:tcMar>
                              <w:top w:w="28" w:type="dxa"/>
                              <w:left w:w="160" w:type="dxa"/>
                            </w:tcMar>
                            <w:vAlign w:val="center"/>
                          </w:tcPr>
                          <w:p>
                            <w:pPr>
                              <w:pStyle w:val="TableContents"/>
                              <w:bidi w:val="0"/>
                              <w:spacing w:before="0" w:after="283"/>
                              <w:jc w:val="left"/>
                              <w:rPr>
                                <w:b/>
                              </w:rPr>
                            </w:pPr>
                            <w:r>
                              <w:rPr>
                                <w:b/>
                              </w:rPr>
                              <w:t>Goal</w:t>
                            </w:r>
                          </w:p>
                        </w:tc>
                        <w:tc>
                          <w:tcPr>
                            <w:tcW w:w="120" w:type="dxa"/>
                            <w:tcBorders>
                              <w:top w:val="single" w:sz="8" w:space="0" w:color="000000"/>
                            </w:tcBorders>
                            <w:tcMar>
                              <w:top w:w="28" w:type="dxa"/>
                            </w:tcMar>
                            <w:vAlign w:val="center"/>
                          </w:tcPr>
                          <w:p>
                            <w:pPr>
                              <w:pStyle w:val="TableContents"/>
                              <w:bidi w:val="0"/>
                              <w:spacing w:before="0" w:after="283"/>
                              <w:jc w:val="left"/>
                              <w:rPr/>
                            </w:pPr>
                            <w:r>
                              <w:rPr/>
                              <w:t>  </w:t>
                            </w:r>
                          </w:p>
                        </w:tc>
                        <w:tc>
                          <w:tcPr>
                            <w:tcW w:w="1070" w:type="dxa"/>
                            <w:gridSpan w:val="2"/>
                            <w:tcBorders>
                              <w:top w:val="single" w:sz="8" w:space="0" w:color="000000"/>
                            </w:tcBorders>
                            <w:tcMar>
                              <w:top w:w="28" w:type="dxa"/>
                            </w:tcMar>
                            <w:vAlign w:val="center"/>
                          </w:tcPr>
                          <w:p>
                            <w:pPr>
                              <w:pStyle w:val="TableContents"/>
                              <w:bidi w:val="0"/>
                              <w:spacing w:before="0" w:after="283"/>
                              <w:jc w:val="right"/>
                              <w:rPr>
                                <w:b/>
                              </w:rPr>
                            </w:pPr>
                            <w:r>
                              <w:rPr>
                                <w:b/>
                              </w:rPr>
                              <w:t>Weighting</w:t>
                            </w:r>
                          </w:p>
                        </w:tc>
                        <w:tc>
                          <w:tcPr>
                            <w:tcW w:w="60" w:type="dxa"/>
                            <w:tcBorders>
                              <w:top w:val="single" w:sz="8" w:space="0" w:color="000000"/>
                            </w:tcBorders>
                            <w:tcMar>
                              <w:top w:w="28" w:type="dxa"/>
                            </w:tcMar>
                            <w:vAlign w:val="center"/>
                          </w:tcPr>
                          <w:p>
                            <w:pPr>
                              <w:pStyle w:val="TableContents"/>
                              <w:bidi w:val="0"/>
                              <w:spacing w:before="0" w:after="283"/>
                              <w:jc w:val="left"/>
                              <w:rPr/>
                            </w:pPr>
                            <w:r>
                              <w:rPr/>
                              <w:t> </w:t>
                            </w:r>
                          </w:p>
                        </w:tc>
                        <w:tc>
                          <w:tcPr>
                            <w:tcW w:w="120" w:type="dxa"/>
                            <w:tcBorders>
                              <w:top w:val="single" w:sz="8" w:space="0" w:color="000000"/>
                            </w:tcBorders>
                            <w:tcMar>
                              <w:top w:w="28" w:type="dxa"/>
                            </w:tcMar>
                            <w:vAlign w:val="center"/>
                          </w:tcPr>
                          <w:p>
                            <w:pPr>
                              <w:pStyle w:val="TableContents"/>
                              <w:bidi w:val="0"/>
                              <w:spacing w:before="0" w:after="283"/>
                              <w:jc w:val="left"/>
                              <w:rPr/>
                            </w:pPr>
                            <w:r>
                              <w:rPr/>
                              <w:t>  </w:t>
                            </w:r>
                          </w:p>
                        </w:tc>
                        <w:tc>
                          <w:tcPr>
                            <w:tcW w:w="965" w:type="dxa"/>
                            <w:gridSpan w:val="2"/>
                            <w:tcBorders>
                              <w:top w:val="single" w:sz="8" w:space="0" w:color="000000"/>
                            </w:tcBorders>
                            <w:tcMar>
                              <w:top w:w="28" w:type="dxa"/>
                            </w:tcMar>
                            <w:vAlign w:val="center"/>
                          </w:tcPr>
                          <w:p>
                            <w:pPr>
                              <w:pStyle w:val="TableContents"/>
                              <w:bidi w:val="0"/>
                              <w:spacing w:before="0" w:after="283"/>
                              <w:jc w:val="right"/>
                              <w:rPr>
                                <w:b/>
                              </w:rPr>
                            </w:pPr>
                            <w:r>
                              <w:rPr>
                                <w:b/>
                              </w:rPr>
                              <w:t>% of</w:t>
                              <w:br/>
                              <w:t>Target</w:t>
                              <w:br/>
                              <w:t>Achieved</w:t>
                            </w:r>
                          </w:p>
                        </w:tc>
                        <w:tc>
                          <w:tcPr>
                            <w:tcW w:w="60" w:type="dxa"/>
                            <w:tcBorders>
                              <w:top w:val="single" w:sz="8" w:space="0" w:color="000000"/>
                            </w:tcBorders>
                            <w:tcMar>
                              <w:top w:w="28" w:type="dxa"/>
                            </w:tcMar>
                            <w:vAlign w:val="center"/>
                          </w:tcPr>
                          <w:p>
                            <w:pPr>
                              <w:pStyle w:val="TableContents"/>
                              <w:bidi w:val="0"/>
                              <w:spacing w:before="0" w:after="283"/>
                              <w:jc w:val="left"/>
                              <w:rPr/>
                            </w:pPr>
                            <w:r>
                              <w:rPr/>
                              <w:t> </w:t>
                            </w:r>
                          </w:p>
                        </w:tc>
                        <w:tc>
                          <w:tcPr>
                            <w:tcW w:w="60" w:type="dxa"/>
                            <w:tcBorders>
                              <w:top w:val="single" w:sz="8" w:space="0" w:color="000000"/>
                            </w:tcBorders>
                            <w:tcMar>
                              <w:top w:w="28" w:type="dxa"/>
                            </w:tcMar>
                            <w:vAlign w:val="center"/>
                          </w:tcPr>
                          <w:p>
                            <w:pPr>
                              <w:pStyle w:val="TableContents"/>
                              <w:bidi w:val="0"/>
                              <w:spacing w:before="0" w:after="283"/>
                              <w:jc w:val="left"/>
                              <w:rPr/>
                            </w:pPr>
                            <w:r>
                              <w:rPr/>
                              <w:t> </w:t>
                            </w:r>
                          </w:p>
                        </w:tc>
                        <w:tc>
                          <w:tcPr>
                            <w:tcW w:w="860" w:type="dxa"/>
                            <w:tcBorders>
                              <w:top w:val="single" w:sz="8" w:space="0" w:color="000000"/>
                              <w:right w:val="single" w:sz="8" w:space="0" w:color="000000"/>
                            </w:tcBorders>
                            <w:tcMar>
                              <w:top w:w="28" w:type="dxa"/>
                              <w:right w:w="40" w:type="dxa"/>
                            </w:tcMar>
                            <w:vAlign w:val="center"/>
                          </w:tcPr>
                          <w:p>
                            <w:pPr>
                              <w:pStyle w:val="TableContents"/>
                              <w:bidi w:val="0"/>
                              <w:spacing w:before="0" w:after="0"/>
                              <w:jc w:val="right"/>
                              <w:rPr>
                                <w:rFonts w:ascii="arial" w:hAnsi="arial"/>
                                <w:b/>
                                <w:sz w:val="18"/>
                              </w:rPr>
                            </w:pPr>
                            <w:r>
                              <w:rPr>
                                <w:rFonts w:ascii="arial" w:hAnsi="arial"/>
                                <w:b/>
                                <w:sz w:val="18"/>
                              </w:rPr>
                              <w:t>Resulting</w:t>
                            </w:r>
                          </w:p>
                          <w:p>
                            <w:pPr>
                              <w:pStyle w:val="TableContents"/>
                              <w:bidi w:val="0"/>
                              <w:spacing w:before="0" w:after="20"/>
                              <w:jc w:val="right"/>
                              <w:rPr>
                                <w:rFonts w:ascii="arial" w:hAnsi="arial"/>
                                <w:b/>
                                <w:sz w:val="18"/>
                              </w:rPr>
                            </w:pPr>
                            <w:r>
                              <w:rPr>
                                <w:rFonts w:ascii="arial" w:hAnsi="arial"/>
                                <w:b/>
                                <w:sz w:val="18"/>
                              </w:rPr>
                              <w:t>Weighted</w:t>
                              <w:br/>
                              <w:t>Score</w:t>
                            </w:r>
                          </w:p>
                        </w:tc>
                      </w:tr>
                      <w:tr>
                        <w:trPr/>
                        <w:tc>
                          <w:tcPr>
                            <w:tcW w:w="7230" w:type="dxa"/>
                            <w:gridSpan w:val="9"/>
                            <w:tcBorders>
                              <w:top w:val="single" w:sz="6" w:space="0" w:color="000000"/>
                              <w:left w:val="single" w:sz="8" w:space="0" w:color="000000"/>
                            </w:tcBorders>
                            <w:shd w:fill="0171B9" w:val="clear"/>
                            <w:tcMar>
                              <w:top w:w="28" w:type="dxa"/>
                              <w:left w:w="160" w:type="dxa"/>
                            </w:tcMar>
                            <w:vAlign w:val="center"/>
                          </w:tcPr>
                          <w:p>
                            <w:pPr>
                              <w:pStyle w:val="TableContents"/>
                              <w:bidi w:val="0"/>
                              <w:spacing w:before="0" w:after="283"/>
                              <w:jc w:val="left"/>
                              <w:rPr/>
                            </w:pPr>
                            <w:r>
                              <w:rPr/>
                              <w:t> </w:t>
                            </w:r>
                          </w:p>
                        </w:tc>
                        <w:tc>
                          <w:tcPr>
                            <w:tcW w:w="920" w:type="dxa"/>
                            <w:gridSpan w:val="2"/>
                            <w:tcBorders>
                              <w:top w:val="single" w:sz="6" w:space="0" w:color="000000"/>
                              <w:right w:val="single" w:sz="8" w:space="0" w:color="000000"/>
                            </w:tcBorders>
                            <w:shd w:fill="0171B9" w:val="clear"/>
                            <w:tcMar>
                              <w:top w:w="28" w:type="dxa"/>
                              <w:right w:w="28" w:type="dxa"/>
                            </w:tcMar>
                            <w:vAlign w:val="center"/>
                          </w:tcPr>
                          <w:p>
                            <w:pPr>
                              <w:pStyle w:val="TableContents"/>
                              <w:bidi w:val="0"/>
                              <w:spacing w:before="0" w:after="283"/>
                              <w:jc w:val="left"/>
                              <w:rPr/>
                            </w:pPr>
                            <w:r>
                              <w:rPr/>
                              <w:t> </w:t>
                            </w:r>
                          </w:p>
                        </w:tc>
                      </w:tr>
                      <w:tr>
                        <w:trPr/>
                        <w:tc>
                          <w:tcPr>
                            <w:tcW w:w="7170" w:type="dxa"/>
                            <w:gridSpan w:val="8"/>
                            <w:tcBorders>
                              <w:left w:val="single" w:sz="8" w:space="0" w:color="000000"/>
                              <w:bottom w:val="single" w:sz="6" w:space="0" w:color="000000"/>
                            </w:tcBorders>
                            <w:shd w:fill="0171B9" w:val="clear"/>
                            <w:tcMar>
                              <w:left w:w="160" w:type="dxa"/>
                              <w:bottom w:w="80" w:type="dxa"/>
                            </w:tcMar>
                            <w:vAlign w:val="center"/>
                          </w:tcPr>
                          <w:p>
                            <w:pPr>
                              <w:pStyle w:val="TableContents"/>
                              <w:bidi w:val="0"/>
                              <w:spacing w:before="0" w:after="283"/>
                              <w:jc w:val="left"/>
                              <w:rPr>
                                <w:b/>
                                <w:color w:val="FFFFFF"/>
                              </w:rPr>
                            </w:pPr>
                            <w:r>
                              <w:rPr>
                                <w:b/>
                                <w:color w:val="FFFFFF"/>
                              </w:rPr>
                              <w:t>1. Financial Performance</w:t>
                            </w:r>
                          </w:p>
                        </w:tc>
                        <w:tc>
                          <w:tcPr>
                            <w:tcW w:w="60" w:type="dxa"/>
                            <w:tcBorders>
                              <w:bottom w:val="single" w:sz="6" w:space="0" w:color="000000"/>
                            </w:tcBorders>
                            <w:shd w:fill="0171B9" w:val="clear"/>
                            <w:tcMar>
                              <w:bottom w:w="80" w:type="dxa"/>
                            </w:tcMar>
                            <w:vAlign w:val="center"/>
                          </w:tcPr>
                          <w:p>
                            <w:pPr>
                              <w:pStyle w:val="TableContents"/>
                              <w:bidi w:val="0"/>
                              <w:spacing w:before="0" w:after="0"/>
                              <w:jc w:val="left"/>
                              <w:rPr>
                                <w:color w:val="FFFFFF"/>
                              </w:rPr>
                            </w:pPr>
                            <w:r>
                              <w:rPr>
                                <w:color w:val="FFFFFF"/>
                              </w:rPr>
                              <w:t> </w:t>
                            </w:r>
                          </w:p>
                        </w:tc>
                        <w:tc>
                          <w:tcPr>
                            <w:tcW w:w="60" w:type="dxa"/>
                            <w:tcBorders>
                              <w:bottom w:val="single" w:sz="6" w:space="0" w:color="000000"/>
                            </w:tcBorders>
                            <w:shd w:fill="0171B9" w:val="clear"/>
                            <w:tcMar>
                              <w:bottom w:w="28" w:type="dxa"/>
                            </w:tcMar>
                            <w:vAlign w:val="center"/>
                          </w:tcPr>
                          <w:p>
                            <w:pPr>
                              <w:pStyle w:val="TableContents"/>
                              <w:bidi w:val="0"/>
                              <w:spacing w:before="0" w:after="283"/>
                              <w:jc w:val="left"/>
                              <w:rPr/>
                            </w:pPr>
                            <w:r>
                              <w:rPr/>
                              <w:t> </w:t>
                            </w:r>
                          </w:p>
                        </w:tc>
                        <w:tc>
                          <w:tcPr>
                            <w:tcW w:w="860" w:type="dxa"/>
                            <w:tcBorders>
                              <w:bottom w:val="single" w:sz="6" w:space="0" w:color="000000"/>
                              <w:right w:val="single" w:sz="8" w:space="0" w:color="000000"/>
                            </w:tcBorders>
                            <w:shd w:fill="0171B9" w:val="clear"/>
                            <w:tcMar>
                              <w:bottom w:w="80" w:type="dxa"/>
                              <w:right w:w="40" w:type="dxa"/>
                            </w:tcMar>
                            <w:vAlign w:val="center"/>
                          </w:tcPr>
                          <w:p>
                            <w:pPr>
                              <w:pStyle w:val="TableContents"/>
                              <w:bidi w:val="0"/>
                              <w:spacing w:before="0" w:after="283"/>
                              <w:jc w:val="right"/>
                              <w:rPr>
                                <w:b/>
                                <w:color w:val="FFFFFF"/>
                              </w:rPr>
                            </w:pPr>
                            <w:r>
                              <w:rPr>
                                <w:b/>
                                <w:color w:val="FFFFFF"/>
                              </w:rPr>
                              <w:t>109.8% </w:t>
                            </w:r>
                          </w:p>
                        </w:tc>
                      </w:tr>
                      <w:tr>
                        <w:trPr/>
                        <w:tc>
                          <w:tcPr>
                            <w:tcW w:w="4835" w:type="dxa"/>
                            <w:tcBorders>
                              <w:left w:val="single" w:sz="8" w:space="0" w:color="000000"/>
                            </w:tcBorders>
                            <w:shd w:fill="CCE2F1" w:val="clear"/>
                            <w:tcMar>
                              <w:left w:w="160" w:type="dxa"/>
                            </w:tcMar>
                            <w:vAlign w:val="center"/>
                          </w:tcPr>
                          <w:p>
                            <w:pPr>
                              <w:pStyle w:val="TableContents"/>
                              <w:bidi w:val="0"/>
                              <w:spacing w:before="0" w:after="283"/>
                              <w:jc w:val="left"/>
                              <w:rPr/>
                            </w:pPr>
                            <w:r>
                              <w:rPr/>
                              <w:t> </w:t>
                            </w:r>
                          </w:p>
                        </w:tc>
                        <w:tc>
                          <w:tcPr>
                            <w:tcW w:w="1250" w:type="dxa"/>
                            <w:gridSpan w:val="4"/>
                            <w:tcBorders/>
                            <w:shd w:fill="CCE2F1" w:val="clear"/>
                            <w:vAlign w:val="center"/>
                          </w:tcPr>
                          <w:p>
                            <w:pPr>
                              <w:pStyle w:val="TableContents"/>
                              <w:bidi w:val="0"/>
                              <w:spacing w:before="0" w:after="283"/>
                              <w:jc w:val="left"/>
                              <w:rPr>
                                <w:sz w:val="4"/>
                                <w:szCs w:val="4"/>
                              </w:rPr>
                            </w:pPr>
                            <w:r>
                              <w:rPr>
                                <w:sz w:val="4"/>
                                <w:szCs w:val="4"/>
                              </w:rPr>
                            </w:r>
                          </w:p>
                        </w:tc>
                        <w:tc>
                          <w:tcPr>
                            <w:tcW w:w="1145" w:type="dxa"/>
                            <w:gridSpan w:val="4"/>
                            <w:tcBorders/>
                            <w:shd w:fill="CCE2F1" w:val="clear"/>
                            <w:vAlign w:val="center"/>
                          </w:tcPr>
                          <w:p>
                            <w:pPr>
                              <w:pStyle w:val="TableContents"/>
                              <w:bidi w:val="0"/>
                              <w:spacing w:before="0" w:after="283"/>
                              <w:jc w:val="left"/>
                              <w:rPr>
                                <w:sz w:val="4"/>
                                <w:szCs w:val="4"/>
                              </w:rPr>
                            </w:pPr>
                            <w:r>
                              <w:rPr>
                                <w:sz w:val="4"/>
                                <w:szCs w:val="4"/>
                              </w:rPr>
                            </w:r>
                          </w:p>
                        </w:tc>
                        <w:tc>
                          <w:tcPr>
                            <w:tcW w:w="920" w:type="dxa"/>
                            <w:gridSpan w:val="2"/>
                            <w:tcBorders>
                              <w:right w:val="single" w:sz="8" w:space="0" w:color="000000"/>
                            </w:tcBorders>
                            <w:shd w:fill="CCE2F1" w:val="clear"/>
                            <w:tcMar>
                              <w:right w:w="28" w:type="dxa"/>
                            </w:tcMar>
                            <w:vAlign w:val="center"/>
                          </w:tcPr>
                          <w:p>
                            <w:pPr>
                              <w:pStyle w:val="TableContents"/>
                              <w:bidi w:val="0"/>
                              <w:spacing w:before="0" w:after="283"/>
                              <w:jc w:val="left"/>
                              <w:rPr/>
                            </w:pPr>
                            <w:r>
                              <w:rPr/>
                              <w:t> </w:t>
                            </w:r>
                          </w:p>
                        </w:tc>
                      </w:tr>
                      <w:tr>
                        <w:trPr/>
                        <w:tc>
                          <w:tcPr>
                            <w:tcW w:w="4835" w:type="dxa"/>
                            <w:tcBorders>
                              <w:left w:val="single" w:sz="8" w:space="0" w:color="000000"/>
                            </w:tcBorders>
                            <w:shd w:fill="CCE2F1" w:val="clear"/>
                            <w:tcMar>
                              <w:left w:w="160" w:type="dxa"/>
                            </w:tcMar>
                            <w:vAlign w:val="center"/>
                          </w:tcPr>
                          <w:p>
                            <w:pPr>
                              <w:pStyle w:val="TableContents"/>
                              <w:bidi w:val="0"/>
                              <w:spacing w:before="0" w:after="0"/>
                              <w:jc w:val="both"/>
                              <w:rPr>
                                <w:rFonts w:ascii="arial" w:hAnsi="arial"/>
                                <w:sz w:val="19"/>
                              </w:rPr>
                            </w:pPr>
                            <w:r>
                              <w:rPr>
                                <w:rFonts w:ascii="arial" w:hAnsi="arial"/>
                                <w:sz w:val="19"/>
                              </w:rPr>
                              <w:t>a. Revenues</w:t>
                            </w:r>
                          </w:p>
                          <w:p>
                            <w:pPr>
                              <w:pStyle w:val="TableContents"/>
                              <w:bidi w:val="0"/>
                              <w:spacing w:before="0" w:after="0"/>
                              <w:jc w:val="both"/>
                              <w:rPr/>
                            </w:pPr>
                            <w:r>
                              <w:rPr/>
                              <w:t>   </w:t>
                            </w:r>
                            <w:r>
                              <w:rPr>
                                <w:rFonts w:ascii="arial" w:hAnsi="arial"/>
                                <w:sz w:val="19"/>
                              </w:rPr>
                              <w:t>Target  $26.483B</w:t>
                            </w:r>
                          </w:p>
                          <w:p>
                            <w:pPr>
                              <w:pStyle w:val="TableContents"/>
                              <w:bidi w:val="0"/>
                              <w:spacing w:before="0" w:after="20"/>
                              <w:jc w:val="both"/>
                              <w:rPr/>
                            </w:pPr>
                            <w:r>
                              <w:rPr/>
                              <w:t>   </w:t>
                            </w:r>
                            <w:r>
                              <w:rPr>
                                <w:rFonts w:ascii="arial" w:hAnsi="arial"/>
                                <w:sz w:val="19"/>
                              </w:rPr>
                              <w:t>Results $28.190B</w:t>
                            </w:r>
                          </w:p>
                        </w:tc>
                        <w:tc>
                          <w:tcPr>
                            <w:tcW w:w="120" w:type="dxa"/>
                            <w:tcBorders/>
                            <w:shd w:fill="CCE2F1" w:val="clear"/>
                            <w:vAlign w:val="center"/>
                          </w:tcPr>
                          <w:p>
                            <w:pPr>
                              <w:pStyle w:val="TableContents"/>
                              <w:bidi w:val="0"/>
                              <w:spacing w:before="0" w:after="283"/>
                              <w:jc w:val="left"/>
                              <w:rPr/>
                            </w:pPr>
                            <w:r>
                              <w:rPr/>
                              <w:t>  </w:t>
                            </w:r>
                          </w:p>
                        </w:tc>
                        <w:tc>
                          <w:tcPr>
                            <w:tcW w:w="200" w:type="dxa"/>
                            <w:tcBorders/>
                            <w:shd w:fill="CCE2F1" w:val="clear"/>
                            <w:vAlign w:val="center"/>
                          </w:tcPr>
                          <w:p>
                            <w:pPr>
                              <w:pStyle w:val="TableContents"/>
                              <w:bidi w:val="0"/>
                              <w:spacing w:before="0" w:after="283"/>
                              <w:jc w:val="left"/>
                              <w:rPr/>
                            </w:pPr>
                            <w:r>
                              <w:rPr/>
                              <w:t> </w:t>
                            </w:r>
                          </w:p>
                        </w:tc>
                        <w:tc>
                          <w:tcPr>
                            <w:tcW w:w="870" w:type="dxa"/>
                            <w:tcBorders/>
                            <w:shd w:fill="CCE2F1" w:val="clear"/>
                            <w:vAlign w:val="center"/>
                          </w:tcPr>
                          <w:p>
                            <w:pPr>
                              <w:pStyle w:val="TableContents"/>
                              <w:bidi w:val="0"/>
                              <w:spacing w:before="0" w:after="283"/>
                              <w:jc w:val="right"/>
                              <w:rPr/>
                            </w:pPr>
                            <w:r>
                              <w:rPr/>
                              <w:t>30%</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93" w:type="dxa"/>
                            <w:tcBorders/>
                            <w:shd w:fill="CCE2F1" w:val="clear"/>
                            <w:vAlign w:val="center"/>
                          </w:tcPr>
                          <w:p>
                            <w:pPr>
                              <w:pStyle w:val="TableContents"/>
                              <w:bidi w:val="0"/>
                              <w:spacing w:before="0" w:after="283"/>
                              <w:jc w:val="left"/>
                              <w:rPr/>
                            </w:pPr>
                            <w:r>
                              <w:rPr/>
                              <w:t> </w:t>
                            </w:r>
                          </w:p>
                        </w:tc>
                        <w:tc>
                          <w:tcPr>
                            <w:tcW w:w="872" w:type="dxa"/>
                            <w:tcBorders/>
                            <w:shd w:fill="CCE2F1" w:val="clear"/>
                            <w:vAlign w:val="center"/>
                          </w:tcPr>
                          <w:p>
                            <w:pPr>
                              <w:pStyle w:val="TableContents"/>
                              <w:bidi w:val="0"/>
                              <w:spacing w:before="0" w:after="283"/>
                              <w:jc w:val="right"/>
                              <w:rPr/>
                            </w:pPr>
                            <w:r>
                              <w:rPr/>
                              <w:t>213.7%</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860" w:type="dxa"/>
                            <w:tcBorders>
                              <w:right w:val="single" w:sz="8" w:space="0" w:color="000000"/>
                            </w:tcBorders>
                            <w:shd w:fill="CCE2F1" w:val="clear"/>
                            <w:tcMar>
                              <w:right w:w="40" w:type="dxa"/>
                            </w:tcMar>
                            <w:vAlign w:val="center"/>
                          </w:tcPr>
                          <w:p>
                            <w:pPr>
                              <w:pStyle w:val="TableContents"/>
                              <w:bidi w:val="0"/>
                              <w:spacing w:before="0" w:after="283"/>
                              <w:jc w:val="right"/>
                              <w:rPr/>
                            </w:pPr>
                            <w:r>
                              <w:rPr/>
                              <w:t>64.1% </w:t>
                            </w:r>
                          </w:p>
                        </w:tc>
                      </w:tr>
                      <w:tr>
                        <w:trPr/>
                        <w:tc>
                          <w:tcPr>
                            <w:tcW w:w="4835" w:type="dxa"/>
                            <w:tcBorders>
                              <w:left w:val="single" w:sz="8" w:space="0" w:color="000000"/>
                            </w:tcBorders>
                            <w:tcMar>
                              <w:left w:w="160" w:type="dxa"/>
                            </w:tcMar>
                            <w:vAlign w:val="center"/>
                          </w:tcPr>
                          <w:p>
                            <w:pPr>
                              <w:pStyle w:val="TableContents"/>
                              <w:bidi w:val="0"/>
                              <w:spacing w:before="0" w:after="283"/>
                              <w:jc w:val="left"/>
                              <w:rPr/>
                            </w:pPr>
                            <w:r>
                              <w:rPr/>
                              <w:t> </w:t>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145" w:type="dxa"/>
                            <w:gridSpan w:val="4"/>
                            <w:tcBorders/>
                            <w:vAlign w:val="center"/>
                          </w:tcPr>
                          <w:p>
                            <w:pPr>
                              <w:pStyle w:val="TableContents"/>
                              <w:bidi w:val="0"/>
                              <w:spacing w:before="0" w:after="283"/>
                              <w:jc w:val="left"/>
                              <w:rPr>
                                <w:sz w:val="4"/>
                                <w:szCs w:val="4"/>
                              </w:rPr>
                            </w:pPr>
                            <w:r>
                              <w:rPr>
                                <w:sz w:val="4"/>
                                <w:szCs w:val="4"/>
                              </w:rPr>
                            </w:r>
                          </w:p>
                        </w:tc>
                        <w:tc>
                          <w:tcPr>
                            <w:tcW w:w="920" w:type="dxa"/>
                            <w:gridSpan w:val="2"/>
                            <w:tcBorders>
                              <w:right w:val="single" w:sz="8" w:space="0" w:color="000000"/>
                            </w:tcBorders>
                            <w:tcMar>
                              <w:right w:w="28" w:type="dxa"/>
                            </w:tcMar>
                            <w:vAlign w:val="center"/>
                          </w:tcPr>
                          <w:p>
                            <w:pPr>
                              <w:pStyle w:val="TableContents"/>
                              <w:bidi w:val="0"/>
                              <w:spacing w:before="0" w:after="283"/>
                              <w:jc w:val="left"/>
                              <w:rPr/>
                            </w:pPr>
                            <w:r>
                              <w:rPr/>
                              <w:t> </w:t>
                            </w:r>
                          </w:p>
                        </w:tc>
                      </w:tr>
                      <w:tr>
                        <w:trPr/>
                        <w:tc>
                          <w:tcPr>
                            <w:tcW w:w="4835" w:type="dxa"/>
                            <w:tcBorders>
                              <w:left w:val="single" w:sz="8" w:space="0" w:color="000000"/>
                            </w:tcBorders>
                            <w:tcMar>
                              <w:left w:w="160" w:type="dxa"/>
                            </w:tcMar>
                            <w:vAlign w:val="center"/>
                          </w:tcPr>
                          <w:p>
                            <w:pPr>
                              <w:pStyle w:val="TableContents"/>
                              <w:bidi w:val="0"/>
                              <w:spacing w:before="0" w:after="0"/>
                              <w:jc w:val="left"/>
                              <w:rPr>
                                <w:rFonts w:ascii="arial" w:hAnsi="arial"/>
                                <w:sz w:val="19"/>
                              </w:rPr>
                            </w:pPr>
                            <w:r>
                              <w:rPr>
                                <w:rFonts w:ascii="arial" w:hAnsi="arial"/>
                                <w:sz w:val="19"/>
                              </w:rPr>
                              <w:t>b. Non-GAAP Net Income(1)</w:t>
                            </w:r>
                          </w:p>
                          <w:p>
                            <w:pPr>
                              <w:pStyle w:val="TableContents"/>
                              <w:bidi w:val="0"/>
                              <w:spacing w:before="0" w:after="0"/>
                              <w:jc w:val="both"/>
                              <w:rPr/>
                            </w:pPr>
                            <w:r>
                              <w:rPr/>
                              <w:t>   </w:t>
                            </w:r>
                            <w:r>
                              <w:rPr>
                                <w:rFonts w:ascii="arial" w:hAnsi="arial"/>
                                <w:sz w:val="19"/>
                              </w:rPr>
                              <w:t>Target $9.570B</w:t>
                            </w:r>
                          </w:p>
                          <w:p>
                            <w:pPr>
                              <w:pStyle w:val="TableContents"/>
                              <w:bidi w:val="0"/>
                              <w:spacing w:before="0" w:after="20"/>
                              <w:jc w:val="both"/>
                              <w:rPr/>
                            </w:pPr>
                            <w:r>
                              <w:rPr/>
                              <w:t>   </w:t>
                            </w:r>
                            <w:r>
                              <w:rPr>
                                <w:rFonts w:ascii="arial" w:hAnsi="arial"/>
                                <w:sz w:val="19"/>
                              </w:rPr>
                              <w:t>Results $10.034B</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152.4%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right w:val="single" w:sz="8" w:space="0" w:color="000000"/>
                            </w:tcBorders>
                            <w:tcMar>
                              <w:right w:w="40" w:type="dxa"/>
                            </w:tcMar>
                            <w:vAlign w:val="center"/>
                          </w:tcPr>
                          <w:p>
                            <w:pPr>
                              <w:pStyle w:val="TableContents"/>
                              <w:bidi w:val="0"/>
                              <w:spacing w:before="0" w:after="283"/>
                              <w:jc w:val="right"/>
                              <w:rPr/>
                            </w:pPr>
                            <w:r>
                              <w:rPr/>
                              <w:t>45.7% </w:t>
                            </w:r>
                          </w:p>
                        </w:tc>
                      </w:tr>
                      <w:tr>
                        <w:trPr/>
                        <w:tc>
                          <w:tcPr>
                            <w:tcW w:w="7230" w:type="dxa"/>
                            <w:gridSpan w:val="9"/>
                            <w:tcBorders>
                              <w:top w:val="single" w:sz="6" w:space="0" w:color="000000"/>
                              <w:left w:val="single" w:sz="8" w:space="0" w:color="000000"/>
                            </w:tcBorders>
                            <w:shd w:fill="0171B9" w:val="clear"/>
                            <w:tcMar>
                              <w:top w:w="28" w:type="dxa"/>
                              <w:left w:w="160" w:type="dxa"/>
                            </w:tcMar>
                            <w:vAlign w:val="center"/>
                          </w:tcPr>
                          <w:p>
                            <w:pPr>
                              <w:pStyle w:val="TableContents"/>
                              <w:bidi w:val="0"/>
                              <w:spacing w:before="0" w:after="283"/>
                              <w:jc w:val="left"/>
                              <w:rPr/>
                            </w:pPr>
                            <w:r>
                              <w:rPr/>
                              <w:t> </w:t>
                            </w:r>
                          </w:p>
                        </w:tc>
                        <w:tc>
                          <w:tcPr>
                            <w:tcW w:w="920" w:type="dxa"/>
                            <w:gridSpan w:val="2"/>
                            <w:tcBorders>
                              <w:top w:val="single" w:sz="6" w:space="0" w:color="000000"/>
                              <w:right w:val="single" w:sz="8" w:space="0" w:color="000000"/>
                            </w:tcBorders>
                            <w:shd w:fill="0171B9" w:val="clear"/>
                            <w:tcMar>
                              <w:top w:w="28" w:type="dxa"/>
                              <w:right w:w="28" w:type="dxa"/>
                            </w:tcMar>
                            <w:vAlign w:val="center"/>
                          </w:tcPr>
                          <w:p>
                            <w:pPr>
                              <w:pStyle w:val="TableContents"/>
                              <w:bidi w:val="0"/>
                              <w:spacing w:before="0" w:after="283"/>
                              <w:jc w:val="left"/>
                              <w:rPr/>
                            </w:pPr>
                            <w:r>
                              <w:rPr/>
                              <w:t> </w:t>
                            </w:r>
                          </w:p>
                        </w:tc>
                      </w:tr>
                      <w:tr>
                        <w:trPr/>
                        <w:tc>
                          <w:tcPr>
                            <w:tcW w:w="7170" w:type="dxa"/>
                            <w:gridSpan w:val="8"/>
                            <w:tcBorders>
                              <w:left w:val="single" w:sz="8" w:space="0" w:color="000000"/>
                              <w:bottom w:val="single" w:sz="6" w:space="0" w:color="000000"/>
                            </w:tcBorders>
                            <w:shd w:fill="0171B9" w:val="clear"/>
                            <w:tcMar>
                              <w:left w:w="160" w:type="dxa"/>
                              <w:bottom w:w="100" w:type="dxa"/>
                            </w:tcMar>
                            <w:vAlign w:val="center"/>
                          </w:tcPr>
                          <w:p>
                            <w:pPr>
                              <w:pStyle w:val="TableContents"/>
                              <w:bidi w:val="0"/>
                              <w:spacing w:before="0" w:after="283"/>
                              <w:jc w:val="left"/>
                              <w:rPr>
                                <w:b/>
                                <w:color w:val="FFFFFF"/>
                              </w:rPr>
                            </w:pPr>
                            <w:r>
                              <w:rPr>
                                <w:b/>
                                <w:color w:val="FFFFFF"/>
                              </w:rPr>
                              <w:t>2. Progress Innovative Pipeline</w:t>
                            </w:r>
                          </w:p>
                        </w:tc>
                        <w:tc>
                          <w:tcPr>
                            <w:tcW w:w="60" w:type="dxa"/>
                            <w:tcBorders>
                              <w:bottom w:val="single" w:sz="6" w:space="0" w:color="000000"/>
                            </w:tcBorders>
                            <w:shd w:fill="0171B9" w:val="clear"/>
                            <w:tcMar>
                              <w:bottom w:w="100" w:type="dxa"/>
                            </w:tcMar>
                            <w:vAlign w:val="center"/>
                          </w:tcPr>
                          <w:p>
                            <w:pPr>
                              <w:pStyle w:val="TableContents"/>
                              <w:bidi w:val="0"/>
                              <w:spacing w:before="0" w:after="0"/>
                              <w:jc w:val="left"/>
                              <w:rPr>
                                <w:color w:val="FFFFFF"/>
                              </w:rPr>
                            </w:pPr>
                            <w:r>
                              <w:rPr>
                                <w:color w:val="FFFFFF"/>
                              </w:rPr>
                              <w:t> </w:t>
                            </w:r>
                          </w:p>
                        </w:tc>
                        <w:tc>
                          <w:tcPr>
                            <w:tcW w:w="60" w:type="dxa"/>
                            <w:tcBorders>
                              <w:bottom w:val="single" w:sz="6" w:space="0" w:color="000000"/>
                            </w:tcBorders>
                            <w:shd w:fill="0171B9" w:val="clear"/>
                            <w:tcMar>
                              <w:bottom w:w="28" w:type="dxa"/>
                            </w:tcMar>
                            <w:vAlign w:val="center"/>
                          </w:tcPr>
                          <w:p>
                            <w:pPr>
                              <w:pStyle w:val="TableContents"/>
                              <w:bidi w:val="0"/>
                              <w:spacing w:before="0" w:after="283"/>
                              <w:jc w:val="left"/>
                              <w:rPr/>
                            </w:pPr>
                            <w:r>
                              <w:rPr/>
                              <w:t> </w:t>
                            </w:r>
                          </w:p>
                        </w:tc>
                        <w:tc>
                          <w:tcPr>
                            <w:tcW w:w="860" w:type="dxa"/>
                            <w:tcBorders>
                              <w:bottom w:val="single" w:sz="6" w:space="0" w:color="000000"/>
                              <w:right w:val="single" w:sz="8" w:space="0" w:color="000000"/>
                            </w:tcBorders>
                            <w:shd w:fill="0171B9" w:val="clear"/>
                            <w:tcMar>
                              <w:bottom w:w="100" w:type="dxa"/>
                              <w:right w:w="40" w:type="dxa"/>
                            </w:tcMar>
                            <w:vAlign w:val="center"/>
                          </w:tcPr>
                          <w:p>
                            <w:pPr>
                              <w:pStyle w:val="TableContents"/>
                              <w:bidi w:val="0"/>
                              <w:spacing w:before="0" w:after="283"/>
                              <w:jc w:val="right"/>
                              <w:rPr>
                                <w:b/>
                                <w:color w:val="FFFFFF"/>
                              </w:rPr>
                            </w:pPr>
                            <w:r>
                              <w:rPr>
                                <w:b/>
                                <w:color w:val="FFFFFF"/>
                              </w:rPr>
                              <w:t>28.3% </w:t>
                            </w:r>
                          </w:p>
                        </w:tc>
                      </w:tr>
                      <w:tr>
                        <w:trPr/>
                        <w:tc>
                          <w:tcPr>
                            <w:tcW w:w="4835" w:type="dxa"/>
                            <w:tcBorders>
                              <w:left w:val="single" w:sz="8" w:space="0" w:color="000000"/>
                            </w:tcBorders>
                            <w:shd w:fill="CCE2F1" w:val="clear"/>
                            <w:tcMar>
                              <w:left w:w="160" w:type="dxa"/>
                            </w:tcMar>
                            <w:vAlign w:val="center"/>
                          </w:tcPr>
                          <w:p>
                            <w:pPr>
                              <w:pStyle w:val="TableContents"/>
                              <w:bidi w:val="0"/>
                              <w:spacing w:before="0" w:after="283"/>
                              <w:jc w:val="left"/>
                              <w:rPr/>
                            </w:pPr>
                            <w:r>
                              <w:rPr/>
                              <w:t> </w:t>
                            </w:r>
                          </w:p>
                        </w:tc>
                        <w:tc>
                          <w:tcPr>
                            <w:tcW w:w="1250" w:type="dxa"/>
                            <w:gridSpan w:val="4"/>
                            <w:tcBorders/>
                            <w:shd w:fill="CCE2F1" w:val="clear"/>
                            <w:vAlign w:val="center"/>
                          </w:tcPr>
                          <w:p>
                            <w:pPr>
                              <w:pStyle w:val="TableContents"/>
                              <w:bidi w:val="0"/>
                              <w:spacing w:before="0" w:after="283"/>
                              <w:jc w:val="left"/>
                              <w:rPr>
                                <w:sz w:val="4"/>
                                <w:szCs w:val="4"/>
                              </w:rPr>
                            </w:pPr>
                            <w:r>
                              <w:rPr>
                                <w:sz w:val="4"/>
                                <w:szCs w:val="4"/>
                              </w:rPr>
                            </w:r>
                          </w:p>
                        </w:tc>
                        <w:tc>
                          <w:tcPr>
                            <w:tcW w:w="1145" w:type="dxa"/>
                            <w:gridSpan w:val="4"/>
                            <w:tcBorders/>
                            <w:shd w:fill="CCE2F1" w:val="clear"/>
                            <w:vAlign w:val="center"/>
                          </w:tcPr>
                          <w:p>
                            <w:pPr>
                              <w:pStyle w:val="TableContents"/>
                              <w:bidi w:val="0"/>
                              <w:spacing w:before="0" w:after="283"/>
                              <w:jc w:val="left"/>
                              <w:rPr>
                                <w:sz w:val="4"/>
                                <w:szCs w:val="4"/>
                              </w:rPr>
                            </w:pPr>
                            <w:r>
                              <w:rPr>
                                <w:sz w:val="4"/>
                                <w:szCs w:val="4"/>
                              </w:rPr>
                            </w:r>
                          </w:p>
                        </w:tc>
                        <w:tc>
                          <w:tcPr>
                            <w:tcW w:w="920" w:type="dxa"/>
                            <w:gridSpan w:val="2"/>
                            <w:tcBorders>
                              <w:right w:val="single" w:sz="8" w:space="0" w:color="000000"/>
                            </w:tcBorders>
                            <w:shd w:fill="CCE2F1" w:val="clear"/>
                            <w:tcMar>
                              <w:right w:w="28" w:type="dxa"/>
                            </w:tcMar>
                            <w:vAlign w:val="center"/>
                          </w:tcPr>
                          <w:p>
                            <w:pPr>
                              <w:pStyle w:val="TableContents"/>
                              <w:bidi w:val="0"/>
                              <w:spacing w:before="0" w:after="283"/>
                              <w:jc w:val="left"/>
                              <w:rPr/>
                            </w:pPr>
                            <w:r>
                              <w:rPr/>
                              <w:t> </w:t>
                            </w:r>
                          </w:p>
                        </w:tc>
                      </w:tr>
                      <w:tr>
                        <w:trPr/>
                        <w:tc>
                          <w:tcPr>
                            <w:tcW w:w="4835" w:type="dxa"/>
                            <w:tcBorders>
                              <w:left w:val="single" w:sz="8" w:space="0" w:color="000000"/>
                            </w:tcBorders>
                            <w:shd w:fill="CCE2F1" w:val="clear"/>
                            <w:tcMar>
                              <w:left w:w="160" w:type="dxa"/>
                            </w:tcMar>
                            <w:vAlign w:val="center"/>
                          </w:tcPr>
                          <w:p>
                            <w:pPr>
                              <w:pStyle w:val="TableContents"/>
                              <w:bidi w:val="0"/>
                              <w:spacing w:before="0" w:after="0"/>
                              <w:jc w:val="left"/>
                              <w:rPr>
                                <w:rFonts w:ascii="arial" w:hAnsi="arial"/>
                                <w:sz w:val="19"/>
                              </w:rPr>
                            </w:pPr>
                            <w:r>
                              <w:rPr>
                                <w:rFonts w:ascii="arial" w:hAnsi="arial"/>
                                <w:sz w:val="19"/>
                              </w:rPr>
                              <w:t>a. Advance Early Pipeline</w:t>
                            </w:r>
                          </w:p>
                        </w:tc>
                        <w:tc>
                          <w:tcPr>
                            <w:tcW w:w="120" w:type="dxa"/>
                            <w:tcBorders/>
                            <w:shd w:fill="CCE2F1" w:val="clear"/>
                            <w:vAlign w:val="center"/>
                          </w:tcPr>
                          <w:p>
                            <w:pPr>
                              <w:pStyle w:val="TableContents"/>
                              <w:bidi w:val="0"/>
                              <w:spacing w:before="0" w:after="283"/>
                              <w:jc w:val="left"/>
                              <w:rPr/>
                            </w:pPr>
                            <w:r>
                              <w:rPr/>
                              <w:t>  </w:t>
                            </w:r>
                          </w:p>
                        </w:tc>
                        <w:tc>
                          <w:tcPr>
                            <w:tcW w:w="200" w:type="dxa"/>
                            <w:tcBorders/>
                            <w:shd w:fill="CCE2F1" w:val="clear"/>
                            <w:vAlign w:val="center"/>
                          </w:tcPr>
                          <w:p>
                            <w:pPr>
                              <w:pStyle w:val="TableContents"/>
                              <w:bidi w:val="0"/>
                              <w:spacing w:before="0" w:after="283"/>
                              <w:jc w:val="left"/>
                              <w:rPr/>
                            </w:pPr>
                            <w:r>
                              <w:rPr/>
                              <w:t> </w:t>
                            </w:r>
                          </w:p>
                        </w:tc>
                        <w:tc>
                          <w:tcPr>
                            <w:tcW w:w="870" w:type="dxa"/>
                            <w:tcBorders/>
                            <w:shd w:fill="CCE2F1" w:val="clear"/>
                            <w:vAlign w:val="center"/>
                          </w:tcPr>
                          <w:p>
                            <w:pPr>
                              <w:pStyle w:val="TableContents"/>
                              <w:bidi w:val="0"/>
                              <w:spacing w:before="0" w:after="283"/>
                              <w:jc w:val="right"/>
                              <w:rPr/>
                            </w:pPr>
                            <w:r>
                              <w:rPr/>
                              <w:t>10%</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93" w:type="dxa"/>
                            <w:tcBorders/>
                            <w:shd w:fill="CCE2F1" w:val="clear"/>
                            <w:vAlign w:val="center"/>
                          </w:tcPr>
                          <w:p>
                            <w:pPr>
                              <w:pStyle w:val="TableContents"/>
                              <w:bidi w:val="0"/>
                              <w:spacing w:before="0" w:after="283"/>
                              <w:jc w:val="left"/>
                              <w:rPr/>
                            </w:pPr>
                            <w:r>
                              <w:rPr/>
                              <w:t> </w:t>
                            </w:r>
                          </w:p>
                        </w:tc>
                        <w:tc>
                          <w:tcPr>
                            <w:tcW w:w="872" w:type="dxa"/>
                            <w:tcBorders/>
                            <w:shd w:fill="CCE2F1" w:val="clear"/>
                            <w:vAlign w:val="center"/>
                          </w:tcPr>
                          <w:p>
                            <w:pPr>
                              <w:pStyle w:val="TableContents"/>
                              <w:bidi w:val="0"/>
                              <w:spacing w:before="0" w:after="283"/>
                              <w:jc w:val="right"/>
                              <w:rPr/>
                            </w:pPr>
                            <w:r>
                              <w:rPr/>
                              <w:t>100.0%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860" w:type="dxa"/>
                            <w:tcBorders>
                              <w:right w:val="single" w:sz="8" w:space="0" w:color="000000"/>
                            </w:tcBorders>
                            <w:shd w:fill="CCE2F1" w:val="clear"/>
                            <w:tcMar>
                              <w:right w:w="40" w:type="dxa"/>
                            </w:tcMar>
                            <w:vAlign w:val="center"/>
                          </w:tcPr>
                          <w:p>
                            <w:pPr>
                              <w:pStyle w:val="TableContents"/>
                              <w:bidi w:val="0"/>
                              <w:spacing w:before="0" w:after="283"/>
                              <w:jc w:val="right"/>
                              <w:rPr/>
                            </w:pPr>
                            <w:r>
                              <w:rPr/>
                              <w:t>10.0% </w:t>
                            </w:r>
                          </w:p>
                        </w:tc>
                      </w:tr>
                      <w:tr>
                        <w:trPr/>
                        <w:tc>
                          <w:tcPr>
                            <w:tcW w:w="4835" w:type="dxa"/>
                            <w:tcBorders>
                              <w:left w:val="single" w:sz="8" w:space="0" w:color="000000"/>
                            </w:tcBorders>
                            <w:tcMar>
                              <w:left w:w="160" w:type="dxa"/>
                            </w:tcMar>
                            <w:vAlign w:val="center"/>
                          </w:tcPr>
                          <w:p>
                            <w:pPr>
                              <w:pStyle w:val="TableContents"/>
                              <w:bidi w:val="0"/>
                              <w:spacing w:before="0" w:after="283"/>
                              <w:jc w:val="left"/>
                              <w:rPr/>
                            </w:pPr>
                            <w:r>
                              <w:rPr/>
                              <w:t> </w:t>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145" w:type="dxa"/>
                            <w:gridSpan w:val="4"/>
                            <w:tcBorders/>
                            <w:vAlign w:val="center"/>
                          </w:tcPr>
                          <w:p>
                            <w:pPr>
                              <w:pStyle w:val="TableContents"/>
                              <w:bidi w:val="0"/>
                              <w:spacing w:before="0" w:after="283"/>
                              <w:jc w:val="left"/>
                              <w:rPr>
                                <w:sz w:val="4"/>
                                <w:szCs w:val="4"/>
                              </w:rPr>
                            </w:pPr>
                            <w:r>
                              <w:rPr>
                                <w:sz w:val="4"/>
                                <w:szCs w:val="4"/>
                              </w:rPr>
                            </w:r>
                          </w:p>
                        </w:tc>
                        <w:tc>
                          <w:tcPr>
                            <w:tcW w:w="920" w:type="dxa"/>
                            <w:gridSpan w:val="2"/>
                            <w:tcBorders>
                              <w:right w:val="single" w:sz="8" w:space="0" w:color="000000"/>
                            </w:tcBorders>
                            <w:tcMar>
                              <w:right w:w="28" w:type="dxa"/>
                            </w:tcMar>
                            <w:vAlign w:val="center"/>
                          </w:tcPr>
                          <w:p>
                            <w:pPr>
                              <w:pStyle w:val="TableContents"/>
                              <w:bidi w:val="0"/>
                              <w:spacing w:before="0" w:after="283"/>
                              <w:jc w:val="left"/>
                              <w:rPr/>
                            </w:pPr>
                            <w:r>
                              <w:rPr/>
                              <w:t> </w:t>
                            </w:r>
                          </w:p>
                        </w:tc>
                      </w:tr>
                      <w:tr>
                        <w:trPr/>
                        <w:tc>
                          <w:tcPr>
                            <w:tcW w:w="4835" w:type="dxa"/>
                            <w:tcBorders>
                              <w:left w:val="single" w:sz="8" w:space="0" w:color="000000"/>
                            </w:tcBorders>
                            <w:tcMar>
                              <w:left w:w="160" w:type="dxa"/>
                            </w:tcMar>
                            <w:vAlign w:val="center"/>
                          </w:tcPr>
                          <w:p>
                            <w:pPr>
                              <w:pStyle w:val="TableContents"/>
                              <w:bidi w:val="0"/>
                              <w:spacing w:before="0" w:after="0"/>
                              <w:jc w:val="left"/>
                              <w:rPr>
                                <w:rFonts w:ascii="arial" w:hAnsi="arial"/>
                                <w:sz w:val="19"/>
                              </w:rPr>
                            </w:pPr>
                            <w:r>
                              <w:rPr>
                                <w:rFonts w:ascii="arial" w:hAnsi="arial"/>
                                <w:sz w:val="19"/>
                              </w:rPr>
                              <w:t>b. Execute Key Clinical Studies and Regulatory Filings</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91.6%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right w:val="single" w:sz="8" w:space="0" w:color="000000"/>
                            </w:tcBorders>
                            <w:tcMar>
                              <w:right w:w="40" w:type="dxa"/>
                            </w:tcMar>
                            <w:vAlign w:val="center"/>
                          </w:tcPr>
                          <w:p>
                            <w:pPr>
                              <w:pStyle w:val="TableContents"/>
                              <w:bidi w:val="0"/>
                              <w:spacing w:before="0" w:after="283"/>
                              <w:jc w:val="right"/>
                              <w:rPr/>
                            </w:pPr>
                            <w:r>
                              <w:rPr/>
                              <w:t>18.3% </w:t>
                            </w:r>
                          </w:p>
                        </w:tc>
                      </w:tr>
                      <w:tr>
                        <w:trPr/>
                        <w:tc>
                          <w:tcPr>
                            <w:tcW w:w="7230" w:type="dxa"/>
                            <w:gridSpan w:val="9"/>
                            <w:tcBorders>
                              <w:top w:val="single" w:sz="6" w:space="0" w:color="000000"/>
                              <w:left w:val="single" w:sz="8" w:space="0" w:color="000000"/>
                            </w:tcBorders>
                            <w:shd w:fill="0171B9" w:val="clear"/>
                            <w:tcMar>
                              <w:top w:w="28" w:type="dxa"/>
                              <w:left w:w="160" w:type="dxa"/>
                            </w:tcMar>
                            <w:vAlign w:val="center"/>
                          </w:tcPr>
                          <w:p>
                            <w:pPr>
                              <w:pStyle w:val="TableContents"/>
                              <w:bidi w:val="0"/>
                              <w:spacing w:before="0" w:after="283"/>
                              <w:jc w:val="left"/>
                              <w:rPr/>
                            </w:pPr>
                            <w:r>
                              <w:rPr/>
                              <w:t> </w:t>
                            </w:r>
                          </w:p>
                        </w:tc>
                        <w:tc>
                          <w:tcPr>
                            <w:tcW w:w="920" w:type="dxa"/>
                            <w:gridSpan w:val="2"/>
                            <w:tcBorders>
                              <w:top w:val="single" w:sz="6" w:space="0" w:color="000000"/>
                              <w:right w:val="single" w:sz="8" w:space="0" w:color="000000"/>
                            </w:tcBorders>
                            <w:shd w:fill="0171B9" w:val="clear"/>
                            <w:tcMar>
                              <w:top w:w="28" w:type="dxa"/>
                              <w:right w:w="28" w:type="dxa"/>
                            </w:tcMar>
                            <w:vAlign w:val="center"/>
                          </w:tcPr>
                          <w:p>
                            <w:pPr>
                              <w:pStyle w:val="TableContents"/>
                              <w:bidi w:val="0"/>
                              <w:spacing w:before="0" w:after="283"/>
                              <w:jc w:val="left"/>
                              <w:rPr/>
                            </w:pPr>
                            <w:r>
                              <w:rPr/>
                              <w:t> </w:t>
                            </w:r>
                          </w:p>
                        </w:tc>
                      </w:tr>
                      <w:tr>
                        <w:trPr/>
                        <w:tc>
                          <w:tcPr>
                            <w:tcW w:w="7170" w:type="dxa"/>
                            <w:gridSpan w:val="8"/>
                            <w:tcBorders>
                              <w:left w:val="single" w:sz="8" w:space="0" w:color="000000"/>
                              <w:bottom w:val="single" w:sz="6" w:space="0" w:color="000000"/>
                            </w:tcBorders>
                            <w:shd w:fill="0171B9" w:val="clear"/>
                            <w:tcMar>
                              <w:left w:w="160" w:type="dxa"/>
                              <w:bottom w:w="100" w:type="dxa"/>
                            </w:tcMar>
                            <w:vAlign w:val="center"/>
                          </w:tcPr>
                          <w:p>
                            <w:pPr>
                              <w:pStyle w:val="TableContents"/>
                              <w:bidi w:val="0"/>
                              <w:spacing w:before="0" w:after="283"/>
                              <w:jc w:val="left"/>
                              <w:rPr>
                                <w:b/>
                                <w:color w:val="FFFFFF"/>
                              </w:rPr>
                            </w:pPr>
                            <w:r>
                              <w:rPr>
                                <w:b/>
                                <w:color w:val="FFFFFF"/>
                              </w:rPr>
                              <w:t>3. Deliver Annual Priorities</w:t>
                            </w:r>
                          </w:p>
                        </w:tc>
                        <w:tc>
                          <w:tcPr>
                            <w:tcW w:w="60" w:type="dxa"/>
                            <w:tcBorders>
                              <w:bottom w:val="single" w:sz="6" w:space="0" w:color="000000"/>
                            </w:tcBorders>
                            <w:shd w:fill="0171B9" w:val="clear"/>
                            <w:tcMar>
                              <w:bottom w:w="100" w:type="dxa"/>
                            </w:tcMar>
                            <w:vAlign w:val="center"/>
                          </w:tcPr>
                          <w:p>
                            <w:pPr>
                              <w:pStyle w:val="TableContents"/>
                              <w:bidi w:val="0"/>
                              <w:spacing w:before="0" w:after="0"/>
                              <w:jc w:val="left"/>
                              <w:rPr>
                                <w:color w:val="FFFFFF"/>
                              </w:rPr>
                            </w:pPr>
                            <w:r>
                              <w:rPr>
                                <w:color w:val="FFFFFF"/>
                              </w:rPr>
                              <w:t> </w:t>
                            </w:r>
                          </w:p>
                        </w:tc>
                        <w:tc>
                          <w:tcPr>
                            <w:tcW w:w="60" w:type="dxa"/>
                            <w:tcBorders>
                              <w:bottom w:val="single" w:sz="6" w:space="0" w:color="000000"/>
                            </w:tcBorders>
                            <w:shd w:fill="0171B9" w:val="clear"/>
                            <w:tcMar>
                              <w:bottom w:w="28" w:type="dxa"/>
                            </w:tcMar>
                            <w:vAlign w:val="center"/>
                          </w:tcPr>
                          <w:p>
                            <w:pPr>
                              <w:pStyle w:val="TableContents"/>
                              <w:bidi w:val="0"/>
                              <w:spacing w:before="0" w:after="283"/>
                              <w:jc w:val="left"/>
                              <w:rPr/>
                            </w:pPr>
                            <w:r>
                              <w:rPr/>
                              <w:t> </w:t>
                            </w:r>
                          </w:p>
                        </w:tc>
                        <w:tc>
                          <w:tcPr>
                            <w:tcW w:w="860" w:type="dxa"/>
                            <w:tcBorders>
                              <w:bottom w:val="single" w:sz="6" w:space="0" w:color="000000"/>
                              <w:right w:val="single" w:sz="8" w:space="0" w:color="000000"/>
                            </w:tcBorders>
                            <w:shd w:fill="0171B9" w:val="clear"/>
                            <w:tcMar>
                              <w:bottom w:w="100" w:type="dxa"/>
                              <w:right w:w="40" w:type="dxa"/>
                            </w:tcMar>
                            <w:vAlign w:val="center"/>
                          </w:tcPr>
                          <w:p>
                            <w:pPr>
                              <w:pStyle w:val="TableContents"/>
                              <w:bidi w:val="0"/>
                              <w:spacing w:before="0" w:after="283"/>
                              <w:jc w:val="right"/>
                              <w:rPr>
                                <w:b/>
                                <w:color w:val="FFFFFF"/>
                              </w:rPr>
                            </w:pPr>
                            <w:r>
                              <w:rPr>
                                <w:b/>
                                <w:color w:val="FFFFFF"/>
                              </w:rPr>
                              <w:t>21.2% </w:t>
                            </w:r>
                          </w:p>
                        </w:tc>
                      </w:tr>
                      <w:tr>
                        <w:trPr/>
                        <w:tc>
                          <w:tcPr>
                            <w:tcW w:w="4835" w:type="dxa"/>
                            <w:tcBorders>
                              <w:left w:val="single" w:sz="8" w:space="0" w:color="000000"/>
                            </w:tcBorders>
                            <w:shd w:fill="CCE2F1" w:val="clear"/>
                            <w:tcMar>
                              <w:left w:w="160" w:type="dxa"/>
                            </w:tcMar>
                            <w:vAlign w:val="center"/>
                          </w:tcPr>
                          <w:p>
                            <w:pPr>
                              <w:pStyle w:val="TableContents"/>
                              <w:bidi w:val="0"/>
                              <w:spacing w:before="0" w:after="283"/>
                              <w:jc w:val="left"/>
                              <w:rPr/>
                            </w:pPr>
                            <w:r>
                              <w:rPr/>
                              <w:t> </w:t>
                            </w:r>
                          </w:p>
                        </w:tc>
                        <w:tc>
                          <w:tcPr>
                            <w:tcW w:w="1250" w:type="dxa"/>
                            <w:gridSpan w:val="4"/>
                            <w:tcBorders/>
                            <w:shd w:fill="CCE2F1" w:val="clear"/>
                            <w:vAlign w:val="center"/>
                          </w:tcPr>
                          <w:p>
                            <w:pPr>
                              <w:pStyle w:val="TableContents"/>
                              <w:bidi w:val="0"/>
                              <w:spacing w:before="0" w:after="283"/>
                              <w:jc w:val="left"/>
                              <w:rPr>
                                <w:sz w:val="4"/>
                                <w:szCs w:val="4"/>
                              </w:rPr>
                            </w:pPr>
                            <w:r>
                              <w:rPr>
                                <w:sz w:val="4"/>
                                <w:szCs w:val="4"/>
                              </w:rPr>
                            </w:r>
                          </w:p>
                        </w:tc>
                        <w:tc>
                          <w:tcPr>
                            <w:tcW w:w="1145" w:type="dxa"/>
                            <w:gridSpan w:val="4"/>
                            <w:tcBorders/>
                            <w:shd w:fill="CCE2F1" w:val="clear"/>
                            <w:vAlign w:val="center"/>
                          </w:tcPr>
                          <w:p>
                            <w:pPr>
                              <w:pStyle w:val="TableContents"/>
                              <w:bidi w:val="0"/>
                              <w:spacing w:before="0" w:after="283"/>
                              <w:jc w:val="left"/>
                              <w:rPr>
                                <w:sz w:val="4"/>
                                <w:szCs w:val="4"/>
                              </w:rPr>
                            </w:pPr>
                            <w:r>
                              <w:rPr>
                                <w:sz w:val="4"/>
                                <w:szCs w:val="4"/>
                              </w:rPr>
                            </w:r>
                          </w:p>
                        </w:tc>
                        <w:tc>
                          <w:tcPr>
                            <w:tcW w:w="920" w:type="dxa"/>
                            <w:gridSpan w:val="2"/>
                            <w:tcBorders>
                              <w:right w:val="single" w:sz="8" w:space="0" w:color="000000"/>
                            </w:tcBorders>
                            <w:shd w:fill="CCE2F1" w:val="clear"/>
                            <w:tcMar>
                              <w:right w:w="28" w:type="dxa"/>
                            </w:tcMar>
                            <w:vAlign w:val="center"/>
                          </w:tcPr>
                          <w:p>
                            <w:pPr>
                              <w:pStyle w:val="TableContents"/>
                              <w:bidi w:val="0"/>
                              <w:spacing w:before="0" w:after="283"/>
                              <w:jc w:val="left"/>
                              <w:rPr/>
                            </w:pPr>
                            <w:r>
                              <w:rPr/>
                              <w:t> </w:t>
                            </w:r>
                          </w:p>
                        </w:tc>
                      </w:tr>
                      <w:tr>
                        <w:trPr/>
                        <w:tc>
                          <w:tcPr>
                            <w:tcW w:w="4835" w:type="dxa"/>
                            <w:tcBorders>
                              <w:left w:val="single" w:sz="8" w:space="0" w:color="000000"/>
                            </w:tcBorders>
                            <w:shd w:fill="CCE2F1" w:val="clear"/>
                            <w:tcMar>
                              <w:left w:w="160" w:type="dxa"/>
                            </w:tcMar>
                            <w:vAlign w:val="center"/>
                          </w:tcPr>
                          <w:p>
                            <w:pPr>
                              <w:pStyle w:val="TableContents"/>
                              <w:bidi w:val="0"/>
                              <w:spacing w:before="0" w:after="0"/>
                              <w:jc w:val="left"/>
                              <w:rPr>
                                <w:rFonts w:ascii="arial" w:hAnsi="arial"/>
                                <w:sz w:val="19"/>
                              </w:rPr>
                            </w:pPr>
                            <w:r>
                              <w:rPr>
                                <w:rFonts w:ascii="arial" w:hAnsi="arial"/>
                                <w:sz w:val="19"/>
                              </w:rPr>
                              <w:t>a. Environmental, Social, and Governance</w:t>
                            </w:r>
                          </w:p>
                        </w:tc>
                        <w:tc>
                          <w:tcPr>
                            <w:tcW w:w="120" w:type="dxa"/>
                            <w:tcBorders/>
                            <w:shd w:fill="CCE2F1" w:val="clear"/>
                            <w:vAlign w:val="center"/>
                          </w:tcPr>
                          <w:p>
                            <w:pPr>
                              <w:pStyle w:val="TableContents"/>
                              <w:bidi w:val="0"/>
                              <w:spacing w:before="0" w:after="283"/>
                              <w:jc w:val="left"/>
                              <w:rPr/>
                            </w:pPr>
                            <w:r>
                              <w:rPr/>
                              <w:t>  </w:t>
                            </w:r>
                          </w:p>
                        </w:tc>
                        <w:tc>
                          <w:tcPr>
                            <w:tcW w:w="200" w:type="dxa"/>
                            <w:tcBorders/>
                            <w:shd w:fill="CCE2F1" w:val="clear"/>
                            <w:vAlign w:val="center"/>
                          </w:tcPr>
                          <w:p>
                            <w:pPr>
                              <w:pStyle w:val="TableContents"/>
                              <w:bidi w:val="0"/>
                              <w:spacing w:before="0" w:after="283"/>
                              <w:jc w:val="left"/>
                              <w:rPr/>
                            </w:pPr>
                            <w:r>
                              <w:rPr/>
                              <w:t> </w:t>
                            </w:r>
                          </w:p>
                        </w:tc>
                        <w:tc>
                          <w:tcPr>
                            <w:tcW w:w="870" w:type="dxa"/>
                            <w:tcBorders/>
                            <w:shd w:fill="CCE2F1" w:val="clear"/>
                            <w:vAlign w:val="center"/>
                          </w:tcPr>
                          <w:p>
                            <w:pPr>
                              <w:pStyle w:val="TableContents"/>
                              <w:bidi w:val="0"/>
                              <w:spacing w:before="0" w:after="283"/>
                              <w:jc w:val="right"/>
                              <w:rPr/>
                            </w:pPr>
                            <w:r>
                              <w:rPr/>
                              <w:t>5%</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93" w:type="dxa"/>
                            <w:tcBorders/>
                            <w:shd w:fill="CCE2F1" w:val="clear"/>
                            <w:vAlign w:val="center"/>
                          </w:tcPr>
                          <w:p>
                            <w:pPr>
                              <w:pStyle w:val="TableContents"/>
                              <w:bidi w:val="0"/>
                              <w:spacing w:before="0" w:after="283"/>
                              <w:jc w:val="left"/>
                              <w:rPr/>
                            </w:pPr>
                            <w:r>
                              <w:rPr/>
                              <w:t> </w:t>
                            </w:r>
                          </w:p>
                        </w:tc>
                        <w:tc>
                          <w:tcPr>
                            <w:tcW w:w="872" w:type="dxa"/>
                            <w:tcBorders/>
                            <w:shd w:fill="CCE2F1" w:val="clear"/>
                            <w:vAlign w:val="center"/>
                          </w:tcPr>
                          <w:p>
                            <w:pPr>
                              <w:pStyle w:val="TableContents"/>
                              <w:bidi w:val="0"/>
                              <w:spacing w:before="0" w:after="283"/>
                              <w:jc w:val="right"/>
                              <w:rPr/>
                            </w:pPr>
                            <w:r>
                              <w:rPr/>
                              <w:t>197.3%</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860" w:type="dxa"/>
                            <w:tcBorders>
                              <w:right w:val="single" w:sz="8" w:space="0" w:color="000000"/>
                            </w:tcBorders>
                            <w:shd w:fill="CCE2F1" w:val="clear"/>
                            <w:tcMar>
                              <w:right w:w="40" w:type="dxa"/>
                            </w:tcMar>
                            <w:vAlign w:val="center"/>
                          </w:tcPr>
                          <w:p>
                            <w:pPr>
                              <w:pStyle w:val="TableContents"/>
                              <w:bidi w:val="0"/>
                              <w:spacing w:before="0" w:after="283"/>
                              <w:jc w:val="right"/>
                              <w:rPr/>
                            </w:pPr>
                            <w:r>
                              <w:rPr/>
                              <w:t>9.9% </w:t>
                            </w:r>
                          </w:p>
                        </w:tc>
                      </w:tr>
                      <w:tr>
                        <w:trPr/>
                        <w:tc>
                          <w:tcPr>
                            <w:tcW w:w="4835" w:type="dxa"/>
                            <w:tcBorders>
                              <w:left w:val="single" w:sz="8" w:space="0" w:color="000000"/>
                            </w:tcBorders>
                            <w:tcMar>
                              <w:left w:w="160" w:type="dxa"/>
                            </w:tcMar>
                            <w:vAlign w:val="center"/>
                          </w:tcPr>
                          <w:p>
                            <w:pPr>
                              <w:pStyle w:val="TableContents"/>
                              <w:bidi w:val="0"/>
                              <w:spacing w:before="0" w:after="283"/>
                              <w:jc w:val="left"/>
                              <w:rPr/>
                            </w:pPr>
                            <w:r>
                              <w:rPr/>
                              <w:t> </w:t>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145" w:type="dxa"/>
                            <w:gridSpan w:val="4"/>
                            <w:tcBorders/>
                            <w:vAlign w:val="center"/>
                          </w:tcPr>
                          <w:p>
                            <w:pPr>
                              <w:pStyle w:val="TableContents"/>
                              <w:bidi w:val="0"/>
                              <w:spacing w:before="0" w:after="283"/>
                              <w:jc w:val="left"/>
                              <w:rPr>
                                <w:sz w:val="4"/>
                                <w:szCs w:val="4"/>
                              </w:rPr>
                            </w:pPr>
                            <w:r>
                              <w:rPr>
                                <w:sz w:val="4"/>
                                <w:szCs w:val="4"/>
                              </w:rPr>
                            </w:r>
                          </w:p>
                        </w:tc>
                        <w:tc>
                          <w:tcPr>
                            <w:tcW w:w="920" w:type="dxa"/>
                            <w:gridSpan w:val="2"/>
                            <w:tcBorders>
                              <w:right w:val="single" w:sz="8" w:space="0" w:color="000000"/>
                            </w:tcBorders>
                            <w:tcMar>
                              <w:right w:w="28" w:type="dxa"/>
                            </w:tcMar>
                            <w:vAlign w:val="center"/>
                          </w:tcPr>
                          <w:p>
                            <w:pPr>
                              <w:pStyle w:val="TableContents"/>
                              <w:bidi w:val="0"/>
                              <w:spacing w:before="0" w:after="283"/>
                              <w:jc w:val="left"/>
                              <w:rPr/>
                            </w:pPr>
                            <w:r>
                              <w:rPr/>
                              <w:t> </w:t>
                            </w:r>
                          </w:p>
                        </w:tc>
                      </w:tr>
                      <w:tr>
                        <w:trPr/>
                        <w:tc>
                          <w:tcPr>
                            <w:tcW w:w="4835" w:type="dxa"/>
                            <w:tcBorders>
                              <w:left w:val="single" w:sz="8" w:space="0" w:color="000000"/>
                            </w:tcBorders>
                            <w:tcMar>
                              <w:left w:w="160" w:type="dxa"/>
                            </w:tcMar>
                            <w:vAlign w:val="center"/>
                          </w:tcPr>
                          <w:p>
                            <w:pPr>
                              <w:pStyle w:val="TableContents"/>
                              <w:bidi w:val="0"/>
                              <w:spacing w:before="0" w:after="0"/>
                              <w:jc w:val="left"/>
                              <w:rPr>
                                <w:rFonts w:ascii="arial" w:hAnsi="arial"/>
                                <w:sz w:val="19"/>
                              </w:rPr>
                            </w:pPr>
                            <w:r>
                              <w:rPr>
                                <w:rFonts w:ascii="arial" w:hAnsi="arial"/>
                                <w:sz w:val="19"/>
                              </w:rPr>
                              <w:t>b. Successful Integrations and Collaborations</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225.0%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right w:val="single" w:sz="8" w:space="0" w:color="000000"/>
                            </w:tcBorders>
                            <w:tcMar>
                              <w:right w:w="40" w:type="dxa"/>
                            </w:tcMar>
                            <w:vAlign w:val="center"/>
                          </w:tcPr>
                          <w:p>
                            <w:pPr>
                              <w:pStyle w:val="TableContents"/>
                              <w:bidi w:val="0"/>
                              <w:spacing w:before="0" w:after="283"/>
                              <w:jc w:val="right"/>
                              <w:rPr/>
                            </w:pPr>
                            <w:r>
                              <w:rPr/>
                              <w:t>11.3% </w:t>
                            </w:r>
                          </w:p>
                        </w:tc>
                      </w:tr>
                      <w:tr>
                        <w:trPr/>
                        <w:tc>
                          <w:tcPr>
                            <w:tcW w:w="4835" w:type="dxa"/>
                            <w:tcBorders>
                              <w:top w:val="single" w:sz="6" w:space="0" w:color="000000"/>
                              <w:left w:val="single" w:sz="8" w:space="0" w:color="000000"/>
                            </w:tcBorders>
                            <w:shd w:fill="0171B9" w:val="clear"/>
                            <w:tcMar>
                              <w:top w:w="28" w:type="dxa"/>
                              <w:left w:w="160" w:type="dxa"/>
                            </w:tcMar>
                            <w:vAlign w:val="center"/>
                          </w:tcPr>
                          <w:p>
                            <w:pPr>
                              <w:pStyle w:val="TableContents"/>
                              <w:bidi w:val="0"/>
                              <w:spacing w:before="0" w:after="283"/>
                              <w:jc w:val="left"/>
                              <w:rPr/>
                            </w:pPr>
                            <w:r>
                              <w:rPr/>
                              <w:t> </w:t>
                            </w:r>
                          </w:p>
                        </w:tc>
                        <w:tc>
                          <w:tcPr>
                            <w:tcW w:w="1250" w:type="dxa"/>
                            <w:gridSpan w:val="4"/>
                            <w:tcBorders>
                              <w:top w:val="single" w:sz="6" w:space="0" w:color="000000"/>
                            </w:tcBorders>
                            <w:shd w:fill="0171B9" w:val="clear"/>
                            <w:tcMar>
                              <w:top w:w="28" w:type="dxa"/>
                            </w:tcMar>
                            <w:vAlign w:val="center"/>
                          </w:tcPr>
                          <w:p>
                            <w:pPr>
                              <w:pStyle w:val="TableContents"/>
                              <w:bidi w:val="0"/>
                              <w:spacing w:before="0" w:after="283"/>
                              <w:jc w:val="left"/>
                              <w:rPr/>
                            </w:pPr>
                            <w:r>
                              <w:rPr/>
                              <w:t> </w:t>
                            </w:r>
                          </w:p>
                        </w:tc>
                        <w:tc>
                          <w:tcPr>
                            <w:tcW w:w="1145" w:type="dxa"/>
                            <w:gridSpan w:val="4"/>
                            <w:tcBorders>
                              <w:top w:val="single" w:sz="6" w:space="0" w:color="000000"/>
                            </w:tcBorders>
                            <w:shd w:fill="0171B9" w:val="clear"/>
                            <w:tcMar>
                              <w:top w:w="28" w:type="dxa"/>
                            </w:tcMar>
                            <w:vAlign w:val="center"/>
                          </w:tcPr>
                          <w:p>
                            <w:pPr>
                              <w:pStyle w:val="TableContents"/>
                              <w:bidi w:val="0"/>
                              <w:spacing w:before="0" w:after="283"/>
                              <w:jc w:val="left"/>
                              <w:rPr/>
                            </w:pPr>
                            <w:r>
                              <w:rPr/>
                              <w:t> </w:t>
                            </w:r>
                          </w:p>
                        </w:tc>
                        <w:tc>
                          <w:tcPr>
                            <w:tcW w:w="920" w:type="dxa"/>
                            <w:gridSpan w:val="2"/>
                            <w:tcBorders>
                              <w:top w:val="single" w:sz="6" w:space="0" w:color="000000"/>
                              <w:right w:val="single" w:sz="8" w:space="0" w:color="000000"/>
                            </w:tcBorders>
                            <w:shd w:fill="0171B9" w:val="clear"/>
                            <w:tcMar>
                              <w:top w:w="28" w:type="dxa"/>
                              <w:right w:w="28" w:type="dxa"/>
                            </w:tcMar>
                            <w:vAlign w:val="center"/>
                          </w:tcPr>
                          <w:p>
                            <w:pPr>
                              <w:pStyle w:val="TableContents"/>
                              <w:bidi w:val="0"/>
                              <w:spacing w:before="0" w:after="283"/>
                              <w:jc w:val="left"/>
                              <w:rPr/>
                            </w:pPr>
                            <w:r>
                              <w:rPr/>
                              <w:t> </w:t>
                            </w:r>
                          </w:p>
                        </w:tc>
                      </w:tr>
                      <w:tr>
                        <w:trPr/>
                        <w:tc>
                          <w:tcPr>
                            <w:tcW w:w="4835" w:type="dxa"/>
                            <w:tcBorders>
                              <w:left w:val="single" w:sz="8" w:space="0" w:color="000000"/>
                              <w:bottom w:val="single" w:sz="8" w:space="0" w:color="000000"/>
                            </w:tcBorders>
                            <w:shd w:fill="0171B9" w:val="clear"/>
                            <w:tcMar>
                              <w:left w:w="160" w:type="dxa"/>
                              <w:bottom w:w="100" w:type="dxa"/>
                            </w:tcMar>
                            <w:vAlign w:val="center"/>
                          </w:tcPr>
                          <w:p>
                            <w:pPr>
                              <w:pStyle w:val="TableContents"/>
                              <w:bidi w:val="0"/>
                              <w:spacing w:before="0" w:after="283"/>
                              <w:jc w:val="left"/>
                              <w:rPr>
                                <w:color w:val="FFFFFF"/>
                              </w:rPr>
                            </w:pPr>
                            <w:r>
                              <w:rPr>
                                <w:color w:val="FFFFFF"/>
                              </w:rPr>
                              <w:t xml:space="preserve">   </w:t>
                            </w:r>
                            <w:r>
                              <w:rPr>
                                <w:b/>
                                <w:color w:val="FFFFFF"/>
                              </w:rPr>
                              <w:t>Final Score</w:t>
                            </w:r>
                          </w:p>
                        </w:tc>
                        <w:tc>
                          <w:tcPr>
                            <w:tcW w:w="120" w:type="dxa"/>
                            <w:tcBorders>
                              <w:bottom w:val="single" w:sz="8" w:space="0" w:color="000000"/>
                            </w:tcBorders>
                            <w:shd w:fill="0171B9" w:val="clear"/>
                            <w:tcMar>
                              <w:bottom w:w="28" w:type="dxa"/>
                            </w:tcMar>
                            <w:vAlign w:val="center"/>
                          </w:tcPr>
                          <w:p>
                            <w:pPr>
                              <w:pStyle w:val="TableContents"/>
                              <w:bidi w:val="0"/>
                              <w:spacing w:before="0" w:after="283"/>
                              <w:jc w:val="left"/>
                              <w:rPr/>
                            </w:pPr>
                            <w:r>
                              <w:rPr/>
                              <w:t>  </w:t>
                            </w:r>
                          </w:p>
                        </w:tc>
                        <w:tc>
                          <w:tcPr>
                            <w:tcW w:w="200" w:type="dxa"/>
                            <w:tcBorders>
                              <w:bottom w:val="single" w:sz="8" w:space="0" w:color="000000"/>
                            </w:tcBorders>
                            <w:shd w:fill="0171B9" w:val="clear"/>
                            <w:tcMar>
                              <w:bottom w:w="28" w:type="dxa"/>
                            </w:tcMar>
                            <w:vAlign w:val="center"/>
                          </w:tcPr>
                          <w:p>
                            <w:pPr>
                              <w:pStyle w:val="TableContents"/>
                              <w:bidi w:val="0"/>
                              <w:spacing w:before="0" w:after="283"/>
                              <w:jc w:val="left"/>
                              <w:rPr/>
                            </w:pPr>
                            <w:r>
                              <w:rPr/>
                              <w:t> </w:t>
                            </w:r>
                          </w:p>
                        </w:tc>
                        <w:tc>
                          <w:tcPr>
                            <w:tcW w:w="870" w:type="dxa"/>
                            <w:tcBorders>
                              <w:bottom w:val="single" w:sz="8" w:space="0" w:color="000000"/>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0171B9" w:val="clear"/>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shd w:fill="0171B9" w:val="clear"/>
                            <w:tcMar>
                              <w:bottom w:w="28" w:type="dxa"/>
                            </w:tcMar>
                            <w:vAlign w:val="center"/>
                          </w:tcPr>
                          <w:p>
                            <w:pPr>
                              <w:pStyle w:val="TableContents"/>
                              <w:bidi w:val="0"/>
                              <w:spacing w:before="0" w:after="283"/>
                              <w:jc w:val="left"/>
                              <w:rPr/>
                            </w:pPr>
                            <w:r>
                              <w:rPr/>
                              <w:t>  </w:t>
                            </w:r>
                          </w:p>
                        </w:tc>
                        <w:tc>
                          <w:tcPr>
                            <w:tcW w:w="93" w:type="dxa"/>
                            <w:tcBorders>
                              <w:bottom w:val="single" w:sz="8" w:space="0" w:color="000000"/>
                            </w:tcBorders>
                            <w:shd w:fill="0171B9" w:val="clear"/>
                            <w:tcMar>
                              <w:bottom w:w="28" w:type="dxa"/>
                            </w:tcMar>
                            <w:vAlign w:val="center"/>
                          </w:tcPr>
                          <w:p>
                            <w:pPr>
                              <w:pStyle w:val="TableContents"/>
                              <w:bidi w:val="0"/>
                              <w:spacing w:before="0" w:after="283"/>
                              <w:jc w:val="left"/>
                              <w:rPr/>
                            </w:pPr>
                            <w:r>
                              <w:rPr/>
                              <w:t> </w:t>
                            </w:r>
                          </w:p>
                        </w:tc>
                        <w:tc>
                          <w:tcPr>
                            <w:tcW w:w="872" w:type="dxa"/>
                            <w:tcBorders>
                              <w:bottom w:val="single" w:sz="8" w:space="0" w:color="000000"/>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0171B9" w:val="clear"/>
                            <w:tcMar>
                              <w:bottom w:w="28" w:type="dxa"/>
                            </w:tcMar>
                            <w:vAlign w:val="center"/>
                          </w:tcPr>
                          <w:p>
                            <w:pPr>
                              <w:pStyle w:val="TableContents"/>
                              <w:bidi w:val="0"/>
                              <w:spacing w:before="0" w:after="283"/>
                              <w:jc w:val="left"/>
                              <w:rPr/>
                            </w:pPr>
                            <w:r>
                              <w:rPr/>
                              <w:t> </w:t>
                            </w:r>
                          </w:p>
                        </w:tc>
                        <w:tc>
                          <w:tcPr>
                            <w:tcW w:w="860" w:type="dxa"/>
                            <w:tcBorders>
                              <w:bottom w:val="single" w:sz="8" w:space="0" w:color="000000"/>
                              <w:right w:val="single" w:sz="8" w:space="0" w:color="000000"/>
                            </w:tcBorders>
                            <w:shd w:fill="0171B9" w:val="clear"/>
                            <w:tcMar>
                              <w:bottom w:w="100" w:type="dxa"/>
                              <w:right w:w="40" w:type="dxa"/>
                            </w:tcMar>
                            <w:vAlign w:val="center"/>
                          </w:tcPr>
                          <w:p>
                            <w:pPr>
                              <w:pStyle w:val="TableContents"/>
                              <w:bidi w:val="0"/>
                              <w:spacing w:before="0" w:after="283"/>
                              <w:jc w:val="right"/>
                              <w:rPr>
                                <w:b/>
                                <w:color w:val="FFFFFF"/>
                              </w:rPr>
                            </w:pPr>
                            <w:r>
                              <w:rPr>
                                <w:b/>
                                <w:color w:val="FFFFFF"/>
                              </w:rPr>
                              <w:t>159.3%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40">
                <wp:simplePos x="0" y="0"/>
                <wp:positionH relativeFrom="column">
                  <wp:align>left</wp:align>
                </wp:positionH>
                <wp:positionV relativeFrom="line">
                  <wp:posOffset>635</wp:posOffset>
                </wp:positionV>
                <wp:extent cx="3175000" cy="6309995"/>
                <wp:effectExtent l="0" t="0" r="0" b="0"/>
                <wp:wrapSquare wrapText="right"/>
                <wp:docPr id="205" name="Frame98"/>
                <a:graphic xmlns:a="http://schemas.openxmlformats.org/drawingml/2006/main">
                  <a:graphicData uri="http://schemas.microsoft.com/office/word/2010/wordprocessingShape">
                    <wps:wsp>
                      <wps:cNvSpPr txBox="1"/>
                      <wps:spPr>
                        <a:xfrm>
                          <a:off x="0" y="0"/>
                          <a:ext cx="3175000" cy="6309995"/>
                        </a:xfrm>
                        <a:prstGeom prst="rect"/>
                        <a:solidFill>
                          <a:srgbClr val="FFFFFF"/>
                        </a:solidFill>
                      </wps:spPr>
                      <wps:txbx>
                        <w:txbxContent>
                          <w:p>
                            <w:pPr>
                              <w:pStyle w:val="TextBody"/>
                              <w:bidi w:val="0"/>
                              <w:spacing w:before="0" w:after="0"/>
                              <w:jc w:val="left"/>
                              <w:rPr>
                                <w:rFonts w:ascii="arial" w:hAnsi="arial"/>
                                <w:b/>
                                <w:i/>
                                <w:color w:val="0171B9"/>
                                <w:sz w:val="22"/>
                              </w:rPr>
                            </w:pPr>
                            <w:r>
                              <w:rPr>
                                <w:rFonts w:ascii="arial" w:hAnsi="arial"/>
                                <w:b/>
                                <w:i/>
                                <w:color w:val="0171B9"/>
                                <w:sz w:val="22"/>
                              </w:rPr>
                              <w:t xml:space="preserve">1. We delivered strong performance. </w:t>
                            </w:r>
                          </w:p>
                          <w:p>
                            <w:pPr>
                              <w:pStyle w:val="TextBody"/>
                              <w:bidi w:val="0"/>
                              <w:spacing w:before="0" w:after="0"/>
                              <w:jc w:val="left"/>
                              <w:rPr/>
                            </w:pPr>
                            <w:r>
                              <w:rPr/>
                              <w:t> </w:t>
                            </w:r>
                          </w:p>
                          <w:p>
                            <w:pPr>
                              <w:pStyle w:val="TextBody"/>
                              <w:pBdr/>
                              <w:bidi w:val="0"/>
                              <w:spacing w:before="0" w:after="0"/>
                              <w:ind w:left="100" w:right="0" w:hanging="0"/>
                              <w:jc w:val="both"/>
                              <w:rPr>
                                <w:rFonts w:ascii="arial" w:hAnsi="arial"/>
                                <w:b/>
                                <w:color w:val="FFFFFF"/>
                                <w:sz w:val="19"/>
                                <w:shd w:fill="31485D" w:val="clear"/>
                              </w:rPr>
                            </w:pPr>
                            <w:r>
                              <w:rPr>
                                <w:rFonts w:ascii="arial" w:hAnsi="arial"/>
                                <w:b/>
                                <w:color w:val="FFFFFF"/>
                                <w:sz w:val="19"/>
                                <w:shd w:fill="31485D" w:val="clear"/>
                              </w:rPr>
                              <w:t xml:space="preserve">(a) Revenues and (b) non-GAAP net income </w:t>
                            </w:r>
                          </w:p>
                          <w:p>
                            <w:pPr>
                              <w:pStyle w:val="TextBody"/>
                              <w:bidi w:val="0"/>
                              <w:spacing w:before="120" w:after="0"/>
                              <w:jc w:val="both"/>
                              <w:rPr>
                                <w:rFonts w:ascii="arial" w:hAnsi="arial"/>
                                <w:sz w:val="19"/>
                              </w:rPr>
                            </w:pPr>
                            <w:r>
                              <w:rPr>
                                <w:rFonts w:ascii="arial" w:hAnsi="arial"/>
                                <w:sz w:val="19"/>
                              </w:rPr>
                              <w:t xml:space="preserve">In January 2023, we provided investors initial guidance for the year for revenues (between $26.0 and $27.2 billion) and non-GAAP earnings per share, or EPS(1) (between $17.40 and $18.60). In March 2023, our Compensation Committee established 2023 financial performance goals with targets derived for the revenue goal from the midpoint of our initial 2023 revenue guidance, which is above our 2022 revenues ($26.3 billion) and above our 2022 target, and, for the non-GAAP net income goal, correlated to the midpoint of our initial 2023 non-GAAP EPS guidance and equal to our 2022 non-GAAP net income ($9.57 billion) and above our 2022 target ($9.32 billion). </w:t>
                            </w:r>
                          </w:p>
                          <w:p>
                            <w:pPr>
                              <w:pStyle w:val="TextBody"/>
                              <w:bidi w:val="0"/>
                              <w:spacing w:before="120" w:after="0"/>
                              <w:jc w:val="both"/>
                              <w:rPr>
                                <w:rFonts w:ascii="arial" w:hAnsi="arial"/>
                                <w:sz w:val="19"/>
                              </w:rPr>
                            </w:pPr>
                            <w:r>
                              <w:rPr>
                                <w:rFonts w:ascii="arial" w:hAnsi="arial"/>
                                <w:sz w:val="19"/>
                              </w:rPr>
                              <w:t xml:space="preserve">As a result of the focus of and execution by our executive leaders and the efforts of our entire Company, including the contributions from our new rare disease therapeutic area, our financial performance exceeded targets, resulting in 213.7% of target achieved for our revenue goal and 152.4% of target achieved for our non-GAAP net income goal. </w:t>
                            </w:r>
                          </w:p>
                          <w:p>
                            <w:pPr>
                              <w:pStyle w:val="TextBody"/>
                              <w:bidi w:val="0"/>
                              <w:spacing w:before="240" w:after="0"/>
                              <w:jc w:val="left"/>
                              <w:rPr>
                                <w:rFonts w:ascii="arial" w:hAnsi="arial"/>
                                <w:b/>
                                <w:i/>
                                <w:color w:val="0171B9"/>
                                <w:sz w:val="22"/>
                              </w:rPr>
                            </w:pPr>
                            <w:r>
                              <w:rPr>
                                <w:rFonts w:ascii="arial" w:hAnsi="arial"/>
                                <w:b/>
                                <w:i/>
                                <w:color w:val="0171B9"/>
                                <w:sz w:val="22"/>
                              </w:rPr>
                              <w:t xml:space="preserve">2. We progressed our pipeline.(2) </w:t>
                            </w:r>
                          </w:p>
                          <w:p>
                            <w:pPr>
                              <w:pStyle w:val="TextBody"/>
                              <w:bidi w:val="0"/>
                              <w:spacing w:before="120" w:after="0"/>
                              <w:jc w:val="both"/>
                              <w:rPr>
                                <w:rFonts w:ascii="arial" w:hAnsi="arial"/>
                                <w:sz w:val="19"/>
                              </w:rPr>
                            </w:pPr>
                            <w:r>
                              <w:rPr>
                                <w:rFonts w:ascii="arial" w:hAnsi="arial"/>
                                <w:sz w:val="19"/>
                              </w:rPr>
                              <w:t xml:space="preserve">In 2023, we progressed our strong and broad pipeline. </w:t>
                            </w:r>
                          </w:p>
                          <w:p>
                            <w:pPr>
                              <w:pStyle w:val="TextBody"/>
                              <w:bidi w:val="0"/>
                              <w:spacing w:before="0" w:after="0"/>
                              <w:jc w:val="left"/>
                              <w:rPr/>
                            </w:pPr>
                            <w:r>
                              <w:rPr/>
                              <w:t> </w:t>
                            </w:r>
                          </w:p>
                          <w:p>
                            <w:pPr>
                              <w:pStyle w:val="TextBody"/>
                              <w:pBdr/>
                              <w:bidi w:val="0"/>
                              <w:spacing w:before="0" w:after="0"/>
                              <w:ind w:left="100" w:right="0" w:hanging="0"/>
                              <w:jc w:val="both"/>
                              <w:rPr>
                                <w:rFonts w:ascii="arial" w:hAnsi="arial"/>
                                <w:b/>
                                <w:color w:val="FFFFFF"/>
                                <w:sz w:val="19"/>
                                <w:shd w:fill="31485D" w:val="clear"/>
                              </w:rPr>
                            </w:pPr>
                            <w:r>
                              <w:rPr>
                                <w:rFonts w:ascii="arial" w:hAnsi="arial"/>
                                <w:b/>
                                <w:color w:val="FFFFFF"/>
                                <w:sz w:val="19"/>
                                <w:shd w:fill="31485D" w:val="clear"/>
                              </w:rPr>
                              <w:t xml:space="preserve">a. Early pipeline </w:t>
                            </w:r>
                          </w:p>
                          <w:p>
                            <w:pPr>
                              <w:pStyle w:val="TextBody"/>
                              <w:bidi w:val="0"/>
                              <w:spacing w:before="120" w:after="0"/>
                              <w:jc w:val="both"/>
                              <w:rPr>
                                <w:rFonts w:ascii="arial" w:hAnsi="arial"/>
                                <w:sz w:val="19"/>
                              </w:rPr>
                            </w:pPr>
                            <w:r>
                              <w:rPr>
                                <w:rFonts w:ascii="arial" w:hAnsi="arial"/>
                                <w:sz w:val="19"/>
                              </w:rPr>
                              <w:t xml:space="preserve">We advanced our early pipeline in 2023: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We generated four new product teams (formed when a molecule has been judged to possess many of the attributes of a clinical candidate), including in oncology (for the treatment of solid tumors) and in inflammation (for the treatment of irritable bowel disease (IBD)), and two investigational new drug (IND) approvals, for product candidates being studied in oncology (for the treatment of solid tumors).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We initiated five first-in-human studies in unique indications, including for product candidates being studied in oncology (including for the treatment of solid tumors, prostate cancer, small cell lung cancer, and colorectal cancer) and rare disease (for the treatment of idiopathic inflammatory myositis).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We determined to advance five programs into the clinic – xaluritamig (for prostate cancer), tarlatamab (in both first line and late-stage for small cell lung cancer), AMG 193 (for solid tumors), and rocatinlimab (for prurigo nodularis).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96.8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i/>
                          <w:color w:val="0171B9"/>
                          <w:sz w:val="22"/>
                        </w:rPr>
                      </w:pPr>
                      <w:r>
                        <w:rPr>
                          <w:rFonts w:ascii="arial" w:hAnsi="arial"/>
                          <w:b/>
                          <w:i/>
                          <w:color w:val="0171B9"/>
                          <w:sz w:val="22"/>
                        </w:rPr>
                        <w:t xml:space="preserve">1. We delivered strong performance. </w:t>
                      </w:r>
                    </w:p>
                    <w:p>
                      <w:pPr>
                        <w:pStyle w:val="TextBody"/>
                        <w:bidi w:val="0"/>
                        <w:spacing w:before="0" w:after="0"/>
                        <w:jc w:val="left"/>
                        <w:rPr/>
                      </w:pPr>
                      <w:r>
                        <w:rPr/>
                        <w:t> </w:t>
                      </w:r>
                    </w:p>
                    <w:p>
                      <w:pPr>
                        <w:pStyle w:val="TextBody"/>
                        <w:pBdr/>
                        <w:bidi w:val="0"/>
                        <w:spacing w:before="0" w:after="0"/>
                        <w:ind w:left="100" w:right="0" w:hanging="0"/>
                        <w:jc w:val="both"/>
                        <w:rPr>
                          <w:rFonts w:ascii="arial" w:hAnsi="arial"/>
                          <w:b/>
                          <w:color w:val="FFFFFF"/>
                          <w:sz w:val="19"/>
                          <w:shd w:fill="31485D" w:val="clear"/>
                        </w:rPr>
                      </w:pPr>
                      <w:r>
                        <w:rPr>
                          <w:rFonts w:ascii="arial" w:hAnsi="arial"/>
                          <w:b/>
                          <w:color w:val="FFFFFF"/>
                          <w:sz w:val="19"/>
                          <w:shd w:fill="31485D" w:val="clear"/>
                        </w:rPr>
                        <w:t xml:space="preserve">(a) Revenues and (b) non-GAAP net income </w:t>
                      </w:r>
                    </w:p>
                    <w:p>
                      <w:pPr>
                        <w:pStyle w:val="TextBody"/>
                        <w:bidi w:val="0"/>
                        <w:spacing w:before="120" w:after="0"/>
                        <w:jc w:val="both"/>
                        <w:rPr>
                          <w:rFonts w:ascii="arial" w:hAnsi="arial"/>
                          <w:sz w:val="19"/>
                        </w:rPr>
                      </w:pPr>
                      <w:r>
                        <w:rPr>
                          <w:rFonts w:ascii="arial" w:hAnsi="arial"/>
                          <w:sz w:val="19"/>
                        </w:rPr>
                        <w:t xml:space="preserve">In January 2023, we provided investors initial guidance for the year for revenues (between $26.0 and $27.2 billion) and non-GAAP earnings per share, or EPS(1) (between $17.40 and $18.60). In March 2023, our Compensation Committee established 2023 financial performance goals with targets derived for the revenue goal from the midpoint of our initial 2023 revenue guidance, which is above our 2022 revenues ($26.3 billion) and above our 2022 target, and, for the non-GAAP net income goal, correlated to the midpoint of our initial 2023 non-GAAP EPS guidance and equal to our 2022 non-GAAP net income ($9.57 billion) and above our 2022 target ($9.32 billion). </w:t>
                      </w:r>
                    </w:p>
                    <w:p>
                      <w:pPr>
                        <w:pStyle w:val="TextBody"/>
                        <w:bidi w:val="0"/>
                        <w:spacing w:before="120" w:after="0"/>
                        <w:jc w:val="both"/>
                        <w:rPr>
                          <w:rFonts w:ascii="arial" w:hAnsi="arial"/>
                          <w:sz w:val="19"/>
                        </w:rPr>
                      </w:pPr>
                      <w:r>
                        <w:rPr>
                          <w:rFonts w:ascii="arial" w:hAnsi="arial"/>
                          <w:sz w:val="19"/>
                        </w:rPr>
                        <w:t xml:space="preserve">As a result of the focus of and execution by our executive leaders and the efforts of our entire Company, including the contributions from our new rare disease therapeutic area, our financial performance exceeded targets, resulting in 213.7% of target achieved for our revenue goal and 152.4% of target achieved for our non-GAAP net income goal. </w:t>
                      </w:r>
                    </w:p>
                    <w:p>
                      <w:pPr>
                        <w:pStyle w:val="TextBody"/>
                        <w:bidi w:val="0"/>
                        <w:spacing w:before="240" w:after="0"/>
                        <w:jc w:val="left"/>
                        <w:rPr>
                          <w:rFonts w:ascii="arial" w:hAnsi="arial"/>
                          <w:b/>
                          <w:i/>
                          <w:color w:val="0171B9"/>
                          <w:sz w:val="22"/>
                        </w:rPr>
                      </w:pPr>
                      <w:r>
                        <w:rPr>
                          <w:rFonts w:ascii="arial" w:hAnsi="arial"/>
                          <w:b/>
                          <w:i/>
                          <w:color w:val="0171B9"/>
                          <w:sz w:val="22"/>
                        </w:rPr>
                        <w:t xml:space="preserve">2. We progressed our pipeline.(2) </w:t>
                      </w:r>
                    </w:p>
                    <w:p>
                      <w:pPr>
                        <w:pStyle w:val="TextBody"/>
                        <w:bidi w:val="0"/>
                        <w:spacing w:before="120" w:after="0"/>
                        <w:jc w:val="both"/>
                        <w:rPr>
                          <w:rFonts w:ascii="arial" w:hAnsi="arial"/>
                          <w:sz w:val="19"/>
                        </w:rPr>
                      </w:pPr>
                      <w:r>
                        <w:rPr>
                          <w:rFonts w:ascii="arial" w:hAnsi="arial"/>
                          <w:sz w:val="19"/>
                        </w:rPr>
                        <w:t xml:space="preserve">In 2023, we progressed our strong and broad pipeline. </w:t>
                      </w:r>
                    </w:p>
                    <w:p>
                      <w:pPr>
                        <w:pStyle w:val="TextBody"/>
                        <w:bidi w:val="0"/>
                        <w:spacing w:before="0" w:after="0"/>
                        <w:jc w:val="left"/>
                        <w:rPr/>
                      </w:pPr>
                      <w:r>
                        <w:rPr/>
                        <w:t> </w:t>
                      </w:r>
                    </w:p>
                    <w:p>
                      <w:pPr>
                        <w:pStyle w:val="TextBody"/>
                        <w:pBdr/>
                        <w:bidi w:val="0"/>
                        <w:spacing w:before="0" w:after="0"/>
                        <w:ind w:left="100" w:right="0" w:hanging="0"/>
                        <w:jc w:val="both"/>
                        <w:rPr>
                          <w:rFonts w:ascii="arial" w:hAnsi="arial"/>
                          <w:b/>
                          <w:color w:val="FFFFFF"/>
                          <w:sz w:val="19"/>
                          <w:shd w:fill="31485D" w:val="clear"/>
                        </w:rPr>
                      </w:pPr>
                      <w:r>
                        <w:rPr>
                          <w:rFonts w:ascii="arial" w:hAnsi="arial"/>
                          <w:b/>
                          <w:color w:val="FFFFFF"/>
                          <w:sz w:val="19"/>
                          <w:shd w:fill="31485D" w:val="clear"/>
                        </w:rPr>
                        <w:t xml:space="preserve">a. Early pipeline </w:t>
                      </w:r>
                    </w:p>
                    <w:p>
                      <w:pPr>
                        <w:pStyle w:val="TextBody"/>
                        <w:bidi w:val="0"/>
                        <w:spacing w:before="120" w:after="0"/>
                        <w:jc w:val="both"/>
                        <w:rPr>
                          <w:rFonts w:ascii="arial" w:hAnsi="arial"/>
                          <w:sz w:val="19"/>
                        </w:rPr>
                      </w:pPr>
                      <w:r>
                        <w:rPr>
                          <w:rFonts w:ascii="arial" w:hAnsi="arial"/>
                          <w:sz w:val="19"/>
                        </w:rPr>
                        <w:t xml:space="preserve">We advanced our early pipeline in 2023: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8"/>
                              </w:rPr>
                            </w:pPr>
                            <w:r>
                              <w:rPr>
                                <w:rFonts w:ascii="arial" w:hAnsi="arial"/>
                                <w:sz w:val="18"/>
                              </w:rPr>
                              <w:t xml:space="preserve">We generated four new product teams (formed when a molecule has been judged to possess many of the attributes of a clinical candidate), including in oncology (for the treatment of solid tumors) and in inflammation (for the treatment of irritable bowel disease (IBD)), and two investigational new drug (IND) approvals, for product candidates being studied in oncology (for the treatment of solid tumors).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We initiated five first-in-human studies in unique indications, including for product candidates being studied in oncology (including for the treatment of solid tumors, prostate cancer, small cell lung cancer, and colorectal cancer) and rare disease (for the treatment of idiopathic inflammatory myositis).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We determined to advance five programs into the clinic – xaluritamig (for prostate cancer), tarlatamab (in both first line and late-stage for small cell lung cancer), AMG 193 (for solid tumors), and rocatinlimab (for prurigo nodularis). </w:t>
                            </w:r>
                          </w:p>
                        </w:tc>
                      </w:tr>
                    </w:tbl>
                    <w:p>
                      <w:pPr>
                        <w:pStyle w:val="TextBody"/>
                        <w:bidi w:val="0"/>
                        <w:spacing w:before="0" w:after="283"/>
                        <w:jc w:val="left"/>
                        <w:rPr/>
                      </w:pPr>
                      <w:r>
                        <w:rPr/>
                      </w:r>
                    </w:p>
                  </w:txbxContent>
                </v:textbox>
                <w10:wrap type="square" side="right"/>
              </v:rect>
            </w:pict>
          </mc:Fallback>
        </mc:AlternateContent>
      </w:r>
    </w:p>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283"/>
              <w:jc w:val="left"/>
              <w:rPr/>
            </w:pPr>
            <w:r>
              <w:rPr/>
              <w:t>(1) </w:t>
            </w:r>
          </w:p>
        </w:tc>
        <w:tc>
          <w:tcPr>
            <w:tcW w:w="9899" w:type="dxa"/>
            <w:tcBorders/>
            <w:vAlign w:val="center"/>
          </w:tcPr>
          <w:p>
            <w:pPr>
              <w:pStyle w:val="TableContents"/>
              <w:bidi w:val="0"/>
              <w:spacing w:before="0" w:after="0"/>
              <w:jc w:val="both"/>
              <w:rPr>
                <w:rFonts w:ascii="arial" w:hAnsi="arial"/>
                <w:sz w:val="16"/>
              </w:rPr>
            </w:pPr>
            <w:r>
              <w:rPr>
                <w:rFonts w:ascii="arial" w:hAnsi="arial"/>
                <w:sz w:val="16"/>
              </w:rPr>
              <w:t xml:space="preserve">Non-Generally Accepted Accounting Principles, or non-GAAP, net income for purposes of the 2023 Company performance goals of our annual cash incentive plan and non-GAAP EPS are reported and reconciled in </w:t>
            </w:r>
            <w:r>
              <w:rPr>
                <w:rFonts w:ascii="arial" w:hAnsi="arial"/>
                <w:b/>
                <w:sz w:val="16"/>
              </w:rPr>
              <w:t>Appendix B</w:t>
            </w:r>
            <w:r>
              <w:rPr>
                <w:rFonts w:ascii="arial" w:hAnsi="arial"/>
                <w:sz w:val="16"/>
              </w:rPr>
              <w:t xml:space="preserve">. </w:t>
            </w:r>
          </w:p>
        </w:tc>
      </w:tr>
    </w:tbl>
    <w:tbl>
      <w:tblPr>
        <w:tblW w:w="10195" w:type="dxa"/>
        <w:jc w:val="left"/>
        <w:tblInd w:w="0" w:type="dxa"/>
        <w:tblLayout w:type="fixed"/>
        <w:tblCellMar>
          <w:top w:w="0" w:type="dxa"/>
          <w:left w:w="0" w:type="dxa"/>
          <w:bottom w:w="0" w:type="dxa"/>
          <w:right w:w="0" w:type="dxa"/>
        </w:tblCellMar>
      </w:tblPr>
      <w:tblGrid>
        <w:gridCol w:w="365"/>
        <w:gridCol w:w="9830"/>
      </w:tblGrid>
      <w:tr>
        <w:trPr/>
        <w:tc>
          <w:tcPr>
            <w:tcW w:w="365" w:type="dxa"/>
            <w:tcBorders/>
            <w:vAlign w:val="center"/>
          </w:tcPr>
          <w:p>
            <w:pPr>
              <w:pStyle w:val="TableContents"/>
              <w:bidi w:val="0"/>
              <w:spacing w:before="0" w:after="283"/>
              <w:jc w:val="left"/>
              <w:rPr/>
            </w:pPr>
            <w:r>
              <w:rPr/>
              <w:t>(2) </w:t>
            </w:r>
          </w:p>
        </w:tc>
        <w:tc>
          <w:tcPr>
            <w:tcW w:w="9830" w:type="dxa"/>
            <w:tcBorders/>
            <w:vAlign w:val="center"/>
          </w:tcPr>
          <w:p>
            <w:pPr>
              <w:pStyle w:val="TableContents"/>
              <w:bidi w:val="0"/>
              <w:spacing w:before="0" w:after="0"/>
              <w:jc w:val="both"/>
              <w:rPr>
                <w:rFonts w:ascii="arial" w:hAnsi="arial"/>
                <w:sz w:val="16"/>
              </w:rPr>
            </w:pPr>
            <w:r>
              <w:rPr>
                <w:rFonts w:ascii="arial" w:hAnsi="arial"/>
                <w:sz w:val="16"/>
              </w:rPr>
              <w:t xml:space="preserve">For information regarding our significant pipeline advancements, please refer to our Form 10-K for the year ended December 31, 2023. </w:t>
            </w:r>
          </w:p>
        </w:tc>
      </w:tr>
    </w:tbl>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206"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02" descr=""/>
                    <pic:cNvPicPr>
                      <a:picLocks noChangeAspect="1" noChangeArrowheads="1"/>
                    </pic:cNvPicPr>
                  </pic:nvPicPr>
                  <pic:blipFill>
                    <a:blip r:embed="rId109"/>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55</w:t>
      </w:r>
      <w:r>
        <w:rPr>
          <w:rFonts w:ascii="arial" w:hAnsi="arial"/>
          <w:b/>
          <w:sz w:val="22"/>
        </w:rPr>
        <w:t xml:space="preserve"> </w:t>
      </w:r>
      <w:r>
        <w:br w:type="page"/>
      </w:r>
    </w:p>
    <w:p>
      <w:pPr>
        <w:pStyle w:val="HorizontalLine"/>
        <w:bidi w:val="0"/>
        <w:jc w:val="left"/>
        <w:rPr/>
      </w:pPr>
      <w:r>
        <w:rPr/>
      </w:r>
    </w:p>
    <w:tbl>
      <w:tblPr>
        <w:tblW w:w="507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45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459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Compensation Discussion and Analysis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41">
                <wp:simplePos x="0" y="0"/>
                <wp:positionH relativeFrom="column">
                  <wp:align>left</wp:align>
                </wp:positionH>
                <wp:positionV relativeFrom="line">
                  <wp:posOffset>635</wp:posOffset>
                </wp:positionV>
                <wp:extent cx="3110230" cy="4527550"/>
                <wp:effectExtent l="0" t="0" r="0" b="0"/>
                <wp:wrapSquare wrapText="right"/>
                <wp:docPr id="207" name="Frame99"/>
                <a:graphic xmlns:a="http://schemas.openxmlformats.org/drawingml/2006/main">
                  <a:graphicData uri="http://schemas.microsoft.com/office/word/2010/wordprocessingShape">
                    <wps:wsp>
                      <wps:cNvSpPr txBox="1"/>
                      <wps:spPr>
                        <a:xfrm>
                          <a:off x="0" y="0"/>
                          <a:ext cx="3110230" cy="4527550"/>
                        </a:xfrm>
                        <a:prstGeom prst="rect"/>
                        <a:solidFill>
                          <a:srgbClr val="FFFFFF"/>
                        </a:solidFill>
                      </wps:spPr>
                      <wps:txbx>
                        <w:txbxContent>
                          <w:p>
                            <w:pPr>
                              <w:pStyle w:val="TextBody"/>
                              <w:pBdr/>
                              <w:bidi w:val="0"/>
                              <w:spacing w:before="0" w:after="0"/>
                              <w:ind w:left="80" w:right="0" w:hanging="0"/>
                              <w:jc w:val="left"/>
                              <w:rPr>
                                <w:rFonts w:ascii="arial" w:hAnsi="arial"/>
                                <w:b/>
                                <w:color w:val="FFFFFF"/>
                                <w:sz w:val="18"/>
                                <w:shd w:fill="31485D" w:val="clear"/>
                              </w:rPr>
                            </w:pPr>
                            <w:r>
                              <w:rPr>
                                <w:rFonts w:ascii="arial" w:hAnsi="arial"/>
                                <w:b/>
                                <w:color w:val="FFFFFF"/>
                                <w:sz w:val="18"/>
                                <w:shd w:fill="31485D" w:val="clear"/>
                              </w:rPr>
                              <w:t xml:space="preserve">b. Key clinical studies and regulatory filings </w:t>
                            </w:r>
                          </w:p>
                          <w:p>
                            <w:pPr>
                              <w:pStyle w:val="TextBody"/>
                              <w:bidi w:val="0"/>
                              <w:spacing w:before="200" w:after="0"/>
                              <w:jc w:val="both"/>
                              <w:rPr>
                                <w:rFonts w:ascii="arial" w:hAnsi="arial"/>
                                <w:sz w:val="16"/>
                              </w:rPr>
                            </w:pPr>
                            <w:r>
                              <w:rPr>
                                <w:rFonts w:ascii="arial" w:hAnsi="arial"/>
                                <w:sz w:val="16"/>
                              </w:rPr>
                              <w:t xml:space="preserve">We made significant progress on our key clinical studies and regulatory filings in 2023: </w:t>
                            </w:r>
                          </w:p>
                          <w:p>
                            <w:pPr>
                              <w:pStyle w:val="TextBody"/>
                              <w:bidi w:val="0"/>
                              <w:spacing w:before="0" w:after="0"/>
                              <w:jc w:val="left"/>
                              <w:rPr/>
                            </w:pPr>
                            <w:r>
                              <w:rPr/>
                              <w:t> </w:t>
                            </w:r>
                          </w:p>
                          <w:tbl>
                            <w:tblPr>
                              <w:tblW w:w="1145" w:type="dxa"/>
                              <w:jc w:val="left"/>
                              <w:tblInd w:w="0" w:type="dxa"/>
                              <w:tblLayout w:type="fixed"/>
                              <w:tblCellMar>
                                <w:top w:w="0" w:type="dxa"/>
                                <w:left w:w="0" w:type="dxa"/>
                                <w:bottom w:w="0" w:type="dxa"/>
                                <w:right w:w="0" w:type="dxa"/>
                              </w:tblCellMar>
                            </w:tblPr>
                            <w:tblGrid>
                              <w:gridCol w:w="1145"/>
                            </w:tblGrid>
                            <w:tr>
                              <w:trPr/>
                              <w:tc>
                                <w:tcPr>
                                  <w:tcW w:w="1145" w:type="dxa"/>
                                  <w:tcBorders/>
                                  <w:vAlign w:val="center"/>
                                </w:tcPr>
                                <w:p>
                                  <w:pPr>
                                    <w:pStyle w:val="TableContents"/>
                                    <w:bidi w:val="0"/>
                                    <w:spacing w:before="0" w:after="283"/>
                                    <w:jc w:val="left"/>
                                    <w:rPr>
                                      <w:sz w:val="4"/>
                                      <w:szCs w:val="4"/>
                                    </w:rPr>
                                  </w:pPr>
                                  <w:r>
                                    <w:rPr>
                                      <w:sz w:val="4"/>
                                      <w:szCs w:val="4"/>
                                    </w:rPr>
                                  </w:r>
                                </w:p>
                              </w:tc>
                            </w:tr>
                            <w:tr>
                              <w:trPr/>
                              <w:tc>
                                <w:tcPr>
                                  <w:tcW w:w="1145" w:type="dxa"/>
                                  <w:tcBorders/>
                                  <w:shd w:fill="E5F0F8" w:val="clear"/>
                                  <w:vAlign w:val="center"/>
                                </w:tcPr>
                                <w:p>
                                  <w:pPr>
                                    <w:pStyle w:val="TableContents"/>
                                    <w:bidi w:val="0"/>
                                    <w:spacing w:before="0" w:after="283"/>
                                    <w:jc w:val="left"/>
                                    <w:rPr>
                                      <w:sz w:val="4"/>
                                      <w:szCs w:val="4"/>
                                    </w:rPr>
                                  </w:pPr>
                                  <w:r>
                                    <w:rPr>
                                      <w:sz w:val="4"/>
                                      <w:szCs w:val="4"/>
                                    </w:rPr>
                                  </w:r>
                                </w:p>
                              </w:tc>
                            </w:tr>
                            <w:tr>
                              <w:trPr/>
                              <w:tc>
                                <w:tcPr>
                                  <w:tcW w:w="1145" w:type="dxa"/>
                                  <w:tcBorders/>
                                  <w:shd w:fill="E5F0F8" w:val="clear"/>
                                  <w:vAlign w:val="center"/>
                                </w:tcPr>
                                <w:p>
                                  <w:pPr>
                                    <w:pStyle w:val="TableContents"/>
                                    <w:bidi w:val="0"/>
                                    <w:spacing w:before="0" w:after="0"/>
                                    <w:jc w:val="left"/>
                                    <w:rPr>
                                      <w:rFonts w:ascii="arial" w:hAnsi="arial"/>
                                      <w:b/>
                                      <w:color w:val="0171B9"/>
                                      <w:sz w:val="22"/>
                                    </w:rPr>
                                  </w:pPr>
                                  <w:r>
                                    <w:rPr>
                                      <w:rFonts w:ascii="arial" w:hAnsi="arial"/>
                                      <w:b/>
                                      <w:color w:val="0171B9"/>
                                      <w:sz w:val="22"/>
                                    </w:rPr>
                                    <w:t>Oncology:</w:t>
                                  </w:r>
                                </w:p>
                              </w:tc>
                            </w:tr>
                          </w:tbl>
                          <w:p>
                            <w:pPr>
                              <w:pStyle w:val="TextBody"/>
                              <w:bidi w:val="0"/>
                              <w:spacing w:before="200" w:after="0"/>
                              <w:jc w:val="both"/>
                              <w:rPr>
                                <w:rFonts w:ascii="arial" w:hAnsi="arial"/>
                                <w:sz w:val="16"/>
                              </w:rPr>
                            </w:pPr>
                            <w:r>
                              <w:rPr>
                                <w:rFonts w:ascii="arial" w:hAnsi="arial"/>
                                <w:sz w:val="16"/>
                              </w:rPr>
                              <w:t xml:space="preserve">In our </w:t>
                            </w:r>
                            <w:r>
                              <w:rPr>
                                <w:rFonts w:ascii="arial" w:hAnsi="arial"/>
                                <w:b/>
                                <w:color w:val="0171B9"/>
                                <w:sz w:val="16"/>
                              </w:rPr>
                              <w:t>oncology</w:t>
                            </w:r>
                            <w:r>
                              <w:rPr>
                                <w:rFonts w:ascii="arial" w:hAnsi="arial"/>
                                <w:sz w:val="16"/>
                              </w:rPr>
                              <w:t xml:space="preserve"> therapeutic area we were granted </w:t>
                            </w:r>
                            <w:r>
                              <w:rPr>
                                <w:rFonts w:ascii="arial" w:hAnsi="arial"/>
                                <w:b/>
                                <w:color w:val="0171B9"/>
                                <w:sz w:val="16"/>
                              </w:rPr>
                              <w:t>three Breakthrough Therapy Designations</w:t>
                            </w:r>
                            <w:r>
                              <w:rPr>
                                <w:rFonts w:ascii="arial" w:hAnsi="arial"/>
                                <w:sz w:val="16"/>
                              </w:rPr>
                              <w:t xml:space="preserve"> in 2023 by the FDA while advancing our pipeline: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6"/>
                                    </w:rPr>
                                  </w:pPr>
                                  <w:r>
                                    <w:rPr>
                                      <w:rFonts w:ascii="arial" w:hAnsi="arial"/>
                                      <w:sz w:val="16"/>
                                    </w:rPr>
                                    <w:t xml:space="preserve">For </w:t>
                                  </w:r>
                                  <w:r>
                                    <w:rPr>
                                      <w:rFonts w:ascii="arial" w:hAnsi="arial"/>
                                      <w:b/>
                                      <w:color w:val="0171B9"/>
                                      <w:sz w:val="16"/>
                                    </w:rPr>
                                    <w:t xml:space="preserve">tarlatamab </w:t>
                                  </w:r>
                                  <w:r>
                                    <w:rPr>
                                      <w:rFonts w:ascii="arial" w:hAnsi="arial"/>
                                      <w:sz w:val="16"/>
                                    </w:rPr>
                                    <w:t xml:space="preserve">(our first-in-class half-life extended anti-delta-like ligand 3 (DLL3) x anti-CD3 BiTE® molecule), we presented positive potentially registrational Phase 2 data demonstrating an objective response rate of 40% and median overall survival of 14.3 months in patients with advanced-stage small cell lung cancer (SCLC) at the European Society for Medical Oncology (ESMO) and simultaneously published in the </w:t>
                                  </w:r>
                                  <w:r>
                                    <w:rPr>
                                      <w:rFonts w:ascii="arial" w:hAnsi="arial"/>
                                      <w:i/>
                                      <w:sz w:val="16"/>
                                    </w:rPr>
                                    <w:t>New England Journal of Medicine</w:t>
                                  </w:r>
                                  <w:r>
                                    <w:rPr>
                                      <w:rFonts w:ascii="arial" w:hAnsi="arial"/>
                                      <w:sz w:val="16"/>
                                    </w:rPr>
                                    <w:t xml:space="preserve"> (NEJM). The FDA has granted tarlatamab Breakthrough Therapy Designation for this indication.(1) The FDA granted Priority Review(2) for our Biologics License Application for advanced SCLC. We initiated a Phase 3 study of tarlatamab versus chemotherapy in second-line SCLC.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6"/>
                                    </w:rPr>
                                  </w:pPr>
                                  <w:r>
                                    <w:rPr>
                                      <w:rFonts w:ascii="arial" w:hAnsi="arial"/>
                                      <w:sz w:val="16"/>
                                    </w:rPr>
                                    <w:t xml:space="preserve">For </w:t>
                                  </w:r>
                                  <w:r>
                                    <w:rPr>
                                      <w:rFonts w:ascii="arial" w:hAnsi="arial"/>
                                      <w:b/>
                                      <w:color w:val="0171B9"/>
                                      <w:sz w:val="16"/>
                                    </w:rPr>
                                    <w:t>BLINCYTO</w:t>
                                  </w:r>
                                  <w:r>
                                    <w:rPr>
                                      <w:rFonts w:ascii="arial" w:hAnsi="arial"/>
                                      <w:sz w:val="16"/>
                                    </w:rPr>
                                    <w:t xml:space="preserve"> (our first-in-class anti-CD19 x anti-CD3 BiTE molecule), the FDA has granted Breakthrough Therapy Designation for the treatment of adult and pediatric patients with CD19-positive Philadelphia chromosome-negative B-cell precursor acute lymphoblastic leukemia during the consolidation phase of multiphase therapy and the FDA granted full approval for BLINCYTO to treat minimal residual disease-positive B-cell precursor acute lymphoblastic leukemia.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6"/>
                                    </w:rPr>
                                  </w:pPr>
                                  <w:r>
                                    <w:rPr>
                                      <w:rFonts w:ascii="arial" w:hAnsi="arial"/>
                                      <w:sz w:val="16"/>
                                    </w:rPr>
                                    <w:t>For</w:t>
                                  </w:r>
                                  <w:r>
                                    <w:rPr>
                                      <w:rFonts w:ascii="arial" w:hAnsi="arial"/>
                                      <w:color w:val="0171B9"/>
                                      <w:sz w:val="16"/>
                                    </w:rPr>
                                    <w:t xml:space="preserve"> </w:t>
                                  </w:r>
                                  <w:r>
                                    <w:rPr>
                                      <w:rFonts w:ascii="arial" w:hAnsi="arial"/>
                                      <w:b/>
                                      <w:color w:val="0171B9"/>
                                      <w:sz w:val="16"/>
                                    </w:rPr>
                                    <w:t>LUMAKRAS</w:t>
                                  </w:r>
                                  <w:r>
                                    <w:rPr>
                                      <w:rFonts w:ascii="arial" w:hAnsi="arial"/>
                                      <w:sz w:val="16"/>
                                    </w:rPr>
                                    <w:t xml:space="preserve"> (our first-in-class small molecule approved for patients with KRAS G12C-mutated locally advanced or metastatic non-small cell lung cancer), we presented the positive results of the global Phase 3 CodeBreaK 300 trial in combination with </w:t>
                                  </w:r>
                                  <w:r>
                                    <w:rPr>
                                      <w:rFonts w:ascii="arial" w:hAnsi="arial"/>
                                      <w:b/>
                                      <w:color w:val="0171B9"/>
                                      <w:sz w:val="16"/>
                                    </w:rPr>
                                    <w:t>Vectibix</w:t>
                                  </w:r>
                                  <w:r>
                                    <w:rPr>
                                      <w:rFonts w:ascii="arial" w:hAnsi="arial"/>
                                      <w:sz w:val="16"/>
                                    </w:rPr>
                                    <w:t xml:space="preserve"> in third-line KRAS G12C mutated metastatic colorectal cancer. Additionally, the FDA has granted Breakthrough Therapy Designation to LUMAKRAS for this indication. We have also initiated a Phase 3 study of LUMAKRAS plus chemotherapy versus pembrolizumab plus chemotherapy in first-line KRAS G12C-mutated and programmed cell death protein ligand-1 (PD-L1) negative advanced non-small cell lung cancer. In December 2023, the FDA completed its review of our supplemental New Drug Application seeking full approval of LUMAKRAS and concluded that we had successfully fulfilled the dose comparison post marketing requirement of LUMAKRAS’ 960 mg daily dose and an additional confirmatory study was required to support full approval of LUMAKRAS.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56.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pBdr/>
                        <w:bidi w:val="0"/>
                        <w:spacing w:before="0" w:after="0"/>
                        <w:ind w:left="80" w:right="0" w:hanging="0"/>
                        <w:jc w:val="left"/>
                        <w:rPr>
                          <w:rFonts w:ascii="arial" w:hAnsi="arial"/>
                          <w:b/>
                          <w:color w:val="FFFFFF"/>
                          <w:sz w:val="18"/>
                          <w:shd w:fill="31485D" w:val="clear"/>
                        </w:rPr>
                      </w:pPr>
                      <w:r>
                        <w:rPr>
                          <w:rFonts w:ascii="arial" w:hAnsi="arial"/>
                          <w:b/>
                          <w:color w:val="FFFFFF"/>
                          <w:sz w:val="18"/>
                          <w:shd w:fill="31485D" w:val="clear"/>
                        </w:rPr>
                        <w:t xml:space="preserve">b. Key clinical studies and regulatory filings </w:t>
                      </w:r>
                    </w:p>
                    <w:p>
                      <w:pPr>
                        <w:pStyle w:val="TextBody"/>
                        <w:bidi w:val="0"/>
                        <w:spacing w:before="200" w:after="0"/>
                        <w:jc w:val="both"/>
                        <w:rPr>
                          <w:rFonts w:ascii="arial" w:hAnsi="arial"/>
                          <w:sz w:val="16"/>
                        </w:rPr>
                      </w:pPr>
                      <w:r>
                        <w:rPr>
                          <w:rFonts w:ascii="arial" w:hAnsi="arial"/>
                          <w:sz w:val="16"/>
                        </w:rPr>
                        <w:t xml:space="preserve">We made significant progress on our key clinical studies and regulatory filings in 2023: </w:t>
                      </w:r>
                    </w:p>
                    <w:p>
                      <w:pPr>
                        <w:pStyle w:val="TextBody"/>
                        <w:bidi w:val="0"/>
                        <w:spacing w:before="0" w:after="0"/>
                        <w:jc w:val="left"/>
                        <w:rPr/>
                      </w:pPr>
                      <w:r>
                        <w:rPr/>
                        <w:t> </w:t>
                      </w:r>
                    </w:p>
                    <w:tbl>
                      <w:tblPr>
                        <w:tblW w:w="1145" w:type="dxa"/>
                        <w:jc w:val="left"/>
                        <w:tblInd w:w="0" w:type="dxa"/>
                        <w:tblLayout w:type="fixed"/>
                        <w:tblCellMar>
                          <w:top w:w="0" w:type="dxa"/>
                          <w:left w:w="0" w:type="dxa"/>
                          <w:bottom w:w="0" w:type="dxa"/>
                          <w:right w:w="0" w:type="dxa"/>
                        </w:tblCellMar>
                      </w:tblPr>
                      <w:tblGrid>
                        <w:gridCol w:w="1145"/>
                      </w:tblGrid>
                      <w:tr>
                        <w:trPr/>
                        <w:tc>
                          <w:tcPr>
                            <w:tcW w:w="1145" w:type="dxa"/>
                            <w:tcBorders/>
                            <w:vAlign w:val="center"/>
                          </w:tcPr>
                          <w:p>
                            <w:pPr>
                              <w:pStyle w:val="TableContents"/>
                              <w:bidi w:val="0"/>
                              <w:spacing w:before="0" w:after="283"/>
                              <w:jc w:val="left"/>
                              <w:rPr>
                                <w:sz w:val="4"/>
                                <w:szCs w:val="4"/>
                              </w:rPr>
                            </w:pPr>
                            <w:r>
                              <w:rPr>
                                <w:sz w:val="4"/>
                                <w:szCs w:val="4"/>
                              </w:rPr>
                            </w:r>
                          </w:p>
                        </w:tc>
                      </w:tr>
                      <w:tr>
                        <w:trPr/>
                        <w:tc>
                          <w:tcPr>
                            <w:tcW w:w="1145" w:type="dxa"/>
                            <w:tcBorders/>
                            <w:shd w:fill="E5F0F8" w:val="clear"/>
                            <w:vAlign w:val="center"/>
                          </w:tcPr>
                          <w:p>
                            <w:pPr>
                              <w:pStyle w:val="TableContents"/>
                              <w:bidi w:val="0"/>
                              <w:spacing w:before="0" w:after="283"/>
                              <w:jc w:val="left"/>
                              <w:rPr>
                                <w:sz w:val="4"/>
                                <w:szCs w:val="4"/>
                              </w:rPr>
                            </w:pPr>
                            <w:r>
                              <w:rPr>
                                <w:sz w:val="4"/>
                                <w:szCs w:val="4"/>
                              </w:rPr>
                            </w:r>
                          </w:p>
                        </w:tc>
                      </w:tr>
                      <w:tr>
                        <w:trPr/>
                        <w:tc>
                          <w:tcPr>
                            <w:tcW w:w="1145" w:type="dxa"/>
                            <w:tcBorders/>
                            <w:shd w:fill="E5F0F8" w:val="clear"/>
                            <w:vAlign w:val="center"/>
                          </w:tcPr>
                          <w:p>
                            <w:pPr>
                              <w:pStyle w:val="TableContents"/>
                              <w:bidi w:val="0"/>
                              <w:spacing w:before="0" w:after="0"/>
                              <w:jc w:val="left"/>
                              <w:rPr>
                                <w:rFonts w:ascii="arial" w:hAnsi="arial"/>
                                <w:b/>
                                <w:color w:val="0171B9"/>
                                <w:sz w:val="22"/>
                              </w:rPr>
                            </w:pPr>
                            <w:r>
                              <w:rPr>
                                <w:rFonts w:ascii="arial" w:hAnsi="arial"/>
                                <w:b/>
                                <w:color w:val="0171B9"/>
                                <w:sz w:val="22"/>
                              </w:rPr>
                              <w:t>Oncology:</w:t>
                            </w:r>
                          </w:p>
                        </w:tc>
                      </w:tr>
                    </w:tbl>
                    <w:p>
                      <w:pPr>
                        <w:pStyle w:val="TextBody"/>
                        <w:bidi w:val="0"/>
                        <w:spacing w:before="200" w:after="0"/>
                        <w:jc w:val="both"/>
                        <w:rPr>
                          <w:rFonts w:ascii="arial" w:hAnsi="arial"/>
                          <w:sz w:val="16"/>
                        </w:rPr>
                      </w:pPr>
                      <w:r>
                        <w:rPr>
                          <w:rFonts w:ascii="arial" w:hAnsi="arial"/>
                          <w:sz w:val="16"/>
                        </w:rPr>
                        <w:t xml:space="preserve">In our </w:t>
                      </w:r>
                      <w:r>
                        <w:rPr>
                          <w:rFonts w:ascii="arial" w:hAnsi="arial"/>
                          <w:b/>
                          <w:color w:val="0171B9"/>
                          <w:sz w:val="16"/>
                        </w:rPr>
                        <w:t>oncology</w:t>
                      </w:r>
                      <w:r>
                        <w:rPr>
                          <w:rFonts w:ascii="arial" w:hAnsi="arial"/>
                          <w:sz w:val="16"/>
                        </w:rPr>
                        <w:t xml:space="preserve"> therapeutic area we were granted </w:t>
                      </w:r>
                      <w:r>
                        <w:rPr>
                          <w:rFonts w:ascii="arial" w:hAnsi="arial"/>
                          <w:b/>
                          <w:color w:val="0171B9"/>
                          <w:sz w:val="16"/>
                        </w:rPr>
                        <w:t>three Breakthrough Therapy Designations</w:t>
                      </w:r>
                      <w:r>
                        <w:rPr>
                          <w:rFonts w:ascii="arial" w:hAnsi="arial"/>
                          <w:sz w:val="16"/>
                        </w:rPr>
                        <w:t xml:space="preserve"> in 2023 by the FDA while advancing our pipeline: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6"/>
                              </w:rPr>
                            </w:pPr>
                            <w:r>
                              <w:rPr>
                                <w:rFonts w:ascii="arial" w:hAnsi="arial"/>
                                <w:sz w:val="16"/>
                              </w:rPr>
                              <w:t xml:space="preserve">For </w:t>
                            </w:r>
                            <w:r>
                              <w:rPr>
                                <w:rFonts w:ascii="arial" w:hAnsi="arial"/>
                                <w:b/>
                                <w:color w:val="0171B9"/>
                                <w:sz w:val="16"/>
                              </w:rPr>
                              <w:t xml:space="preserve">tarlatamab </w:t>
                            </w:r>
                            <w:r>
                              <w:rPr>
                                <w:rFonts w:ascii="arial" w:hAnsi="arial"/>
                                <w:sz w:val="16"/>
                              </w:rPr>
                              <w:t xml:space="preserve">(our first-in-class half-life extended anti-delta-like ligand 3 (DLL3) x anti-CD3 BiTE® molecule), we presented positive potentially registrational Phase 2 data demonstrating an objective response rate of 40% and median overall survival of 14.3 months in patients with advanced-stage small cell lung cancer (SCLC) at the European Society for Medical Oncology (ESMO) and simultaneously published in the </w:t>
                            </w:r>
                            <w:r>
                              <w:rPr>
                                <w:rFonts w:ascii="arial" w:hAnsi="arial"/>
                                <w:i/>
                                <w:sz w:val="16"/>
                              </w:rPr>
                              <w:t>New England Journal of Medicine</w:t>
                            </w:r>
                            <w:r>
                              <w:rPr>
                                <w:rFonts w:ascii="arial" w:hAnsi="arial"/>
                                <w:sz w:val="16"/>
                              </w:rPr>
                              <w:t xml:space="preserve"> (NEJM). The FDA has granted tarlatamab Breakthrough Therapy Designation for this indication.(1) The FDA granted Priority Review(2) for our Biologics License Application for advanced SCLC. We initiated a Phase 3 study of tarlatamab versus chemotherapy in second-line SCLC.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6"/>
                              </w:rPr>
                            </w:pPr>
                            <w:r>
                              <w:rPr>
                                <w:rFonts w:ascii="arial" w:hAnsi="arial"/>
                                <w:sz w:val="16"/>
                              </w:rPr>
                              <w:t xml:space="preserve">For </w:t>
                            </w:r>
                            <w:r>
                              <w:rPr>
                                <w:rFonts w:ascii="arial" w:hAnsi="arial"/>
                                <w:b/>
                                <w:color w:val="0171B9"/>
                                <w:sz w:val="16"/>
                              </w:rPr>
                              <w:t>BLINCYTO</w:t>
                            </w:r>
                            <w:r>
                              <w:rPr>
                                <w:rFonts w:ascii="arial" w:hAnsi="arial"/>
                                <w:sz w:val="16"/>
                              </w:rPr>
                              <w:t xml:space="preserve"> (our first-in-class anti-CD19 x anti-CD3 BiTE molecule), the FDA has granted Breakthrough Therapy Designation for the treatment of adult and pediatric patients with CD19-positive Philadelphia chromosome-negative B-cell precursor acute lymphoblastic leukemia during the consolidation phase of multiphase therapy and the FDA granted full approval for BLINCYTO to treat minimal residual disease-positive B-cell precursor acute lymphoblastic leukemia.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6"/>
                              </w:rPr>
                            </w:pPr>
                            <w:r>
                              <w:rPr>
                                <w:rFonts w:ascii="arial" w:hAnsi="arial"/>
                                <w:sz w:val="16"/>
                              </w:rPr>
                              <w:t>For</w:t>
                            </w:r>
                            <w:r>
                              <w:rPr>
                                <w:rFonts w:ascii="arial" w:hAnsi="arial"/>
                                <w:color w:val="0171B9"/>
                                <w:sz w:val="16"/>
                              </w:rPr>
                              <w:t xml:space="preserve"> </w:t>
                            </w:r>
                            <w:r>
                              <w:rPr>
                                <w:rFonts w:ascii="arial" w:hAnsi="arial"/>
                                <w:b/>
                                <w:color w:val="0171B9"/>
                                <w:sz w:val="16"/>
                              </w:rPr>
                              <w:t>LUMAKRAS</w:t>
                            </w:r>
                            <w:r>
                              <w:rPr>
                                <w:rFonts w:ascii="arial" w:hAnsi="arial"/>
                                <w:sz w:val="16"/>
                              </w:rPr>
                              <w:t xml:space="preserve"> (our first-in-class small molecule approved for patients with KRAS G12C-mutated locally advanced or metastatic non-small cell lung cancer), we presented the positive results of the global Phase 3 CodeBreaK 300 trial in combination with </w:t>
                            </w:r>
                            <w:r>
                              <w:rPr>
                                <w:rFonts w:ascii="arial" w:hAnsi="arial"/>
                                <w:b/>
                                <w:color w:val="0171B9"/>
                                <w:sz w:val="16"/>
                              </w:rPr>
                              <w:t>Vectibix</w:t>
                            </w:r>
                            <w:r>
                              <w:rPr>
                                <w:rFonts w:ascii="arial" w:hAnsi="arial"/>
                                <w:sz w:val="16"/>
                              </w:rPr>
                              <w:t xml:space="preserve"> in third-line KRAS G12C mutated metastatic colorectal cancer. Additionally, the FDA has granted Breakthrough Therapy Designation to LUMAKRAS for this indication. We have also initiated a Phase 3 study of LUMAKRAS plus chemotherapy versus pembrolizumab plus chemotherapy in first-line KRAS G12C-mutated and programmed cell death protein ligand-1 (PD-L1) negative advanced non-small cell lung cancer. In December 2023, the FDA completed its review of our supplemental New Drug Application seeking full approval of LUMAKRAS and concluded that we had successfully fulfilled the dose comparison post marketing requirement of LUMAKRAS’ 960 mg daily dose and an additional confirmatory study was required to support full approval of LUMAKRAS.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42">
                <wp:simplePos x="0" y="0"/>
                <wp:positionH relativeFrom="column">
                  <wp:align>left</wp:align>
                </wp:positionH>
                <wp:positionV relativeFrom="line">
                  <wp:posOffset>635</wp:posOffset>
                </wp:positionV>
                <wp:extent cx="3175000" cy="5014595"/>
                <wp:effectExtent l="0" t="0" r="0" b="0"/>
                <wp:wrapSquare wrapText="right"/>
                <wp:docPr id="208" name="Frame100"/>
                <a:graphic xmlns:a="http://schemas.openxmlformats.org/drawingml/2006/main">
                  <a:graphicData uri="http://schemas.microsoft.com/office/word/2010/wordprocessingShape">
                    <wps:wsp>
                      <wps:cNvSpPr txBox="1"/>
                      <wps:spPr>
                        <a:xfrm>
                          <a:off x="0" y="0"/>
                          <a:ext cx="3175000" cy="501459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6"/>
                                    </w:rPr>
                                  </w:pPr>
                                  <w:r>
                                    <w:rPr>
                                      <w:rFonts w:ascii="arial" w:hAnsi="arial"/>
                                      <w:sz w:val="16"/>
                                    </w:rPr>
                                    <w:t xml:space="preserve">For </w:t>
                                  </w:r>
                                  <w:r>
                                    <w:rPr>
                                      <w:rFonts w:ascii="arial" w:hAnsi="arial"/>
                                      <w:b/>
                                      <w:color w:val="0171B9"/>
                                      <w:sz w:val="16"/>
                                    </w:rPr>
                                    <w:t>bemarituzumab</w:t>
                                  </w:r>
                                  <w:r>
                                    <w:rPr>
                                      <w:rFonts w:ascii="arial" w:hAnsi="arial"/>
                                      <w:sz w:val="16"/>
                                    </w:rPr>
                                    <w:t xml:space="preserve"> (our first-in-class monoclonal antibody that inhibits fibroblast growth factor receptor 2b (FGFR2b)), a Phase 3 study for the treatment of patients with human epidermal growth factor receptor 2 negative FGFR2b-positive advanced gastric and gastroesophageal junction cancers is in progress.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6"/>
                                    </w:rPr>
                                  </w:pPr>
                                  <w:r>
                                    <w:rPr>
                                      <w:rFonts w:ascii="arial" w:hAnsi="arial"/>
                                      <w:sz w:val="16"/>
                                    </w:rPr>
                                    <w:t xml:space="preserve">For </w:t>
                                  </w:r>
                                  <w:r>
                                    <w:rPr>
                                      <w:rFonts w:ascii="arial" w:hAnsi="arial"/>
                                      <w:b/>
                                      <w:color w:val="0171B9"/>
                                      <w:sz w:val="16"/>
                                    </w:rPr>
                                    <w:t>xaluritamig</w:t>
                                  </w:r>
                                  <w:r>
                                    <w:rPr>
                                      <w:rFonts w:ascii="arial" w:hAnsi="arial"/>
                                      <w:sz w:val="16"/>
                                    </w:rPr>
                                    <w:t xml:space="preserve"> (our first-in-class bispecific molecule targeting STEAP1(3)), initial data from a Phase 1b study demonstrating encouraging anti-tumor activity in heavily pretreated patients with metastatic castrate-resistant prostate cancer were presented at ESMO and simultaneously published in </w:t>
                                  </w:r>
                                  <w:r>
                                    <w:rPr>
                                      <w:rFonts w:ascii="arial" w:hAnsi="arial"/>
                                      <w:i/>
                                      <w:sz w:val="16"/>
                                    </w:rPr>
                                    <w:t xml:space="preserve">Cancer Discovery.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6"/>
                                    </w:rPr>
                                  </w:pPr>
                                  <w:r>
                                    <w:rPr>
                                      <w:rFonts w:ascii="arial" w:hAnsi="arial"/>
                                      <w:sz w:val="16"/>
                                    </w:rPr>
                                    <w:t xml:space="preserve">For </w:t>
                                  </w:r>
                                  <w:r>
                                    <w:rPr>
                                      <w:rFonts w:ascii="arial" w:hAnsi="arial"/>
                                      <w:b/>
                                      <w:color w:val="0171B9"/>
                                      <w:sz w:val="16"/>
                                    </w:rPr>
                                    <w:t>ABP 206</w:t>
                                  </w:r>
                                  <w:r>
                                    <w:rPr>
                                      <w:rFonts w:ascii="arial" w:hAnsi="arial"/>
                                      <w:sz w:val="16"/>
                                    </w:rPr>
                                    <w:t xml:space="preserve"> (biosimilar candidate to OPDIVO®(4) (nivolumab)), we initiated a Phase 3 randomized, double-blind pivotal study to determine biosimilarity of ABP 206 compared with OPDIVO in resected stage III or stage IV melanoma patients in the adjuvant setting. </w:t>
                                  </w:r>
                                </w:p>
                              </w:tc>
                            </w:tr>
                          </w:tbl>
                          <w:p>
                            <w:pPr>
                              <w:pStyle w:val="TextBody"/>
                              <w:bidi w:val="0"/>
                              <w:spacing w:before="0" w:after="0"/>
                              <w:jc w:val="left"/>
                              <w:rPr/>
                            </w:pPr>
                            <w:r>
                              <w:rPr/>
                              <w:t> </w:t>
                            </w:r>
                          </w:p>
                          <w:tbl>
                            <w:tblPr>
                              <w:tblW w:w="8605" w:type="dxa"/>
                              <w:jc w:val="left"/>
                              <w:tblInd w:w="0" w:type="dxa"/>
                              <w:tblLayout w:type="fixed"/>
                              <w:tblCellMar>
                                <w:top w:w="0" w:type="dxa"/>
                                <w:left w:w="0" w:type="dxa"/>
                                <w:bottom w:w="0" w:type="dxa"/>
                                <w:right w:w="0" w:type="dxa"/>
                              </w:tblCellMar>
                            </w:tblPr>
                            <w:tblGrid>
                              <w:gridCol w:w="125"/>
                              <w:gridCol w:w="60"/>
                              <w:gridCol w:w="84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8420" w:type="dxa"/>
                                  <w:tcBorders/>
                                  <w:vAlign w:val="center"/>
                                </w:tcPr>
                                <w:p>
                                  <w:pPr>
                                    <w:pStyle w:val="TableContents"/>
                                    <w:bidi w:val="0"/>
                                    <w:spacing w:before="0" w:after="0"/>
                                    <w:jc w:val="both"/>
                                    <w:rPr>
                                      <w:rFonts w:ascii="arial" w:hAnsi="arial"/>
                                      <w:sz w:val="16"/>
                                    </w:rPr>
                                  </w:pPr>
                                  <w:r>
                                    <w:rPr>
                                      <w:rFonts w:ascii="arial" w:hAnsi="arial"/>
                                      <w:sz w:val="16"/>
                                    </w:rPr>
                                    <w:t xml:space="preserve">The FDA accepted the Biologics License Application for </w:t>
                                  </w:r>
                                  <w:r>
                                    <w:rPr>
                                      <w:rFonts w:ascii="arial" w:hAnsi="arial"/>
                                      <w:b/>
                                      <w:color w:val="0171B9"/>
                                      <w:sz w:val="16"/>
                                    </w:rPr>
                                    <w:t>ABP 959</w:t>
                                  </w:r>
                                  <w:r>
                                    <w:rPr>
                                      <w:rFonts w:ascii="arial" w:hAnsi="arial"/>
                                      <w:sz w:val="16"/>
                                    </w:rPr>
                                    <w:t xml:space="preserve"> (biosimilar candidate to Soliris®(5) (eculizumab)). </w:t>
                                  </w:r>
                                </w:p>
                              </w:tc>
                            </w:tr>
                          </w:tbl>
                          <w:p>
                            <w:pPr>
                              <w:pStyle w:val="TextBody"/>
                              <w:bidi w:val="0"/>
                              <w:spacing w:before="0" w:after="0"/>
                              <w:jc w:val="left"/>
                              <w:rPr/>
                            </w:pPr>
                            <w:r>
                              <w:rPr/>
                              <w:t> </w:t>
                            </w:r>
                          </w:p>
                          <w:tbl>
                            <w:tblPr>
                              <w:tblW w:w="1940" w:type="dxa"/>
                              <w:jc w:val="left"/>
                              <w:tblInd w:w="0" w:type="dxa"/>
                              <w:tblLayout w:type="fixed"/>
                              <w:tblCellMar>
                                <w:top w:w="0" w:type="dxa"/>
                                <w:left w:w="0" w:type="dxa"/>
                                <w:bottom w:w="0" w:type="dxa"/>
                                <w:right w:w="0" w:type="dxa"/>
                              </w:tblCellMar>
                            </w:tblPr>
                            <w:tblGrid>
                              <w:gridCol w:w="1940"/>
                            </w:tblGrid>
                            <w:tr>
                              <w:trPr/>
                              <w:tc>
                                <w:tcPr>
                                  <w:tcW w:w="1940" w:type="dxa"/>
                                  <w:tcBorders/>
                                  <w:vAlign w:val="center"/>
                                </w:tcPr>
                                <w:p>
                                  <w:pPr>
                                    <w:pStyle w:val="TableContents"/>
                                    <w:bidi w:val="0"/>
                                    <w:spacing w:before="0" w:after="283"/>
                                    <w:jc w:val="left"/>
                                    <w:rPr>
                                      <w:sz w:val="4"/>
                                      <w:szCs w:val="4"/>
                                    </w:rPr>
                                  </w:pPr>
                                  <w:r>
                                    <w:rPr>
                                      <w:sz w:val="4"/>
                                      <w:szCs w:val="4"/>
                                    </w:rPr>
                                  </w:r>
                                </w:p>
                              </w:tc>
                            </w:tr>
                            <w:tr>
                              <w:trPr/>
                              <w:tc>
                                <w:tcPr>
                                  <w:tcW w:w="1940" w:type="dxa"/>
                                  <w:tcBorders/>
                                  <w:shd w:fill="E5F0F8" w:val="clear"/>
                                  <w:vAlign w:val="center"/>
                                </w:tcPr>
                                <w:p>
                                  <w:pPr>
                                    <w:pStyle w:val="TableContents"/>
                                    <w:bidi w:val="0"/>
                                    <w:spacing w:before="0" w:after="283"/>
                                    <w:jc w:val="left"/>
                                    <w:rPr>
                                      <w:sz w:val="4"/>
                                      <w:szCs w:val="4"/>
                                    </w:rPr>
                                  </w:pPr>
                                  <w:r>
                                    <w:rPr>
                                      <w:sz w:val="4"/>
                                      <w:szCs w:val="4"/>
                                    </w:rPr>
                                  </w:r>
                                </w:p>
                              </w:tc>
                            </w:tr>
                            <w:tr>
                              <w:trPr/>
                              <w:tc>
                                <w:tcPr>
                                  <w:tcW w:w="1940" w:type="dxa"/>
                                  <w:tcBorders/>
                                  <w:shd w:fill="E5F0F8" w:val="clear"/>
                                  <w:vAlign w:val="center"/>
                                </w:tcPr>
                                <w:p>
                                  <w:pPr>
                                    <w:pStyle w:val="TableContents"/>
                                    <w:bidi w:val="0"/>
                                    <w:spacing w:before="0" w:after="0"/>
                                    <w:jc w:val="left"/>
                                    <w:rPr>
                                      <w:rFonts w:ascii="arial" w:hAnsi="arial"/>
                                      <w:b/>
                                      <w:color w:val="0171B9"/>
                                      <w:sz w:val="22"/>
                                    </w:rPr>
                                  </w:pPr>
                                  <w:r>
                                    <w:rPr>
                                      <w:rFonts w:ascii="arial" w:hAnsi="arial"/>
                                      <w:b/>
                                      <w:color w:val="0171B9"/>
                                      <w:sz w:val="22"/>
                                    </w:rPr>
                                    <w:t>General Medicine:</w:t>
                                  </w:r>
                                </w:p>
                              </w:tc>
                            </w:tr>
                          </w:tbl>
                          <w:p>
                            <w:pPr>
                              <w:pStyle w:val="TextBody"/>
                              <w:bidi w:val="0"/>
                              <w:spacing w:before="120" w:after="0"/>
                              <w:jc w:val="left"/>
                              <w:rPr>
                                <w:rFonts w:ascii="arial" w:hAnsi="arial"/>
                                <w:b/>
                                <w:sz w:val="16"/>
                              </w:rPr>
                            </w:pPr>
                            <w:r>
                              <w:rPr>
                                <w:rFonts w:ascii="arial" w:hAnsi="arial"/>
                                <w:b/>
                                <w:sz w:val="16"/>
                              </w:rPr>
                              <w:t xml:space="preserve">Obesity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6"/>
                                    </w:rPr>
                                  </w:pPr>
                                  <w:r>
                                    <w:rPr>
                                      <w:rFonts w:ascii="arial" w:hAnsi="arial"/>
                                      <w:sz w:val="16"/>
                                    </w:rPr>
                                    <w:t xml:space="preserve">For </w:t>
                                  </w:r>
                                  <w:r>
                                    <w:rPr>
                                      <w:rFonts w:ascii="arial" w:hAnsi="arial"/>
                                      <w:b/>
                                      <w:color w:val="0171B9"/>
                                      <w:sz w:val="16"/>
                                    </w:rPr>
                                    <w:t>maridebart cafraglutide</w:t>
                                  </w:r>
                                  <w:r>
                                    <w:rPr>
                                      <w:rFonts w:ascii="arial" w:hAnsi="arial"/>
                                      <w:sz w:val="16"/>
                                    </w:rPr>
                                    <w:t xml:space="preserve"> (our potentially best-in-class multispecific that inhibits the GIPR and activates the GLP-1 receptor), following our positive Phase 1 study results that demonstrated up to a 14.5% reduction in body weight at the highest dose after 12 weeks, we are actively conducting a Phase 2 study in overweight or obese adults with or without type 2 diabetes mellitus. </w:t>
                                  </w:r>
                                </w:p>
                              </w:tc>
                            </w:tr>
                          </w:tbl>
                          <w:p>
                            <w:pPr>
                              <w:pStyle w:val="TextBody"/>
                              <w:bidi w:val="0"/>
                              <w:spacing w:before="200" w:after="0"/>
                              <w:jc w:val="left"/>
                              <w:rPr>
                                <w:rFonts w:ascii="arial" w:hAnsi="arial"/>
                                <w:b/>
                                <w:sz w:val="16"/>
                              </w:rPr>
                            </w:pPr>
                            <w:r>
                              <w:rPr>
                                <w:rFonts w:ascii="arial" w:hAnsi="arial"/>
                                <w:b/>
                                <w:sz w:val="16"/>
                              </w:rPr>
                              <w:t xml:space="preserve">Cardiovascular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6"/>
                                    </w:rPr>
                                  </w:pPr>
                                  <w:r>
                                    <w:rPr>
                                      <w:rFonts w:ascii="arial" w:hAnsi="arial"/>
                                      <w:sz w:val="16"/>
                                    </w:rPr>
                                    <w:t xml:space="preserve">For </w:t>
                                  </w:r>
                                  <w:r>
                                    <w:rPr>
                                      <w:rFonts w:ascii="arial" w:hAnsi="arial"/>
                                      <w:b/>
                                      <w:color w:val="0171B9"/>
                                      <w:sz w:val="16"/>
                                    </w:rPr>
                                    <w:t xml:space="preserve">olpasiran </w:t>
                                  </w:r>
                                  <w:r>
                                    <w:rPr>
                                      <w:rFonts w:ascii="arial" w:hAnsi="arial"/>
                                      <w:sz w:val="16"/>
                                    </w:rPr>
                                    <w:t xml:space="preserve">(our potentially best-in-class Lp(a) targeting siRNA molecule), based on the positive data from our Phase 2 study that subsequently showed that patients sustained an approximately 40-50% placebo-adjusted percent reduction in Lp(a) nearly a year after their last dose, a Phase 3 cardiovascular outcomes study evaluating olpasiran in patients with ASCVD and elevated Lp(a) is in progress.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6"/>
                                    </w:rPr>
                                  </w:pPr>
                                  <w:r>
                                    <w:rPr>
                                      <w:rFonts w:ascii="arial" w:hAnsi="arial"/>
                                      <w:sz w:val="16"/>
                                    </w:rPr>
                                    <w:t xml:space="preserve">For </w:t>
                                  </w:r>
                                  <w:r>
                                    <w:rPr>
                                      <w:rFonts w:ascii="arial" w:hAnsi="arial"/>
                                      <w:b/>
                                      <w:color w:val="0171B9"/>
                                      <w:sz w:val="16"/>
                                    </w:rPr>
                                    <w:t>Repatha® </w:t>
                                  </w:r>
                                  <w:r>
                                    <w:rPr>
                                      <w:rFonts w:ascii="arial" w:hAnsi="arial"/>
                                      <w:sz w:val="16"/>
                                    </w:rPr>
                                    <w:t xml:space="preserve">(our monoclonal antibody that inhibits PCSK9 that is approved to help patients reduce low-density lipoprotein (bad) cholesterol and lower their risks of heart attack and stroke), our Phase 3 cardiovascular outcomes study in patients at high cardiovascular risk without prior myocardial infarction or stroke is in progress. Additionally, we initiated a Phase 4 study of Repatha administered shortly after an acute myocardial infarction and designed to reduce the risk of cardiovascular events in hospitalized acute coronary syndrome patients.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94.8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6"/>
                              </w:rPr>
                            </w:pPr>
                            <w:r>
                              <w:rPr>
                                <w:rFonts w:ascii="arial" w:hAnsi="arial"/>
                                <w:sz w:val="16"/>
                              </w:rPr>
                              <w:t xml:space="preserve">For </w:t>
                            </w:r>
                            <w:r>
                              <w:rPr>
                                <w:rFonts w:ascii="arial" w:hAnsi="arial"/>
                                <w:b/>
                                <w:color w:val="0171B9"/>
                                <w:sz w:val="16"/>
                              </w:rPr>
                              <w:t>bemarituzumab</w:t>
                            </w:r>
                            <w:r>
                              <w:rPr>
                                <w:rFonts w:ascii="arial" w:hAnsi="arial"/>
                                <w:sz w:val="16"/>
                              </w:rPr>
                              <w:t xml:space="preserve"> (our first-in-class monoclonal antibody that inhibits fibroblast growth factor receptor 2b (FGFR2b)), a Phase 3 study for the treatment of patients with human epidermal growth factor receptor 2 negative FGFR2b-positive advanced gastric and gastroesophageal junction cancers is in progress.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6"/>
                              </w:rPr>
                            </w:pPr>
                            <w:r>
                              <w:rPr>
                                <w:rFonts w:ascii="arial" w:hAnsi="arial"/>
                                <w:sz w:val="16"/>
                              </w:rPr>
                              <w:t xml:space="preserve">For </w:t>
                            </w:r>
                            <w:r>
                              <w:rPr>
                                <w:rFonts w:ascii="arial" w:hAnsi="arial"/>
                                <w:b/>
                                <w:color w:val="0171B9"/>
                                <w:sz w:val="16"/>
                              </w:rPr>
                              <w:t>xaluritamig</w:t>
                            </w:r>
                            <w:r>
                              <w:rPr>
                                <w:rFonts w:ascii="arial" w:hAnsi="arial"/>
                                <w:sz w:val="16"/>
                              </w:rPr>
                              <w:t xml:space="preserve"> (our first-in-class bispecific molecule targeting STEAP1(3)), initial data from a Phase 1b study demonstrating encouraging anti-tumor activity in heavily pretreated patients with metastatic castrate-resistant prostate cancer were presented at ESMO and simultaneously published in </w:t>
                            </w:r>
                            <w:r>
                              <w:rPr>
                                <w:rFonts w:ascii="arial" w:hAnsi="arial"/>
                                <w:i/>
                                <w:sz w:val="16"/>
                              </w:rPr>
                              <w:t xml:space="preserve">Cancer Discovery.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6"/>
                              </w:rPr>
                            </w:pPr>
                            <w:r>
                              <w:rPr>
                                <w:rFonts w:ascii="arial" w:hAnsi="arial"/>
                                <w:sz w:val="16"/>
                              </w:rPr>
                              <w:t xml:space="preserve">For </w:t>
                            </w:r>
                            <w:r>
                              <w:rPr>
                                <w:rFonts w:ascii="arial" w:hAnsi="arial"/>
                                <w:b/>
                                <w:color w:val="0171B9"/>
                                <w:sz w:val="16"/>
                              </w:rPr>
                              <w:t>ABP 206</w:t>
                            </w:r>
                            <w:r>
                              <w:rPr>
                                <w:rFonts w:ascii="arial" w:hAnsi="arial"/>
                                <w:sz w:val="16"/>
                              </w:rPr>
                              <w:t xml:space="preserve"> (biosimilar candidate to OPDIVO®(4) (nivolumab)), we initiated a Phase 3 randomized, double-blind pivotal study to determine biosimilarity of ABP 206 compared with OPDIVO in resected stage III or stage IV melanoma patients in the adjuvant setting. </w:t>
                            </w:r>
                          </w:p>
                        </w:tc>
                      </w:tr>
                    </w:tbl>
                    <w:p>
                      <w:pPr>
                        <w:pStyle w:val="TextBody"/>
                        <w:bidi w:val="0"/>
                        <w:spacing w:before="0" w:after="0"/>
                        <w:jc w:val="left"/>
                        <w:rPr/>
                      </w:pPr>
                      <w:r>
                        <w:rPr/>
                        <w:t> </w:t>
                      </w:r>
                    </w:p>
                    <w:tbl>
                      <w:tblPr>
                        <w:tblW w:w="8605" w:type="dxa"/>
                        <w:jc w:val="left"/>
                        <w:tblInd w:w="0" w:type="dxa"/>
                        <w:tblLayout w:type="fixed"/>
                        <w:tblCellMar>
                          <w:top w:w="0" w:type="dxa"/>
                          <w:left w:w="0" w:type="dxa"/>
                          <w:bottom w:w="0" w:type="dxa"/>
                          <w:right w:w="0" w:type="dxa"/>
                        </w:tblCellMar>
                      </w:tblPr>
                      <w:tblGrid>
                        <w:gridCol w:w="125"/>
                        <w:gridCol w:w="60"/>
                        <w:gridCol w:w="84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8420" w:type="dxa"/>
                            <w:tcBorders/>
                            <w:vAlign w:val="center"/>
                          </w:tcPr>
                          <w:p>
                            <w:pPr>
                              <w:pStyle w:val="TableContents"/>
                              <w:bidi w:val="0"/>
                              <w:spacing w:before="0" w:after="0"/>
                              <w:jc w:val="both"/>
                              <w:rPr>
                                <w:rFonts w:ascii="arial" w:hAnsi="arial"/>
                                <w:sz w:val="16"/>
                              </w:rPr>
                            </w:pPr>
                            <w:r>
                              <w:rPr>
                                <w:rFonts w:ascii="arial" w:hAnsi="arial"/>
                                <w:sz w:val="16"/>
                              </w:rPr>
                              <w:t xml:space="preserve">The FDA accepted the Biologics License Application for </w:t>
                            </w:r>
                            <w:r>
                              <w:rPr>
                                <w:rFonts w:ascii="arial" w:hAnsi="arial"/>
                                <w:b/>
                                <w:color w:val="0171B9"/>
                                <w:sz w:val="16"/>
                              </w:rPr>
                              <w:t>ABP 959</w:t>
                            </w:r>
                            <w:r>
                              <w:rPr>
                                <w:rFonts w:ascii="arial" w:hAnsi="arial"/>
                                <w:sz w:val="16"/>
                              </w:rPr>
                              <w:t xml:space="preserve"> (biosimilar candidate to Soliris®(5) (eculizumab)). </w:t>
                            </w:r>
                          </w:p>
                        </w:tc>
                      </w:tr>
                    </w:tbl>
                    <w:p>
                      <w:pPr>
                        <w:pStyle w:val="TextBody"/>
                        <w:bidi w:val="0"/>
                        <w:spacing w:before="0" w:after="0"/>
                        <w:jc w:val="left"/>
                        <w:rPr/>
                      </w:pPr>
                      <w:r>
                        <w:rPr/>
                        <w:t> </w:t>
                      </w:r>
                    </w:p>
                    <w:tbl>
                      <w:tblPr>
                        <w:tblW w:w="1940" w:type="dxa"/>
                        <w:jc w:val="left"/>
                        <w:tblInd w:w="0" w:type="dxa"/>
                        <w:tblLayout w:type="fixed"/>
                        <w:tblCellMar>
                          <w:top w:w="0" w:type="dxa"/>
                          <w:left w:w="0" w:type="dxa"/>
                          <w:bottom w:w="0" w:type="dxa"/>
                          <w:right w:w="0" w:type="dxa"/>
                        </w:tblCellMar>
                      </w:tblPr>
                      <w:tblGrid>
                        <w:gridCol w:w="1940"/>
                      </w:tblGrid>
                      <w:tr>
                        <w:trPr/>
                        <w:tc>
                          <w:tcPr>
                            <w:tcW w:w="1940" w:type="dxa"/>
                            <w:tcBorders/>
                            <w:vAlign w:val="center"/>
                          </w:tcPr>
                          <w:p>
                            <w:pPr>
                              <w:pStyle w:val="TableContents"/>
                              <w:bidi w:val="0"/>
                              <w:spacing w:before="0" w:after="283"/>
                              <w:jc w:val="left"/>
                              <w:rPr>
                                <w:sz w:val="4"/>
                                <w:szCs w:val="4"/>
                              </w:rPr>
                            </w:pPr>
                            <w:r>
                              <w:rPr>
                                <w:sz w:val="4"/>
                                <w:szCs w:val="4"/>
                              </w:rPr>
                            </w:r>
                          </w:p>
                        </w:tc>
                      </w:tr>
                      <w:tr>
                        <w:trPr/>
                        <w:tc>
                          <w:tcPr>
                            <w:tcW w:w="1940" w:type="dxa"/>
                            <w:tcBorders/>
                            <w:shd w:fill="E5F0F8" w:val="clear"/>
                            <w:vAlign w:val="center"/>
                          </w:tcPr>
                          <w:p>
                            <w:pPr>
                              <w:pStyle w:val="TableContents"/>
                              <w:bidi w:val="0"/>
                              <w:spacing w:before="0" w:after="283"/>
                              <w:jc w:val="left"/>
                              <w:rPr>
                                <w:sz w:val="4"/>
                                <w:szCs w:val="4"/>
                              </w:rPr>
                            </w:pPr>
                            <w:r>
                              <w:rPr>
                                <w:sz w:val="4"/>
                                <w:szCs w:val="4"/>
                              </w:rPr>
                            </w:r>
                          </w:p>
                        </w:tc>
                      </w:tr>
                      <w:tr>
                        <w:trPr/>
                        <w:tc>
                          <w:tcPr>
                            <w:tcW w:w="1940" w:type="dxa"/>
                            <w:tcBorders/>
                            <w:shd w:fill="E5F0F8" w:val="clear"/>
                            <w:vAlign w:val="center"/>
                          </w:tcPr>
                          <w:p>
                            <w:pPr>
                              <w:pStyle w:val="TableContents"/>
                              <w:bidi w:val="0"/>
                              <w:spacing w:before="0" w:after="0"/>
                              <w:jc w:val="left"/>
                              <w:rPr>
                                <w:rFonts w:ascii="arial" w:hAnsi="arial"/>
                                <w:b/>
                                <w:color w:val="0171B9"/>
                                <w:sz w:val="22"/>
                              </w:rPr>
                            </w:pPr>
                            <w:r>
                              <w:rPr>
                                <w:rFonts w:ascii="arial" w:hAnsi="arial"/>
                                <w:b/>
                                <w:color w:val="0171B9"/>
                                <w:sz w:val="22"/>
                              </w:rPr>
                              <w:t>General Medicine:</w:t>
                            </w:r>
                          </w:p>
                        </w:tc>
                      </w:tr>
                    </w:tbl>
                    <w:p>
                      <w:pPr>
                        <w:pStyle w:val="TextBody"/>
                        <w:bidi w:val="0"/>
                        <w:spacing w:before="120" w:after="0"/>
                        <w:jc w:val="left"/>
                        <w:rPr>
                          <w:rFonts w:ascii="arial" w:hAnsi="arial"/>
                          <w:b/>
                          <w:sz w:val="16"/>
                        </w:rPr>
                      </w:pPr>
                      <w:r>
                        <w:rPr>
                          <w:rFonts w:ascii="arial" w:hAnsi="arial"/>
                          <w:b/>
                          <w:sz w:val="16"/>
                        </w:rPr>
                        <w:t xml:space="preserve">Obesity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6"/>
                              </w:rPr>
                            </w:pPr>
                            <w:r>
                              <w:rPr>
                                <w:rFonts w:ascii="arial" w:hAnsi="arial"/>
                                <w:sz w:val="16"/>
                              </w:rPr>
                              <w:t xml:space="preserve">For </w:t>
                            </w:r>
                            <w:r>
                              <w:rPr>
                                <w:rFonts w:ascii="arial" w:hAnsi="arial"/>
                                <w:b/>
                                <w:color w:val="0171B9"/>
                                <w:sz w:val="16"/>
                              </w:rPr>
                              <w:t>maridebart cafraglutide</w:t>
                            </w:r>
                            <w:r>
                              <w:rPr>
                                <w:rFonts w:ascii="arial" w:hAnsi="arial"/>
                                <w:sz w:val="16"/>
                              </w:rPr>
                              <w:t xml:space="preserve"> (our potentially best-in-class multispecific that inhibits the GIPR and activates the GLP-1 receptor), following our positive Phase 1 study results that demonstrated up to a 14.5% reduction in body weight at the highest dose after 12 weeks, we are actively conducting a Phase 2 study in overweight or obese adults with or without type 2 diabetes mellitus. </w:t>
                            </w:r>
                          </w:p>
                        </w:tc>
                      </w:tr>
                    </w:tbl>
                    <w:p>
                      <w:pPr>
                        <w:pStyle w:val="TextBody"/>
                        <w:bidi w:val="0"/>
                        <w:spacing w:before="200" w:after="0"/>
                        <w:jc w:val="left"/>
                        <w:rPr>
                          <w:rFonts w:ascii="arial" w:hAnsi="arial"/>
                          <w:b/>
                          <w:sz w:val="16"/>
                        </w:rPr>
                      </w:pPr>
                      <w:r>
                        <w:rPr>
                          <w:rFonts w:ascii="arial" w:hAnsi="arial"/>
                          <w:b/>
                          <w:sz w:val="16"/>
                        </w:rPr>
                        <w:t xml:space="preserve">Cardiovascular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6"/>
                              </w:rPr>
                            </w:pPr>
                            <w:r>
                              <w:rPr>
                                <w:rFonts w:ascii="arial" w:hAnsi="arial"/>
                                <w:sz w:val="16"/>
                              </w:rPr>
                              <w:t xml:space="preserve">For </w:t>
                            </w:r>
                            <w:r>
                              <w:rPr>
                                <w:rFonts w:ascii="arial" w:hAnsi="arial"/>
                                <w:b/>
                                <w:color w:val="0171B9"/>
                                <w:sz w:val="16"/>
                              </w:rPr>
                              <w:t xml:space="preserve">olpasiran </w:t>
                            </w:r>
                            <w:r>
                              <w:rPr>
                                <w:rFonts w:ascii="arial" w:hAnsi="arial"/>
                                <w:sz w:val="16"/>
                              </w:rPr>
                              <w:t xml:space="preserve">(our potentially best-in-class Lp(a) targeting siRNA molecule), based on the positive data from our Phase 2 study that subsequently showed that patients sustained an approximately 40-50% placebo-adjusted percent reduction in Lp(a) nearly a year after their last dose, a Phase 3 cardiovascular outcomes study evaluating olpasiran in patients with ASCVD and elevated Lp(a) is in progress.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6"/>
                              </w:rPr>
                            </w:pPr>
                            <w:r>
                              <w:rPr>
                                <w:rFonts w:ascii="arial" w:hAnsi="arial"/>
                                <w:sz w:val="16"/>
                              </w:rPr>
                              <w:t xml:space="preserve">For </w:t>
                            </w:r>
                            <w:r>
                              <w:rPr>
                                <w:rFonts w:ascii="arial" w:hAnsi="arial"/>
                                <w:b/>
                                <w:color w:val="0171B9"/>
                                <w:sz w:val="16"/>
                              </w:rPr>
                              <w:t>Repatha® </w:t>
                            </w:r>
                            <w:r>
                              <w:rPr>
                                <w:rFonts w:ascii="arial" w:hAnsi="arial"/>
                                <w:sz w:val="16"/>
                              </w:rPr>
                              <w:t xml:space="preserve">(our monoclonal antibody that inhibits PCSK9 that is approved to help patients reduce low-density lipoprotein (bad) cholesterol and lower their risks of heart attack and stroke), our Phase 3 cardiovascular outcomes study in patients at high cardiovascular risk without prior myocardial infarction or stroke is in progress. Additionally, we initiated a Phase 4 study of Repatha administered shortly after an acute myocardial infarction and designed to reduce the risk of cardiovascular events in hospitalized acute coronary syndrome patients. </w:t>
                            </w:r>
                          </w:p>
                        </w:tc>
                      </w:tr>
                    </w:tbl>
                    <w:p>
                      <w:pPr>
                        <w:pStyle w:val="TextBody"/>
                        <w:bidi w:val="0"/>
                        <w:spacing w:before="0" w:after="283"/>
                        <w:jc w:val="left"/>
                        <w:rPr/>
                      </w:pPr>
                      <w:r>
                        <w:rPr/>
                      </w:r>
                    </w:p>
                  </w:txbxContent>
                </v:textbox>
                <w10:wrap type="square" side="right"/>
              </v:rect>
            </w:pict>
          </mc:Fallback>
        </mc:AlternateContent>
      </w:r>
    </w:p>
    <w:p>
      <w:pPr>
        <w:pStyle w:val="TextBody"/>
        <w:pBdr>
          <w:bottom w:val="single" w:sz="2" w:space="1" w:color="000000"/>
        </w:pBdr>
        <w:bidi w:val="0"/>
        <w:spacing w:lineRule="atLeast" w:line="160" w:before="0" w:after="40"/>
        <w:jc w:val="left"/>
        <w:rPr/>
      </w:pPr>
      <w:r>
        <w:rPr/>
        <w:t> </w:t>
      </w:r>
    </w:p>
    <w:tbl>
      <w:tblPr>
        <w:tblW w:w="9625" w:type="dxa"/>
        <w:jc w:val="left"/>
        <w:tblInd w:w="0" w:type="dxa"/>
        <w:tblLayout w:type="fixed"/>
        <w:tblCellMar>
          <w:top w:w="0" w:type="dxa"/>
          <w:left w:w="0" w:type="dxa"/>
          <w:bottom w:w="0" w:type="dxa"/>
          <w:right w:w="0" w:type="dxa"/>
        </w:tblCellMar>
      </w:tblPr>
      <w:tblGrid>
        <w:gridCol w:w="365"/>
        <w:gridCol w:w="9260"/>
      </w:tblGrid>
      <w:tr>
        <w:trPr/>
        <w:tc>
          <w:tcPr>
            <w:tcW w:w="365" w:type="dxa"/>
            <w:tcBorders/>
            <w:vAlign w:val="center"/>
          </w:tcPr>
          <w:p>
            <w:pPr>
              <w:pStyle w:val="TableContents"/>
              <w:bidi w:val="0"/>
              <w:spacing w:before="0" w:after="283"/>
              <w:jc w:val="left"/>
              <w:rPr/>
            </w:pPr>
            <w:r>
              <w:rPr/>
              <w:t>(1) </w:t>
            </w:r>
          </w:p>
        </w:tc>
        <w:tc>
          <w:tcPr>
            <w:tcW w:w="9260" w:type="dxa"/>
            <w:tcBorders/>
            <w:vAlign w:val="center"/>
          </w:tcPr>
          <w:p>
            <w:pPr>
              <w:pStyle w:val="TableContents"/>
              <w:bidi w:val="0"/>
              <w:spacing w:before="0" w:after="0"/>
              <w:jc w:val="both"/>
              <w:rPr>
                <w:rFonts w:ascii="arial" w:hAnsi="arial"/>
                <w:sz w:val="16"/>
              </w:rPr>
            </w:pPr>
            <w:r>
              <w:rPr>
                <w:rFonts w:ascii="arial" w:hAnsi="arial"/>
                <w:sz w:val="16"/>
              </w:rPr>
              <w:t xml:space="preserve">The treatment of adult patients with extensive-stage SCLC with disease progression on or after platinum-based chemotherapy. </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283"/>
              <w:jc w:val="left"/>
              <w:rPr/>
            </w:pPr>
            <w:r>
              <w:rPr/>
              <w:t>(2) </w:t>
            </w:r>
          </w:p>
        </w:tc>
        <w:tc>
          <w:tcPr>
            <w:tcW w:w="9892" w:type="dxa"/>
            <w:tcBorders/>
            <w:vAlign w:val="center"/>
          </w:tcPr>
          <w:p>
            <w:pPr>
              <w:pStyle w:val="TableContents"/>
              <w:bidi w:val="0"/>
              <w:spacing w:before="0" w:after="0"/>
              <w:jc w:val="both"/>
              <w:rPr>
                <w:rFonts w:ascii="arial" w:hAnsi="arial"/>
                <w:sz w:val="16"/>
              </w:rPr>
            </w:pPr>
            <w:r>
              <w:rPr>
                <w:rFonts w:ascii="arial" w:hAnsi="arial"/>
                <w:sz w:val="16"/>
              </w:rPr>
              <w:t xml:space="preserve">The FDA grants Priority Review to applications for medicines that offer, if approved, significant improvements over available options or may provide a treatment option where no adequate therapy currently exists. </w:t>
            </w:r>
          </w:p>
        </w:tc>
      </w:tr>
    </w:tbl>
    <w:tbl>
      <w:tblPr>
        <w:tblW w:w="4195" w:type="dxa"/>
        <w:jc w:val="left"/>
        <w:tblInd w:w="0" w:type="dxa"/>
        <w:tblLayout w:type="fixed"/>
        <w:tblCellMar>
          <w:top w:w="0" w:type="dxa"/>
          <w:left w:w="0" w:type="dxa"/>
          <w:bottom w:w="0" w:type="dxa"/>
          <w:right w:w="0" w:type="dxa"/>
        </w:tblCellMar>
      </w:tblPr>
      <w:tblGrid>
        <w:gridCol w:w="365"/>
        <w:gridCol w:w="3830"/>
      </w:tblGrid>
      <w:tr>
        <w:trPr/>
        <w:tc>
          <w:tcPr>
            <w:tcW w:w="365" w:type="dxa"/>
            <w:tcBorders/>
            <w:vAlign w:val="center"/>
          </w:tcPr>
          <w:p>
            <w:pPr>
              <w:pStyle w:val="TableContents"/>
              <w:bidi w:val="0"/>
              <w:spacing w:before="0" w:after="283"/>
              <w:jc w:val="left"/>
              <w:rPr/>
            </w:pPr>
            <w:r>
              <w:rPr/>
              <w:t>(3) </w:t>
            </w:r>
          </w:p>
        </w:tc>
        <w:tc>
          <w:tcPr>
            <w:tcW w:w="3830" w:type="dxa"/>
            <w:tcBorders/>
            <w:vAlign w:val="center"/>
          </w:tcPr>
          <w:p>
            <w:pPr>
              <w:pStyle w:val="TableContents"/>
              <w:bidi w:val="0"/>
              <w:spacing w:before="0" w:after="0"/>
              <w:jc w:val="both"/>
              <w:rPr>
                <w:rFonts w:ascii="arial" w:hAnsi="arial"/>
                <w:sz w:val="16"/>
              </w:rPr>
            </w:pPr>
            <w:r>
              <w:rPr>
                <w:rFonts w:ascii="arial" w:hAnsi="arial"/>
                <w:sz w:val="16"/>
              </w:rPr>
              <w:t xml:space="preserve">Six-transmembrane Epithelial antigen of prostrate 1. </w:t>
            </w:r>
          </w:p>
        </w:tc>
      </w:tr>
    </w:tbl>
    <w:tbl>
      <w:tblPr>
        <w:tblW w:w="5500" w:type="dxa"/>
        <w:jc w:val="left"/>
        <w:tblInd w:w="0" w:type="dxa"/>
        <w:tblLayout w:type="fixed"/>
        <w:tblCellMar>
          <w:top w:w="0" w:type="dxa"/>
          <w:left w:w="0" w:type="dxa"/>
          <w:bottom w:w="0" w:type="dxa"/>
          <w:right w:w="0" w:type="dxa"/>
        </w:tblCellMar>
      </w:tblPr>
      <w:tblGrid>
        <w:gridCol w:w="365"/>
        <w:gridCol w:w="5135"/>
      </w:tblGrid>
      <w:tr>
        <w:trPr/>
        <w:tc>
          <w:tcPr>
            <w:tcW w:w="365" w:type="dxa"/>
            <w:tcBorders/>
            <w:vAlign w:val="center"/>
          </w:tcPr>
          <w:p>
            <w:pPr>
              <w:pStyle w:val="TableContents"/>
              <w:bidi w:val="0"/>
              <w:spacing w:before="0" w:after="283"/>
              <w:jc w:val="left"/>
              <w:rPr/>
            </w:pPr>
            <w:r>
              <w:rPr/>
              <w:t>(4) </w:t>
            </w:r>
          </w:p>
        </w:tc>
        <w:tc>
          <w:tcPr>
            <w:tcW w:w="5135" w:type="dxa"/>
            <w:tcBorders/>
            <w:vAlign w:val="center"/>
          </w:tcPr>
          <w:p>
            <w:pPr>
              <w:pStyle w:val="TableContents"/>
              <w:bidi w:val="0"/>
              <w:spacing w:before="0" w:after="0"/>
              <w:jc w:val="both"/>
              <w:rPr>
                <w:rFonts w:ascii="arial" w:hAnsi="arial"/>
                <w:sz w:val="16"/>
              </w:rPr>
            </w:pPr>
            <w:r>
              <w:rPr>
                <w:rFonts w:ascii="arial" w:hAnsi="arial"/>
                <w:sz w:val="16"/>
              </w:rPr>
              <w:t xml:space="preserve">OPDIVO is a registered trademark of Bristol-Myers Squibb Company. </w:t>
            </w:r>
          </w:p>
        </w:tc>
      </w:tr>
    </w:tbl>
    <w:tbl>
      <w:tblPr>
        <w:tblW w:w="5125" w:type="dxa"/>
        <w:jc w:val="left"/>
        <w:tblInd w:w="0" w:type="dxa"/>
        <w:tblLayout w:type="fixed"/>
        <w:tblCellMar>
          <w:top w:w="0" w:type="dxa"/>
          <w:left w:w="0" w:type="dxa"/>
          <w:bottom w:w="0" w:type="dxa"/>
          <w:right w:w="0" w:type="dxa"/>
        </w:tblCellMar>
      </w:tblPr>
      <w:tblGrid>
        <w:gridCol w:w="365"/>
        <w:gridCol w:w="4760"/>
      </w:tblGrid>
      <w:tr>
        <w:trPr/>
        <w:tc>
          <w:tcPr>
            <w:tcW w:w="365" w:type="dxa"/>
            <w:tcBorders/>
            <w:vAlign w:val="center"/>
          </w:tcPr>
          <w:p>
            <w:pPr>
              <w:pStyle w:val="TableContents"/>
              <w:bidi w:val="0"/>
              <w:spacing w:before="0" w:after="283"/>
              <w:jc w:val="left"/>
              <w:rPr/>
            </w:pPr>
            <w:r>
              <w:rPr/>
              <w:t>(5) </w:t>
            </w:r>
          </w:p>
        </w:tc>
        <w:tc>
          <w:tcPr>
            <w:tcW w:w="4760" w:type="dxa"/>
            <w:tcBorders/>
            <w:vAlign w:val="center"/>
          </w:tcPr>
          <w:p>
            <w:pPr>
              <w:pStyle w:val="TableContents"/>
              <w:bidi w:val="0"/>
              <w:spacing w:before="0" w:after="0"/>
              <w:jc w:val="both"/>
              <w:rPr>
                <w:rFonts w:ascii="arial" w:hAnsi="arial"/>
                <w:sz w:val="16"/>
              </w:rPr>
            </w:pPr>
            <w:r>
              <w:rPr>
                <w:rFonts w:ascii="arial" w:hAnsi="arial"/>
                <w:sz w:val="16"/>
              </w:rPr>
              <w:t xml:space="preserve">Soliris is a registered trademark of Alexion Pharmaceuticals, Inc. </w:t>
            </w:r>
          </w:p>
        </w:tc>
      </w:tr>
    </w:tbl>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56  </w:t>
      </w:r>
      <w:r>
        <w:rPr>
          <w:rFonts w:ascii="arial" w:hAnsi="arial"/>
          <w:b/>
          <w:color w:val="474747"/>
          <w:sz w:val="22"/>
        </w:rPr>
        <w:drawing>
          <wp:inline distT="0" distB="0" distL="0" distR="0">
            <wp:extent cx="64770" cy="15240"/>
            <wp:effectExtent l="0" t="0" r="0" b="0"/>
            <wp:docPr id="209"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03" descr=""/>
                    <pic:cNvPicPr>
                      <a:picLocks noChangeAspect="1" noChangeArrowheads="1"/>
                    </pic:cNvPicPr>
                  </pic:nvPicPr>
                  <pic:blipFill>
                    <a:blip r:embed="rId110"/>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507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45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459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Compensation Discussion and Analysis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43">
                <wp:simplePos x="0" y="0"/>
                <wp:positionH relativeFrom="column">
                  <wp:align>left</wp:align>
                </wp:positionH>
                <wp:positionV relativeFrom="line">
                  <wp:posOffset>635</wp:posOffset>
                </wp:positionV>
                <wp:extent cx="3110230" cy="6548755"/>
                <wp:effectExtent l="0" t="0" r="0" b="0"/>
                <wp:wrapSquare wrapText="right"/>
                <wp:docPr id="210" name="Frame101"/>
                <a:graphic xmlns:a="http://schemas.openxmlformats.org/drawingml/2006/main">
                  <a:graphicData uri="http://schemas.microsoft.com/office/word/2010/wordprocessingShape">
                    <wps:wsp>
                      <wps:cNvSpPr txBox="1"/>
                      <wps:spPr>
                        <a:xfrm>
                          <a:off x="0" y="0"/>
                          <a:ext cx="3110230" cy="6548755"/>
                        </a:xfrm>
                        <a:prstGeom prst="rect"/>
                        <a:solidFill>
                          <a:srgbClr val="FFFFFF"/>
                        </a:solidFill>
                      </wps:spPr>
                      <wps:txbx>
                        <w:txbxContent>
                          <w:tbl>
                            <w:tblPr>
                              <w:tblW w:w="1490" w:type="dxa"/>
                              <w:jc w:val="left"/>
                              <w:tblInd w:w="0" w:type="dxa"/>
                              <w:tblLayout w:type="fixed"/>
                              <w:tblCellMar>
                                <w:top w:w="0" w:type="dxa"/>
                                <w:left w:w="0" w:type="dxa"/>
                                <w:bottom w:w="0" w:type="dxa"/>
                                <w:right w:w="0" w:type="dxa"/>
                              </w:tblCellMar>
                            </w:tblPr>
                            <w:tblGrid>
                              <w:gridCol w:w="1490"/>
                            </w:tblGrid>
                            <w:tr>
                              <w:trPr/>
                              <w:tc>
                                <w:tcPr>
                                  <w:tcW w:w="1490" w:type="dxa"/>
                                  <w:tcBorders/>
                                  <w:vAlign w:val="center"/>
                                </w:tcPr>
                                <w:p>
                                  <w:pPr>
                                    <w:pStyle w:val="TableContents"/>
                                    <w:bidi w:val="0"/>
                                    <w:spacing w:before="0" w:after="283"/>
                                    <w:jc w:val="left"/>
                                    <w:rPr>
                                      <w:sz w:val="4"/>
                                      <w:szCs w:val="4"/>
                                    </w:rPr>
                                  </w:pPr>
                                  <w:r>
                                    <w:rPr>
                                      <w:sz w:val="4"/>
                                      <w:szCs w:val="4"/>
                                    </w:rPr>
                                  </w:r>
                                </w:p>
                              </w:tc>
                            </w:tr>
                            <w:tr>
                              <w:trPr/>
                              <w:tc>
                                <w:tcPr>
                                  <w:tcW w:w="1490" w:type="dxa"/>
                                  <w:tcBorders/>
                                  <w:shd w:fill="E5F0F8" w:val="clear"/>
                                  <w:vAlign w:val="center"/>
                                </w:tcPr>
                                <w:p>
                                  <w:pPr>
                                    <w:pStyle w:val="TableContents"/>
                                    <w:bidi w:val="0"/>
                                    <w:spacing w:before="0" w:after="283"/>
                                    <w:jc w:val="left"/>
                                    <w:rPr>
                                      <w:sz w:val="4"/>
                                      <w:szCs w:val="4"/>
                                    </w:rPr>
                                  </w:pPr>
                                  <w:r>
                                    <w:rPr>
                                      <w:sz w:val="4"/>
                                      <w:szCs w:val="4"/>
                                    </w:rPr>
                                  </w:r>
                                </w:p>
                              </w:tc>
                            </w:tr>
                            <w:tr>
                              <w:trPr/>
                              <w:tc>
                                <w:tcPr>
                                  <w:tcW w:w="1490" w:type="dxa"/>
                                  <w:tcBorders/>
                                  <w:shd w:fill="E5F0F8" w:val="clear"/>
                                  <w:vAlign w:val="center"/>
                                </w:tcPr>
                                <w:p>
                                  <w:pPr>
                                    <w:pStyle w:val="TableContents"/>
                                    <w:bidi w:val="0"/>
                                    <w:spacing w:before="0" w:after="0"/>
                                    <w:jc w:val="left"/>
                                    <w:rPr>
                                      <w:rFonts w:ascii="arial" w:hAnsi="arial"/>
                                      <w:b/>
                                      <w:color w:val="0171B9"/>
                                      <w:sz w:val="22"/>
                                    </w:rPr>
                                  </w:pPr>
                                  <w:r>
                                    <w:rPr>
                                      <w:rFonts w:ascii="arial" w:hAnsi="arial"/>
                                      <w:b/>
                                      <w:color w:val="0171B9"/>
                                      <w:sz w:val="22"/>
                                    </w:rPr>
                                    <w:t>Inflammation:</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6"/>
                                    </w:rPr>
                                  </w:pPr>
                                  <w:r>
                                    <w:rPr>
                                      <w:rFonts w:ascii="arial" w:hAnsi="arial"/>
                                      <w:sz w:val="16"/>
                                    </w:rPr>
                                    <w:t xml:space="preserve">For </w:t>
                                  </w:r>
                                  <w:r>
                                    <w:rPr>
                                      <w:rFonts w:ascii="arial" w:hAnsi="arial"/>
                                      <w:b/>
                                      <w:color w:val="0171B9"/>
                                      <w:sz w:val="16"/>
                                    </w:rPr>
                                    <w:t>rocatinlimab</w:t>
                                  </w:r>
                                  <w:r>
                                    <w:rPr>
                                      <w:rFonts w:ascii="arial" w:hAnsi="arial"/>
                                      <w:sz w:val="16"/>
                                    </w:rPr>
                                    <w:t xml:space="preserve">(1) (our first-in-class monoclonal antibody that inhibits OX40), based on the positive Phase 2 study results that demonstrated improvement in patients with moderate to severe atopic dermatitis, the eight-study Phase 3 ROCKET program is in progress.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6"/>
                                    </w:rPr>
                                  </w:pPr>
                                  <w:r>
                                    <w:rPr>
                                      <w:rFonts w:ascii="arial" w:hAnsi="arial"/>
                                      <w:sz w:val="16"/>
                                    </w:rPr>
                                    <w:t xml:space="preserve">For </w:t>
                                  </w:r>
                                  <w:r>
                                    <w:rPr>
                                      <w:rFonts w:ascii="arial" w:hAnsi="arial"/>
                                      <w:b/>
                                      <w:color w:val="0171B9"/>
                                      <w:sz w:val="16"/>
                                    </w:rPr>
                                    <w:t>TEZSPIRE</w:t>
                                  </w:r>
                                  <w:r>
                                    <w:rPr>
                                      <w:rFonts w:ascii="arial" w:hAnsi="arial"/>
                                      <w:sz w:val="16"/>
                                    </w:rPr>
                                    <w:t xml:space="preserve">(2) (a first-in-class monoclonal antibody that inhibits the action of TSLP), Phase 3 studies investigating TEZSPIRE as a treatment in patients with eosinophilic esophagitis and as a treatment in patients with chronic rhinosinusitis with nasal polyps are in progress. A Phase 2 study investigating TEZSPIRE in chronic obstructive pulmonary disease is in progress.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6"/>
                                    </w:rPr>
                                  </w:pPr>
                                  <w:r>
                                    <w:rPr>
                                      <w:rFonts w:ascii="arial" w:hAnsi="arial"/>
                                      <w:sz w:val="16"/>
                                    </w:rPr>
                                    <w:t>For</w:t>
                                  </w:r>
                                  <w:r>
                                    <w:rPr>
                                      <w:rFonts w:ascii="arial" w:hAnsi="arial"/>
                                      <w:color w:val="0171B9"/>
                                      <w:sz w:val="16"/>
                                    </w:rPr>
                                    <w:t xml:space="preserve"> </w:t>
                                  </w:r>
                                  <w:r>
                                    <w:rPr>
                                      <w:rFonts w:ascii="arial" w:hAnsi="arial"/>
                                      <w:b/>
                                      <w:color w:val="0171B9"/>
                                      <w:sz w:val="16"/>
                                    </w:rPr>
                                    <w:t>Otezla®</w:t>
                                  </w:r>
                                  <w:r>
                                    <w:rPr>
                                      <w:rFonts w:ascii="arial" w:hAnsi="arial"/>
                                      <w:sz w:val="16"/>
                                    </w:rPr>
                                    <w:t xml:space="preserve"> (our medicine to treat plaque psoriasis, psoriatic arthritis, and oral ulcers in Behçet’s disease), two Phase 3 studies demonstrated statistically significant improvement in patients with genital psoriasis and genital itch and with palmoplantar pustulosis, respectively. </w:t>
                                  </w:r>
                                </w:p>
                              </w:tc>
                            </w:tr>
                          </w:tbl>
                          <w:p>
                            <w:pPr>
                              <w:pStyle w:val="TextBody"/>
                              <w:bidi w:val="0"/>
                              <w:spacing w:before="0" w:after="0"/>
                              <w:jc w:val="left"/>
                              <w:rPr/>
                            </w:pPr>
                            <w:r>
                              <w:rPr/>
                              <w:t> </w:t>
                            </w:r>
                          </w:p>
                          <w:tbl>
                            <w:tblPr>
                              <w:tblW w:w="5950" w:type="dxa"/>
                              <w:jc w:val="left"/>
                              <w:tblInd w:w="0" w:type="dxa"/>
                              <w:tblLayout w:type="fixed"/>
                              <w:tblCellMar>
                                <w:top w:w="0" w:type="dxa"/>
                                <w:left w:w="0" w:type="dxa"/>
                                <w:bottom w:w="0" w:type="dxa"/>
                                <w:right w:w="0" w:type="dxa"/>
                              </w:tblCellMar>
                            </w:tblPr>
                            <w:tblGrid>
                              <w:gridCol w:w="125"/>
                              <w:gridCol w:w="60"/>
                              <w:gridCol w:w="5765"/>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0"/>
                                    <w:jc w:val="both"/>
                                    <w:rPr>
                                      <w:rFonts w:ascii="arial" w:hAnsi="arial"/>
                                      <w:sz w:val="16"/>
                                    </w:rPr>
                                  </w:pPr>
                                  <w:r>
                                    <w:rPr>
                                      <w:rFonts w:ascii="arial" w:hAnsi="arial"/>
                                      <w:sz w:val="16"/>
                                    </w:rPr>
                                    <w:t xml:space="preserve">We launched </w:t>
                                  </w:r>
                                  <w:r>
                                    <w:rPr>
                                      <w:rFonts w:ascii="arial" w:hAnsi="arial"/>
                                      <w:b/>
                                      <w:color w:val="0171B9"/>
                                      <w:sz w:val="16"/>
                                    </w:rPr>
                                    <w:t>AMJEVITA®</w:t>
                                  </w:r>
                                  <w:r>
                                    <w:rPr>
                                      <w:rFonts w:ascii="arial" w:hAnsi="arial"/>
                                      <w:sz w:val="16"/>
                                    </w:rPr>
                                    <w:t xml:space="preserve"> (biosimilar to Humira®(3) (adalimumab)) in the U.S. </w:t>
                                  </w:r>
                                </w:p>
                              </w:tc>
                            </w:tr>
                          </w:tbl>
                          <w:p>
                            <w:pPr>
                              <w:pStyle w:val="TextBody"/>
                              <w:bidi w:val="0"/>
                              <w:spacing w:before="0" w:after="0"/>
                              <w:jc w:val="left"/>
                              <w:rPr/>
                            </w:pPr>
                            <w:r>
                              <w:rPr/>
                              <w:t> </w:t>
                            </w:r>
                          </w:p>
                          <w:tbl>
                            <w:tblPr>
                              <w:tblW w:w="7360" w:type="dxa"/>
                              <w:jc w:val="left"/>
                              <w:tblInd w:w="0" w:type="dxa"/>
                              <w:tblLayout w:type="fixed"/>
                              <w:tblCellMar>
                                <w:top w:w="0" w:type="dxa"/>
                                <w:left w:w="0" w:type="dxa"/>
                                <w:bottom w:w="0" w:type="dxa"/>
                                <w:right w:w="0" w:type="dxa"/>
                              </w:tblCellMar>
                            </w:tblPr>
                            <w:tblGrid>
                              <w:gridCol w:w="125"/>
                              <w:gridCol w:w="60"/>
                              <w:gridCol w:w="7175"/>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7175" w:type="dxa"/>
                                  <w:tcBorders/>
                                  <w:vAlign w:val="center"/>
                                </w:tcPr>
                                <w:p>
                                  <w:pPr>
                                    <w:pStyle w:val="TableContents"/>
                                    <w:bidi w:val="0"/>
                                    <w:spacing w:before="0" w:after="0"/>
                                    <w:jc w:val="both"/>
                                    <w:rPr>
                                      <w:rFonts w:ascii="arial" w:hAnsi="arial"/>
                                      <w:sz w:val="16"/>
                                    </w:rPr>
                                  </w:pPr>
                                  <w:r>
                                    <w:rPr>
                                      <w:rFonts w:ascii="arial" w:hAnsi="arial"/>
                                      <w:sz w:val="16"/>
                                    </w:rPr>
                                    <w:t xml:space="preserve">We received FDA approval for </w:t>
                                  </w:r>
                                  <w:r>
                                    <w:rPr>
                                      <w:rFonts w:ascii="arial" w:hAnsi="arial"/>
                                      <w:b/>
                                      <w:color w:val="0171B9"/>
                                      <w:sz w:val="16"/>
                                    </w:rPr>
                                    <w:t xml:space="preserve">WEZLANA </w:t>
                                  </w:r>
                                  <w:r>
                                    <w:rPr>
                                      <w:rFonts w:ascii="arial" w:hAnsi="arial"/>
                                      <w:sz w:val="16"/>
                                    </w:rPr>
                                    <w:t xml:space="preserve">(biosimilar candidate to STELARA®(4) (ustekinumab)).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6"/>
                                    </w:rPr>
                                  </w:pPr>
                                  <w:r>
                                    <w:rPr>
                                      <w:rFonts w:ascii="arial" w:hAnsi="arial"/>
                                      <w:sz w:val="16"/>
                                    </w:rPr>
                                    <w:t xml:space="preserve">The FDA accepted the Biologics License Applications for </w:t>
                                  </w:r>
                                  <w:r>
                                    <w:rPr>
                                      <w:rFonts w:ascii="arial" w:hAnsi="arial"/>
                                      <w:b/>
                                      <w:color w:val="0171B9"/>
                                      <w:sz w:val="16"/>
                                    </w:rPr>
                                    <w:t xml:space="preserve">ABP 938 </w:t>
                                  </w:r>
                                  <w:r>
                                    <w:rPr>
                                      <w:rFonts w:ascii="arial" w:hAnsi="arial"/>
                                      <w:sz w:val="16"/>
                                    </w:rPr>
                                    <w:t xml:space="preserve">(biosimilar candidate to EYLEA®(5) (aflibercept)) in patients with neovascular age-related macular degeneration. </w:t>
                                  </w:r>
                                </w:p>
                              </w:tc>
                            </w:tr>
                          </w:tbl>
                          <w:p>
                            <w:pPr>
                              <w:pStyle w:val="TextBody"/>
                              <w:bidi w:val="0"/>
                              <w:spacing w:before="0" w:after="0"/>
                              <w:jc w:val="left"/>
                              <w:rPr/>
                            </w:pPr>
                            <w:r>
                              <w:rPr/>
                              <w:t> </w:t>
                            </w:r>
                          </w:p>
                          <w:tbl>
                            <w:tblPr>
                              <w:tblW w:w="1505" w:type="dxa"/>
                              <w:jc w:val="left"/>
                              <w:tblInd w:w="0" w:type="dxa"/>
                              <w:tblLayout w:type="fixed"/>
                              <w:tblCellMar>
                                <w:top w:w="0" w:type="dxa"/>
                                <w:left w:w="0" w:type="dxa"/>
                                <w:bottom w:w="0" w:type="dxa"/>
                                <w:right w:w="0" w:type="dxa"/>
                              </w:tblCellMar>
                            </w:tblPr>
                            <w:tblGrid>
                              <w:gridCol w:w="1505"/>
                            </w:tblGrid>
                            <w:tr>
                              <w:trPr/>
                              <w:tc>
                                <w:tcPr>
                                  <w:tcW w:w="1505" w:type="dxa"/>
                                  <w:tcBorders/>
                                  <w:vAlign w:val="center"/>
                                </w:tcPr>
                                <w:p>
                                  <w:pPr>
                                    <w:pStyle w:val="TableContents"/>
                                    <w:bidi w:val="0"/>
                                    <w:spacing w:before="0" w:after="283"/>
                                    <w:jc w:val="left"/>
                                    <w:rPr>
                                      <w:sz w:val="4"/>
                                      <w:szCs w:val="4"/>
                                    </w:rPr>
                                  </w:pPr>
                                  <w:r>
                                    <w:rPr>
                                      <w:sz w:val="4"/>
                                      <w:szCs w:val="4"/>
                                    </w:rPr>
                                  </w:r>
                                </w:p>
                              </w:tc>
                            </w:tr>
                            <w:tr>
                              <w:trPr/>
                              <w:tc>
                                <w:tcPr>
                                  <w:tcW w:w="1505" w:type="dxa"/>
                                  <w:tcBorders/>
                                  <w:shd w:fill="E5F0F8" w:val="clear"/>
                                  <w:vAlign w:val="center"/>
                                </w:tcPr>
                                <w:p>
                                  <w:pPr>
                                    <w:pStyle w:val="TableContents"/>
                                    <w:bidi w:val="0"/>
                                    <w:spacing w:before="0" w:after="283"/>
                                    <w:jc w:val="left"/>
                                    <w:rPr>
                                      <w:sz w:val="4"/>
                                      <w:szCs w:val="4"/>
                                    </w:rPr>
                                  </w:pPr>
                                  <w:r>
                                    <w:rPr>
                                      <w:sz w:val="4"/>
                                      <w:szCs w:val="4"/>
                                    </w:rPr>
                                  </w:r>
                                </w:p>
                              </w:tc>
                            </w:tr>
                            <w:tr>
                              <w:trPr/>
                              <w:tc>
                                <w:tcPr>
                                  <w:tcW w:w="1505" w:type="dxa"/>
                                  <w:tcBorders/>
                                  <w:shd w:fill="E5F0F8" w:val="clear"/>
                                  <w:vAlign w:val="center"/>
                                </w:tcPr>
                                <w:p>
                                  <w:pPr>
                                    <w:pStyle w:val="TableContents"/>
                                    <w:bidi w:val="0"/>
                                    <w:spacing w:before="0" w:after="0"/>
                                    <w:jc w:val="left"/>
                                    <w:rPr>
                                      <w:rFonts w:ascii="arial" w:hAnsi="arial"/>
                                      <w:b/>
                                      <w:color w:val="0171B9"/>
                                      <w:sz w:val="22"/>
                                    </w:rPr>
                                  </w:pPr>
                                  <w:r>
                                    <w:rPr>
                                      <w:rFonts w:ascii="arial" w:hAnsi="arial"/>
                                      <w:b/>
                                      <w:color w:val="0171B9"/>
                                      <w:sz w:val="22"/>
                                    </w:rPr>
                                    <w:t>Rare Disease:</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71"/>
                              <w:gridCol w:w="1615"/>
                              <w:gridCol w:w="1615"/>
                              <w:gridCol w:w="1615"/>
                              <w:gridCol w:w="2689"/>
                            </w:tblGrid>
                            <w:tr>
                              <w:trPr/>
                              <w:tc>
                                <w:tcPr>
                                  <w:tcW w:w="2671"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op w:val="single" w:sz="8" w:space="0" w:color="000000"/>
                                    <w:left w:val="single" w:sz="8" w:space="0" w:color="000000"/>
                                    <w:bottom w:val="single" w:sz="8" w:space="0" w:color="000000"/>
                                    <w:right w:val="single" w:sz="8" w:space="0" w:color="000000"/>
                                  </w:tcBorders>
                                  <w:shd w:fill="E5F0F8" w:val="clear"/>
                                  <w:tcMar>
                                    <w:top w:w="28" w:type="dxa"/>
                                    <w:left w:w="160"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both"/>
                                    <w:rPr>
                                      <w:rFonts w:ascii="arial" w:hAnsi="arial"/>
                                      <w:sz w:val="16"/>
                                    </w:rPr>
                                  </w:pPr>
                                  <w:r>
                                    <w:rPr>
                                      <w:rFonts w:ascii="arial" w:hAnsi="arial"/>
                                      <w:sz w:val="16"/>
                                    </w:rPr>
                                    <w:t xml:space="preserve">In addition to our investment in internal innovation and advancement of our pipeline, we made a significant investment in 2023 in external innovation with our October 2023 acquisition of </w:t>
                                  </w:r>
                                  <w:r>
                                    <w:rPr>
                                      <w:rFonts w:ascii="arial" w:hAnsi="arial"/>
                                      <w:b/>
                                      <w:color w:val="0171B9"/>
                                      <w:sz w:val="16"/>
                                    </w:rPr>
                                    <w:t>Horizon Therapeutics</w:t>
                                  </w:r>
                                  <w:r>
                                    <w:rPr>
                                      <w:rFonts w:ascii="arial" w:hAnsi="arial"/>
                                      <w:sz w:val="16"/>
                                    </w:rPr>
                                    <w:t xml:space="preserve"> and its first-in-class or best-in-class innovative medicines that address rare autoimmune diseases, including </w:t>
                                  </w:r>
                                  <w:r>
                                    <w:rPr>
                                      <w:rFonts w:ascii="arial" w:hAnsi="arial"/>
                                      <w:b/>
                                      <w:color w:val="0171B9"/>
                                      <w:sz w:val="16"/>
                                    </w:rPr>
                                    <w:t>TEPEZZA</w:t>
                                  </w:r>
                                  <w:r>
                                    <w:rPr>
                                      <w:rFonts w:ascii="arial" w:hAnsi="arial"/>
                                      <w:sz w:val="16"/>
                                    </w:rPr>
                                    <w:t xml:space="preserve"> (for the treatment of patients with thyroid eye disease), </w:t>
                                  </w:r>
                                  <w:r>
                                    <w:rPr>
                                      <w:rFonts w:ascii="arial" w:hAnsi="arial"/>
                                      <w:b/>
                                      <w:color w:val="0171B9"/>
                                      <w:sz w:val="16"/>
                                    </w:rPr>
                                    <w:t>KRYSTEXXA</w:t>
                                  </w:r>
                                  <w:r>
                                    <w:rPr>
                                      <w:rFonts w:ascii="arial" w:hAnsi="arial"/>
                                      <w:sz w:val="16"/>
                                    </w:rPr>
                                    <w:t xml:space="preserve"> (for the treatment of patients with uncontrolled gout), and </w:t>
                                  </w:r>
                                  <w:r>
                                    <w:rPr>
                                      <w:rFonts w:ascii="arial" w:hAnsi="arial"/>
                                      <w:b/>
                                      <w:color w:val="0171B9"/>
                                      <w:sz w:val="16"/>
                                    </w:rPr>
                                    <w:t>UPLIZNA</w:t>
                                  </w:r>
                                  <w:r>
                                    <w:rPr>
                                      <w:rFonts w:ascii="arial" w:hAnsi="arial"/>
                                      <w:sz w:val="16"/>
                                    </w:rPr>
                                    <w:t xml:space="preserve"> (for the treatment of patients with neuromyelitis optica spectrum disorder), as well as its pipeline of product candidates, including </w:t>
                                  </w:r>
                                  <w:r>
                                    <w:rPr>
                                      <w:rFonts w:ascii="arial" w:hAnsi="arial"/>
                                      <w:b/>
                                      <w:color w:val="0171B9"/>
                                      <w:sz w:val="16"/>
                                    </w:rPr>
                                    <w:t>dazodalibep</w:t>
                                  </w:r>
                                  <w:r>
                                    <w:rPr>
                                      <w:rFonts w:ascii="arial" w:hAnsi="arial"/>
                                      <w:sz w:val="16"/>
                                    </w:rPr>
                                    <w:t xml:space="preserve"> (for Sjögren’s disease) in Phase 3 and </w:t>
                                  </w:r>
                                  <w:r>
                                    <w:rPr>
                                      <w:rFonts w:ascii="arial" w:hAnsi="arial"/>
                                      <w:b/>
                                      <w:color w:val="0171B9"/>
                                      <w:sz w:val="16"/>
                                    </w:rPr>
                                    <w:t>daxdilimab</w:t>
                                  </w:r>
                                  <w:r>
                                    <w:rPr>
                                      <w:rFonts w:ascii="arial" w:hAnsi="arial"/>
                                      <w:sz w:val="16"/>
                                    </w:rPr>
                                    <w:t xml:space="preserve"> (for discoid lupus erythematosus and dermatomyositis and anti-synthetase inflammatory myositis) and </w:t>
                                  </w:r>
                                  <w:r>
                                    <w:rPr>
                                      <w:rFonts w:ascii="arial" w:hAnsi="arial"/>
                                      <w:b/>
                                      <w:color w:val="0171B9"/>
                                      <w:sz w:val="16"/>
                                    </w:rPr>
                                    <w:t>fipaxalparant</w:t>
                                  </w:r>
                                  <w:r>
                                    <w:rPr>
                                      <w:rFonts w:ascii="arial" w:hAnsi="arial"/>
                                      <w:sz w:val="16"/>
                                    </w:rPr>
                                    <w:t xml:space="preserve"> (in systemic sclerosis and idiopathic pulmonary fibrosis) in Phase 2 trials. The products and product candidates from the Horizon acquisition, as well as </w:t>
                                  </w:r>
                                  <w:r>
                                    <w:rPr>
                                      <w:rFonts w:ascii="arial" w:hAnsi="arial"/>
                                      <w:b/>
                                      <w:color w:val="0171B9"/>
                                      <w:sz w:val="16"/>
                                    </w:rPr>
                                    <w:t>TAVNEOS</w:t>
                                  </w:r>
                                  <w:r>
                                    <w:rPr>
                                      <w:rFonts w:ascii="arial" w:hAnsi="arial"/>
                                      <w:sz w:val="16"/>
                                    </w:rPr>
                                    <w:t xml:space="preserve"> acquired from </w:t>
                                  </w:r>
                                  <w:r>
                                    <w:rPr>
                                      <w:rFonts w:ascii="arial" w:hAnsi="arial"/>
                                      <w:b/>
                                      <w:color w:val="0171B9"/>
                                      <w:sz w:val="16"/>
                                    </w:rPr>
                                    <w:t>ChemoCentryx</w:t>
                                  </w:r>
                                  <w:r>
                                    <w:rPr>
                                      <w:rFonts w:ascii="arial" w:hAnsi="arial"/>
                                      <w:sz w:val="16"/>
                                    </w:rPr>
                                    <w:t xml:space="preserve">), comprise our new </w:t>
                                  </w:r>
                                  <w:r>
                                    <w:rPr>
                                      <w:rFonts w:ascii="arial" w:hAnsi="arial"/>
                                      <w:b/>
                                      <w:color w:val="0171B9"/>
                                      <w:sz w:val="16"/>
                                    </w:rPr>
                                    <w:t>rare disease therapeutic area</w:t>
                                  </w:r>
                                  <w:r>
                                    <w:rPr>
                                      <w:rFonts w:ascii="arial" w:hAnsi="arial"/>
                                      <w:sz w:val="16"/>
                                    </w:rPr>
                                    <w:t xml:space="preserve"> that strengthens our broad innovative portfolio and leverages our decades of established leadership in inflammation.</w:t>
                                  </w:r>
                                </w:p>
                                <w:p>
                                  <w:pPr>
                                    <w:pStyle w:val="TableContents"/>
                                    <w:bidi w:val="0"/>
                                    <w:spacing w:before="0" w:after="20"/>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15.6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490" w:type="dxa"/>
                        <w:jc w:val="left"/>
                        <w:tblInd w:w="0" w:type="dxa"/>
                        <w:tblLayout w:type="fixed"/>
                        <w:tblCellMar>
                          <w:top w:w="0" w:type="dxa"/>
                          <w:left w:w="0" w:type="dxa"/>
                          <w:bottom w:w="0" w:type="dxa"/>
                          <w:right w:w="0" w:type="dxa"/>
                        </w:tblCellMar>
                      </w:tblPr>
                      <w:tblGrid>
                        <w:gridCol w:w="1490"/>
                      </w:tblGrid>
                      <w:tr>
                        <w:trPr/>
                        <w:tc>
                          <w:tcPr>
                            <w:tcW w:w="1490" w:type="dxa"/>
                            <w:tcBorders/>
                            <w:vAlign w:val="center"/>
                          </w:tcPr>
                          <w:p>
                            <w:pPr>
                              <w:pStyle w:val="TableContents"/>
                              <w:bidi w:val="0"/>
                              <w:spacing w:before="0" w:after="283"/>
                              <w:jc w:val="left"/>
                              <w:rPr>
                                <w:sz w:val="4"/>
                                <w:szCs w:val="4"/>
                              </w:rPr>
                            </w:pPr>
                            <w:r>
                              <w:rPr>
                                <w:sz w:val="4"/>
                                <w:szCs w:val="4"/>
                              </w:rPr>
                            </w:r>
                          </w:p>
                        </w:tc>
                      </w:tr>
                      <w:tr>
                        <w:trPr/>
                        <w:tc>
                          <w:tcPr>
                            <w:tcW w:w="1490" w:type="dxa"/>
                            <w:tcBorders/>
                            <w:shd w:fill="E5F0F8" w:val="clear"/>
                            <w:vAlign w:val="center"/>
                          </w:tcPr>
                          <w:p>
                            <w:pPr>
                              <w:pStyle w:val="TableContents"/>
                              <w:bidi w:val="0"/>
                              <w:spacing w:before="0" w:after="283"/>
                              <w:jc w:val="left"/>
                              <w:rPr>
                                <w:sz w:val="4"/>
                                <w:szCs w:val="4"/>
                              </w:rPr>
                            </w:pPr>
                            <w:r>
                              <w:rPr>
                                <w:sz w:val="4"/>
                                <w:szCs w:val="4"/>
                              </w:rPr>
                            </w:r>
                          </w:p>
                        </w:tc>
                      </w:tr>
                      <w:tr>
                        <w:trPr/>
                        <w:tc>
                          <w:tcPr>
                            <w:tcW w:w="1490" w:type="dxa"/>
                            <w:tcBorders/>
                            <w:shd w:fill="E5F0F8" w:val="clear"/>
                            <w:vAlign w:val="center"/>
                          </w:tcPr>
                          <w:p>
                            <w:pPr>
                              <w:pStyle w:val="TableContents"/>
                              <w:bidi w:val="0"/>
                              <w:spacing w:before="0" w:after="0"/>
                              <w:jc w:val="left"/>
                              <w:rPr>
                                <w:rFonts w:ascii="arial" w:hAnsi="arial"/>
                                <w:b/>
                                <w:color w:val="0171B9"/>
                                <w:sz w:val="22"/>
                              </w:rPr>
                            </w:pPr>
                            <w:r>
                              <w:rPr>
                                <w:rFonts w:ascii="arial" w:hAnsi="arial"/>
                                <w:b/>
                                <w:color w:val="0171B9"/>
                                <w:sz w:val="22"/>
                              </w:rPr>
                              <w:t>Inflammation:</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6"/>
                              </w:rPr>
                            </w:pPr>
                            <w:r>
                              <w:rPr>
                                <w:rFonts w:ascii="arial" w:hAnsi="arial"/>
                                <w:sz w:val="16"/>
                              </w:rPr>
                              <w:t xml:space="preserve">For </w:t>
                            </w:r>
                            <w:r>
                              <w:rPr>
                                <w:rFonts w:ascii="arial" w:hAnsi="arial"/>
                                <w:b/>
                                <w:color w:val="0171B9"/>
                                <w:sz w:val="16"/>
                              </w:rPr>
                              <w:t>rocatinlimab</w:t>
                            </w:r>
                            <w:r>
                              <w:rPr>
                                <w:rFonts w:ascii="arial" w:hAnsi="arial"/>
                                <w:sz w:val="16"/>
                              </w:rPr>
                              <w:t xml:space="preserve">(1) (our first-in-class monoclonal antibody that inhibits OX40), based on the positive Phase 2 study results that demonstrated improvement in patients with moderate to severe atopic dermatitis, the eight-study Phase 3 ROCKET program is in progress.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6"/>
                              </w:rPr>
                            </w:pPr>
                            <w:r>
                              <w:rPr>
                                <w:rFonts w:ascii="arial" w:hAnsi="arial"/>
                                <w:sz w:val="16"/>
                              </w:rPr>
                              <w:t xml:space="preserve">For </w:t>
                            </w:r>
                            <w:r>
                              <w:rPr>
                                <w:rFonts w:ascii="arial" w:hAnsi="arial"/>
                                <w:b/>
                                <w:color w:val="0171B9"/>
                                <w:sz w:val="16"/>
                              </w:rPr>
                              <w:t>TEZSPIRE</w:t>
                            </w:r>
                            <w:r>
                              <w:rPr>
                                <w:rFonts w:ascii="arial" w:hAnsi="arial"/>
                                <w:sz w:val="16"/>
                              </w:rPr>
                              <w:t xml:space="preserve">(2) (a first-in-class monoclonal antibody that inhibits the action of TSLP), Phase 3 studies investigating TEZSPIRE as a treatment in patients with eosinophilic esophagitis and as a treatment in patients with chronic rhinosinusitis with nasal polyps are in progress. A Phase 2 study investigating TEZSPIRE in chronic obstructive pulmonary disease is in progress.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6"/>
                              </w:rPr>
                            </w:pPr>
                            <w:r>
                              <w:rPr>
                                <w:rFonts w:ascii="arial" w:hAnsi="arial"/>
                                <w:sz w:val="16"/>
                              </w:rPr>
                              <w:t>For</w:t>
                            </w:r>
                            <w:r>
                              <w:rPr>
                                <w:rFonts w:ascii="arial" w:hAnsi="arial"/>
                                <w:color w:val="0171B9"/>
                                <w:sz w:val="16"/>
                              </w:rPr>
                              <w:t xml:space="preserve"> </w:t>
                            </w:r>
                            <w:r>
                              <w:rPr>
                                <w:rFonts w:ascii="arial" w:hAnsi="arial"/>
                                <w:b/>
                                <w:color w:val="0171B9"/>
                                <w:sz w:val="16"/>
                              </w:rPr>
                              <w:t>Otezla®</w:t>
                            </w:r>
                            <w:r>
                              <w:rPr>
                                <w:rFonts w:ascii="arial" w:hAnsi="arial"/>
                                <w:sz w:val="16"/>
                              </w:rPr>
                              <w:t xml:space="preserve"> (our medicine to treat plaque psoriasis, psoriatic arthritis, and oral ulcers in Behçet’s disease), two Phase 3 studies demonstrated statistically significant improvement in patients with genital psoriasis and genital itch and with palmoplantar pustulosis, respectively. </w:t>
                            </w:r>
                          </w:p>
                        </w:tc>
                      </w:tr>
                    </w:tbl>
                    <w:p>
                      <w:pPr>
                        <w:pStyle w:val="TextBody"/>
                        <w:bidi w:val="0"/>
                        <w:spacing w:before="0" w:after="0"/>
                        <w:jc w:val="left"/>
                        <w:rPr/>
                      </w:pPr>
                      <w:r>
                        <w:rPr/>
                        <w:t> </w:t>
                      </w:r>
                    </w:p>
                    <w:tbl>
                      <w:tblPr>
                        <w:tblW w:w="5950" w:type="dxa"/>
                        <w:jc w:val="left"/>
                        <w:tblInd w:w="0" w:type="dxa"/>
                        <w:tblLayout w:type="fixed"/>
                        <w:tblCellMar>
                          <w:top w:w="0" w:type="dxa"/>
                          <w:left w:w="0" w:type="dxa"/>
                          <w:bottom w:w="0" w:type="dxa"/>
                          <w:right w:w="0" w:type="dxa"/>
                        </w:tblCellMar>
                      </w:tblPr>
                      <w:tblGrid>
                        <w:gridCol w:w="125"/>
                        <w:gridCol w:w="60"/>
                        <w:gridCol w:w="5765"/>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0"/>
                              <w:jc w:val="both"/>
                              <w:rPr>
                                <w:rFonts w:ascii="arial" w:hAnsi="arial"/>
                                <w:sz w:val="16"/>
                              </w:rPr>
                            </w:pPr>
                            <w:r>
                              <w:rPr>
                                <w:rFonts w:ascii="arial" w:hAnsi="arial"/>
                                <w:sz w:val="16"/>
                              </w:rPr>
                              <w:t xml:space="preserve">We launched </w:t>
                            </w:r>
                            <w:r>
                              <w:rPr>
                                <w:rFonts w:ascii="arial" w:hAnsi="arial"/>
                                <w:b/>
                                <w:color w:val="0171B9"/>
                                <w:sz w:val="16"/>
                              </w:rPr>
                              <w:t>AMJEVITA®</w:t>
                            </w:r>
                            <w:r>
                              <w:rPr>
                                <w:rFonts w:ascii="arial" w:hAnsi="arial"/>
                                <w:sz w:val="16"/>
                              </w:rPr>
                              <w:t xml:space="preserve"> (biosimilar to Humira®(3) (adalimumab)) in the U.S. </w:t>
                            </w:r>
                          </w:p>
                        </w:tc>
                      </w:tr>
                    </w:tbl>
                    <w:p>
                      <w:pPr>
                        <w:pStyle w:val="TextBody"/>
                        <w:bidi w:val="0"/>
                        <w:spacing w:before="0" w:after="0"/>
                        <w:jc w:val="left"/>
                        <w:rPr/>
                      </w:pPr>
                      <w:r>
                        <w:rPr/>
                        <w:t> </w:t>
                      </w:r>
                    </w:p>
                    <w:tbl>
                      <w:tblPr>
                        <w:tblW w:w="7360" w:type="dxa"/>
                        <w:jc w:val="left"/>
                        <w:tblInd w:w="0" w:type="dxa"/>
                        <w:tblLayout w:type="fixed"/>
                        <w:tblCellMar>
                          <w:top w:w="0" w:type="dxa"/>
                          <w:left w:w="0" w:type="dxa"/>
                          <w:bottom w:w="0" w:type="dxa"/>
                          <w:right w:w="0" w:type="dxa"/>
                        </w:tblCellMar>
                      </w:tblPr>
                      <w:tblGrid>
                        <w:gridCol w:w="125"/>
                        <w:gridCol w:w="60"/>
                        <w:gridCol w:w="7175"/>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7175" w:type="dxa"/>
                            <w:tcBorders/>
                            <w:vAlign w:val="center"/>
                          </w:tcPr>
                          <w:p>
                            <w:pPr>
                              <w:pStyle w:val="TableContents"/>
                              <w:bidi w:val="0"/>
                              <w:spacing w:before="0" w:after="0"/>
                              <w:jc w:val="both"/>
                              <w:rPr>
                                <w:rFonts w:ascii="arial" w:hAnsi="arial"/>
                                <w:sz w:val="16"/>
                              </w:rPr>
                            </w:pPr>
                            <w:r>
                              <w:rPr>
                                <w:rFonts w:ascii="arial" w:hAnsi="arial"/>
                                <w:sz w:val="16"/>
                              </w:rPr>
                              <w:t xml:space="preserve">We received FDA approval for </w:t>
                            </w:r>
                            <w:r>
                              <w:rPr>
                                <w:rFonts w:ascii="arial" w:hAnsi="arial"/>
                                <w:b/>
                                <w:color w:val="0171B9"/>
                                <w:sz w:val="16"/>
                              </w:rPr>
                              <w:t xml:space="preserve">WEZLANA </w:t>
                            </w:r>
                            <w:r>
                              <w:rPr>
                                <w:rFonts w:ascii="arial" w:hAnsi="arial"/>
                                <w:sz w:val="16"/>
                              </w:rPr>
                              <w:t xml:space="preserve">(biosimilar candidate to STELARA®(4) (ustekinumab)).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6"/>
                              </w:rPr>
                            </w:pPr>
                            <w:r>
                              <w:rPr>
                                <w:rFonts w:ascii="arial" w:hAnsi="arial"/>
                                <w:sz w:val="16"/>
                              </w:rPr>
                              <w:t xml:space="preserve">The FDA accepted the Biologics License Applications for </w:t>
                            </w:r>
                            <w:r>
                              <w:rPr>
                                <w:rFonts w:ascii="arial" w:hAnsi="arial"/>
                                <w:b/>
                                <w:color w:val="0171B9"/>
                                <w:sz w:val="16"/>
                              </w:rPr>
                              <w:t xml:space="preserve">ABP 938 </w:t>
                            </w:r>
                            <w:r>
                              <w:rPr>
                                <w:rFonts w:ascii="arial" w:hAnsi="arial"/>
                                <w:sz w:val="16"/>
                              </w:rPr>
                              <w:t xml:space="preserve">(biosimilar candidate to EYLEA®(5) (aflibercept)) in patients with neovascular age-related macular degeneration. </w:t>
                            </w:r>
                          </w:p>
                        </w:tc>
                      </w:tr>
                    </w:tbl>
                    <w:p>
                      <w:pPr>
                        <w:pStyle w:val="TextBody"/>
                        <w:bidi w:val="0"/>
                        <w:spacing w:before="0" w:after="0"/>
                        <w:jc w:val="left"/>
                        <w:rPr/>
                      </w:pPr>
                      <w:r>
                        <w:rPr/>
                        <w:t> </w:t>
                      </w:r>
                    </w:p>
                    <w:tbl>
                      <w:tblPr>
                        <w:tblW w:w="1505" w:type="dxa"/>
                        <w:jc w:val="left"/>
                        <w:tblInd w:w="0" w:type="dxa"/>
                        <w:tblLayout w:type="fixed"/>
                        <w:tblCellMar>
                          <w:top w:w="0" w:type="dxa"/>
                          <w:left w:w="0" w:type="dxa"/>
                          <w:bottom w:w="0" w:type="dxa"/>
                          <w:right w:w="0" w:type="dxa"/>
                        </w:tblCellMar>
                      </w:tblPr>
                      <w:tblGrid>
                        <w:gridCol w:w="1505"/>
                      </w:tblGrid>
                      <w:tr>
                        <w:trPr/>
                        <w:tc>
                          <w:tcPr>
                            <w:tcW w:w="1505" w:type="dxa"/>
                            <w:tcBorders/>
                            <w:vAlign w:val="center"/>
                          </w:tcPr>
                          <w:p>
                            <w:pPr>
                              <w:pStyle w:val="TableContents"/>
                              <w:bidi w:val="0"/>
                              <w:spacing w:before="0" w:after="283"/>
                              <w:jc w:val="left"/>
                              <w:rPr>
                                <w:sz w:val="4"/>
                                <w:szCs w:val="4"/>
                              </w:rPr>
                            </w:pPr>
                            <w:r>
                              <w:rPr>
                                <w:sz w:val="4"/>
                                <w:szCs w:val="4"/>
                              </w:rPr>
                            </w:r>
                          </w:p>
                        </w:tc>
                      </w:tr>
                      <w:tr>
                        <w:trPr/>
                        <w:tc>
                          <w:tcPr>
                            <w:tcW w:w="1505" w:type="dxa"/>
                            <w:tcBorders/>
                            <w:shd w:fill="E5F0F8" w:val="clear"/>
                            <w:vAlign w:val="center"/>
                          </w:tcPr>
                          <w:p>
                            <w:pPr>
                              <w:pStyle w:val="TableContents"/>
                              <w:bidi w:val="0"/>
                              <w:spacing w:before="0" w:after="283"/>
                              <w:jc w:val="left"/>
                              <w:rPr>
                                <w:sz w:val="4"/>
                                <w:szCs w:val="4"/>
                              </w:rPr>
                            </w:pPr>
                            <w:r>
                              <w:rPr>
                                <w:sz w:val="4"/>
                                <w:szCs w:val="4"/>
                              </w:rPr>
                            </w:r>
                          </w:p>
                        </w:tc>
                      </w:tr>
                      <w:tr>
                        <w:trPr/>
                        <w:tc>
                          <w:tcPr>
                            <w:tcW w:w="1505" w:type="dxa"/>
                            <w:tcBorders/>
                            <w:shd w:fill="E5F0F8" w:val="clear"/>
                            <w:vAlign w:val="center"/>
                          </w:tcPr>
                          <w:p>
                            <w:pPr>
                              <w:pStyle w:val="TableContents"/>
                              <w:bidi w:val="0"/>
                              <w:spacing w:before="0" w:after="0"/>
                              <w:jc w:val="left"/>
                              <w:rPr>
                                <w:rFonts w:ascii="arial" w:hAnsi="arial"/>
                                <w:b/>
                                <w:color w:val="0171B9"/>
                                <w:sz w:val="22"/>
                              </w:rPr>
                            </w:pPr>
                            <w:r>
                              <w:rPr>
                                <w:rFonts w:ascii="arial" w:hAnsi="arial"/>
                                <w:b/>
                                <w:color w:val="0171B9"/>
                                <w:sz w:val="22"/>
                              </w:rPr>
                              <w:t>Rare Disease:</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71"/>
                        <w:gridCol w:w="1615"/>
                        <w:gridCol w:w="1615"/>
                        <w:gridCol w:w="1615"/>
                        <w:gridCol w:w="2689"/>
                      </w:tblGrid>
                      <w:tr>
                        <w:trPr/>
                        <w:tc>
                          <w:tcPr>
                            <w:tcW w:w="2671"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op w:val="single" w:sz="8" w:space="0" w:color="000000"/>
                              <w:left w:val="single" w:sz="8" w:space="0" w:color="000000"/>
                              <w:bottom w:val="single" w:sz="8" w:space="0" w:color="000000"/>
                              <w:right w:val="single" w:sz="8" w:space="0" w:color="000000"/>
                            </w:tcBorders>
                            <w:shd w:fill="E5F0F8" w:val="clear"/>
                            <w:tcMar>
                              <w:top w:w="28" w:type="dxa"/>
                              <w:left w:w="160"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both"/>
                              <w:rPr>
                                <w:rFonts w:ascii="arial" w:hAnsi="arial"/>
                                <w:sz w:val="16"/>
                              </w:rPr>
                            </w:pPr>
                            <w:r>
                              <w:rPr>
                                <w:rFonts w:ascii="arial" w:hAnsi="arial"/>
                                <w:sz w:val="16"/>
                              </w:rPr>
                              <w:t xml:space="preserve">In addition to our investment in internal innovation and advancement of our pipeline, we made a significant investment in 2023 in external innovation with our October 2023 acquisition of </w:t>
                            </w:r>
                            <w:r>
                              <w:rPr>
                                <w:rFonts w:ascii="arial" w:hAnsi="arial"/>
                                <w:b/>
                                <w:color w:val="0171B9"/>
                                <w:sz w:val="16"/>
                              </w:rPr>
                              <w:t>Horizon Therapeutics</w:t>
                            </w:r>
                            <w:r>
                              <w:rPr>
                                <w:rFonts w:ascii="arial" w:hAnsi="arial"/>
                                <w:sz w:val="16"/>
                              </w:rPr>
                              <w:t xml:space="preserve"> and its first-in-class or best-in-class innovative medicines that address rare autoimmune diseases, including </w:t>
                            </w:r>
                            <w:r>
                              <w:rPr>
                                <w:rFonts w:ascii="arial" w:hAnsi="arial"/>
                                <w:b/>
                                <w:color w:val="0171B9"/>
                                <w:sz w:val="16"/>
                              </w:rPr>
                              <w:t>TEPEZZA</w:t>
                            </w:r>
                            <w:r>
                              <w:rPr>
                                <w:rFonts w:ascii="arial" w:hAnsi="arial"/>
                                <w:sz w:val="16"/>
                              </w:rPr>
                              <w:t xml:space="preserve"> (for the treatment of patients with thyroid eye disease), </w:t>
                            </w:r>
                            <w:r>
                              <w:rPr>
                                <w:rFonts w:ascii="arial" w:hAnsi="arial"/>
                                <w:b/>
                                <w:color w:val="0171B9"/>
                                <w:sz w:val="16"/>
                              </w:rPr>
                              <w:t>KRYSTEXXA</w:t>
                            </w:r>
                            <w:r>
                              <w:rPr>
                                <w:rFonts w:ascii="arial" w:hAnsi="arial"/>
                                <w:sz w:val="16"/>
                              </w:rPr>
                              <w:t xml:space="preserve"> (for the treatment of patients with uncontrolled gout), and </w:t>
                            </w:r>
                            <w:r>
                              <w:rPr>
                                <w:rFonts w:ascii="arial" w:hAnsi="arial"/>
                                <w:b/>
                                <w:color w:val="0171B9"/>
                                <w:sz w:val="16"/>
                              </w:rPr>
                              <w:t>UPLIZNA</w:t>
                            </w:r>
                            <w:r>
                              <w:rPr>
                                <w:rFonts w:ascii="arial" w:hAnsi="arial"/>
                                <w:sz w:val="16"/>
                              </w:rPr>
                              <w:t xml:space="preserve"> (for the treatment of patients with neuromyelitis optica spectrum disorder), as well as its pipeline of product candidates, including </w:t>
                            </w:r>
                            <w:r>
                              <w:rPr>
                                <w:rFonts w:ascii="arial" w:hAnsi="arial"/>
                                <w:b/>
                                <w:color w:val="0171B9"/>
                                <w:sz w:val="16"/>
                              </w:rPr>
                              <w:t>dazodalibep</w:t>
                            </w:r>
                            <w:r>
                              <w:rPr>
                                <w:rFonts w:ascii="arial" w:hAnsi="arial"/>
                                <w:sz w:val="16"/>
                              </w:rPr>
                              <w:t xml:space="preserve"> (for Sjögren’s disease) in Phase 3 and </w:t>
                            </w:r>
                            <w:r>
                              <w:rPr>
                                <w:rFonts w:ascii="arial" w:hAnsi="arial"/>
                                <w:b/>
                                <w:color w:val="0171B9"/>
                                <w:sz w:val="16"/>
                              </w:rPr>
                              <w:t>daxdilimab</w:t>
                            </w:r>
                            <w:r>
                              <w:rPr>
                                <w:rFonts w:ascii="arial" w:hAnsi="arial"/>
                                <w:sz w:val="16"/>
                              </w:rPr>
                              <w:t xml:space="preserve"> (for discoid lupus erythematosus and dermatomyositis and anti-synthetase inflammatory myositis) and </w:t>
                            </w:r>
                            <w:r>
                              <w:rPr>
                                <w:rFonts w:ascii="arial" w:hAnsi="arial"/>
                                <w:b/>
                                <w:color w:val="0171B9"/>
                                <w:sz w:val="16"/>
                              </w:rPr>
                              <w:t>fipaxalparant</w:t>
                            </w:r>
                            <w:r>
                              <w:rPr>
                                <w:rFonts w:ascii="arial" w:hAnsi="arial"/>
                                <w:sz w:val="16"/>
                              </w:rPr>
                              <w:t xml:space="preserve"> (in systemic sclerosis and idiopathic pulmonary fibrosis) in Phase 2 trials. The products and product candidates from the Horizon acquisition, as well as </w:t>
                            </w:r>
                            <w:r>
                              <w:rPr>
                                <w:rFonts w:ascii="arial" w:hAnsi="arial"/>
                                <w:b/>
                                <w:color w:val="0171B9"/>
                                <w:sz w:val="16"/>
                              </w:rPr>
                              <w:t>TAVNEOS</w:t>
                            </w:r>
                            <w:r>
                              <w:rPr>
                                <w:rFonts w:ascii="arial" w:hAnsi="arial"/>
                                <w:sz w:val="16"/>
                              </w:rPr>
                              <w:t xml:space="preserve"> acquired from </w:t>
                            </w:r>
                            <w:r>
                              <w:rPr>
                                <w:rFonts w:ascii="arial" w:hAnsi="arial"/>
                                <w:b/>
                                <w:color w:val="0171B9"/>
                                <w:sz w:val="16"/>
                              </w:rPr>
                              <w:t>ChemoCentryx</w:t>
                            </w:r>
                            <w:r>
                              <w:rPr>
                                <w:rFonts w:ascii="arial" w:hAnsi="arial"/>
                                <w:sz w:val="16"/>
                              </w:rPr>
                              <w:t xml:space="preserve">), comprise our new </w:t>
                            </w:r>
                            <w:r>
                              <w:rPr>
                                <w:rFonts w:ascii="arial" w:hAnsi="arial"/>
                                <w:b/>
                                <w:color w:val="0171B9"/>
                                <w:sz w:val="16"/>
                              </w:rPr>
                              <w:t>rare disease therapeutic area</w:t>
                            </w:r>
                            <w:r>
                              <w:rPr>
                                <w:rFonts w:ascii="arial" w:hAnsi="arial"/>
                                <w:sz w:val="16"/>
                              </w:rPr>
                              <w:t xml:space="preserve"> that strengthens our broad innovative portfolio and leverages our decades of established leadership in inflammation.</w:t>
                            </w:r>
                          </w:p>
                          <w:p>
                            <w:pPr>
                              <w:pStyle w:val="TableContents"/>
                              <w:bidi w:val="0"/>
                              <w:spacing w:before="0" w:after="20"/>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44">
                <wp:simplePos x="0" y="0"/>
                <wp:positionH relativeFrom="column">
                  <wp:align>left</wp:align>
                </wp:positionH>
                <wp:positionV relativeFrom="line">
                  <wp:posOffset>635</wp:posOffset>
                </wp:positionV>
                <wp:extent cx="3175000" cy="7040880"/>
                <wp:effectExtent l="0" t="0" r="0" b="0"/>
                <wp:wrapSquare wrapText="right"/>
                <wp:docPr id="211" name="Frame102"/>
                <a:graphic xmlns:a="http://schemas.openxmlformats.org/drawingml/2006/main">
                  <a:graphicData uri="http://schemas.microsoft.com/office/word/2010/wordprocessingShape">
                    <wps:wsp>
                      <wps:cNvSpPr txBox="1"/>
                      <wps:spPr>
                        <a:xfrm>
                          <a:off x="0" y="0"/>
                          <a:ext cx="3175000" cy="7040880"/>
                        </a:xfrm>
                        <a:prstGeom prst="rect"/>
                        <a:solidFill>
                          <a:srgbClr val="FFFFFF"/>
                        </a:solidFill>
                      </wps:spPr>
                      <wps:txbx>
                        <w:txbxContent>
                          <w:p>
                            <w:pPr>
                              <w:pStyle w:val="TextBody"/>
                              <w:bidi w:val="0"/>
                              <w:spacing w:before="0" w:after="0"/>
                              <w:jc w:val="both"/>
                              <w:rPr>
                                <w:rFonts w:ascii="arial" w:hAnsi="arial"/>
                                <w:b/>
                                <w:i/>
                                <w:color w:val="0171B9"/>
                                <w:sz w:val="22"/>
                              </w:rPr>
                            </w:pPr>
                            <w:r>
                              <w:rPr>
                                <w:rFonts w:ascii="arial" w:hAnsi="arial"/>
                                <w:b/>
                                <w:i/>
                                <w:color w:val="0171B9"/>
                                <w:sz w:val="22"/>
                              </w:rPr>
                              <w:t xml:space="preserve">3. We delivered on our annual priorities. </w:t>
                            </w:r>
                          </w:p>
                          <w:p>
                            <w:pPr>
                              <w:pStyle w:val="TextBody"/>
                              <w:bidi w:val="0"/>
                              <w:spacing w:before="0" w:after="0"/>
                              <w:jc w:val="left"/>
                              <w:rPr/>
                            </w:pPr>
                            <w:r>
                              <w:rPr/>
                              <w:t> </w:t>
                            </w:r>
                          </w:p>
                          <w:tbl>
                            <w:tblPr>
                              <w:tblW w:w="3920" w:type="dxa"/>
                              <w:jc w:val="left"/>
                              <w:tblInd w:w="0" w:type="dxa"/>
                              <w:tblLayout w:type="fixed"/>
                              <w:tblCellMar>
                                <w:top w:w="0" w:type="dxa"/>
                                <w:left w:w="0" w:type="dxa"/>
                                <w:bottom w:w="0" w:type="dxa"/>
                                <w:right w:w="0" w:type="dxa"/>
                              </w:tblCellMar>
                            </w:tblPr>
                            <w:tblGrid>
                              <w:gridCol w:w="3920"/>
                            </w:tblGrid>
                            <w:tr>
                              <w:trPr/>
                              <w:tc>
                                <w:tcPr>
                                  <w:tcW w:w="3920" w:type="dxa"/>
                                  <w:tcBorders/>
                                  <w:vAlign w:val="center"/>
                                </w:tcPr>
                                <w:p>
                                  <w:pPr>
                                    <w:pStyle w:val="TableContents"/>
                                    <w:bidi w:val="0"/>
                                    <w:spacing w:before="0" w:after="283"/>
                                    <w:jc w:val="left"/>
                                    <w:rPr>
                                      <w:sz w:val="4"/>
                                      <w:szCs w:val="4"/>
                                    </w:rPr>
                                  </w:pPr>
                                  <w:r>
                                    <w:rPr>
                                      <w:sz w:val="4"/>
                                      <w:szCs w:val="4"/>
                                    </w:rPr>
                                  </w:r>
                                </w:p>
                              </w:tc>
                            </w:tr>
                            <w:tr>
                              <w:trPr/>
                              <w:tc>
                                <w:tcPr>
                                  <w:tcW w:w="3920" w:type="dxa"/>
                                  <w:tcBorders/>
                                  <w:shd w:fill="31485D" w:val="clear"/>
                                  <w:vAlign w:val="center"/>
                                </w:tcPr>
                                <w:p>
                                  <w:pPr>
                                    <w:pStyle w:val="TableContents"/>
                                    <w:bidi w:val="0"/>
                                    <w:spacing w:before="0" w:after="0"/>
                                    <w:jc w:val="left"/>
                                    <w:rPr/>
                                  </w:pPr>
                                  <w:r>
                                    <w:rPr/>
                                    <w:t> </w:t>
                                  </w:r>
                                </w:p>
                                <w:p>
                                  <w:pPr>
                                    <w:pStyle w:val="TableContents"/>
                                    <w:bidi w:val="0"/>
                                    <w:spacing w:before="0" w:after="0"/>
                                    <w:jc w:val="both"/>
                                    <w:rPr>
                                      <w:rFonts w:ascii="arial" w:hAnsi="arial"/>
                                      <w:b/>
                                      <w:color w:val="FFFFFF"/>
                                      <w:sz w:val="19"/>
                                    </w:rPr>
                                  </w:pPr>
                                  <w:r>
                                    <w:rPr>
                                      <w:rFonts w:ascii="arial" w:hAnsi="arial"/>
                                      <w:b/>
                                      <w:color w:val="FFFFFF"/>
                                      <w:sz w:val="19"/>
                                    </w:rPr>
                                    <w:t>a. Environmental, social, and governance</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6"/>
                                    </w:rPr>
                                  </w:pPr>
                                  <w:r>
                                    <w:rPr>
                                      <w:rFonts w:ascii="arial" w:hAnsi="arial"/>
                                      <w:sz w:val="16"/>
                                    </w:rPr>
                                    <w:t xml:space="preserve">To challenge our execution on our environmental sustainability 2027 goals, we established a Company environmental goal to achieve cumulative conservation targets that meet specific pre-specified percentage reductions for each of the three goal components (total carbon reduction, total water reduction, and total waste reduction) in 2023 that continue to hold ourselves accountable for, and systematically advance towards, our 2027 environmental sustainability goals. </w:t>
                                  </w:r>
                                </w:p>
                              </w:tc>
                            </w:tr>
                          </w:tbl>
                          <w:p>
                            <w:pPr>
                              <w:pStyle w:val="TextBody"/>
                              <w:bidi w:val="0"/>
                              <w:spacing w:before="80" w:after="0"/>
                              <w:ind w:left="240" w:right="0" w:hanging="0"/>
                              <w:jc w:val="both"/>
                              <w:rPr>
                                <w:rFonts w:ascii="arial" w:hAnsi="arial"/>
                                <w:sz w:val="16"/>
                              </w:rPr>
                            </w:pPr>
                            <w:r>
                              <w:rPr>
                                <w:rFonts w:ascii="arial" w:hAnsi="arial"/>
                                <w:sz w:val="16"/>
                              </w:rPr>
                              <w:t xml:space="preserve">Our above-target achievement of the pre-specified percentage reductions for each of the carbon, water, and waste components in 2023 that advances the Company towards achievement of our 2027 goals resulted in a corresponding score 25% above-target for this goal. </w:t>
                            </w:r>
                          </w:p>
                          <w:p>
                            <w:pPr>
                              <w:pStyle w:val="TextBody"/>
                              <w:bidi w:val="0"/>
                              <w:spacing w:before="0" w:after="0"/>
                              <w:jc w:val="left"/>
                              <w:rPr/>
                            </w:pPr>
                            <w:r>
                              <w:rPr/>
                              <w:t> </w:t>
                            </w:r>
                          </w:p>
                          <w:tbl>
                            <w:tblPr>
                              <w:tblW w:w="5252" w:type="dxa"/>
                              <w:jc w:val="left"/>
                              <w:tblInd w:w="0" w:type="dxa"/>
                              <w:tblLayout w:type="fixed"/>
                              <w:tblCellMar>
                                <w:top w:w="0" w:type="dxa"/>
                                <w:left w:w="0" w:type="dxa"/>
                                <w:bottom w:w="0" w:type="dxa"/>
                                <w:right w:w="0" w:type="dxa"/>
                              </w:tblCellMar>
                            </w:tblPr>
                            <w:tblGrid>
                              <w:gridCol w:w="1376"/>
                              <w:gridCol w:w="831"/>
                              <w:gridCol w:w="831"/>
                              <w:gridCol w:w="831"/>
                              <w:gridCol w:w="1383"/>
                            </w:tblGrid>
                            <w:tr>
                              <w:trPr/>
                              <w:tc>
                                <w:tcPr>
                                  <w:tcW w:w="137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r>
                            <w:tr>
                              <w:trPr/>
                              <w:tc>
                                <w:tcPr>
                                  <w:tcW w:w="5252" w:type="dxa"/>
                                  <w:gridSpan w:val="5"/>
                                  <w:tcBorders>
                                    <w:top w:val="single" w:sz="8" w:space="0" w:color="000000"/>
                                    <w:left w:val="single" w:sz="8" w:space="0" w:color="000000"/>
                                    <w:bottom w:val="single" w:sz="8" w:space="0" w:color="000000"/>
                                    <w:right w:val="single" w:sz="8" w:space="0" w:color="000000"/>
                                  </w:tcBorders>
                                  <w:shd w:fill="E5F0F8" w:val="clear"/>
                                  <w:tcMar>
                                    <w:top w:w="28" w:type="dxa"/>
                                    <w:left w:w="160"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both"/>
                                    <w:rPr>
                                      <w:color w:val="0171B9"/>
                                    </w:rPr>
                                  </w:pPr>
                                  <w:r>
                                    <w:rPr>
                                      <w:color w:val="0171B9"/>
                                    </w:rPr>
                                    <w:t> </w:t>
                                  </w:r>
                                  <w:r>
                                    <w:rPr>
                                      <w:rFonts w:ascii="arial" w:hAnsi="arial"/>
                                      <w:b/>
                                      <w:color w:val="0171B9"/>
                                      <w:sz w:val="22"/>
                                    </w:rPr>
                                    <w:t>Our 2027 Environmental Sustainability Goals(6)</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6"/>
                                    </w:rPr>
                                    <w:t>Achieve carbon neutrality in our operations;</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6"/>
                                    </w:rPr>
                                    <w:t>Reduce water consumed by 40%; and</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6"/>
                                    </w:rPr>
                                    <w:t>Reduce waste disposed by 75%.</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6"/>
                                    </w:rPr>
                                  </w:pPr>
                                  <w:r>
                                    <w:rPr>
                                      <w:rFonts w:ascii="arial" w:hAnsi="arial"/>
                                      <w:sz w:val="16"/>
                                    </w:rPr>
                                    <w:t xml:space="preserve">To drive measurable achievement of Representation in Clinical Research (RISE) program objectives, we established a goal requiring the definition of our success criteria for improvement in representative enrollment in clinical trials, as well as key performance indicators to measure incorporation of diversity considerations in the design and operational plans of interventional Phase 3 studies being conducted in the U.S., and the development of a tracking system to monitor these key performance indicators. </w:t>
                                  </w:r>
                                </w:p>
                              </w:tc>
                            </w:tr>
                          </w:tbl>
                          <w:p>
                            <w:pPr>
                              <w:pStyle w:val="TextBody"/>
                              <w:bidi w:val="0"/>
                              <w:spacing w:before="0" w:after="0"/>
                              <w:jc w:val="left"/>
                              <w:rPr/>
                            </w:pPr>
                            <w:r>
                              <w:rPr/>
                              <w:t> </w:t>
                            </w:r>
                          </w:p>
                          <w:tbl>
                            <w:tblPr>
                              <w:tblW w:w="7015" w:type="dxa"/>
                              <w:jc w:val="left"/>
                              <w:tblInd w:w="0" w:type="dxa"/>
                              <w:tblLayout w:type="fixed"/>
                              <w:tblCellMar>
                                <w:top w:w="0" w:type="dxa"/>
                                <w:left w:w="0" w:type="dxa"/>
                                <w:bottom w:w="0" w:type="dxa"/>
                                <w:right w:w="0" w:type="dxa"/>
                              </w:tblCellMar>
                            </w:tblPr>
                            <w:tblGrid>
                              <w:gridCol w:w="75"/>
                              <w:gridCol w:w="140"/>
                              <w:gridCol w:w="680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0171B9"/>
                                    </w:rPr>
                                  </w:pPr>
                                  <w:r>
                                    <w:rPr>
                                      <w:color w:val="0171B9"/>
                                    </w:rPr>
                                    <w:t>–</w:t>
                                  </w:r>
                                </w:p>
                              </w:tc>
                              <w:tc>
                                <w:tcPr>
                                  <w:tcW w:w="6800" w:type="dxa"/>
                                  <w:tcBorders/>
                                  <w:vAlign w:val="center"/>
                                </w:tcPr>
                                <w:p>
                                  <w:pPr>
                                    <w:pStyle w:val="TableContents"/>
                                    <w:bidi w:val="0"/>
                                    <w:spacing w:before="0" w:after="0"/>
                                    <w:jc w:val="both"/>
                                    <w:rPr>
                                      <w:rFonts w:ascii="arial" w:hAnsi="arial"/>
                                      <w:sz w:val="16"/>
                                    </w:rPr>
                                  </w:pPr>
                                  <w:r>
                                    <w:rPr>
                                      <w:rFonts w:ascii="arial" w:hAnsi="arial"/>
                                      <w:sz w:val="16"/>
                                    </w:rPr>
                                    <w:t xml:space="preserve">Attainment of all elements of this goal resulted in a maximum achievement score for this goal.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6"/>
                                    </w:rPr>
                                  </w:pPr>
                                  <w:r>
                                    <w:rPr>
                                      <w:rFonts w:ascii="arial" w:hAnsi="arial"/>
                                      <w:sz w:val="16"/>
                                    </w:rPr>
                                    <w:t xml:space="preserve">In support of our continuous improvement strategic priority and our diversity, inclusion, and belonging program, this goal expanded the group of leaders responsible for engagement in inclusive leadership to drive ownership and accountability for these activities that support a cohesive Company culture deeper into the organization. Leaders at the director and senior managers levels were required to establish, document, and execute diversity, inclusion, and belonging action plans in 2023 with a target goal of 90% participation.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0171B9"/>
                                    </w:rPr>
                                  </w:pPr>
                                  <w:r>
                                    <w:rPr>
                                      <w:color w:val="0171B9"/>
                                    </w:rPr>
                                    <w:t>–</w:t>
                                  </w:r>
                                </w:p>
                              </w:tc>
                              <w:tc>
                                <w:tcPr>
                                  <w:tcW w:w="9990" w:type="dxa"/>
                                  <w:tcBorders/>
                                  <w:vAlign w:val="center"/>
                                </w:tcPr>
                                <w:p>
                                  <w:pPr>
                                    <w:pStyle w:val="TableContents"/>
                                    <w:bidi w:val="0"/>
                                    <w:spacing w:before="0" w:after="0"/>
                                    <w:jc w:val="both"/>
                                    <w:rPr>
                                      <w:rFonts w:ascii="arial" w:hAnsi="arial"/>
                                      <w:sz w:val="16"/>
                                    </w:rPr>
                                  </w:pPr>
                                  <w:r>
                                    <w:rPr>
                                      <w:rFonts w:ascii="arial" w:hAnsi="arial"/>
                                      <w:sz w:val="16"/>
                                    </w:rPr>
                                    <w:t xml:space="preserve">We achieved 98% participation with these leaders establishing, documenting, and executing on their diversity, inclusion, and belonging action plans in 2023.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54.4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b/>
                          <w:i/>
                          <w:color w:val="0171B9"/>
                          <w:sz w:val="22"/>
                        </w:rPr>
                      </w:pPr>
                      <w:r>
                        <w:rPr>
                          <w:rFonts w:ascii="arial" w:hAnsi="arial"/>
                          <w:b/>
                          <w:i/>
                          <w:color w:val="0171B9"/>
                          <w:sz w:val="22"/>
                        </w:rPr>
                        <w:t xml:space="preserve">3. We delivered on our annual priorities. </w:t>
                      </w:r>
                    </w:p>
                    <w:p>
                      <w:pPr>
                        <w:pStyle w:val="TextBody"/>
                        <w:bidi w:val="0"/>
                        <w:spacing w:before="0" w:after="0"/>
                        <w:jc w:val="left"/>
                        <w:rPr/>
                      </w:pPr>
                      <w:r>
                        <w:rPr/>
                        <w:t> </w:t>
                      </w:r>
                    </w:p>
                    <w:tbl>
                      <w:tblPr>
                        <w:tblW w:w="3920" w:type="dxa"/>
                        <w:jc w:val="left"/>
                        <w:tblInd w:w="0" w:type="dxa"/>
                        <w:tblLayout w:type="fixed"/>
                        <w:tblCellMar>
                          <w:top w:w="0" w:type="dxa"/>
                          <w:left w:w="0" w:type="dxa"/>
                          <w:bottom w:w="0" w:type="dxa"/>
                          <w:right w:w="0" w:type="dxa"/>
                        </w:tblCellMar>
                      </w:tblPr>
                      <w:tblGrid>
                        <w:gridCol w:w="3920"/>
                      </w:tblGrid>
                      <w:tr>
                        <w:trPr/>
                        <w:tc>
                          <w:tcPr>
                            <w:tcW w:w="3920" w:type="dxa"/>
                            <w:tcBorders/>
                            <w:vAlign w:val="center"/>
                          </w:tcPr>
                          <w:p>
                            <w:pPr>
                              <w:pStyle w:val="TableContents"/>
                              <w:bidi w:val="0"/>
                              <w:spacing w:before="0" w:after="283"/>
                              <w:jc w:val="left"/>
                              <w:rPr>
                                <w:sz w:val="4"/>
                                <w:szCs w:val="4"/>
                              </w:rPr>
                            </w:pPr>
                            <w:r>
                              <w:rPr>
                                <w:sz w:val="4"/>
                                <w:szCs w:val="4"/>
                              </w:rPr>
                            </w:r>
                          </w:p>
                        </w:tc>
                      </w:tr>
                      <w:tr>
                        <w:trPr/>
                        <w:tc>
                          <w:tcPr>
                            <w:tcW w:w="3920" w:type="dxa"/>
                            <w:tcBorders/>
                            <w:shd w:fill="31485D" w:val="clear"/>
                            <w:vAlign w:val="center"/>
                          </w:tcPr>
                          <w:p>
                            <w:pPr>
                              <w:pStyle w:val="TableContents"/>
                              <w:bidi w:val="0"/>
                              <w:spacing w:before="0" w:after="0"/>
                              <w:jc w:val="left"/>
                              <w:rPr/>
                            </w:pPr>
                            <w:r>
                              <w:rPr/>
                              <w:t> </w:t>
                            </w:r>
                          </w:p>
                          <w:p>
                            <w:pPr>
                              <w:pStyle w:val="TableContents"/>
                              <w:bidi w:val="0"/>
                              <w:spacing w:before="0" w:after="0"/>
                              <w:jc w:val="both"/>
                              <w:rPr>
                                <w:rFonts w:ascii="arial" w:hAnsi="arial"/>
                                <w:b/>
                                <w:color w:val="FFFFFF"/>
                                <w:sz w:val="19"/>
                              </w:rPr>
                            </w:pPr>
                            <w:r>
                              <w:rPr>
                                <w:rFonts w:ascii="arial" w:hAnsi="arial"/>
                                <w:b/>
                                <w:color w:val="FFFFFF"/>
                                <w:sz w:val="19"/>
                              </w:rPr>
                              <w:t>a. Environmental, social, and governance</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6"/>
                              </w:rPr>
                            </w:pPr>
                            <w:r>
                              <w:rPr>
                                <w:rFonts w:ascii="arial" w:hAnsi="arial"/>
                                <w:sz w:val="16"/>
                              </w:rPr>
                              <w:t xml:space="preserve">To challenge our execution on our environmental sustainability 2027 goals, we established a Company environmental goal to achieve cumulative conservation targets that meet specific pre-specified percentage reductions for each of the three goal components (total carbon reduction, total water reduction, and total waste reduction) in 2023 that continue to hold ourselves accountable for, and systematically advance towards, our 2027 environmental sustainability goals. </w:t>
                            </w:r>
                          </w:p>
                        </w:tc>
                      </w:tr>
                    </w:tbl>
                    <w:p>
                      <w:pPr>
                        <w:pStyle w:val="TextBody"/>
                        <w:bidi w:val="0"/>
                        <w:spacing w:before="80" w:after="0"/>
                        <w:ind w:left="240" w:right="0" w:hanging="0"/>
                        <w:jc w:val="both"/>
                        <w:rPr>
                          <w:rFonts w:ascii="arial" w:hAnsi="arial"/>
                          <w:sz w:val="16"/>
                        </w:rPr>
                      </w:pPr>
                      <w:r>
                        <w:rPr>
                          <w:rFonts w:ascii="arial" w:hAnsi="arial"/>
                          <w:sz w:val="16"/>
                        </w:rPr>
                        <w:t xml:space="preserve">Our above-target achievement of the pre-specified percentage reductions for each of the carbon, water, and waste components in 2023 that advances the Company towards achievement of our 2027 goals resulted in a corresponding score 25% above-target for this goal. </w:t>
                      </w:r>
                    </w:p>
                    <w:p>
                      <w:pPr>
                        <w:pStyle w:val="TextBody"/>
                        <w:bidi w:val="0"/>
                        <w:spacing w:before="0" w:after="0"/>
                        <w:jc w:val="left"/>
                        <w:rPr/>
                      </w:pPr>
                      <w:r>
                        <w:rPr/>
                        <w:t> </w:t>
                      </w:r>
                    </w:p>
                    <w:tbl>
                      <w:tblPr>
                        <w:tblW w:w="5252" w:type="dxa"/>
                        <w:jc w:val="left"/>
                        <w:tblInd w:w="0" w:type="dxa"/>
                        <w:tblLayout w:type="fixed"/>
                        <w:tblCellMar>
                          <w:top w:w="0" w:type="dxa"/>
                          <w:left w:w="0" w:type="dxa"/>
                          <w:bottom w:w="0" w:type="dxa"/>
                          <w:right w:w="0" w:type="dxa"/>
                        </w:tblCellMar>
                      </w:tblPr>
                      <w:tblGrid>
                        <w:gridCol w:w="1376"/>
                        <w:gridCol w:w="831"/>
                        <w:gridCol w:w="831"/>
                        <w:gridCol w:w="831"/>
                        <w:gridCol w:w="1383"/>
                      </w:tblGrid>
                      <w:tr>
                        <w:trPr/>
                        <w:tc>
                          <w:tcPr>
                            <w:tcW w:w="137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r>
                      <w:tr>
                        <w:trPr/>
                        <w:tc>
                          <w:tcPr>
                            <w:tcW w:w="5252" w:type="dxa"/>
                            <w:gridSpan w:val="5"/>
                            <w:tcBorders>
                              <w:top w:val="single" w:sz="8" w:space="0" w:color="000000"/>
                              <w:left w:val="single" w:sz="8" w:space="0" w:color="000000"/>
                              <w:bottom w:val="single" w:sz="8" w:space="0" w:color="000000"/>
                              <w:right w:val="single" w:sz="8" w:space="0" w:color="000000"/>
                            </w:tcBorders>
                            <w:shd w:fill="E5F0F8" w:val="clear"/>
                            <w:tcMar>
                              <w:top w:w="28" w:type="dxa"/>
                              <w:left w:w="160"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both"/>
                              <w:rPr>
                                <w:color w:val="0171B9"/>
                              </w:rPr>
                            </w:pPr>
                            <w:r>
                              <w:rPr>
                                <w:color w:val="0171B9"/>
                              </w:rPr>
                              <w:t> </w:t>
                            </w:r>
                            <w:r>
                              <w:rPr>
                                <w:rFonts w:ascii="arial" w:hAnsi="arial"/>
                                <w:b/>
                                <w:color w:val="0171B9"/>
                                <w:sz w:val="22"/>
                              </w:rPr>
                              <w:t>Our 2027 Environmental Sustainability Goals(6)</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6"/>
                              </w:rPr>
                              <w:t>Achieve carbon neutrality in our operations;</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6"/>
                              </w:rPr>
                              <w:t>Reduce water consumed by 40%; and</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6"/>
                              </w:rPr>
                              <w:t>Reduce waste disposed by 75%.</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6"/>
                              </w:rPr>
                            </w:pPr>
                            <w:r>
                              <w:rPr>
                                <w:rFonts w:ascii="arial" w:hAnsi="arial"/>
                                <w:sz w:val="16"/>
                              </w:rPr>
                              <w:t xml:space="preserve">To drive measurable achievement of Representation in Clinical Research (RISE) program objectives, we established a goal requiring the definition of our success criteria for improvement in representative enrollment in clinical trials, as well as key performance indicators to measure incorporation of diversity considerations in the design and operational plans of interventional Phase 3 studies being conducted in the U.S., and the development of a tracking system to monitor these key performance indicators. </w:t>
                            </w:r>
                          </w:p>
                        </w:tc>
                      </w:tr>
                    </w:tbl>
                    <w:p>
                      <w:pPr>
                        <w:pStyle w:val="TextBody"/>
                        <w:bidi w:val="0"/>
                        <w:spacing w:before="0" w:after="0"/>
                        <w:jc w:val="left"/>
                        <w:rPr/>
                      </w:pPr>
                      <w:r>
                        <w:rPr/>
                        <w:t> </w:t>
                      </w:r>
                    </w:p>
                    <w:tbl>
                      <w:tblPr>
                        <w:tblW w:w="7015" w:type="dxa"/>
                        <w:jc w:val="left"/>
                        <w:tblInd w:w="0" w:type="dxa"/>
                        <w:tblLayout w:type="fixed"/>
                        <w:tblCellMar>
                          <w:top w:w="0" w:type="dxa"/>
                          <w:left w:w="0" w:type="dxa"/>
                          <w:bottom w:w="0" w:type="dxa"/>
                          <w:right w:w="0" w:type="dxa"/>
                        </w:tblCellMar>
                      </w:tblPr>
                      <w:tblGrid>
                        <w:gridCol w:w="75"/>
                        <w:gridCol w:w="140"/>
                        <w:gridCol w:w="680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0171B9"/>
                              </w:rPr>
                            </w:pPr>
                            <w:r>
                              <w:rPr>
                                <w:color w:val="0171B9"/>
                              </w:rPr>
                              <w:t>–</w:t>
                            </w:r>
                          </w:p>
                        </w:tc>
                        <w:tc>
                          <w:tcPr>
                            <w:tcW w:w="6800" w:type="dxa"/>
                            <w:tcBorders/>
                            <w:vAlign w:val="center"/>
                          </w:tcPr>
                          <w:p>
                            <w:pPr>
                              <w:pStyle w:val="TableContents"/>
                              <w:bidi w:val="0"/>
                              <w:spacing w:before="0" w:after="0"/>
                              <w:jc w:val="both"/>
                              <w:rPr>
                                <w:rFonts w:ascii="arial" w:hAnsi="arial"/>
                                <w:sz w:val="16"/>
                              </w:rPr>
                            </w:pPr>
                            <w:r>
                              <w:rPr>
                                <w:rFonts w:ascii="arial" w:hAnsi="arial"/>
                                <w:sz w:val="16"/>
                              </w:rPr>
                              <w:t xml:space="preserve">Attainment of all elements of this goal resulted in a maximum achievement score for this goal.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6"/>
                              </w:rPr>
                            </w:pPr>
                            <w:r>
                              <w:rPr>
                                <w:rFonts w:ascii="arial" w:hAnsi="arial"/>
                                <w:sz w:val="16"/>
                              </w:rPr>
                              <w:t xml:space="preserve">In support of our continuous improvement strategic priority and our diversity, inclusion, and belonging program, this goal expanded the group of leaders responsible for engagement in inclusive leadership to drive ownership and accountability for these activities that support a cohesive Company culture deeper into the organization. Leaders at the director and senior managers levels were required to establish, document, and execute diversity, inclusion, and belonging action plans in 2023 with a target goal of 90% participation.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color w:val="0171B9"/>
                              </w:rPr>
                            </w:pPr>
                            <w:r>
                              <w:rPr>
                                <w:color w:val="0171B9"/>
                              </w:rPr>
                              <w:t>–</w:t>
                            </w:r>
                          </w:p>
                        </w:tc>
                        <w:tc>
                          <w:tcPr>
                            <w:tcW w:w="9990" w:type="dxa"/>
                            <w:tcBorders/>
                            <w:vAlign w:val="center"/>
                          </w:tcPr>
                          <w:p>
                            <w:pPr>
                              <w:pStyle w:val="TableContents"/>
                              <w:bidi w:val="0"/>
                              <w:spacing w:before="0" w:after="0"/>
                              <w:jc w:val="both"/>
                              <w:rPr>
                                <w:rFonts w:ascii="arial" w:hAnsi="arial"/>
                                <w:sz w:val="16"/>
                              </w:rPr>
                            </w:pPr>
                            <w:r>
                              <w:rPr>
                                <w:rFonts w:ascii="arial" w:hAnsi="arial"/>
                                <w:sz w:val="16"/>
                              </w:rPr>
                              <w:t xml:space="preserve">We achieved 98% participation with these leaders establishing, documenting, and executing on their diversity, inclusion, and belonging action plans in 2023. </w:t>
                            </w:r>
                          </w:p>
                        </w:tc>
                      </w:tr>
                    </w:tbl>
                    <w:p>
                      <w:pPr>
                        <w:pStyle w:val="TextBody"/>
                        <w:bidi w:val="0"/>
                        <w:spacing w:before="0" w:after="283"/>
                        <w:jc w:val="left"/>
                        <w:rPr/>
                      </w:pPr>
                      <w:r>
                        <w:rPr/>
                      </w:r>
                    </w:p>
                  </w:txbxContent>
                </v:textbox>
                <w10:wrap type="square" side="right"/>
              </v:rect>
            </w:pict>
          </mc:Fallback>
        </mc:AlternateContent>
      </w:r>
    </w:p>
    <w:p>
      <w:pPr>
        <w:pStyle w:val="TextBody"/>
        <w:pBdr>
          <w:bottom w:val="single" w:sz="2" w:space="1" w:color="000000"/>
        </w:pBdr>
        <w:bidi w:val="0"/>
        <w:spacing w:lineRule="atLeast" w:line="160" w:before="0" w:after="40"/>
        <w:jc w:val="left"/>
        <w:rPr/>
      </w:pPr>
      <w:r>
        <w:rPr/>
        <w:t> </w:t>
      </w:r>
    </w:p>
    <w:tbl>
      <w:tblPr>
        <w:tblW w:w="5785" w:type="dxa"/>
        <w:jc w:val="left"/>
        <w:tblInd w:w="0" w:type="dxa"/>
        <w:tblLayout w:type="fixed"/>
        <w:tblCellMar>
          <w:top w:w="0" w:type="dxa"/>
          <w:left w:w="0" w:type="dxa"/>
          <w:bottom w:w="0" w:type="dxa"/>
          <w:right w:w="0" w:type="dxa"/>
        </w:tblCellMar>
      </w:tblPr>
      <w:tblGrid>
        <w:gridCol w:w="365"/>
        <w:gridCol w:w="5420"/>
      </w:tblGrid>
      <w:tr>
        <w:trPr/>
        <w:tc>
          <w:tcPr>
            <w:tcW w:w="365" w:type="dxa"/>
            <w:tcBorders/>
            <w:vAlign w:val="center"/>
          </w:tcPr>
          <w:p>
            <w:pPr>
              <w:pStyle w:val="TableContents"/>
              <w:bidi w:val="0"/>
              <w:spacing w:before="0" w:after="283"/>
              <w:jc w:val="left"/>
              <w:rPr/>
            </w:pPr>
            <w:r>
              <w:rPr/>
              <w:t>(1) </w:t>
            </w:r>
          </w:p>
        </w:tc>
        <w:tc>
          <w:tcPr>
            <w:tcW w:w="5420" w:type="dxa"/>
            <w:tcBorders/>
            <w:vAlign w:val="center"/>
          </w:tcPr>
          <w:p>
            <w:pPr>
              <w:pStyle w:val="TableContents"/>
              <w:bidi w:val="0"/>
              <w:spacing w:before="0" w:after="0"/>
              <w:jc w:val="both"/>
              <w:rPr>
                <w:rFonts w:ascii="arial" w:hAnsi="arial"/>
                <w:sz w:val="16"/>
              </w:rPr>
            </w:pPr>
            <w:r>
              <w:rPr>
                <w:rFonts w:ascii="arial" w:hAnsi="arial"/>
                <w:sz w:val="16"/>
              </w:rPr>
              <w:t xml:space="preserve">Rocatinlimab is being developed in collaboration with Kyowa Kirin Co., Ltd. </w:t>
            </w:r>
          </w:p>
        </w:tc>
      </w:tr>
    </w:tbl>
    <w:tbl>
      <w:tblPr>
        <w:tblW w:w="5125" w:type="dxa"/>
        <w:jc w:val="left"/>
        <w:tblInd w:w="0" w:type="dxa"/>
        <w:tblLayout w:type="fixed"/>
        <w:tblCellMar>
          <w:top w:w="0" w:type="dxa"/>
          <w:left w:w="0" w:type="dxa"/>
          <w:bottom w:w="0" w:type="dxa"/>
          <w:right w:w="0" w:type="dxa"/>
        </w:tblCellMar>
      </w:tblPr>
      <w:tblGrid>
        <w:gridCol w:w="365"/>
        <w:gridCol w:w="4760"/>
      </w:tblGrid>
      <w:tr>
        <w:trPr/>
        <w:tc>
          <w:tcPr>
            <w:tcW w:w="365" w:type="dxa"/>
            <w:tcBorders/>
            <w:vAlign w:val="center"/>
          </w:tcPr>
          <w:p>
            <w:pPr>
              <w:pStyle w:val="TableContents"/>
              <w:bidi w:val="0"/>
              <w:spacing w:before="0" w:after="283"/>
              <w:jc w:val="left"/>
              <w:rPr/>
            </w:pPr>
            <w:r>
              <w:rPr/>
              <w:t>(2) </w:t>
            </w:r>
          </w:p>
        </w:tc>
        <w:tc>
          <w:tcPr>
            <w:tcW w:w="4760" w:type="dxa"/>
            <w:tcBorders/>
            <w:vAlign w:val="center"/>
          </w:tcPr>
          <w:p>
            <w:pPr>
              <w:pStyle w:val="TableContents"/>
              <w:bidi w:val="0"/>
              <w:spacing w:before="0" w:after="0"/>
              <w:jc w:val="both"/>
              <w:rPr>
                <w:rFonts w:ascii="arial" w:hAnsi="arial"/>
                <w:sz w:val="16"/>
              </w:rPr>
            </w:pPr>
            <w:r>
              <w:rPr>
                <w:rFonts w:ascii="arial" w:hAnsi="arial"/>
                <w:sz w:val="16"/>
              </w:rPr>
              <w:t xml:space="preserve">TEZSPIRE is being developed in collaboration with AstraZeneca. </w:t>
            </w:r>
          </w:p>
        </w:tc>
      </w:tr>
    </w:tbl>
    <w:tbl>
      <w:tblPr>
        <w:tblW w:w="4960" w:type="dxa"/>
        <w:jc w:val="left"/>
        <w:tblInd w:w="0" w:type="dxa"/>
        <w:tblLayout w:type="fixed"/>
        <w:tblCellMar>
          <w:top w:w="0" w:type="dxa"/>
          <w:left w:w="0" w:type="dxa"/>
          <w:bottom w:w="0" w:type="dxa"/>
          <w:right w:w="0" w:type="dxa"/>
        </w:tblCellMar>
      </w:tblPr>
      <w:tblGrid>
        <w:gridCol w:w="365"/>
        <w:gridCol w:w="4595"/>
      </w:tblGrid>
      <w:tr>
        <w:trPr/>
        <w:tc>
          <w:tcPr>
            <w:tcW w:w="365" w:type="dxa"/>
            <w:tcBorders/>
            <w:vAlign w:val="center"/>
          </w:tcPr>
          <w:p>
            <w:pPr>
              <w:pStyle w:val="TableContents"/>
              <w:bidi w:val="0"/>
              <w:spacing w:before="0" w:after="283"/>
              <w:jc w:val="left"/>
              <w:rPr/>
            </w:pPr>
            <w:r>
              <w:rPr/>
              <w:t>(3) </w:t>
            </w:r>
          </w:p>
        </w:tc>
        <w:tc>
          <w:tcPr>
            <w:tcW w:w="4595" w:type="dxa"/>
            <w:tcBorders/>
            <w:vAlign w:val="center"/>
          </w:tcPr>
          <w:p>
            <w:pPr>
              <w:pStyle w:val="TableContents"/>
              <w:bidi w:val="0"/>
              <w:spacing w:before="0" w:after="0"/>
              <w:jc w:val="both"/>
              <w:rPr>
                <w:rFonts w:ascii="arial" w:hAnsi="arial"/>
                <w:sz w:val="16"/>
              </w:rPr>
            </w:pPr>
            <w:r>
              <w:rPr>
                <w:rFonts w:ascii="arial" w:hAnsi="arial"/>
                <w:sz w:val="16"/>
              </w:rPr>
              <w:t xml:space="preserve">Humira is a registered trademark of AbbVie Biotechnology Ltd. </w:t>
            </w:r>
          </w:p>
        </w:tc>
      </w:tr>
    </w:tbl>
    <w:tbl>
      <w:tblPr>
        <w:tblW w:w="4780" w:type="dxa"/>
        <w:jc w:val="left"/>
        <w:tblInd w:w="0" w:type="dxa"/>
        <w:tblLayout w:type="fixed"/>
        <w:tblCellMar>
          <w:top w:w="0" w:type="dxa"/>
          <w:left w:w="0" w:type="dxa"/>
          <w:bottom w:w="0" w:type="dxa"/>
          <w:right w:w="0" w:type="dxa"/>
        </w:tblCellMar>
      </w:tblPr>
      <w:tblGrid>
        <w:gridCol w:w="365"/>
        <w:gridCol w:w="4415"/>
      </w:tblGrid>
      <w:tr>
        <w:trPr/>
        <w:tc>
          <w:tcPr>
            <w:tcW w:w="365" w:type="dxa"/>
            <w:tcBorders/>
            <w:vAlign w:val="center"/>
          </w:tcPr>
          <w:p>
            <w:pPr>
              <w:pStyle w:val="TableContents"/>
              <w:bidi w:val="0"/>
              <w:spacing w:before="0" w:after="283"/>
              <w:jc w:val="left"/>
              <w:rPr/>
            </w:pPr>
            <w:r>
              <w:rPr/>
              <w:t>(4) </w:t>
            </w:r>
          </w:p>
        </w:tc>
        <w:tc>
          <w:tcPr>
            <w:tcW w:w="4415" w:type="dxa"/>
            <w:tcBorders/>
            <w:vAlign w:val="center"/>
          </w:tcPr>
          <w:p>
            <w:pPr>
              <w:pStyle w:val="TableContents"/>
              <w:bidi w:val="0"/>
              <w:spacing w:before="0" w:after="0"/>
              <w:jc w:val="both"/>
              <w:rPr>
                <w:rFonts w:ascii="arial" w:hAnsi="arial"/>
                <w:sz w:val="16"/>
              </w:rPr>
            </w:pPr>
            <w:r>
              <w:rPr>
                <w:rFonts w:ascii="arial" w:hAnsi="arial"/>
                <w:sz w:val="16"/>
              </w:rPr>
              <w:t xml:space="preserve">STELARA is a registered trademark of Johnson &amp; Johnson. </w:t>
            </w:r>
          </w:p>
        </w:tc>
      </w:tr>
    </w:tbl>
    <w:tbl>
      <w:tblPr>
        <w:tblW w:w="5485" w:type="dxa"/>
        <w:jc w:val="left"/>
        <w:tblInd w:w="0" w:type="dxa"/>
        <w:tblLayout w:type="fixed"/>
        <w:tblCellMar>
          <w:top w:w="0" w:type="dxa"/>
          <w:left w:w="0" w:type="dxa"/>
          <w:bottom w:w="0" w:type="dxa"/>
          <w:right w:w="0" w:type="dxa"/>
        </w:tblCellMar>
      </w:tblPr>
      <w:tblGrid>
        <w:gridCol w:w="365"/>
        <w:gridCol w:w="5120"/>
      </w:tblGrid>
      <w:tr>
        <w:trPr/>
        <w:tc>
          <w:tcPr>
            <w:tcW w:w="365" w:type="dxa"/>
            <w:tcBorders/>
            <w:vAlign w:val="center"/>
          </w:tcPr>
          <w:p>
            <w:pPr>
              <w:pStyle w:val="TableContents"/>
              <w:bidi w:val="0"/>
              <w:spacing w:before="0" w:after="283"/>
              <w:jc w:val="left"/>
              <w:rPr/>
            </w:pPr>
            <w:r>
              <w:rPr/>
              <w:t>(5) </w:t>
            </w:r>
          </w:p>
        </w:tc>
        <w:tc>
          <w:tcPr>
            <w:tcW w:w="5120" w:type="dxa"/>
            <w:tcBorders/>
            <w:vAlign w:val="center"/>
          </w:tcPr>
          <w:p>
            <w:pPr>
              <w:pStyle w:val="TableContents"/>
              <w:bidi w:val="0"/>
              <w:spacing w:before="0" w:after="0"/>
              <w:jc w:val="both"/>
              <w:rPr>
                <w:rFonts w:ascii="arial" w:hAnsi="arial"/>
                <w:sz w:val="16"/>
              </w:rPr>
            </w:pPr>
            <w:r>
              <w:rPr>
                <w:rFonts w:ascii="arial" w:hAnsi="arial"/>
                <w:sz w:val="16"/>
              </w:rPr>
              <w:t xml:space="preserve">EYLEA is a registered trademark of Regeneron Pharmaceuticals, Inc. </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pPr>
            <w:r>
              <w:rPr/>
              <w:t>(6) </w:t>
            </w:r>
          </w:p>
        </w:tc>
        <w:tc>
          <w:tcPr>
            <w:tcW w:w="9910" w:type="dxa"/>
            <w:tcBorders/>
            <w:vAlign w:val="center"/>
          </w:tcPr>
          <w:p>
            <w:pPr>
              <w:pStyle w:val="TableContents"/>
              <w:bidi w:val="0"/>
              <w:spacing w:before="0" w:after="0"/>
              <w:jc w:val="both"/>
              <w:rPr>
                <w:rFonts w:ascii="arial" w:hAnsi="arial"/>
                <w:sz w:val="16"/>
              </w:rPr>
            </w:pPr>
            <w:r>
              <w:rPr>
                <w:rFonts w:ascii="arial" w:hAnsi="arial"/>
                <w:sz w:val="16"/>
              </w:rPr>
              <w:t xml:space="preserve">Carbon neutrality goal refers to Scope 1 and 2 emissions. Reductions take into account only verified reduction projections, and do not take into account changes associated with the contraction or expansion of the Company and are measured against a 2019 baseline. </w:t>
            </w:r>
          </w:p>
        </w:tc>
      </w:tr>
    </w:tbl>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212"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04" descr=""/>
                    <pic:cNvPicPr>
                      <a:picLocks noChangeAspect="1" noChangeArrowheads="1"/>
                    </pic:cNvPicPr>
                  </pic:nvPicPr>
                  <pic:blipFill>
                    <a:blip r:embed="rId111"/>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57</w:t>
      </w:r>
      <w:r>
        <w:rPr>
          <w:rFonts w:ascii="arial" w:hAnsi="arial"/>
          <w:b/>
          <w:sz w:val="22"/>
        </w:rPr>
        <w:t xml:space="preserve"> </w:t>
      </w:r>
      <w:r>
        <w:br w:type="page"/>
      </w:r>
    </w:p>
    <w:p>
      <w:pPr>
        <w:pStyle w:val="HorizontalLine"/>
        <w:bidi w:val="0"/>
        <w:jc w:val="left"/>
        <w:rPr/>
      </w:pPr>
      <w:r>
        <w:rPr/>
      </w:r>
    </w:p>
    <w:tbl>
      <w:tblPr>
        <w:tblW w:w="507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45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459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Compensation Discussion and Analysis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81">
                <wp:simplePos x="0" y="0"/>
                <wp:positionH relativeFrom="column">
                  <wp:align>left</wp:align>
                </wp:positionH>
                <wp:positionV relativeFrom="line">
                  <wp:posOffset>635</wp:posOffset>
                </wp:positionV>
                <wp:extent cx="3110230" cy="7928610"/>
                <wp:effectExtent l="0" t="0" r="0" b="0"/>
                <wp:wrapSquare wrapText="right"/>
                <wp:docPr id="213" name="Frame103"/>
                <a:graphic xmlns:a="http://schemas.openxmlformats.org/drawingml/2006/main">
                  <a:graphicData uri="http://schemas.microsoft.com/office/word/2010/wordprocessingShape">
                    <wps:wsp>
                      <wps:cNvSpPr txBox="1"/>
                      <wps:spPr>
                        <a:xfrm>
                          <a:off x="0" y="0"/>
                          <a:ext cx="3110230" cy="7928610"/>
                        </a:xfrm>
                        <a:prstGeom prst="rect"/>
                        <a:solidFill>
                          <a:srgbClr val="FFFFFF"/>
                        </a:solidFill>
                      </wps:spPr>
                      <wps:txbx>
                        <w:txbxContent>
                          <w:tbl>
                            <w:tblPr>
                              <w:tblW w:w="3920" w:type="dxa"/>
                              <w:jc w:val="left"/>
                              <w:tblInd w:w="0" w:type="dxa"/>
                              <w:tblLayout w:type="fixed"/>
                              <w:tblCellMar>
                                <w:top w:w="0" w:type="dxa"/>
                                <w:left w:w="0" w:type="dxa"/>
                                <w:bottom w:w="0" w:type="dxa"/>
                                <w:right w:w="0" w:type="dxa"/>
                              </w:tblCellMar>
                            </w:tblPr>
                            <w:tblGrid>
                              <w:gridCol w:w="3920"/>
                            </w:tblGrid>
                            <w:tr>
                              <w:trPr/>
                              <w:tc>
                                <w:tcPr>
                                  <w:tcW w:w="3920" w:type="dxa"/>
                                  <w:tcBorders/>
                                  <w:vAlign w:val="center"/>
                                </w:tcPr>
                                <w:p>
                                  <w:pPr>
                                    <w:pStyle w:val="TableContents"/>
                                    <w:bidi w:val="0"/>
                                    <w:spacing w:before="0" w:after="283"/>
                                    <w:jc w:val="left"/>
                                    <w:rPr>
                                      <w:sz w:val="4"/>
                                      <w:szCs w:val="4"/>
                                    </w:rPr>
                                  </w:pPr>
                                  <w:r>
                                    <w:rPr>
                                      <w:sz w:val="4"/>
                                      <w:szCs w:val="4"/>
                                    </w:rPr>
                                  </w:r>
                                </w:p>
                              </w:tc>
                            </w:tr>
                            <w:tr>
                              <w:trPr/>
                              <w:tc>
                                <w:tcPr>
                                  <w:tcW w:w="3920" w:type="dxa"/>
                                  <w:tcBorders/>
                                  <w:shd w:fill="31485D" w:val="clear"/>
                                  <w:vAlign w:val="center"/>
                                </w:tcPr>
                                <w:p>
                                  <w:pPr>
                                    <w:pStyle w:val="TableContents"/>
                                    <w:bidi w:val="0"/>
                                    <w:spacing w:before="0" w:after="0"/>
                                    <w:jc w:val="left"/>
                                    <w:rPr/>
                                  </w:pPr>
                                  <w:r>
                                    <w:rPr/>
                                    <w:t> </w:t>
                                  </w:r>
                                </w:p>
                                <w:p>
                                  <w:pPr>
                                    <w:pStyle w:val="TableContents"/>
                                    <w:bidi w:val="0"/>
                                    <w:spacing w:before="0" w:after="0"/>
                                    <w:jc w:val="both"/>
                                    <w:rPr>
                                      <w:rFonts w:ascii="arial" w:hAnsi="arial"/>
                                      <w:b/>
                                      <w:color w:val="FFFFFF"/>
                                      <w:sz w:val="18"/>
                                    </w:rPr>
                                  </w:pPr>
                                  <w:r>
                                    <w:rPr>
                                      <w:rFonts w:ascii="arial" w:hAnsi="arial"/>
                                      <w:b/>
                                      <w:color w:val="FFFFFF"/>
                                      <w:sz w:val="18"/>
                                    </w:rPr>
                                    <w:t>b. Successful Integrations and Collaborations</w:t>
                                  </w:r>
                                </w:p>
                                <w:p>
                                  <w:pPr>
                                    <w:pStyle w:val="TableContents"/>
                                    <w:bidi w:val="0"/>
                                    <w:spacing w:before="0" w:after="20"/>
                                    <w:jc w:val="left"/>
                                    <w:rPr/>
                                  </w:pPr>
                                  <w:r>
                                    <w:rPr/>
                                    <w:t> </w:t>
                                  </w:r>
                                </w:p>
                              </w:tc>
                            </w:tr>
                          </w:tbl>
                          <w:p>
                            <w:pPr>
                              <w:pStyle w:val="TextBody"/>
                              <w:bidi w:val="0"/>
                              <w:spacing w:before="120" w:after="0"/>
                              <w:jc w:val="both"/>
                              <w:rPr>
                                <w:rFonts w:ascii="arial" w:hAnsi="arial"/>
                                <w:sz w:val="16"/>
                              </w:rPr>
                            </w:pPr>
                            <w:r>
                              <w:rPr>
                                <w:rFonts w:ascii="arial" w:hAnsi="arial"/>
                                <w:sz w:val="16"/>
                              </w:rPr>
                              <w:t xml:space="preserve">To drive the successful integration of our October 2022 acquisition of ChemoCentryx, we established a goal to challenge our employees to implement a new go-to-market model to improve patient access to TAVNEOs by increasing its new prescribers and to retain key ChemoCentryx commercial field and medical staff members to maximize our opportunities to advance the knowledge and adoption of TAVNEOS with external stakeholders.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6"/>
                                    </w:rPr>
                                  </w:pPr>
                                  <w:r>
                                    <w:rPr>
                                      <w:rFonts w:ascii="arial" w:hAnsi="arial"/>
                                      <w:sz w:val="16"/>
                                    </w:rPr>
                                    <w:t xml:space="preserve">We substantially exceeded the new TAVNEOS prescribers target and ChemoCentryx commercial field and medical staff retention target such that we achieved a maximum achievement score for this goal. </w:t>
                                  </w:r>
                                </w:p>
                              </w:tc>
                            </w:tr>
                          </w:tbl>
                          <w:p>
                            <w:pPr>
                              <w:pStyle w:val="TextBody"/>
                              <w:bidi w:val="0"/>
                              <w:spacing w:before="240" w:after="0"/>
                              <w:jc w:val="both"/>
                              <w:rPr>
                                <w:rFonts w:ascii="arial" w:hAnsi="arial"/>
                                <w:b/>
                                <w:i/>
                                <w:color w:val="0171B9"/>
                                <w:sz w:val="22"/>
                              </w:rPr>
                            </w:pPr>
                            <w:r>
                              <w:rPr>
                                <w:rFonts w:ascii="arial" w:hAnsi="arial"/>
                                <w:b/>
                                <w:i/>
                                <w:color w:val="0171B9"/>
                                <w:sz w:val="22"/>
                              </w:rPr>
                              <w:t xml:space="preserve">We delivered on our other strategic priorities.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1"/>
                              <w:gridCol w:w="60"/>
                              <w:gridCol w:w="9934"/>
                            </w:tblGrid>
                            <w:tr>
                              <w:trPr/>
                              <w:tc>
                                <w:tcPr>
                                  <w:tcW w:w="2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34" w:type="dxa"/>
                                  <w:tcBorders/>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before="0" w:after="0"/>
                                    <w:jc w:val="both"/>
                                    <w:rPr/>
                                  </w:pPr>
                                  <w:r>
                                    <w:rPr/>
                                    <w:drawing>
                                      <wp:inline distT="0" distB="0" distL="0" distR="0">
                                        <wp:extent cx="98425" cy="42545"/>
                                        <wp:effectExtent l="0" t="0" r="0" b="0"/>
                                        <wp:docPr id="214"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05" descr=""/>
                                                <pic:cNvPicPr>
                                                  <a:picLocks noChangeAspect="1" noChangeArrowheads="1"/>
                                                </pic:cNvPicPr>
                                              </pic:nvPicPr>
                                              <pic:blipFill>
                                                <a:blip r:embed="rId112"/>
                                                <a:stretch>
                                                  <a:fillRect/>
                                                </a:stretch>
                                              </pic:blipFill>
                                              <pic:spPr bwMode="auto">
                                                <a:xfrm>
                                                  <a:off x="0" y="0"/>
                                                  <a:ext cx="98425" cy="4254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934" w:type="dxa"/>
                                  <w:tcBorders/>
                                  <w:vAlign w:val="center"/>
                                </w:tcPr>
                                <w:p>
                                  <w:pPr>
                                    <w:pStyle w:val="TableContents"/>
                                    <w:bidi w:val="0"/>
                                    <w:spacing w:before="0" w:after="0"/>
                                    <w:jc w:val="both"/>
                                    <w:rPr/>
                                  </w:pPr>
                                  <w:r>
                                    <w:rPr>
                                      <w:color w:val="0171B9"/>
                                    </w:rPr>
                                    <w:t>•</w:t>
                                  </w:r>
                                  <w:r>
                                    <w:rPr/>
                                    <w:t>  </w:t>
                                  </w:r>
                                  <w:r>
                                    <w:rPr>
                                      <w:rFonts w:ascii="arial" w:hAnsi="arial"/>
                                      <w:sz w:val="16"/>
                                    </w:rPr>
                                    <w:t>Amgen Ecovation is our proprietary biomanufacturing approach with flexible, modular designs that enhance production, use less space, can be built in less time, and cost less to operate</w:t>
                                  </w:r>
                                </w:p>
                              </w:tc>
                            </w:tr>
                          </w:tbl>
                          <w:p>
                            <w:pPr>
                              <w:pStyle w:val="TextBody"/>
                              <w:bidi w:val="0"/>
                              <w:spacing w:before="0" w:after="0"/>
                              <w:jc w:val="both"/>
                              <w:rPr>
                                <w:rFonts w:ascii="arial" w:hAnsi="arial"/>
                                <w:sz w:val="16"/>
                              </w:rPr>
                            </w:pPr>
                            <w:r>
                              <w:rPr>
                                <w:rFonts w:ascii="arial" w:hAnsi="arial"/>
                                <w:sz w:val="16"/>
                              </w:rPr>
                              <w:t xml:space="preserve">than traditional plants and have a reduced environmental impact, including reduced consumption of water and energy and lower levels of carbon emissions. Our Rhode Island facility has also created a substantial number of additional highly skilled manufacturing positions in the U.S.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6"/>
                                    </w:rPr>
                                  </w:pPr>
                                  <w:r>
                                    <w:rPr>
                                      <w:rFonts w:ascii="arial" w:hAnsi="arial"/>
                                      <w:b/>
                                      <w:i/>
                                      <w:sz w:val="16"/>
                                    </w:rPr>
                                    <w:t>Investment in Our Two Additional U.S. Facilities.</w:t>
                                  </w:r>
                                  <w:r>
                                    <w:rPr>
                                      <w:rFonts w:ascii="arial" w:hAnsi="arial"/>
                                      <w:sz w:val="16"/>
                                    </w:rPr>
                                    <w:t xml:space="preserve"> Amgen Ecovation has guided the design and construction of our two new environmentally-friendly U.S. plants built to meet the demand for our medicines. </w:t>
                                  </w:r>
                                </w:p>
                              </w:tc>
                            </w:tr>
                          </w:tbl>
                          <w:p>
                            <w:pPr>
                              <w:pStyle w:val="TextBody"/>
                              <w:bidi w:val="0"/>
                              <w:spacing w:before="0" w:after="0"/>
                              <w:jc w:val="left"/>
                              <w:rPr/>
                            </w:pPr>
                            <w:r>
                              <w:rPr/>
                              <w:t> </w:t>
                            </w:r>
                          </w:p>
                          <w:tbl>
                            <w:tblPr>
                              <w:tblW w:w="5170" w:type="dxa"/>
                              <w:jc w:val="left"/>
                              <w:tblInd w:w="0" w:type="dxa"/>
                              <w:tblLayout w:type="fixed"/>
                              <w:tblCellMar>
                                <w:top w:w="0" w:type="dxa"/>
                                <w:left w:w="0" w:type="dxa"/>
                                <w:bottom w:w="0" w:type="dxa"/>
                                <w:right w:w="0" w:type="dxa"/>
                              </w:tblCellMar>
                            </w:tblPr>
                            <w:tblGrid>
                              <w:gridCol w:w="75"/>
                              <w:gridCol w:w="140"/>
                              <w:gridCol w:w="495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0"/>
                                    <w:jc w:val="both"/>
                                    <w:rPr>
                                      <w:rFonts w:ascii="arial" w:hAnsi="arial"/>
                                      <w:sz w:val="16"/>
                                    </w:rPr>
                                  </w:pPr>
                                  <w:r>
                                    <w:rPr>
                                      <w:rFonts w:ascii="arial" w:hAnsi="arial"/>
                                      <w:sz w:val="16"/>
                                    </w:rPr>
                                    <w:t xml:space="preserve">A drug product plant in Ohio that was recently licensed by the FDA. </w:t>
                                  </w:r>
                                </w:p>
                              </w:tc>
                            </w:tr>
                          </w:tbl>
                          <w:p>
                            <w:pPr>
                              <w:pStyle w:val="TextBody"/>
                              <w:bidi w:val="0"/>
                              <w:spacing w:before="0" w:after="0"/>
                              <w:jc w:val="left"/>
                              <w:rPr/>
                            </w:pPr>
                            <w:r>
                              <w:rPr/>
                              <w:t> </w:t>
                            </w:r>
                          </w:p>
                          <w:tbl>
                            <w:tblPr>
                              <w:tblW w:w="6250" w:type="dxa"/>
                              <w:jc w:val="left"/>
                              <w:tblInd w:w="0" w:type="dxa"/>
                              <w:tblLayout w:type="fixed"/>
                              <w:tblCellMar>
                                <w:top w:w="0" w:type="dxa"/>
                                <w:left w:w="0" w:type="dxa"/>
                                <w:bottom w:w="0" w:type="dxa"/>
                                <w:right w:w="0" w:type="dxa"/>
                              </w:tblCellMar>
                            </w:tblPr>
                            <w:tblGrid>
                              <w:gridCol w:w="75"/>
                              <w:gridCol w:w="140"/>
                              <w:gridCol w:w="603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035" w:type="dxa"/>
                                  <w:tcBorders/>
                                  <w:vAlign w:val="center"/>
                                </w:tcPr>
                                <w:p>
                                  <w:pPr>
                                    <w:pStyle w:val="TableContents"/>
                                    <w:bidi w:val="0"/>
                                    <w:spacing w:before="0" w:after="0"/>
                                    <w:jc w:val="both"/>
                                    <w:rPr>
                                      <w:rFonts w:ascii="arial" w:hAnsi="arial"/>
                                      <w:sz w:val="16"/>
                                    </w:rPr>
                                  </w:pPr>
                                  <w:r>
                                    <w:rPr>
                                      <w:rFonts w:ascii="arial" w:hAnsi="arial"/>
                                      <w:sz w:val="16"/>
                                    </w:rPr>
                                    <w:t xml:space="preserve">A drug substance manufacturing plant that is under construction in North Carolina.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0"/>
                                    <w:jc w:val="both"/>
                                    <w:rPr>
                                      <w:rFonts w:ascii="arial" w:hAnsi="arial"/>
                                      <w:sz w:val="16"/>
                                    </w:rPr>
                                  </w:pPr>
                                  <w:r>
                                    <w:rPr>
                                      <w:rFonts w:ascii="arial" w:hAnsi="arial"/>
                                      <w:sz w:val="16"/>
                                    </w:rPr>
                                    <w:t xml:space="preserve">Both state-of-the-art facilities utilize many examples of environmental innovation, supporting our continuous improvement objective as well as our 2027 carbon neutrality goal.(1) Additionally, these new plants are expected to bring hundreds of full-time jobs to these regions while expanding our access to diverse talent.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9"/>
                              <w:gridCol w:w="60"/>
                              <w:gridCol w:w="9936"/>
                            </w:tblGrid>
                            <w:tr>
                              <w:trPr/>
                              <w:tc>
                                <w:tcPr>
                                  <w:tcW w:w="2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36" w:type="dxa"/>
                                  <w:tcBorders/>
                                  <w:vAlign w:val="center"/>
                                </w:tcPr>
                                <w:p>
                                  <w:pPr>
                                    <w:pStyle w:val="TableContents"/>
                                    <w:bidi w:val="0"/>
                                    <w:spacing w:before="0" w:after="283"/>
                                    <w:jc w:val="left"/>
                                    <w:rPr>
                                      <w:sz w:val="4"/>
                                      <w:szCs w:val="4"/>
                                    </w:rPr>
                                  </w:pPr>
                                  <w:r>
                                    <w:rPr>
                                      <w:sz w:val="4"/>
                                      <w:szCs w:val="4"/>
                                    </w:rPr>
                                  </w:r>
                                </w:p>
                              </w:tc>
                            </w:tr>
                            <w:tr>
                              <w:trPr/>
                              <w:tc>
                                <w:tcPr>
                                  <w:tcW w:w="209" w:type="dxa"/>
                                  <w:tcBorders/>
                                  <w:vAlign w:val="center"/>
                                </w:tcPr>
                                <w:p>
                                  <w:pPr>
                                    <w:pStyle w:val="TableContents"/>
                                    <w:bidi w:val="0"/>
                                    <w:spacing w:before="0" w:after="0"/>
                                    <w:jc w:val="both"/>
                                    <w:rPr/>
                                  </w:pPr>
                                  <w:r>
                                    <w:rPr/>
                                    <w:drawing>
                                      <wp:inline distT="0" distB="0" distL="0" distR="0">
                                        <wp:extent cx="98425" cy="42545"/>
                                        <wp:effectExtent l="0" t="0" r="0" b="0"/>
                                        <wp:docPr id="215"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06" descr=""/>
                                                <pic:cNvPicPr>
                                                  <a:picLocks noChangeAspect="1" noChangeArrowheads="1"/>
                                                </pic:cNvPicPr>
                                              </pic:nvPicPr>
                                              <pic:blipFill>
                                                <a:blip r:embed="rId113"/>
                                                <a:stretch>
                                                  <a:fillRect/>
                                                </a:stretch>
                                              </pic:blipFill>
                                              <pic:spPr bwMode="auto">
                                                <a:xfrm>
                                                  <a:off x="0" y="0"/>
                                                  <a:ext cx="98425" cy="4254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936" w:type="dxa"/>
                                  <w:tcBorders/>
                                  <w:vAlign w:val="center"/>
                                </w:tcPr>
                                <w:p>
                                  <w:pPr>
                                    <w:pStyle w:val="TableContents"/>
                                    <w:bidi w:val="0"/>
                                    <w:spacing w:before="0" w:after="0"/>
                                    <w:jc w:val="both"/>
                                    <w:rPr/>
                                  </w:pPr>
                                  <w:r>
                                    <w:rPr>
                                      <w:color w:val="0171B9"/>
                                    </w:rPr>
                                    <w:t>•</w:t>
                                  </w:r>
                                  <w:r>
                                    <w:rPr/>
                                    <w:t>  </w:t>
                                  </w:r>
                                  <w:r>
                                    <w:rPr>
                                      <w:rFonts w:ascii="arial" w:hAnsi="arial"/>
                                      <w:sz w:val="16"/>
                                    </w:rPr>
                                    <w:t xml:space="preserve">Our high quality branded biosimilars provide expanded access to important medicines for patients by offering more affordable treatment options. We have </w:t>
                                  </w:r>
                                  <w:r>
                                    <w:rPr>
                                      <w:rFonts w:ascii="arial" w:hAnsi="arial"/>
                                      <w:b/>
                                      <w:color w:val="0171B9"/>
                                      <w:sz w:val="16"/>
                                    </w:rPr>
                                    <w:t>11 biosimilars</w:t>
                                  </w:r>
                                  <w:r>
                                    <w:rPr>
                                      <w:rFonts w:ascii="arial" w:hAnsi="arial"/>
                                      <w:sz w:val="16"/>
                                    </w:rPr>
                                    <w:t xml:space="preserve"> in our current portfolio, </w:t>
                                  </w:r>
                                  <w:r>
                                    <w:rPr>
                                      <w:rFonts w:ascii="arial" w:hAnsi="arial"/>
                                      <w:b/>
                                      <w:color w:val="0171B9"/>
                                      <w:sz w:val="16"/>
                                    </w:rPr>
                                    <w:t>six</w:t>
                                  </w:r>
                                </w:p>
                              </w:tc>
                            </w:tr>
                          </w:tbl>
                          <w:p>
                            <w:pPr>
                              <w:pStyle w:val="TextBody"/>
                              <w:bidi w:val="0"/>
                              <w:spacing w:before="0" w:after="0"/>
                              <w:jc w:val="both"/>
                              <w:rPr>
                                <w:rFonts w:ascii="arial" w:hAnsi="arial"/>
                                <w:sz w:val="16"/>
                              </w:rPr>
                            </w:pPr>
                            <w:r>
                              <w:rPr>
                                <w:rFonts w:ascii="arial" w:hAnsi="arial"/>
                                <w:sz w:val="16"/>
                              </w:rPr>
                              <w:t xml:space="preserve">that have been approved in the U.S. and </w:t>
                            </w:r>
                            <w:r>
                              <w:rPr>
                                <w:rFonts w:ascii="arial" w:hAnsi="arial"/>
                                <w:b/>
                                <w:color w:val="0171B9"/>
                                <w:sz w:val="16"/>
                              </w:rPr>
                              <w:t>four</w:t>
                            </w:r>
                            <w:r>
                              <w:rPr>
                                <w:rFonts w:ascii="arial" w:hAnsi="arial"/>
                                <w:sz w:val="16"/>
                              </w:rPr>
                              <w:t xml:space="preserve"> that have been approved in the EU (including two biosimilars that were also approved in the U.S.), </w:t>
                            </w:r>
                            <w:r>
                              <w:rPr>
                                <w:rFonts w:ascii="arial" w:hAnsi="arial"/>
                                <w:b/>
                                <w:color w:val="0171B9"/>
                                <w:sz w:val="16"/>
                              </w:rPr>
                              <w:t>one</w:t>
                            </w:r>
                            <w:r>
                              <w:rPr>
                                <w:rFonts w:ascii="arial" w:hAnsi="arial"/>
                                <w:sz w:val="16"/>
                              </w:rPr>
                              <w:t xml:space="preserve"> that has been submitted for approval, and </w:t>
                            </w:r>
                            <w:r>
                              <w:rPr>
                                <w:rFonts w:ascii="arial" w:hAnsi="arial"/>
                                <w:b/>
                                <w:color w:val="0171B9"/>
                                <w:sz w:val="16"/>
                              </w:rPr>
                              <w:t>three</w:t>
                            </w:r>
                            <w:r>
                              <w:rPr>
                                <w:rFonts w:ascii="arial" w:hAnsi="arial"/>
                                <w:sz w:val="16"/>
                              </w:rPr>
                              <w:t xml:space="preserve"> in Phase 3 development.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6"/>
                                    </w:rPr>
                                  </w:pPr>
                                  <w:r>
                                    <w:rPr>
                                      <w:rFonts w:ascii="arial" w:hAnsi="arial"/>
                                      <w:sz w:val="16"/>
                                    </w:rPr>
                                    <w:t xml:space="preserve">Our branded biosimilars build on our existing business capabilities and increase the efficient use of our existing resources by being fully integrated with our biologic development, manufacturing, and global commercial operations and use. Specifically, we use: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24.3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3920" w:type="dxa"/>
                        <w:jc w:val="left"/>
                        <w:tblInd w:w="0" w:type="dxa"/>
                        <w:tblLayout w:type="fixed"/>
                        <w:tblCellMar>
                          <w:top w:w="0" w:type="dxa"/>
                          <w:left w:w="0" w:type="dxa"/>
                          <w:bottom w:w="0" w:type="dxa"/>
                          <w:right w:w="0" w:type="dxa"/>
                        </w:tblCellMar>
                      </w:tblPr>
                      <w:tblGrid>
                        <w:gridCol w:w="3920"/>
                      </w:tblGrid>
                      <w:tr>
                        <w:trPr/>
                        <w:tc>
                          <w:tcPr>
                            <w:tcW w:w="3920" w:type="dxa"/>
                            <w:tcBorders/>
                            <w:vAlign w:val="center"/>
                          </w:tcPr>
                          <w:p>
                            <w:pPr>
                              <w:pStyle w:val="TableContents"/>
                              <w:bidi w:val="0"/>
                              <w:spacing w:before="0" w:after="283"/>
                              <w:jc w:val="left"/>
                              <w:rPr>
                                <w:sz w:val="4"/>
                                <w:szCs w:val="4"/>
                              </w:rPr>
                            </w:pPr>
                            <w:r>
                              <w:rPr>
                                <w:sz w:val="4"/>
                                <w:szCs w:val="4"/>
                              </w:rPr>
                            </w:r>
                          </w:p>
                        </w:tc>
                      </w:tr>
                      <w:tr>
                        <w:trPr/>
                        <w:tc>
                          <w:tcPr>
                            <w:tcW w:w="3920" w:type="dxa"/>
                            <w:tcBorders/>
                            <w:shd w:fill="31485D" w:val="clear"/>
                            <w:vAlign w:val="center"/>
                          </w:tcPr>
                          <w:p>
                            <w:pPr>
                              <w:pStyle w:val="TableContents"/>
                              <w:bidi w:val="0"/>
                              <w:spacing w:before="0" w:after="0"/>
                              <w:jc w:val="left"/>
                              <w:rPr/>
                            </w:pPr>
                            <w:r>
                              <w:rPr/>
                              <w:t> </w:t>
                            </w:r>
                          </w:p>
                          <w:p>
                            <w:pPr>
                              <w:pStyle w:val="TableContents"/>
                              <w:bidi w:val="0"/>
                              <w:spacing w:before="0" w:after="0"/>
                              <w:jc w:val="both"/>
                              <w:rPr>
                                <w:rFonts w:ascii="arial" w:hAnsi="arial"/>
                                <w:b/>
                                <w:color w:val="FFFFFF"/>
                                <w:sz w:val="18"/>
                              </w:rPr>
                            </w:pPr>
                            <w:r>
                              <w:rPr>
                                <w:rFonts w:ascii="arial" w:hAnsi="arial"/>
                                <w:b/>
                                <w:color w:val="FFFFFF"/>
                                <w:sz w:val="18"/>
                              </w:rPr>
                              <w:t>b. Successful Integrations and Collaborations</w:t>
                            </w:r>
                          </w:p>
                          <w:p>
                            <w:pPr>
                              <w:pStyle w:val="TableContents"/>
                              <w:bidi w:val="0"/>
                              <w:spacing w:before="0" w:after="20"/>
                              <w:jc w:val="left"/>
                              <w:rPr/>
                            </w:pPr>
                            <w:r>
                              <w:rPr/>
                              <w:t> </w:t>
                            </w:r>
                          </w:p>
                        </w:tc>
                      </w:tr>
                    </w:tbl>
                    <w:p>
                      <w:pPr>
                        <w:pStyle w:val="TextBody"/>
                        <w:bidi w:val="0"/>
                        <w:spacing w:before="120" w:after="0"/>
                        <w:jc w:val="both"/>
                        <w:rPr>
                          <w:rFonts w:ascii="arial" w:hAnsi="arial"/>
                          <w:sz w:val="16"/>
                        </w:rPr>
                      </w:pPr>
                      <w:r>
                        <w:rPr>
                          <w:rFonts w:ascii="arial" w:hAnsi="arial"/>
                          <w:sz w:val="16"/>
                        </w:rPr>
                        <w:t xml:space="preserve">To drive the successful integration of our October 2022 acquisition of ChemoCentryx, we established a goal to challenge our employees to implement a new go-to-market model to improve patient access to TAVNEOs by increasing its new prescribers and to retain key ChemoCentryx commercial field and medical staff members to maximize our opportunities to advance the knowledge and adoption of TAVNEOS with external stakeholders.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6"/>
                              </w:rPr>
                            </w:pPr>
                            <w:r>
                              <w:rPr>
                                <w:rFonts w:ascii="arial" w:hAnsi="arial"/>
                                <w:sz w:val="16"/>
                              </w:rPr>
                              <w:t xml:space="preserve">We substantially exceeded the new TAVNEOS prescribers target and ChemoCentryx commercial field and medical staff retention target such that we achieved a maximum achievement score for this goal. </w:t>
                            </w:r>
                          </w:p>
                        </w:tc>
                      </w:tr>
                    </w:tbl>
                    <w:p>
                      <w:pPr>
                        <w:pStyle w:val="TextBody"/>
                        <w:bidi w:val="0"/>
                        <w:spacing w:before="240" w:after="0"/>
                        <w:jc w:val="both"/>
                        <w:rPr>
                          <w:rFonts w:ascii="arial" w:hAnsi="arial"/>
                          <w:b/>
                          <w:i/>
                          <w:color w:val="0171B9"/>
                          <w:sz w:val="22"/>
                        </w:rPr>
                      </w:pPr>
                      <w:r>
                        <w:rPr>
                          <w:rFonts w:ascii="arial" w:hAnsi="arial"/>
                          <w:b/>
                          <w:i/>
                          <w:color w:val="0171B9"/>
                          <w:sz w:val="22"/>
                        </w:rPr>
                        <w:t xml:space="preserve">We delivered on our other strategic priorities.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1"/>
                        <w:gridCol w:w="60"/>
                        <w:gridCol w:w="9934"/>
                      </w:tblGrid>
                      <w:tr>
                        <w:trPr/>
                        <w:tc>
                          <w:tcPr>
                            <w:tcW w:w="2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34" w:type="dxa"/>
                            <w:tcBorders/>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before="0" w:after="0"/>
                              <w:jc w:val="both"/>
                              <w:rPr/>
                            </w:pPr>
                            <w:r>
                              <w:rPr/>
                              <w:drawing>
                                <wp:inline distT="0" distB="0" distL="0" distR="0">
                                  <wp:extent cx="98425" cy="42545"/>
                                  <wp:effectExtent l="0" t="0" r="0" b="0"/>
                                  <wp:docPr id="216"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05" descr=""/>
                                          <pic:cNvPicPr>
                                            <a:picLocks noChangeAspect="1" noChangeArrowheads="1"/>
                                          </pic:cNvPicPr>
                                        </pic:nvPicPr>
                                        <pic:blipFill>
                                          <a:blip r:embed="rId114"/>
                                          <a:stretch>
                                            <a:fillRect/>
                                          </a:stretch>
                                        </pic:blipFill>
                                        <pic:spPr bwMode="auto">
                                          <a:xfrm>
                                            <a:off x="0" y="0"/>
                                            <a:ext cx="98425" cy="4254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934" w:type="dxa"/>
                            <w:tcBorders/>
                            <w:vAlign w:val="center"/>
                          </w:tcPr>
                          <w:p>
                            <w:pPr>
                              <w:pStyle w:val="TableContents"/>
                              <w:bidi w:val="0"/>
                              <w:spacing w:before="0" w:after="0"/>
                              <w:jc w:val="both"/>
                              <w:rPr/>
                            </w:pPr>
                            <w:r>
                              <w:rPr>
                                <w:color w:val="0171B9"/>
                              </w:rPr>
                              <w:t>•</w:t>
                            </w:r>
                            <w:r>
                              <w:rPr/>
                              <w:t>  </w:t>
                            </w:r>
                            <w:r>
                              <w:rPr>
                                <w:rFonts w:ascii="arial" w:hAnsi="arial"/>
                                <w:sz w:val="16"/>
                              </w:rPr>
                              <w:t>Amgen Ecovation is our proprietary biomanufacturing approach with flexible, modular designs that enhance production, use less space, can be built in less time, and cost less to operate</w:t>
                            </w:r>
                          </w:p>
                        </w:tc>
                      </w:tr>
                    </w:tbl>
                    <w:p>
                      <w:pPr>
                        <w:pStyle w:val="TextBody"/>
                        <w:bidi w:val="0"/>
                        <w:spacing w:before="0" w:after="0"/>
                        <w:jc w:val="both"/>
                        <w:rPr>
                          <w:rFonts w:ascii="arial" w:hAnsi="arial"/>
                          <w:sz w:val="16"/>
                        </w:rPr>
                      </w:pPr>
                      <w:r>
                        <w:rPr>
                          <w:rFonts w:ascii="arial" w:hAnsi="arial"/>
                          <w:sz w:val="16"/>
                        </w:rPr>
                        <w:t xml:space="preserve">than traditional plants and have a reduced environmental impact, including reduced consumption of water and energy and lower levels of carbon emissions. Our Rhode Island facility has also created a substantial number of additional highly skilled manufacturing positions in the U.S.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6"/>
                              </w:rPr>
                            </w:pPr>
                            <w:r>
                              <w:rPr>
                                <w:rFonts w:ascii="arial" w:hAnsi="arial"/>
                                <w:b/>
                                <w:i/>
                                <w:sz w:val="16"/>
                              </w:rPr>
                              <w:t>Investment in Our Two Additional U.S. Facilities.</w:t>
                            </w:r>
                            <w:r>
                              <w:rPr>
                                <w:rFonts w:ascii="arial" w:hAnsi="arial"/>
                                <w:sz w:val="16"/>
                              </w:rPr>
                              <w:t xml:space="preserve"> Amgen Ecovation has guided the design and construction of our two new environmentally-friendly U.S. plants built to meet the demand for our medicines. </w:t>
                            </w:r>
                          </w:p>
                        </w:tc>
                      </w:tr>
                    </w:tbl>
                    <w:p>
                      <w:pPr>
                        <w:pStyle w:val="TextBody"/>
                        <w:bidi w:val="0"/>
                        <w:spacing w:before="0" w:after="0"/>
                        <w:jc w:val="left"/>
                        <w:rPr/>
                      </w:pPr>
                      <w:r>
                        <w:rPr/>
                        <w:t> </w:t>
                      </w:r>
                    </w:p>
                    <w:tbl>
                      <w:tblPr>
                        <w:tblW w:w="5170" w:type="dxa"/>
                        <w:jc w:val="left"/>
                        <w:tblInd w:w="0" w:type="dxa"/>
                        <w:tblLayout w:type="fixed"/>
                        <w:tblCellMar>
                          <w:top w:w="0" w:type="dxa"/>
                          <w:left w:w="0" w:type="dxa"/>
                          <w:bottom w:w="0" w:type="dxa"/>
                          <w:right w:w="0" w:type="dxa"/>
                        </w:tblCellMar>
                      </w:tblPr>
                      <w:tblGrid>
                        <w:gridCol w:w="75"/>
                        <w:gridCol w:w="140"/>
                        <w:gridCol w:w="495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0"/>
                              <w:jc w:val="both"/>
                              <w:rPr>
                                <w:rFonts w:ascii="arial" w:hAnsi="arial"/>
                                <w:sz w:val="16"/>
                              </w:rPr>
                            </w:pPr>
                            <w:r>
                              <w:rPr>
                                <w:rFonts w:ascii="arial" w:hAnsi="arial"/>
                                <w:sz w:val="16"/>
                              </w:rPr>
                              <w:t xml:space="preserve">A drug product plant in Ohio that was recently licensed by the FDA. </w:t>
                            </w:r>
                          </w:p>
                        </w:tc>
                      </w:tr>
                    </w:tbl>
                    <w:p>
                      <w:pPr>
                        <w:pStyle w:val="TextBody"/>
                        <w:bidi w:val="0"/>
                        <w:spacing w:before="0" w:after="0"/>
                        <w:jc w:val="left"/>
                        <w:rPr/>
                      </w:pPr>
                      <w:r>
                        <w:rPr/>
                        <w:t> </w:t>
                      </w:r>
                    </w:p>
                    <w:tbl>
                      <w:tblPr>
                        <w:tblW w:w="6250" w:type="dxa"/>
                        <w:jc w:val="left"/>
                        <w:tblInd w:w="0" w:type="dxa"/>
                        <w:tblLayout w:type="fixed"/>
                        <w:tblCellMar>
                          <w:top w:w="0" w:type="dxa"/>
                          <w:left w:w="0" w:type="dxa"/>
                          <w:bottom w:w="0" w:type="dxa"/>
                          <w:right w:w="0" w:type="dxa"/>
                        </w:tblCellMar>
                      </w:tblPr>
                      <w:tblGrid>
                        <w:gridCol w:w="75"/>
                        <w:gridCol w:w="140"/>
                        <w:gridCol w:w="603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035" w:type="dxa"/>
                            <w:tcBorders/>
                            <w:vAlign w:val="center"/>
                          </w:tcPr>
                          <w:p>
                            <w:pPr>
                              <w:pStyle w:val="TableContents"/>
                              <w:bidi w:val="0"/>
                              <w:spacing w:before="0" w:after="0"/>
                              <w:jc w:val="both"/>
                              <w:rPr>
                                <w:rFonts w:ascii="arial" w:hAnsi="arial"/>
                                <w:sz w:val="16"/>
                              </w:rPr>
                            </w:pPr>
                            <w:r>
                              <w:rPr>
                                <w:rFonts w:ascii="arial" w:hAnsi="arial"/>
                                <w:sz w:val="16"/>
                              </w:rPr>
                              <w:t xml:space="preserve">A drug substance manufacturing plant that is under construction in North Carolina.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0"/>
                              <w:jc w:val="both"/>
                              <w:rPr>
                                <w:rFonts w:ascii="arial" w:hAnsi="arial"/>
                                <w:sz w:val="16"/>
                              </w:rPr>
                            </w:pPr>
                            <w:r>
                              <w:rPr>
                                <w:rFonts w:ascii="arial" w:hAnsi="arial"/>
                                <w:sz w:val="16"/>
                              </w:rPr>
                              <w:t xml:space="preserve">Both state-of-the-art facilities utilize many examples of environmental innovation, supporting our continuous improvement objective as well as our 2027 carbon neutrality goal.(1) Additionally, these new plants are expected to bring hundreds of full-time jobs to these regions while expanding our access to diverse talent.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9"/>
                        <w:gridCol w:w="60"/>
                        <w:gridCol w:w="9936"/>
                      </w:tblGrid>
                      <w:tr>
                        <w:trPr/>
                        <w:tc>
                          <w:tcPr>
                            <w:tcW w:w="2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36" w:type="dxa"/>
                            <w:tcBorders/>
                            <w:vAlign w:val="center"/>
                          </w:tcPr>
                          <w:p>
                            <w:pPr>
                              <w:pStyle w:val="TableContents"/>
                              <w:bidi w:val="0"/>
                              <w:spacing w:before="0" w:after="283"/>
                              <w:jc w:val="left"/>
                              <w:rPr>
                                <w:sz w:val="4"/>
                                <w:szCs w:val="4"/>
                              </w:rPr>
                            </w:pPr>
                            <w:r>
                              <w:rPr>
                                <w:sz w:val="4"/>
                                <w:szCs w:val="4"/>
                              </w:rPr>
                            </w:r>
                          </w:p>
                        </w:tc>
                      </w:tr>
                      <w:tr>
                        <w:trPr/>
                        <w:tc>
                          <w:tcPr>
                            <w:tcW w:w="209" w:type="dxa"/>
                            <w:tcBorders/>
                            <w:vAlign w:val="center"/>
                          </w:tcPr>
                          <w:p>
                            <w:pPr>
                              <w:pStyle w:val="TableContents"/>
                              <w:bidi w:val="0"/>
                              <w:spacing w:before="0" w:after="0"/>
                              <w:jc w:val="both"/>
                              <w:rPr/>
                            </w:pPr>
                            <w:r>
                              <w:rPr/>
                              <w:drawing>
                                <wp:inline distT="0" distB="0" distL="0" distR="0">
                                  <wp:extent cx="98425" cy="42545"/>
                                  <wp:effectExtent l="0" t="0" r="0" b="0"/>
                                  <wp:docPr id="217"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06" descr=""/>
                                          <pic:cNvPicPr>
                                            <a:picLocks noChangeAspect="1" noChangeArrowheads="1"/>
                                          </pic:cNvPicPr>
                                        </pic:nvPicPr>
                                        <pic:blipFill>
                                          <a:blip r:embed="rId115"/>
                                          <a:stretch>
                                            <a:fillRect/>
                                          </a:stretch>
                                        </pic:blipFill>
                                        <pic:spPr bwMode="auto">
                                          <a:xfrm>
                                            <a:off x="0" y="0"/>
                                            <a:ext cx="98425" cy="4254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9936" w:type="dxa"/>
                            <w:tcBorders/>
                            <w:vAlign w:val="center"/>
                          </w:tcPr>
                          <w:p>
                            <w:pPr>
                              <w:pStyle w:val="TableContents"/>
                              <w:bidi w:val="0"/>
                              <w:spacing w:before="0" w:after="0"/>
                              <w:jc w:val="both"/>
                              <w:rPr/>
                            </w:pPr>
                            <w:r>
                              <w:rPr>
                                <w:color w:val="0171B9"/>
                              </w:rPr>
                              <w:t>•</w:t>
                            </w:r>
                            <w:r>
                              <w:rPr/>
                              <w:t>  </w:t>
                            </w:r>
                            <w:r>
                              <w:rPr>
                                <w:rFonts w:ascii="arial" w:hAnsi="arial"/>
                                <w:sz w:val="16"/>
                              </w:rPr>
                              <w:t xml:space="preserve">Our high quality branded biosimilars provide expanded access to important medicines for patients by offering more affordable treatment options. We have </w:t>
                            </w:r>
                            <w:r>
                              <w:rPr>
                                <w:rFonts w:ascii="arial" w:hAnsi="arial"/>
                                <w:b/>
                                <w:color w:val="0171B9"/>
                                <w:sz w:val="16"/>
                              </w:rPr>
                              <w:t>11 biosimilars</w:t>
                            </w:r>
                            <w:r>
                              <w:rPr>
                                <w:rFonts w:ascii="arial" w:hAnsi="arial"/>
                                <w:sz w:val="16"/>
                              </w:rPr>
                              <w:t xml:space="preserve"> in our current portfolio, </w:t>
                            </w:r>
                            <w:r>
                              <w:rPr>
                                <w:rFonts w:ascii="arial" w:hAnsi="arial"/>
                                <w:b/>
                                <w:color w:val="0171B9"/>
                                <w:sz w:val="16"/>
                              </w:rPr>
                              <w:t>six</w:t>
                            </w:r>
                          </w:p>
                        </w:tc>
                      </w:tr>
                    </w:tbl>
                    <w:p>
                      <w:pPr>
                        <w:pStyle w:val="TextBody"/>
                        <w:bidi w:val="0"/>
                        <w:spacing w:before="0" w:after="0"/>
                        <w:jc w:val="both"/>
                        <w:rPr>
                          <w:rFonts w:ascii="arial" w:hAnsi="arial"/>
                          <w:sz w:val="16"/>
                        </w:rPr>
                      </w:pPr>
                      <w:r>
                        <w:rPr>
                          <w:rFonts w:ascii="arial" w:hAnsi="arial"/>
                          <w:sz w:val="16"/>
                        </w:rPr>
                        <w:t xml:space="preserve">that have been approved in the U.S. and </w:t>
                      </w:r>
                      <w:r>
                        <w:rPr>
                          <w:rFonts w:ascii="arial" w:hAnsi="arial"/>
                          <w:b/>
                          <w:color w:val="0171B9"/>
                          <w:sz w:val="16"/>
                        </w:rPr>
                        <w:t>four</w:t>
                      </w:r>
                      <w:r>
                        <w:rPr>
                          <w:rFonts w:ascii="arial" w:hAnsi="arial"/>
                          <w:sz w:val="16"/>
                        </w:rPr>
                        <w:t xml:space="preserve"> that have been approved in the EU (including two biosimilars that were also approved in the U.S.), </w:t>
                      </w:r>
                      <w:r>
                        <w:rPr>
                          <w:rFonts w:ascii="arial" w:hAnsi="arial"/>
                          <w:b/>
                          <w:color w:val="0171B9"/>
                          <w:sz w:val="16"/>
                        </w:rPr>
                        <w:t>one</w:t>
                      </w:r>
                      <w:r>
                        <w:rPr>
                          <w:rFonts w:ascii="arial" w:hAnsi="arial"/>
                          <w:sz w:val="16"/>
                        </w:rPr>
                        <w:t xml:space="preserve"> that has been submitted for approval, and </w:t>
                      </w:r>
                      <w:r>
                        <w:rPr>
                          <w:rFonts w:ascii="arial" w:hAnsi="arial"/>
                          <w:b/>
                          <w:color w:val="0171B9"/>
                          <w:sz w:val="16"/>
                        </w:rPr>
                        <w:t>three</w:t>
                      </w:r>
                      <w:r>
                        <w:rPr>
                          <w:rFonts w:ascii="arial" w:hAnsi="arial"/>
                          <w:sz w:val="16"/>
                        </w:rPr>
                        <w:t xml:space="preserve"> in Phase 3 development.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6"/>
                              </w:rPr>
                            </w:pPr>
                            <w:r>
                              <w:rPr>
                                <w:rFonts w:ascii="arial" w:hAnsi="arial"/>
                                <w:sz w:val="16"/>
                              </w:rPr>
                              <w:t xml:space="preserve">Our branded biosimilars build on our existing business capabilities and increase the efficient use of our existing resources by being fully integrated with our biologic development, manufacturing, and global commercial operations and use. Specifically, we use: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45">
                <wp:simplePos x="0" y="0"/>
                <wp:positionH relativeFrom="column">
                  <wp:align>left</wp:align>
                </wp:positionH>
                <wp:positionV relativeFrom="line">
                  <wp:posOffset>635</wp:posOffset>
                </wp:positionV>
                <wp:extent cx="3175000" cy="6206490"/>
                <wp:effectExtent l="0" t="0" r="0" b="0"/>
                <wp:wrapSquare wrapText="right"/>
                <wp:docPr id="218" name="Frame104"/>
                <a:graphic xmlns:a="http://schemas.openxmlformats.org/drawingml/2006/main">
                  <a:graphicData uri="http://schemas.microsoft.com/office/word/2010/wordprocessingShape">
                    <wps:wsp>
                      <wps:cNvSpPr txBox="1"/>
                      <wps:spPr>
                        <a:xfrm>
                          <a:off x="0" y="0"/>
                          <a:ext cx="3175000" cy="620649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0"/>
                                    <w:jc w:val="both"/>
                                    <w:rPr>
                                      <w:rFonts w:ascii="arial" w:hAnsi="arial"/>
                                      <w:sz w:val="16"/>
                                    </w:rPr>
                                  </w:pPr>
                                  <w:r>
                                    <w:rPr>
                                      <w:rFonts w:ascii="arial" w:hAnsi="arial"/>
                                      <w:sz w:val="16"/>
                                    </w:rPr>
                                    <w:t xml:space="preserve">The same development and manufacturing processes, scientific standards, quality systems, and supply chain for our biosimilars as we do for our innovative biologics;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0"/>
                                    <w:jc w:val="both"/>
                                    <w:rPr>
                                      <w:rFonts w:ascii="arial" w:hAnsi="arial"/>
                                      <w:sz w:val="16"/>
                                    </w:rPr>
                                  </w:pPr>
                                  <w:r>
                                    <w:rPr>
                                      <w:rFonts w:ascii="arial" w:hAnsi="arial"/>
                                      <w:sz w:val="16"/>
                                    </w:rPr>
                                    <w:t xml:space="preserve">The same global commercial team members who interact with providers on our proprietary branded portfolio to represent our branded biosimilars and to help providers and patients with the transition from a branded product to a biosimilar. Given the integration of our branded biosimilars into our existing innovative business infrastructure, discussion of the progress of our biosimilars portfolio for 2023 is incorporated by therapeutic areas in the discussion above. </w:t>
                                  </w:r>
                                </w:p>
                              </w:tc>
                            </w:tr>
                          </w:tbl>
                          <w:p>
                            <w:pPr>
                              <w:pStyle w:val="TextBody"/>
                              <w:bidi w:val="0"/>
                              <w:spacing w:before="0" w:after="0"/>
                              <w:jc w:val="left"/>
                              <w:rPr/>
                            </w:pPr>
                            <w:r>
                              <w:rPr/>
                              <w:t> </w:t>
                            </w:r>
                          </w:p>
                          <w:p>
                            <w:pPr>
                              <w:pStyle w:val="TextBody"/>
                              <w:pBdr/>
                              <w:bidi w:val="0"/>
                              <w:spacing w:before="0" w:after="0"/>
                              <w:ind w:left="100" w:right="100" w:hanging="0"/>
                              <w:jc w:val="center"/>
                              <w:rPr>
                                <w:rFonts w:ascii="arial" w:hAnsi="arial"/>
                                <w:b/>
                                <w:color w:val="FFFFFF"/>
                                <w:sz w:val="18"/>
                                <w:shd w:fill="0171B9" w:val="clear"/>
                              </w:rPr>
                            </w:pPr>
                            <w:r>
                              <w:rPr>
                                <w:rFonts w:ascii="arial" w:hAnsi="arial"/>
                                <w:b/>
                                <w:color w:val="FFFFFF"/>
                                <w:sz w:val="18"/>
                                <w:shd w:fill="0171B9" w:val="clear"/>
                              </w:rPr>
                              <w:t xml:space="preserve">Performance Under Our Long-Term Incentive Program </w:t>
                            </w:r>
                          </w:p>
                          <w:p>
                            <w:pPr>
                              <w:pStyle w:val="TextBody"/>
                              <w:bidi w:val="0"/>
                              <w:spacing w:before="120" w:after="0"/>
                              <w:jc w:val="both"/>
                              <w:rPr>
                                <w:rFonts w:ascii="arial" w:hAnsi="arial"/>
                                <w:b/>
                                <w:color w:val="0171B9"/>
                                <w:sz w:val="20"/>
                              </w:rPr>
                            </w:pPr>
                            <w:r>
                              <w:rPr>
                                <w:rFonts w:ascii="arial" w:hAnsi="arial"/>
                                <w:b/>
                                <w:color w:val="0171B9"/>
                                <w:sz w:val="20"/>
                              </w:rPr>
                              <w:t xml:space="preserve">Our LTI compensation plan is tied directly to our stock performance and key annual operational metrics and aligns with long-term value creation for our stockholders. </w:t>
                            </w:r>
                          </w:p>
                          <w:p>
                            <w:pPr>
                              <w:pStyle w:val="TextBody"/>
                              <w:bidi w:val="0"/>
                              <w:spacing w:before="120" w:after="0"/>
                              <w:jc w:val="both"/>
                              <w:rPr>
                                <w:rFonts w:ascii="arial" w:hAnsi="arial"/>
                                <w:sz w:val="16"/>
                              </w:rPr>
                            </w:pPr>
                            <w:r>
                              <w:rPr>
                                <w:rFonts w:ascii="arial" w:hAnsi="arial"/>
                                <w:sz w:val="16"/>
                              </w:rPr>
                              <w:t xml:space="preserve">80% of our annual LTI equity award grants are performance-based, aligning compensation with long-term value creation for our stockholders. Performance units comprise 50% of our annual LTI equity award grants. The goal design and all measurement targets are established at the beginning of each three-year performance period and, for the 2021-2023 performance period, were earned based on our performance as measured against pre-established annual targets for the equally weighted non-GAAP(2) operating measures of EPS growth and return on invested capital, or ROIC, with a three-year TSR modifier of +/-30 percentage points relative to the TSR of the companies in the S&amp;P 500. ROIC was included as a measure and rigorous targets were set to reflect our ongoing focus on remaining operationally disciplined in our management of our capital. Consistent with our capital allocation priority, in 2023, we acquired Horizon and its rare disease portfolio that fits squarely within our overall strategy for long-term growth and is additive to our base business. However, the additional capital required to be deployed for this acquisition substantially reduced our three-year average ROIC operating measure score to 75.3% for the 2021-2023 performance period. Still, as we delivered strong three-year average EPS growth (resulting in a 115.4% operating measure score for this performance period), when both operating measures were averaged for the performance period, our total operating measures score is just below target (95.3%). </w:t>
                            </w:r>
                          </w:p>
                          <w:p>
                            <w:pPr>
                              <w:pStyle w:val="TextBody"/>
                              <w:bidi w:val="0"/>
                              <w:spacing w:before="120" w:after="0"/>
                              <w:jc w:val="both"/>
                              <w:rPr>
                                <w:rFonts w:ascii="arial" w:hAnsi="arial"/>
                                <w:sz w:val="16"/>
                              </w:rPr>
                            </w:pPr>
                            <w:r>
                              <w:rPr>
                                <w:rFonts w:ascii="arial" w:hAnsi="arial"/>
                                <w:sz w:val="16"/>
                              </w:rPr>
                              <w:t xml:space="preserve">Target TSR performance over the three-year performance period was set at the 50th percentile relative to the TSRs of the companies in the S&amp;P 500. For relative TSR performance below the 50th percentile, there is a reduction in the total percentage of performance units earned for the performance period. For the 2021-2023 performance period, our TSR performance ranking relative to the TSRs of the companies in the S&amp;P 500 for the three-year performance period was at the 70.9th percentile of S&amp;P 500 companies and resulted in a 25.1 percentage points TSR modifier for a total payout of 120.4% of performance units granted. A detailed depiction of our performance under these operating measures and the resulting calculation is on the next page.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88.7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0"/>
                              <w:jc w:val="both"/>
                              <w:rPr>
                                <w:rFonts w:ascii="arial" w:hAnsi="arial"/>
                                <w:sz w:val="16"/>
                              </w:rPr>
                            </w:pPr>
                            <w:r>
                              <w:rPr>
                                <w:rFonts w:ascii="arial" w:hAnsi="arial"/>
                                <w:sz w:val="16"/>
                              </w:rPr>
                              <w:t xml:space="preserve">The same development and manufacturing processes, scientific standards, quality systems, and supply chain for our biosimilars as we do for our innovative biologics;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0"/>
                              <w:jc w:val="both"/>
                              <w:rPr>
                                <w:rFonts w:ascii="arial" w:hAnsi="arial"/>
                                <w:sz w:val="16"/>
                              </w:rPr>
                            </w:pPr>
                            <w:r>
                              <w:rPr>
                                <w:rFonts w:ascii="arial" w:hAnsi="arial"/>
                                <w:sz w:val="16"/>
                              </w:rPr>
                              <w:t xml:space="preserve">The same global commercial team members who interact with providers on our proprietary branded portfolio to represent our branded biosimilars and to help providers and patients with the transition from a branded product to a biosimilar. Given the integration of our branded biosimilars into our existing innovative business infrastructure, discussion of the progress of our biosimilars portfolio for 2023 is incorporated by therapeutic areas in the discussion above. </w:t>
                            </w:r>
                          </w:p>
                        </w:tc>
                      </w:tr>
                    </w:tbl>
                    <w:p>
                      <w:pPr>
                        <w:pStyle w:val="TextBody"/>
                        <w:bidi w:val="0"/>
                        <w:spacing w:before="0" w:after="0"/>
                        <w:jc w:val="left"/>
                        <w:rPr/>
                      </w:pPr>
                      <w:r>
                        <w:rPr/>
                        <w:t> </w:t>
                      </w:r>
                    </w:p>
                    <w:p>
                      <w:pPr>
                        <w:pStyle w:val="TextBody"/>
                        <w:pBdr/>
                        <w:bidi w:val="0"/>
                        <w:spacing w:before="0" w:after="0"/>
                        <w:ind w:left="100" w:right="100" w:hanging="0"/>
                        <w:jc w:val="center"/>
                        <w:rPr>
                          <w:rFonts w:ascii="arial" w:hAnsi="arial"/>
                          <w:b/>
                          <w:color w:val="FFFFFF"/>
                          <w:sz w:val="18"/>
                          <w:shd w:fill="0171B9" w:val="clear"/>
                        </w:rPr>
                      </w:pPr>
                      <w:r>
                        <w:rPr>
                          <w:rFonts w:ascii="arial" w:hAnsi="arial"/>
                          <w:b/>
                          <w:color w:val="FFFFFF"/>
                          <w:sz w:val="18"/>
                          <w:shd w:fill="0171B9" w:val="clear"/>
                        </w:rPr>
                        <w:t xml:space="preserve">Performance Under Our Long-Term Incentive Program </w:t>
                      </w:r>
                    </w:p>
                    <w:p>
                      <w:pPr>
                        <w:pStyle w:val="TextBody"/>
                        <w:bidi w:val="0"/>
                        <w:spacing w:before="120" w:after="0"/>
                        <w:jc w:val="both"/>
                        <w:rPr>
                          <w:rFonts w:ascii="arial" w:hAnsi="arial"/>
                          <w:b/>
                          <w:color w:val="0171B9"/>
                          <w:sz w:val="20"/>
                        </w:rPr>
                      </w:pPr>
                      <w:r>
                        <w:rPr>
                          <w:rFonts w:ascii="arial" w:hAnsi="arial"/>
                          <w:b/>
                          <w:color w:val="0171B9"/>
                          <w:sz w:val="20"/>
                        </w:rPr>
                        <w:t xml:space="preserve">Our LTI compensation plan is tied directly to our stock performance and key annual operational metrics and aligns with long-term value creation for our stockholders. </w:t>
                      </w:r>
                    </w:p>
                    <w:p>
                      <w:pPr>
                        <w:pStyle w:val="TextBody"/>
                        <w:bidi w:val="0"/>
                        <w:spacing w:before="120" w:after="0"/>
                        <w:jc w:val="both"/>
                        <w:rPr>
                          <w:rFonts w:ascii="arial" w:hAnsi="arial"/>
                          <w:sz w:val="16"/>
                        </w:rPr>
                      </w:pPr>
                      <w:r>
                        <w:rPr>
                          <w:rFonts w:ascii="arial" w:hAnsi="arial"/>
                          <w:sz w:val="16"/>
                        </w:rPr>
                        <w:t xml:space="preserve">80% of our annual LTI equity award grants are performance-based, aligning compensation with long-term value creation for our stockholders. Performance units comprise 50% of our annual LTI equity award grants. The goal design and all measurement targets are established at the beginning of each three-year performance period and, for the 2021-2023 performance period, were earned based on our performance as measured against pre-established annual targets for the equally weighted non-GAAP(2) operating measures of EPS growth and return on invested capital, or ROIC, with a three-year TSR modifier of +/-30 percentage points relative to the TSR of the companies in the S&amp;P 500. ROIC was included as a measure and rigorous targets were set to reflect our ongoing focus on remaining operationally disciplined in our management of our capital. Consistent with our capital allocation priority, in 2023, we acquired Horizon and its rare disease portfolio that fits squarely within our overall strategy for long-term growth and is additive to our base business. However, the additional capital required to be deployed for this acquisition substantially reduced our three-year average ROIC operating measure score to 75.3% for the 2021-2023 performance period. Still, as we delivered strong three-year average EPS growth (resulting in a 115.4% operating measure score for this performance period), when both operating measures were averaged for the performance period, our total operating measures score is just below target (95.3%). </w:t>
                      </w:r>
                    </w:p>
                    <w:p>
                      <w:pPr>
                        <w:pStyle w:val="TextBody"/>
                        <w:bidi w:val="0"/>
                        <w:spacing w:before="120" w:after="0"/>
                        <w:jc w:val="both"/>
                        <w:rPr>
                          <w:rFonts w:ascii="arial" w:hAnsi="arial"/>
                          <w:sz w:val="16"/>
                        </w:rPr>
                      </w:pPr>
                      <w:r>
                        <w:rPr>
                          <w:rFonts w:ascii="arial" w:hAnsi="arial"/>
                          <w:sz w:val="16"/>
                        </w:rPr>
                        <w:t xml:space="preserve">Target TSR performance over the three-year performance period was set at the 50th percentile relative to the TSRs of the companies in the S&amp;P 500. For relative TSR performance below the 50th percentile, there is a reduction in the total percentage of performance units earned for the performance period. For the 2021-2023 performance period, our TSR performance ranking relative to the TSRs of the companies in the S&amp;P 500 for the three-year performance period was at the 70.9th percentile of S&amp;P 500 companies and resulted in a 25.1 percentage points TSR modifier for a total payout of 120.4% of performance units granted. A detailed depiction of our performance under these operating measures and the resulting calculation is on the next page. </w:t>
                      </w:r>
                    </w:p>
                  </w:txbxContent>
                </v:textbox>
                <w10:wrap type="square" side="right"/>
              </v:rect>
            </w:pict>
          </mc:Fallback>
        </mc:AlternateContent>
      </w:r>
    </w:p>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pPr>
            <w:r>
              <w:rPr/>
              <w:t>(1) </w:t>
            </w:r>
          </w:p>
        </w:tc>
        <w:tc>
          <w:tcPr>
            <w:tcW w:w="9910" w:type="dxa"/>
            <w:tcBorders/>
            <w:vAlign w:val="center"/>
          </w:tcPr>
          <w:p>
            <w:pPr>
              <w:pStyle w:val="TableContents"/>
              <w:bidi w:val="0"/>
              <w:spacing w:before="0" w:after="0"/>
              <w:jc w:val="both"/>
              <w:rPr>
                <w:rFonts w:ascii="arial" w:hAnsi="arial"/>
                <w:sz w:val="16"/>
              </w:rPr>
            </w:pPr>
            <w:r>
              <w:rPr>
                <w:rFonts w:ascii="arial" w:hAnsi="arial"/>
                <w:sz w:val="16"/>
              </w:rPr>
              <w:t xml:space="preserve">Carbon neutrality goal refers to Scope 1 and 2 emissions. Reductions take into account only verified reduction projections, and do not take into account changes associated with the contraction or expansion of the Company and are measured against a 2019 baseline.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(2) </w:t>
            </w:r>
          </w:p>
        </w:tc>
        <w:tc>
          <w:tcPr>
            <w:tcW w:w="9952" w:type="dxa"/>
            <w:tcBorders/>
            <w:vAlign w:val="center"/>
          </w:tcPr>
          <w:p>
            <w:pPr>
              <w:pStyle w:val="TableContents"/>
              <w:bidi w:val="0"/>
              <w:spacing w:before="0" w:after="0"/>
              <w:jc w:val="both"/>
              <w:rPr>
                <w:rFonts w:ascii="arial" w:hAnsi="arial"/>
                <w:sz w:val="16"/>
              </w:rPr>
            </w:pPr>
            <w:r>
              <w:rPr>
                <w:rFonts w:ascii="arial" w:hAnsi="arial"/>
                <w:sz w:val="16"/>
              </w:rPr>
              <w:t xml:space="preserve">The non-GAAP operating measures (EPS growth and return on invested capital, or ROIC) with respect to the 2021–2023 performance period are as reported and reconciled in </w:t>
            </w:r>
            <w:r>
              <w:rPr>
                <w:rFonts w:ascii="arial" w:hAnsi="arial"/>
                <w:b/>
                <w:sz w:val="16"/>
              </w:rPr>
              <w:t>Appendix B</w:t>
            </w:r>
            <w:r>
              <w:rPr>
                <w:rFonts w:ascii="arial" w:hAnsi="arial"/>
                <w:sz w:val="16"/>
              </w:rPr>
              <w:t xml:space="preserve">, except that operating measures for 2023 performance were further adjusted to exclude the impact of direct on-going revenues and expenses, including interest expense from acquisition-related debt, from the acquisitions of TeneoBio, Inc., ChemoCentryx, Inc. and Horizon Therapeutics plc, as prescribed by the 2021-2023 performance goals document when it was established in March 2021. For this purpose, non-GAAP net income was increased by $96 million, or $0.18 per share, and ROIC was decreased by 0.5%. </w:t>
            </w:r>
          </w:p>
        </w:tc>
      </w:tr>
    </w:tbl>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58  </w:t>
      </w:r>
      <w:r>
        <w:rPr>
          <w:rFonts w:ascii="arial" w:hAnsi="arial"/>
          <w:b/>
          <w:color w:val="474747"/>
          <w:sz w:val="22"/>
        </w:rPr>
        <w:drawing>
          <wp:inline distT="0" distB="0" distL="0" distR="0">
            <wp:extent cx="64770" cy="15240"/>
            <wp:effectExtent l="0" t="0" r="0" b="0"/>
            <wp:docPr id="219"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07" descr=""/>
                    <pic:cNvPicPr>
                      <a:picLocks noChangeAspect="1" noChangeArrowheads="1"/>
                    </pic:cNvPicPr>
                  </pic:nvPicPr>
                  <pic:blipFill>
                    <a:blip r:embed="rId116"/>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507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45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459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Compensation Discussion and Analysis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b/>
          <w:sz w:val="22"/>
        </w:rPr>
      </w:pPr>
      <w:r>
        <w:rPr>
          <w:rFonts w:ascii="arial" w:hAnsi="arial"/>
          <w:b/>
          <w:sz w:val="22"/>
        </w:rPr>
        <w:t xml:space="preserve">2021-2023 Performance Period Goal Design and Award Calculation </w:t>
      </w:r>
    </w:p>
    <w:p>
      <w:pPr>
        <w:pStyle w:val="TextBody"/>
        <w:bidi w:val="0"/>
        <w:spacing w:before="120" w:after="0"/>
        <w:jc w:val="center"/>
        <w:rPr>
          <w:rFonts w:ascii="arial" w:hAnsi="arial"/>
          <w:b/>
          <w:color w:val="0171B9"/>
          <w:sz w:val="22"/>
        </w:rPr>
      </w:pPr>
      <w:r>
        <w:rPr>
          <w:rFonts w:ascii="arial" w:hAnsi="arial"/>
          <w:b/>
          <w:color w:val="0171B9"/>
          <w:sz w:val="22"/>
        </w:rPr>
        <w:t xml:space="preserve">All operating measures and goals were established at the beginning of the three-year performance period. </w:t>
      </w:r>
    </w:p>
    <w:p>
      <w:pPr>
        <w:pStyle w:val="TextBody"/>
        <w:bidi w:val="0"/>
        <w:spacing w:before="120" w:after="0"/>
        <w:jc w:val="both"/>
        <w:rPr>
          <w:rFonts w:ascii="arial" w:hAnsi="arial"/>
          <w:sz w:val="19"/>
        </w:rPr>
      </w:pPr>
      <w:r>
        <w:rPr>
          <w:rFonts w:ascii="arial" w:hAnsi="arial"/>
          <w:sz w:val="19"/>
        </w:rPr>
        <w:t xml:space="preserve">The Compensation Committee constructed the goal design for the 2021-2023 performance period (January 1, 2021 to December 31, 2023) with the same two operating measures as the 2019-2021 and 2020-2022 performance periods of non-GAAP EPS growth and ROIC weighted equally in each year (one-half per measure) and relative TSR modifier (+/-30 percentage points). The TSR modifier cannot exceed target (100%) regardless of our relative TSR performance if our absolute TSR over the performance period is less than zero. </w:t>
      </w:r>
    </w:p>
    <w:p>
      <w:pPr>
        <w:pStyle w:val="TextBody"/>
        <w:bidi w:val="0"/>
        <w:spacing w:before="120" w:after="0"/>
        <w:jc w:val="left"/>
        <w:rPr>
          <w:rFonts w:ascii="arial" w:hAnsi="arial"/>
          <w:b/>
          <w:sz w:val="22"/>
        </w:rPr>
      </w:pPr>
      <w:r>
        <w:rPr>
          <w:rFonts w:ascii="arial" w:hAnsi="arial"/>
          <w:b/>
          <w:sz w:val="22"/>
        </w:rPr>
        <w:t xml:space="preserve">2023 Operating Measures, Targets, and Performance for the 2021-2023 Performance Period </w:t>
      </w:r>
    </w:p>
    <w:p>
      <w:pPr>
        <w:pStyle w:val="TextBody"/>
        <w:bidi w:val="0"/>
        <w:spacing w:before="0" w:after="0"/>
        <w:jc w:val="left"/>
        <w:rPr/>
      </w:pPr>
      <w:r>
        <w:rPr/>
        <w:t> </w:t>
      </w:r>
    </w:p>
    <w:tbl>
      <w:tblPr>
        <w:tblW w:w="8500" w:type="dxa"/>
        <w:jc w:val="left"/>
        <w:tblInd w:w="0" w:type="dxa"/>
        <w:tblLayout w:type="fixed"/>
        <w:tblCellMar>
          <w:top w:w="0" w:type="dxa"/>
          <w:left w:w="0" w:type="dxa"/>
          <w:bottom w:w="0" w:type="dxa"/>
          <w:right w:w="0" w:type="dxa"/>
        </w:tblCellMar>
      </w:tblPr>
      <w:tblGrid>
        <w:gridCol w:w="860"/>
        <w:gridCol w:w="60"/>
        <w:gridCol w:w="1250"/>
        <w:gridCol w:w="60"/>
        <w:gridCol w:w="60"/>
        <w:gridCol w:w="60"/>
        <w:gridCol w:w="1205"/>
        <w:gridCol w:w="60"/>
        <w:gridCol w:w="60"/>
        <w:gridCol w:w="60"/>
        <w:gridCol w:w="60"/>
        <w:gridCol w:w="60"/>
        <w:gridCol w:w="590"/>
        <w:gridCol w:w="60"/>
        <w:gridCol w:w="60"/>
        <w:gridCol w:w="60"/>
        <w:gridCol w:w="60"/>
        <w:gridCol w:w="60"/>
        <w:gridCol w:w="590"/>
        <w:gridCol w:w="60"/>
        <w:gridCol w:w="60"/>
        <w:gridCol w:w="60"/>
        <w:gridCol w:w="60"/>
        <w:gridCol w:w="60"/>
        <w:gridCol w:w="605"/>
        <w:gridCol w:w="60"/>
        <w:gridCol w:w="60"/>
        <w:gridCol w:w="60"/>
        <w:gridCol w:w="60"/>
        <w:gridCol w:w="60"/>
        <w:gridCol w:w="740"/>
        <w:gridCol w:w="60"/>
        <w:gridCol w:w="60"/>
        <w:gridCol w:w="60"/>
        <w:gridCol w:w="1040"/>
      </w:tblGrid>
      <w:tr>
        <w:trPr/>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25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0"/>
              <w:jc w:val="center"/>
              <w:rPr>
                <w:rFonts w:ascii="arial" w:hAnsi="arial"/>
                <w:b/>
                <w:sz w:val="16"/>
              </w:rPr>
            </w:pPr>
            <w:r>
              <w:rPr>
                <w:rFonts w:ascii="arial" w:hAnsi="arial"/>
                <w:b/>
                <w:sz w:val="16"/>
              </w:rPr>
              <w:t>Non-GAAP(1)</w:t>
            </w:r>
          </w:p>
          <w:p>
            <w:pPr>
              <w:pStyle w:val="TableContents"/>
              <w:bidi w:val="0"/>
              <w:spacing w:before="0" w:after="0"/>
              <w:jc w:val="center"/>
              <w:rPr>
                <w:rFonts w:ascii="arial" w:hAnsi="arial"/>
                <w:b/>
                <w:sz w:val="16"/>
              </w:rPr>
            </w:pPr>
            <w:r>
              <w:rPr>
                <w:rFonts w:ascii="arial" w:hAnsi="arial"/>
                <w:b/>
                <w:sz w:val="16"/>
              </w:rPr>
              <w:t>Operating</w:t>
            </w:r>
          </w:p>
          <w:p>
            <w:pPr>
              <w:pStyle w:val="TableContents"/>
              <w:bidi w:val="0"/>
              <w:spacing w:before="0" w:after="20"/>
              <w:jc w:val="center"/>
              <w:rPr>
                <w:rFonts w:ascii="arial" w:hAnsi="arial"/>
                <w:b/>
                <w:sz w:val="16"/>
              </w:rPr>
            </w:pPr>
            <w:r>
              <w:rPr>
                <w:rFonts w:ascii="arial" w:hAnsi="arial"/>
                <w:b/>
                <w:sz w:val="16"/>
              </w:rPr>
              <w:t>Measures</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445" w:type="dxa"/>
            <w:gridSpan w:val="5"/>
            <w:tcBorders>
              <w:top w:val="single" w:sz="6" w:space="0" w:color="000000"/>
              <w:bottom w:val="single" w:sz="6" w:space="0" w:color="000000"/>
            </w:tcBorders>
            <w:tcMar>
              <w:top w:w="28" w:type="dxa"/>
              <w:bottom w:w="28" w:type="dxa"/>
            </w:tcMar>
            <w:vAlign w:val="center"/>
          </w:tcPr>
          <w:p>
            <w:pPr>
              <w:pStyle w:val="TableContents"/>
              <w:bidi w:val="0"/>
              <w:spacing w:before="0" w:after="0"/>
              <w:jc w:val="center"/>
              <w:rPr>
                <w:rFonts w:ascii="arial" w:hAnsi="arial"/>
                <w:b/>
                <w:sz w:val="16"/>
              </w:rPr>
            </w:pPr>
            <w:r>
              <w:rPr>
                <w:rFonts w:ascii="arial" w:hAnsi="arial"/>
                <w:b/>
                <w:sz w:val="16"/>
              </w:rPr>
              <w:t>Minimum</w:t>
            </w:r>
          </w:p>
          <w:p>
            <w:pPr>
              <w:pStyle w:val="TableContents"/>
              <w:bidi w:val="0"/>
              <w:spacing w:before="0" w:after="20"/>
              <w:jc w:val="center"/>
              <w:rPr>
                <w:rFonts w:ascii="arial" w:hAnsi="arial"/>
                <w:sz w:val="16"/>
              </w:rPr>
            </w:pPr>
            <w:r>
              <w:rPr>
                <w:rFonts w:ascii="arial" w:hAnsi="arial"/>
                <w:sz w:val="16"/>
              </w:rPr>
              <w:t>(30%)</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830" w:type="dxa"/>
            <w:gridSpan w:val="5"/>
            <w:tcBorders>
              <w:top w:val="single" w:sz="6" w:space="0" w:color="000000"/>
              <w:bottom w:val="single" w:sz="6" w:space="0" w:color="000000"/>
            </w:tcBorders>
            <w:tcMar>
              <w:top w:w="28" w:type="dxa"/>
              <w:bottom w:w="28" w:type="dxa"/>
            </w:tcMar>
            <w:vAlign w:val="center"/>
          </w:tcPr>
          <w:p>
            <w:pPr>
              <w:pStyle w:val="TableContents"/>
              <w:bidi w:val="0"/>
              <w:spacing w:before="0" w:after="0"/>
              <w:jc w:val="center"/>
              <w:rPr>
                <w:rFonts w:ascii="arial" w:hAnsi="arial"/>
                <w:b/>
                <w:sz w:val="16"/>
              </w:rPr>
            </w:pPr>
            <w:r>
              <w:rPr>
                <w:rFonts w:ascii="arial" w:hAnsi="arial"/>
                <w:b/>
                <w:sz w:val="16"/>
              </w:rPr>
              <w:t>Low</w:t>
            </w:r>
          </w:p>
          <w:p>
            <w:pPr>
              <w:pStyle w:val="TableContents"/>
              <w:bidi w:val="0"/>
              <w:spacing w:before="0" w:after="20"/>
              <w:jc w:val="center"/>
              <w:rPr>
                <w:rFonts w:ascii="arial" w:hAnsi="arial"/>
                <w:sz w:val="16"/>
              </w:rPr>
            </w:pPr>
            <w:r>
              <w:rPr>
                <w:rFonts w:ascii="arial" w:hAnsi="arial"/>
                <w:sz w:val="16"/>
              </w:rPr>
              <w:t>(80%)</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830" w:type="dxa"/>
            <w:gridSpan w:val="5"/>
            <w:tcBorders>
              <w:top w:val="single" w:sz="6" w:space="0" w:color="000000"/>
              <w:bottom w:val="single" w:sz="6" w:space="0" w:color="000000"/>
            </w:tcBorders>
            <w:tcMar>
              <w:top w:w="28" w:type="dxa"/>
              <w:bottom w:w="28" w:type="dxa"/>
            </w:tcMar>
            <w:vAlign w:val="center"/>
          </w:tcPr>
          <w:p>
            <w:pPr>
              <w:pStyle w:val="TableContents"/>
              <w:bidi w:val="0"/>
              <w:spacing w:before="0" w:after="0"/>
              <w:jc w:val="center"/>
              <w:rPr>
                <w:rFonts w:ascii="arial" w:hAnsi="arial"/>
                <w:b/>
                <w:sz w:val="16"/>
              </w:rPr>
            </w:pPr>
            <w:r>
              <w:rPr>
                <w:rFonts w:ascii="arial" w:hAnsi="arial"/>
                <w:b/>
                <w:sz w:val="16"/>
              </w:rPr>
              <w:t>Target</w:t>
            </w:r>
          </w:p>
          <w:p>
            <w:pPr>
              <w:pStyle w:val="TableContents"/>
              <w:bidi w:val="0"/>
              <w:spacing w:before="0" w:after="20"/>
              <w:jc w:val="center"/>
              <w:rPr>
                <w:rFonts w:ascii="arial" w:hAnsi="arial"/>
                <w:sz w:val="16"/>
              </w:rPr>
            </w:pPr>
            <w:r>
              <w:rPr>
                <w:rFonts w:ascii="arial" w:hAnsi="arial"/>
                <w:sz w:val="16"/>
              </w:rPr>
              <w:t>(100%)</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845" w:type="dxa"/>
            <w:gridSpan w:val="5"/>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0"/>
              <w:jc w:val="center"/>
              <w:rPr>
                <w:rFonts w:ascii="arial" w:hAnsi="arial"/>
                <w:b/>
                <w:sz w:val="16"/>
              </w:rPr>
            </w:pPr>
            <w:r>
              <w:rPr>
                <w:rFonts w:ascii="arial" w:hAnsi="arial"/>
                <w:b/>
                <w:sz w:val="16"/>
              </w:rPr>
              <w:t>High</w:t>
            </w:r>
          </w:p>
          <w:p>
            <w:pPr>
              <w:pStyle w:val="TableContents"/>
              <w:bidi w:val="0"/>
              <w:spacing w:before="0" w:after="20"/>
              <w:jc w:val="center"/>
              <w:rPr>
                <w:rFonts w:ascii="arial" w:hAnsi="arial"/>
                <w:sz w:val="16"/>
              </w:rPr>
            </w:pPr>
            <w:r>
              <w:rPr>
                <w:rFonts w:ascii="arial" w:hAnsi="arial"/>
                <w:sz w:val="16"/>
              </w:rPr>
              <w:t>(120%)</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980" w:type="dxa"/>
            <w:gridSpan w:val="5"/>
            <w:tcBorders>
              <w:top w:val="single" w:sz="6" w:space="0" w:color="000000"/>
              <w:bottom w:val="single" w:sz="6" w:space="0" w:color="000000"/>
            </w:tcBorders>
            <w:tcMar>
              <w:top w:w="28" w:type="dxa"/>
              <w:bottom w:w="28" w:type="dxa"/>
            </w:tcMar>
            <w:vAlign w:val="center"/>
          </w:tcPr>
          <w:p>
            <w:pPr>
              <w:pStyle w:val="TableContents"/>
              <w:bidi w:val="0"/>
              <w:spacing w:before="0" w:after="0"/>
              <w:jc w:val="center"/>
              <w:rPr>
                <w:rFonts w:ascii="arial" w:hAnsi="arial"/>
                <w:b/>
                <w:sz w:val="16"/>
              </w:rPr>
            </w:pPr>
            <w:r>
              <w:rPr>
                <w:rFonts w:ascii="arial" w:hAnsi="arial"/>
                <w:b/>
                <w:sz w:val="16"/>
              </w:rPr>
              <w:t>Maximum</w:t>
            </w:r>
          </w:p>
          <w:p>
            <w:pPr>
              <w:pStyle w:val="TableContents"/>
              <w:bidi w:val="0"/>
              <w:spacing w:before="0" w:after="20"/>
              <w:jc w:val="center"/>
              <w:rPr>
                <w:rFonts w:ascii="arial" w:hAnsi="arial"/>
                <w:sz w:val="16"/>
              </w:rPr>
            </w:pPr>
            <w:r>
              <w:rPr>
                <w:rFonts w:ascii="arial" w:hAnsi="arial"/>
                <w:sz w:val="16"/>
              </w:rPr>
              <w:t>(170%)</w:t>
            </w:r>
          </w:p>
        </w:tc>
        <w:tc>
          <w:tcPr>
            <w:tcW w:w="60" w:type="dxa"/>
            <w:tcBorders>
              <w:top w:val="single" w:sz="6" w:space="0" w:color="000000"/>
              <w:left w:val="single" w:sz="6" w:space="0" w:color="000000"/>
              <w:bottom w:val="single" w:sz="6" w:space="0" w:color="000000"/>
            </w:tcBorders>
            <w:shd w:fill="0171B9" w:val="clear"/>
            <w:tcMar>
              <w:top w:w="28" w:type="dxa"/>
              <w:left w:w="28" w:type="dxa"/>
              <w:bottom w:w="28" w:type="dxa"/>
            </w:tcMar>
            <w:vAlign w:val="center"/>
          </w:tcPr>
          <w:p>
            <w:pPr>
              <w:pStyle w:val="TableContents"/>
              <w:bidi w:val="0"/>
              <w:spacing w:before="0" w:after="283"/>
              <w:jc w:val="left"/>
              <w:rPr/>
            </w:pPr>
            <w:r>
              <w:rPr/>
              <w:t> </w:t>
            </w:r>
          </w:p>
        </w:tc>
        <w:tc>
          <w:tcPr>
            <w:tcW w:w="1040" w:type="dxa"/>
            <w:tcBorders>
              <w:top w:val="single" w:sz="6" w:space="0" w:color="000000"/>
              <w:bottom w:val="single" w:sz="6" w:space="0" w:color="000000"/>
              <w:right w:val="single" w:sz="6" w:space="0" w:color="000000"/>
            </w:tcBorders>
            <w:shd w:fill="0171B9" w:val="clear"/>
            <w:tcMar>
              <w:top w:w="28" w:type="dxa"/>
              <w:bottom w:w="28" w:type="dxa"/>
              <w:right w:w="40"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2023</w:t>
            </w:r>
          </w:p>
          <w:p>
            <w:pPr>
              <w:pStyle w:val="TableContents"/>
              <w:bidi w:val="0"/>
              <w:spacing w:before="0" w:after="0"/>
              <w:jc w:val="center"/>
              <w:rPr>
                <w:rFonts w:ascii="arial" w:hAnsi="arial"/>
                <w:b/>
                <w:color w:val="FFFFFF"/>
                <w:sz w:val="16"/>
              </w:rPr>
            </w:pPr>
            <w:r>
              <w:rPr>
                <w:rFonts w:ascii="arial" w:hAnsi="arial"/>
                <w:b/>
                <w:color w:val="FFFFFF"/>
                <w:sz w:val="16"/>
              </w:rPr>
              <w:t>Performance</w:t>
            </w:r>
          </w:p>
          <w:p>
            <w:pPr>
              <w:pStyle w:val="TableContents"/>
              <w:bidi w:val="0"/>
              <w:spacing w:before="0" w:after="20"/>
              <w:jc w:val="center"/>
              <w:rPr>
                <w:rFonts w:ascii="arial" w:hAnsi="arial"/>
                <w:b/>
                <w:color w:val="FFFFFF"/>
                <w:sz w:val="16"/>
              </w:rPr>
            </w:pPr>
            <w:r>
              <w:rPr>
                <w:rFonts w:ascii="arial" w:hAnsi="arial"/>
                <w:b/>
                <w:color w:val="FFFFFF"/>
                <w:sz w:val="16"/>
              </w:rPr>
              <w:t>Scores</w:t>
            </w:r>
          </w:p>
        </w:tc>
      </w:tr>
      <w:tr>
        <w:trPr/>
        <w:tc>
          <w:tcPr>
            <w:tcW w:w="860" w:type="dxa"/>
            <w:vMerge w:val="restart"/>
            <w:tcBorders>
              <w:top w:val="single" w:sz="6" w:space="0" w:color="31485D"/>
              <w:bottom w:val="single" w:sz="6" w:space="0" w:color="31485D"/>
            </w:tcBorders>
            <w:shd w:fill="31485D" w:val="clear"/>
            <w:tcMar>
              <w:top w:w="28" w:type="dxa"/>
              <w:bottom w:w="28" w:type="dxa"/>
            </w:tcMar>
            <w:vAlign w:val="center"/>
          </w:tcPr>
          <w:p>
            <w:pPr>
              <w:pStyle w:val="TableContents"/>
              <w:bidi w:val="0"/>
              <w:jc w:val="center"/>
              <w:rPr/>
            </w:pPr>
            <w:r>
              <w:rPr/>
            </w:r>
          </w:p>
          <w:p>
            <w:pPr>
              <w:pStyle w:val="TableContents"/>
              <w:bidi w:val="0"/>
              <w:spacing w:before="0" w:after="20"/>
              <w:jc w:val="center"/>
              <w:rPr/>
            </w:pPr>
            <w:r>
              <w:rPr/>
              <w:t xml:space="preserve">    </w:t>
            </w:r>
            <w:r>
              <w:rPr/>
              <w:drawing>
                <wp:inline distT="0" distB="0" distL="0" distR="0">
                  <wp:extent cx="133350" cy="247650"/>
                  <wp:effectExtent l="0" t="0" r="0" b="0"/>
                  <wp:docPr id="220"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08" descr=""/>
                          <pic:cNvPicPr>
                            <a:picLocks noChangeAspect="1" noChangeArrowheads="1"/>
                          </pic:cNvPicPr>
                        </pic:nvPicPr>
                        <pic:blipFill>
                          <a:blip r:embed="rId117"/>
                          <a:stretch>
                            <a:fillRect/>
                          </a:stretch>
                        </pic:blipFill>
                        <pic:spPr bwMode="auto">
                          <a:xfrm>
                            <a:off x="0" y="0"/>
                            <a:ext cx="133350" cy="247650"/>
                          </a:xfrm>
                          <a:prstGeom prst="rect">
                            <a:avLst/>
                          </a:prstGeom>
                        </pic:spPr>
                      </pic:pic>
                    </a:graphicData>
                  </a:graphic>
                </wp:inline>
              </w:drawing>
            </w:r>
            <w:r>
              <w:rPr/>
              <w:t xml:space="preserve"> </w:t>
            </w:r>
          </w:p>
        </w:tc>
        <w:tc>
          <w:tcPr>
            <w:tcW w:w="60" w:type="dxa"/>
            <w:vMerge w:val="restart"/>
            <w:tcBorders>
              <w:top w:val="single" w:sz="6" w:space="0" w:color="000000"/>
              <w:left w:val="single" w:sz="6" w:space="0" w:color="000000"/>
              <w:bottom w:val="single" w:sz="6" w:space="0" w:color="000000"/>
            </w:tcBorders>
            <w:shd w:fill="0171B9" w:val="clear"/>
            <w:tcMar>
              <w:top w:w="28" w:type="dxa"/>
              <w:left w:w="28" w:type="dxa"/>
              <w:bottom w:w="28" w:type="dxa"/>
            </w:tcMar>
            <w:vAlign w:val="center"/>
          </w:tcPr>
          <w:p>
            <w:pPr>
              <w:pStyle w:val="TableContents"/>
              <w:bidi w:val="0"/>
              <w:spacing w:before="0" w:after="283"/>
              <w:jc w:val="left"/>
              <w:rPr/>
            </w:pPr>
            <w:r>
              <w:rPr/>
              <w:t> </w:t>
            </w:r>
          </w:p>
        </w:tc>
        <w:tc>
          <w:tcPr>
            <w:tcW w:w="1250" w:type="dxa"/>
            <w:vMerge w:val="restart"/>
            <w:tcBorders>
              <w:top w:val="single" w:sz="6" w:space="0" w:color="000000"/>
              <w:bottom w:val="single" w:sz="6" w:space="0" w:color="000000"/>
              <w:right w:val="single" w:sz="6" w:space="0" w:color="000000"/>
            </w:tcBorders>
            <w:shd w:fill="0171B9" w:val="clear"/>
            <w:tcMar>
              <w:top w:w="28" w:type="dxa"/>
              <w:bottom w:w="28" w:type="dxa"/>
              <w:right w:w="28" w:type="dxa"/>
            </w:tcMar>
            <w:vAlign w:val="center"/>
          </w:tcPr>
          <w:p>
            <w:pPr>
              <w:pStyle w:val="TableContents"/>
              <w:bidi w:val="0"/>
              <w:spacing w:before="0" w:after="0"/>
              <w:jc w:val="center"/>
              <w:rPr>
                <w:color w:val="FFFFFF"/>
              </w:rPr>
            </w:pPr>
            <w:r>
              <w:rPr>
                <w:color w:val="FFFFFF"/>
              </w:rPr>
              <w:t> </w:t>
            </w:r>
            <w:r>
              <w:rPr>
                <w:rFonts w:ascii="arial" w:hAnsi="arial"/>
                <w:b/>
                <w:color w:val="FFFFFF"/>
                <w:sz w:val="18"/>
              </w:rPr>
              <w:t>EPS Growth </w:t>
            </w:r>
          </w:p>
          <w:p>
            <w:pPr>
              <w:pStyle w:val="TableContents"/>
              <w:bidi w:val="0"/>
              <w:spacing w:before="0" w:after="20"/>
              <w:jc w:val="center"/>
              <w:rPr>
                <w:rFonts w:ascii="arial" w:hAnsi="arial"/>
                <w:color w:val="FFFFFF"/>
                <w:sz w:val="18"/>
              </w:rPr>
            </w:pPr>
            <w:r>
              <w:rPr>
                <w:rFonts w:ascii="arial" w:hAnsi="arial"/>
                <w:color w:val="FFFFFF"/>
                <w:sz w:val="18"/>
              </w:rPr>
              <w:t>($)</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vMerge w:val="restart"/>
            <w:tcBorders>
              <w:left w:val="single" w:sz="6" w:space="0" w:color="000000"/>
              <w:bottom w:val="single" w:sz="6" w:space="0" w:color="000000"/>
            </w:tcBorders>
            <w:shd w:fill="D8E9F4" w:val="clear"/>
            <w:tcMar>
              <w:left w:w="28" w:type="dxa"/>
              <w:bottom w:w="28" w:type="dxa"/>
            </w:tcMar>
            <w:vAlign w:val="center"/>
          </w:tcPr>
          <w:p>
            <w:pPr>
              <w:pStyle w:val="TableContents"/>
              <w:bidi w:val="0"/>
              <w:spacing w:before="0" w:after="283"/>
              <w:jc w:val="left"/>
              <w:rPr/>
            </w:pPr>
            <w:r>
              <w:rPr/>
              <w:t> </w:t>
            </w:r>
          </w:p>
        </w:tc>
        <w:tc>
          <w:tcPr>
            <w:tcW w:w="1040" w:type="dxa"/>
            <w:vMerge w:val="restart"/>
            <w:tcBorders>
              <w:bottom w:val="single" w:sz="6" w:space="0" w:color="000000"/>
              <w:right w:val="single" w:sz="6" w:space="0" w:color="000000"/>
            </w:tcBorders>
            <w:shd w:fill="D8E9F4" w:val="clear"/>
            <w:tcMar>
              <w:bottom w:w="28" w:type="dxa"/>
              <w:right w:w="40" w:type="dxa"/>
            </w:tcMar>
            <w:vAlign w:val="center"/>
          </w:tcPr>
          <w:p>
            <w:pPr>
              <w:pStyle w:val="TableContents"/>
              <w:bidi w:val="0"/>
              <w:spacing w:before="0" w:after="283"/>
              <w:jc w:val="center"/>
              <w:rPr>
                <w:b/>
              </w:rPr>
            </w:pPr>
            <w:r>
              <w:rPr>
                <w:b/>
              </w:rPr>
              <w:t>102.7%</w:t>
            </w:r>
          </w:p>
        </w:tc>
      </w:tr>
      <w:tr>
        <w:trPr/>
        <w:tc>
          <w:tcPr>
            <w:tcW w:w="860" w:type="dxa"/>
            <w:vMerge w:val="continue"/>
            <w:tcBorders>
              <w:top w:val="single" w:sz="6" w:space="0" w:color="31485D"/>
              <w:bottom w:val="single" w:sz="6" w:space="0" w:color="31485D"/>
            </w:tcBorders>
            <w:shd w:fill="31485D" w:val="clear"/>
            <w:tcMar>
              <w:top w:w="28" w:type="dxa"/>
              <w:bottom w:w="28" w:type="dxa"/>
            </w:tcMar>
            <w:vAlign w:val="center"/>
          </w:tcPr>
          <w:p>
            <w:pPr>
              <w:pStyle w:val="Normal"/>
              <w:bidi w:val="0"/>
              <w:jc w:val="left"/>
              <w:rPr/>
            </w:pPr>
            <w:r>
              <w:rPr/>
            </w:r>
          </w:p>
        </w:tc>
        <w:tc>
          <w:tcPr>
            <w:tcW w:w="60" w:type="dxa"/>
            <w:vMerge w:val="continue"/>
            <w:tcBorders>
              <w:top w:val="single" w:sz="6" w:space="0" w:color="000000"/>
              <w:left w:val="single" w:sz="6" w:space="0" w:color="000000"/>
              <w:bottom w:val="single" w:sz="6" w:space="0" w:color="000000"/>
            </w:tcBorders>
            <w:shd w:fill="0171B9" w:val="clear"/>
            <w:tcMar>
              <w:top w:w="28" w:type="dxa"/>
              <w:left w:w="28" w:type="dxa"/>
              <w:bottom w:w="28" w:type="dxa"/>
            </w:tcMar>
            <w:vAlign w:val="center"/>
          </w:tcPr>
          <w:p>
            <w:pPr>
              <w:pStyle w:val="Normal"/>
              <w:bidi w:val="0"/>
              <w:jc w:val="left"/>
              <w:rPr/>
            </w:pPr>
            <w:r>
              <w:rPr/>
            </w:r>
          </w:p>
        </w:tc>
        <w:tc>
          <w:tcPr>
            <w:tcW w:w="1250" w:type="dxa"/>
            <w:vMerge w:val="continue"/>
            <w:tcBorders>
              <w:top w:val="single" w:sz="6" w:space="0" w:color="000000"/>
              <w:bottom w:val="single" w:sz="6" w:space="0" w:color="000000"/>
              <w:right w:val="single" w:sz="6" w:space="0" w:color="000000"/>
            </w:tcBorders>
            <w:shd w:fill="0171B9" w:val="clear"/>
            <w:tcMar>
              <w:top w:w="28" w:type="dxa"/>
              <w:bottom w:w="28" w:type="dxa"/>
              <w:right w:w="28" w:type="dxa"/>
            </w:tcMar>
            <w:vAlign w:val="center"/>
          </w:tcPr>
          <w:p>
            <w:pPr>
              <w:pStyle w:val="Normal"/>
              <w:bidi w:val="0"/>
              <w:jc w:val="left"/>
              <w:rPr/>
            </w:pPr>
            <w:r>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0"/>
              <w:jc w:val="center"/>
              <w:rPr/>
            </w:pPr>
            <w:r>
              <w:rPr/>
              <w:t>≤</w:t>
            </w:r>
            <w:r>
              <w:rPr>
                <w:rFonts w:ascii="arial" w:hAnsi="arial"/>
                <w:sz w:val="18"/>
              </w:rPr>
              <w:t>$13.00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0"/>
              <w:jc w:val="center"/>
              <w:rPr>
                <w:rFonts w:ascii="arial" w:hAnsi="arial"/>
                <w:sz w:val="18"/>
              </w:rPr>
            </w:pPr>
            <w:r>
              <w:rPr>
                <w:rFonts w:ascii="arial" w:hAnsi="arial"/>
                <w:sz w:val="18"/>
              </w:rPr>
              <w:t>$15.00</w:t>
            </w:r>
          </w:p>
        </w:tc>
        <w:tc>
          <w:tcPr>
            <w:tcW w:w="60" w:type="dxa"/>
            <w:tcBorders/>
            <w:vAlign w:val="center"/>
          </w:tcPr>
          <w:p>
            <w:pPr>
              <w:pStyle w:val="TableContents"/>
              <w:bidi w:val="0"/>
              <w:spacing w:before="0" w:after="283"/>
              <w:jc w:val="left"/>
              <w:rPr/>
            </w:pPr>
            <w:r>
              <w:rPr/>
              <w:t>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top w:val="dotted" w:sz="6" w:space="0" w:color="0171B9"/>
              <w:left w:val="dotted" w:sz="6" w:space="0" w:color="0171B9"/>
              <w:bottom w:val="dotted" w:sz="6" w:space="0" w:color="0171B9"/>
            </w:tcBorders>
            <w:tcMar>
              <w:top w:w="28" w:type="dxa"/>
              <w:left w:w="28" w:type="dxa"/>
              <w:bottom w:w="28" w:type="dxa"/>
            </w:tcMar>
            <w:vAlign w:val="center"/>
          </w:tcPr>
          <w:p>
            <w:pPr>
              <w:pStyle w:val="TableContents"/>
              <w:bidi w:val="0"/>
              <w:spacing w:before="0" w:after="283"/>
              <w:jc w:val="left"/>
              <w:rPr/>
            </w:pPr>
            <w:r>
              <w:rPr/>
              <w:t> </w:t>
            </w:r>
          </w:p>
        </w:tc>
        <w:tc>
          <w:tcPr>
            <w:tcW w:w="590" w:type="dxa"/>
            <w:tcBorders>
              <w:top w:val="dotted" w:sz="6" w:space="0" w:color="0171B9"/>
              <w:bottom w:val="dotted" w:sz="6" w:space="0" w:color="0171B9"/>
            </w:tcBorders>
            <w:tcMar>
              <w:top w:w="28" w:type="dxa"/>
              <w:bottom w:w="28" w:type="dxa"/>
            </w:tcMar>
            <w:vAlign w:val="center"/>
          </w:tcPr>
          <w:p>
            <w:pPr>
              <w:pStyle w:val="TableContents"/>
              <w:bidi w:val="0"/>
              <w:spacing w:before="0" w:after="20"/>
              <w:jc w:val="center"/>
              <w:rPr>
                <w:rFonts w:ascii="arial" w:hAnsi="arial"/>
                <w:sz w:val="18"/>
              </w:rPr>
            </w:pPr>
            <w:r>
              <w:rPr>
                <w:rFonts w:ascii="arial" w:hAnsi="arial"/>
                <w:sz w:val="18"/>
              </w:rPr>
              <w:t>$18.49</w:t>
            </w:r>
          </w:p>
        </w:tc>
        <w:tc>
          <w:tcPr>
            <w:tcW w:w="60" w:type="dxa"/>
            <w:tcBorders>
              <w:top w:val="dotted" w:sz="6" w:space="0" w:color="0171B9"/>
              <w:bottom w:val="dotted" w:sz="6" w:space="0" w:color="0171B9"/>
            </w:tcBorders>
            <w:tcMar>
              <w:top w:w="28" w:type="dxa"/>
              <w:bottom w:w="28" w:type="dxa"/>
            </w:tcMar>
            <w:vAlign w:val="center"/>
          </w:tcPr>
          <w:p>
            <w:pPr>
              <w:pStyle w:val="TableContents"/>
              <w:bidi w:val="0"/>
              <w:spacing w:before="0" w:after="283"/>
              <w:jc w:val="left"/>
              <w:rPr/>
            </w:pPr>
            <w:r>
              <w:rPr/>
              <w:t> </w:t>
            </w:r>
          </w:p>
        </w:tc>
        <w:tc>
          <w:tcPr>
            <w:tcW w:w="60" w:type="dxa"/>
            <w:tcBorders>
              <w:top w:val="dotted" w:sz="6" w:space="0" w:color="0171B9"/>
              <w:bottom w:val="dotted" w:sz="6" w:space="0" w:color="0171B9"/>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dotted" w:sz="6" w:space="0" w:color="0171B9"/>
              <w:bottom w:val="dotted" w:sz="6" w:space="0" w:color="0171B9"/>
            </w:tcBorders>
            <w:tcMar>
              <w:top w:w="28" w:type="dxa"/>
              <w:bottom w:w="28" w:type="dxa"/>
            </w:tcMar>
            <w:vAlign w:val="center"/>
          </w:tcPr>
          <w:p>
            <w:pPr>
              <w:pStyle w:val="TableContents"/>
              <w:bidi w:val="0"/>
              <w:spacing w:before="0" w:after="283"/>
              <w:jc w:val="left"/>
              <w:rPr/>
            </w:pPr>
            <w:r>
              <w:rPr/>
              <w:t> </w:t>
            </w:r>
          </w:p>
        </w:tc>
        <w:tc>
          <w:tcPr>
            <w:tcW w:w="60" w:type="dxa"/>
            <w:tcBorders>
              <w:top w:val="dotted" w:sz="6" w:space="0" w:color="0171B9"/>
              <w:bottom w:val="dotted" w:sz="6" w:space="0" w:color="0171B9"/>
            </w:tcBorders>
            <w:tcMar>
              <w:top w:w="28" w:type="dxa"/>
              <w:bottom w:w="28" w:type="dxa"/>
            </w:tcMar>
            <w:vAlign w:val="center"/>
          </w:tcPr>
          <w:p>
            <w:pPr>
              <w:pStyle w:val="TableContents"/>
              <w:bidi w:val="0"/>
              <w:spacing w:before="0" w:after="283"/>
              <w:jc w:val="left"/>
              <w:rPr/>
            </w:pPr>
            <w:r>
              <w:rPr/>
              <w:t> </w:t>
            </w:r>
          </w:p>
        </w:tc>
        <w:tc>
          <w:tcPr>
            <w:tcW w:w="60" w:type="dxa"/>
            <w:tcBorders>
              <w:top w:val="dotted" w:sz="6" w:space="0" w:color="0171B9"/>
              <w:bottom w:val="dotted" w:sz="6" w:space="0" w:color="0171B9"/>
            </w:tcBorders>
            <w:tcMar>
              <w:top w:w="28" w:type="dxa"/>
              <w:bottom w:w="28" w:type="dxa"/>
            </w:tcMar>
            <w:vAlign w:val="center"/>
          </w:tcPr>
          <w:p>
            <w:pPr>
              <w:pStyle w:val="TableContents"/>
              <w:bidi w:val="0"/>
              <w:spacing w:before="0" w:after="283"/>
              <w:jc w:val="left"/>
              <w:rPr/>
            </w:pPr>
            <w:r>
              <w:rPr/>
              <w:t> </w:t>
            </w:r>
          </w:p>
        </w:tc>
        <w:tc>
          <w:tcPr>
            <w:tcW w:w="605" w:type="dxa"/>
            <w:tcBorders>
              <w:top w:val="dotted" w:sz="6" w:space="0" w:color="0171B9"/>
              <w:bottom w:val="dotted" w:sz="6" w:space="0" w:color="0171B9"/>
              <w:right w:val="dotted" w:sz="6" w:space="0" w:color="0171B9"/>
            </w:tcBorders>
            <w:tcMar>
              <w:top w:w="28" w:type="dxa"/>
              <w:bottom w:w="28" w:type="dxa"/>
              <w:right w:w="28" w:type="dxa"/>
            </w:tcMar>
            <w:vAlign w:val="center"/>
          </w:tcPr>
          <w:p>
            <w:pPr>
              <w:pStyle w:val="TableContents"/>
              <w:bidi w:val="0"/>
              <w:spacing w:before="0" w:after="20"/>
              <w:jc w:val="center"/>
              <w:rPr>
                <w:rFonts w:ascii="arial" w:hAnsi="arial"/>
                <w:sz w:val="19"/>
              </w:rPr>
            </w:pPr>
            <w:r>
              <w:rPr>
                <w:rFonts w:ascii="arial" w:hAnsi="arial"/>
                <w:sz w:val="19"/>
              </w:rPr>
              <w:t>$21.00</w:t>
            </w:r>
          </w:p>
        </w:tc>
        <w:tc>
          <w:tcPr>
            <w:tcW w:w="60" w:type="dxa"/>
            <w:tcBorders/>
            <w:vAlign w:val="center"/>
          </w:tcPr>
          <w:p>
            <w:pPr>
              <w:pStyle w:val="TableContents"/>
              <w:bidi w:val="0"/>
              <w:spacing w:before="0" w:after="283"/>
              <w:jc w:val="left"/>
              <w:rPr/>
            </w:pPr>
            <w:r>
              <w:rPr/>
              <w:t>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0"/>
              <w:jc w:val="center"/>
              <w:rPr/>
            </w:pPr>
            <w:r>
              <w:rPr/>
              <w:t>≥</w:t>
            </w:r>
            <w:r>
              <w:rPr>
                <w:rFonts w:ascii="arial" w:hAnsi="arial"/>
                <w:sz w:val="19"/>
              </w:rPr>
              <w:t>$23.00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vMerge w:val="continue"/>
            <w:tcBorders>
              <w:left w:val="single" w:sz="6" w:space="0" w:color="000000"/>
              <w:bottom w:val="single" w:sz="6" w:space="0" w:color="000000"/>
            </w:tcBorders>
            <w:shd w:fill="D8E9F4" w:val="clear"/>
            <w:tcMar>
              <w:left w:w="28" w:type="dxa"/>
              <w:bottom w:w="28" w:type="dxa"/>
            </w:tcMar>
            <w:vAlign w:val="center"/>
          </w:tcPr>
          <w:p>
            <w:pPr>
              <w:pStyle w:val="Normal"/>
              <w:bidi w:val="0"/>
              <w:jc w:val="left"/>
              <w:rPr/>
            </w:pPr>
            <w:r>
              <w:rPr/>
            </w:r>
          </w:p>
        </w:tc>
        <w:tc>
          <w:tcPr>
            <w:tcW w:w="1040" w:type="dxa"/>
            <w:vMerge w:val="continue"/>
            <w:tcBorders>
              <w:bottom w:val="single" w:sz="6" w:space="0" w:color="000000"/>
              <w:right w:val="single" w:sz="6" w:space="0" w:color="000000"/>
            </w:tcBorders>
            <w:shd w:fill="D8E9F4" w:val="clear"/>
            <w:tcMar>
              <w:bottom w:w="28" w:type="dxa"/>
              <w:right w:w="40" w:type="dxa"/>
            </w:tcMar>
            <w:vAlign w:val="center"/>
          </w:tcPr>
          <w:p>
            <w:pPr>
              <w:pStyle w:val="Normal"/>
              <w:bidi w:val="0"/>
              <w:jc w:val="left"/>
              <w:rPr/>
            </w:pPr>
            <w:r>
              <w:rPr/>
            </w:r>
          </w:p>
        </w:tc>
      </w:tr>
      <w:tr>
        <w:trPr/>
        <w:tc>
          <w:tcPr>
            <w:tcW w:w="860" w:type="dxa"/>
            <w:vMerge w:val="continue"/>
            <w:tcBorders>
              <w:top w:val="single" w:sz="6" w:space="0" w:color="31485D"/>
              <w:bottom w:val="single" w:sz="6" w:space="0" w:color="31485D"/>
            </w:tcBorders>
            <w:shd w:fill="31485D" w:val="clear"/>
            <w:tcMar>
              <w:top w:w="28" w:type="dxa"/>
              <w:bottom w:w="28" w:type="dxa"/>
            </w:tcMar>
            <w:vAlign w:val="center"/>
          </w:tcPr>
          <w:p>
            <w:pPr>
              <w:pStyle w:val="Normal"/>
              <w:bidi w:val="0"/>
              <w:jc w:val="left"/>
              <w:rPr/>
            </w:pPr>
            <w:r>
              <w:rPr/>
            </w:r>
          </w:p>
        </w:tc>
        <w:tc>
          <w:tcPr>
            <w:tcW w:w="60" w:type="dxa"/>
            <w:vMerge w:val="continue"/>
            <w:tcBorders>
              <w:top w:val="single" w:sz="6" w:space="0" w:color="000000"/>
              <w:left w:val="single" w:sz="6" w:space="0" w:color="000000"/>
              <w:bottom w:val="single" w:sz="6" w:space="0" w:color="000000"/>
            </w:tcBorders>
            <w:shd w:fill="0171B9" w:val="clear"/>
            <w:tcMar>
              <w:top w:w="28" w:type="dxa"/>
              <w:left w:w="28" w:type="dxa"/>
              <w:bottom w:w="28" w:type="dxa"/>
            </w:tcMar>
            <w:vAlign w:val="center"/>
          </w:tcPr>
          <w:p>
            <w:pPr>
              <w:pStyle w:val="Normal"/>
              <w:bidi w:val="0"/>
              <w:jc w:val="left"/>
              <w:rPr/>
            </w:pPr>
            <w:r>
              <w:rPr/>
            </w:r>
          </w:p>
        </w:tc>
        <w:tc>
          <w:tcPr>
            <w:tcW w:w="1250" w:type="dxa"/>
            <w:vMerge w:val="continue"/>
            <w:tcBorders>
              <w:top w:val="single" w:sz="6" w:space="0" w:color="000000"/>
              <w:bottom w:val="single" w:sz="6" w:space="0" w:color="000000"/>
              <w:right w:val="single" w:sz="6" w:space="0" w:color="000000"/>
            </w:tcBorders>
            <w:shd w:fill="0171B9" w:val="clear"/>
            <w:tcMar>
              <w:top w:w="28" w:type="dxa"/>
              <w:bottom w:w="28" w:type="dxa"/>
              <w:right w:w="28" w:type="dxa"/>
            </w:tcMar>
            <w:vAlign w:val="center"/>
          </w:tcPr>
          <w:p>
            <w:pPr>
              <w:pStyle w:val="Normal"/>
              <w:bidi w:val="0"/>
              <w:jc w:val="left"/>
              <w:rPr/>
            </w:pPr>
            <w:r>
              <w:rPr/>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9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95" w:type="dxa"/>
            <w:gridSpan w:val="7"/>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color w:val="0171B9"/>
                <w:sz w:val="18"/>
              </w:rPr>
            </w:pPr>
            <w:r>
              <w:rPr>
                <w:rFonts w:ascii="arial" w:hAnsi="arial"/>
                <w:color w:val="0171B9"/>
                <w:sz w:val="18"/>
              </w:rPr>
              <w:t>($18.83 actual)</w:t>
            </w:r>
          </w:p>
          <w:p>
            <w:pPr>
              <w:pStyle w:val="TableContents"/>
              <w:bidi w:val="0"/>
              <w:spacing w:before="0" w:after="2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4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vMerge w:val="continue"/>
            <w:tcBorders>
              <w:left w:val="single" w:sz="6" w:space="0" w:color="000000"/>
              <w:bottom w:val="single" w:sz="6" w:space="0" w:color="000000"/>
            </w:tcBorders>
            <w:shd w:fill="D8E9F4" w:val="clear"/>
            <w:tcMar>
              <w:left w:w="28" w:type="dxa"/>
              <w:bottom w:w="28" w:type="dxa"/>
            </w:tcMar>
            <w:vAlign w:val="center"/>
          </w:tcPr>
          <w:p>
            <w:pPr>
              <w:pStyle w:val="Normal"/>
              <w:bidi w:val="0"/>
              <w:jc w:val="left"/>
              <w:rPr/>
            </w:pPr>
            <w:r>
              <w:rPr/>
            </w:r>
          </w:p>
        </w:tc>
        <w:tc>
          <w:tcPr>
            <w:tcW w:w="1040" w:type="dxa"/>
            <w:vMerge w:val="continue"/>
            <w:tcBorders>
              <w:bottom w:val="single" w:sz="6" w:space="0" w:color="000000"/>
              <w:right w:val="single" w:sz="6" w:space="0" w:color="000000"/>
            </w:tcBorders>
            <w:shd w:fill="D8E9F4" w:val="clear"/>
            <w:tcMar>
              <w:bottom w:w="28" w:type="dxa"/>
              <w:right w:w="40" w:type="dxa"/>
            </w:tcMar>
            <w:vAlign w:val="center"/>
          </w:tcPr>
          <w:p>
            <w:pPr>
              <w:pStyle w:val="Normal"/>
              <w:bidi w:val="0"/>
              <w:jc w:val="left"/>
              <w:rPr/>
            </w:pPr>
            <w:r>
              <w:rPr/>
            </w:r>
          </w:p>
        </w:tc>
      </w:tr>
      <w:tr>
        <w:trPr/>
        <w:tc>
          <w:tcPr>
            <w:tcW w:w="860" w:type="dxa"/>
            <w:vMerge w:val="continue"/>
            <w:tcBorders>
              <w:top w:val="single" w:sz="6" w:space="0" w:color="31485D"/>
              <w:bottom w:val="single" w:sz="6" w:space="0" w:color="31485D"/>
            </w:tcBorders>
            <w:shd w:fill="31485D" w:val="clear"/>
            <w:tcMar>
              <w:top w:w="28" w:type="dxa"/>
              <w:bottom w:w="28" w:type="dxa"/>
            </w:tcMar>
            <w:vAlign w:val="center"/>
          </w:tcPr>
          <w:p>
            <w:pPr>
              <w:pStyle w:val="Normal"/>
              <w:bidi w:val="0"/>
              <w:jc w:val="left"/>
              <w:rPr/>
            </w:pPr>
            <w:r>
              <w:rPr/>
            </w:r>
          </w:p>
        </w:tc>
        <w:tc>
          <w:tcPr>
            <w:tcW w:w="60" w:type="dxa"/>
            <w:vMerge w:val="restart"/>
            <w:tcBorders>
              <w:left w:val="single" w:sz="6" w:space="0" w:color="000000"/>
              <w:bottom w:val="single" w:sz="6" w:space="0" w:color="000000"/>
            </w:tcBorders>
            <w:shd w:fill="80B8DC" w:val="clear"/>
            <w:tcMar>
              <w:left w:w="28" w:type="dxa"/>
              <w:bottom w:w="28" w:type="dxa"/>
            </w:tcMar>
            <w:vAlign w:val="center"/>
          </w:tcPr>
          <w:p>
            <w:pPr>
              <w:pStyle w:val="TableContents"/>
              <w:bidi w:val="0"/>
              <w:spacing w:before="0" w:after="283"/>
              <w:jc w:val="left"/>
              <w:rPr/>
            </w:pPr>
            <w:r>
              <w:rPr/>
              <w:t> </w:t>
            </w:r>
          </w:p>
        </w:tc>
        <w:tc>
          <w:tcPr>
            <w:tcW w:w="1250" w:type="dxa"/>
            <w:vMerge w:val="restart"/>
            <w:tcBorders>
              <w:bottom w:val="single" w:sz="6" w:space="0" w:color="000000"/>
              <w:right w:val="single" w:sz="6" w:space="0" w:color="000000"/>
            </w:tcBorders>
            <w:shd w:fill="80B8DC" w:val="clear"/>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ROIC(2)</w:t>
            </w:r>
          </w:p>
          <w:p>
            <w:pPr>
              <w:pStyle w:val="TableContents"/>
              <w:bidi w:val="0"/>
              <w:spacing w:before="0" w:after="20"/>
              <w:jc w:val="center"/>
              <w:rPr>
                <w:rFonts w:ascii="arial" w:hAnsi="arial"/>
                <w:color w:val="FFFFFF"/>
                <w:sz w:val="18"/>
              </w:rPr>
            </w:pPr>
            <w:r>
              <w:rPr>
                <w:rFonts w:ascii="arial" w:hAnsi="arial"/>
                <w:color w:val="FFFFFF"/>
                <w:sz w:val="18"/>
              </w:rPr>
              <w:t>(%)</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vMerge w:val="restart"/>
            <w:tcBorders>
              <w:left w:val="single" w:sz="6" w:space="0" w:color="000000"/>
            </w:tcBorders>
            <w:shd w:fill="D8E9F4" w:val="clear"/>
            <w:tcMar>
              <w:left w:w="28" w:type="dxa"/>
            </w:tcMar>
            <w:vAlign w:val="center"/>
          </w:tcPr>
          <w:p>
            <w:pPr>
              <w:pStyle w:val="TableContents"/>
              <w:bidi w:val="0"/>
              <w:spacing w:before="0" w:after="283"/>
              <w:jc w:val="left"/>
              <w:rPr/>
            </w:pPr>
            <w:r>
              <w:rPr/>
              <w:t> </w:t>
            </w:r>
          </w:p>
        </w:tc>
        <w:tc>
          <w:tcPr>
            <w:tcW w:w="1040" w:type="dxa"/>
            <w:vMerge w:val="restart"/>
            <w:tcBorders>
              <w:right w:val="single" w:sz="6" w:space="0" w:color="000000"/>
            </w:tcBorders>
            <w:shd w:fill="D8E9F4" w:val="clear"/>
            <w:tcMar>
              <w:right w:w="40" w:type="dxa"/>
            </w:tcMar>
            <w:vAlign w:val="center"/>
          </w:tcPr>
          <w:p>
            <w:pPr>
              <w:pStyle w:val="TableContents"/>
              <w:bidi w:val="0"/>
              <w:spacing w:before="0" w:after="283"/>
              <w:jc w:val="center"/>
              <w:rPr>
                <w:b/>
                <w:sz w:val="18"/>
              </w:rPr>
            </w:pPr>
            <w:r>
              <w:rPr>
                <w:b/>
                <w:sz w:val="18"/>
              </w:rPr>
              <w:t>30.0%</w:t>
            </w:r>
          </w:p>
        </w:tc>
      </w:tr>
      <w:tr>
        <w:trPr/>
        <w:tc>
          <w:tcPr>
            <w:tcW w:w="860" w:type="dxa"/>
            <w:vMerge w:val="continue"/>
            <w:tcBorders>
              <w:top w:val="single" w:sz="6" w:space="0" w:color="31485D"/>
              <w:bottom w:val="single" w:sz="6" w:space="0" w:color="31485D"/>
            </w:tcBorders>
            <w:shd w:fill="31485D" w:val="clear"/>
            <w:tcMar>
              <w:top w:w="28" w:type="dxa"/>
              <w:bottom w:w="28" w:type="dxa"/>
            </w:tcMar>
            <w:vAlign w:val="center"/>
          </w:tcPr>
          <w:p>
            <w:pPr>
              <w:pStyle w:val="Normal"/>
              <w:bidi w:val="0"/>
              <w:jc w:val="left"/>
              <w:rPr/>
            </w:pPr>
            <w:r>
              <w:rPr/>
            </w:r>
          </w:p>
        </w:tc>
        <w:tc>
          <w:tcPr>
            <w:tcW w:w="60" w:type="dxa"/>
            <w:vMerge w:val="continue"/>
            <w:tcBorders>
              <w:left w:val="single" w:sz="6" w:space="0" w:color="000000"/>
              <w:bottom w:val="single" w:sz="6" w:space="0" w:color="000000"/>
            </w:tcBorders>
            <w:shd w:fill="80B8DC" w:val="clear"/>
            <w:tcMar>
              <w:left w:w="28" w:type="dxa"/>
              <w:bottom w:w="28" w:type="dxa"/>
            </w:tcMar>
            <w:vAlign w:val="center"/>
          </w:tcPr>
          <w:p>
            <w:pPr>
              <w:pStyle w:val="Normal"/>
              <w:bidi w:val="0"/>
              <w:jc w:val="left"/>
              <w:rPr/>
            </w:pPr>
            <w:r>
              <w:rPr/>
            </w:r>
          </w:p>
        </w:tc>
        <w:tc>
          <w:tcPr>
            <w:tcW w:w="1250" w:type="dxa"/>
            <w:vMerge w:val="continue"/>
            <w:tcBorders>
              <w:bottom w:val="single" w:sz="6" w:space="0" w:color="000000"/>
              <w:right w:val="single" w:sz="6" w:space="0" w:color="000000"/>
            </w:tcBorders>
            <w:shd w:fill="80B8DC" w:val="clear"/>
            <w:tcMar>
              <w:bottom w:w="28" w:type="dxa"/>
              <w:right w:w="28" w:type="dxa"/>
            </w:tcMar>
            <w:vAlign w:val="center"/>
          </w:tcPr>
          <w:p>
            <w:pPr>
              <w:pStyle w:val="Normal"/>
              <w:bidi w:val="0"/>
              <w:jc w:val="left"/>
              <w:rPr/>
            </w:pPr>
            <w:r>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top w:val="dotted" w:sz="6" w:space="0" w:color="0171B9"/>
              <w:left w:val="dotted" w:sz="6" w:space="0" w:color="0171B9"/>
              <w:bottom w:val="dotted" w:sz="6" w:space="0" w:color="0171B9"/>
            </w:tcBorders>
            <w:tcMar>
              <w:top w:w="28" w:type="dxa"/>
              <w:left w:w="28" w:type="dxa"/>
              <w:bottom w:w="28" w:type="dxa"/>
            </w:tcMar>
            <w:vAlign w:val="center"/>
          </w:tcPr>
          <w:p>
            <w:pPr>
              <w:pStyle w:val="TableContents"/>
              <w:bidi w:val="0"/>
              <w:spacing w:before="0" w:after="283"/>
              <w:jc w:val="left"/>
              <w:rPr/>
            </w:pPr>
            <w:r>
              <w:rPr/>
              <w:t> </w:t>
            </w:r>
          </w:p>
        </w:tc>
        <w:tc>
          <w:tcPr>
            <w:tcW w:w="1205" w:type="dxa"/>
            <w:tcBorders>
              <w:top w:val="dotted" w:sz="6" w:space="0" w:color="0171B9"/>
              <w:bottom w:val="dotted" w:sz="6" w:space="0" w:color="0171B9"/>
              <w:right w:val="dotted" w:sz="6" w:space="0" w:color="0171B9"/>
            </w:tcBorders>
            <w:tcMar>
              <w:top w:w="28" w:type="dxa"/>
              <w:bottom w:w="28" w:type="dxa"/>
              <w:right w:w="28" w:type="dxa"/>
            </w:tcMar>
            <w:vAlign w:val="center"/>
          </w:tcPr>
          <w:p>
            <w:pPr>
              <w:pStyle w:val="TableContents"/>
              <w:bidi w:val="0"/>
              <w:spacing w:before="0" w:after="20"/>
              <w:jc w:val="center"/>
              <w:rPr/>
            </w:pPr>
            <w:r>
              <w:rPr/>
              <w:t>≤</w:t>
            </w:r>
            <w:r>
              <w:rPr>
                <w:rFonts w:ascii="arial" w:hAnsi="arial"/>
                <w:sz w:val="19"/>
              </w:rPr>
              <w:t>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0"/>
              <w:jc w:val="center"/>
              <w:rPr>
                <w:rFonts w:ascii="arial" w:hAnsi="arial"/>
                <w:sz w:val="18"/>
              </w:rPr>
            </w:pPr>
            <w:r>
              <w:rPr>
                <w:rFonts w:ascii="arial" w:hAnsi="arial"/>
                <w:sz w:val="18"/>
              </w:rPr>
              <w:t>19%</w:t>
            </w:r>
          </w:p>
        </w:tc>
        <w:tc>
          <w:tcPr>
            <w:tcW w:w="60" w:type="dxa"/>
            <w:tcBorders/>
            <w:vAlign w:val="center"/>
          </w:tcPr>
          <w:p>
            <w:pPr>
              <w:pStyle w:val="TableContents"/>
              <w:bidi w:val="0"/>
              <w:spacing w:before="0" w:after="283"/>
              <w:jc w:val="left"/>
              <w:rPr/>
            </w:pPr>
            <w:r>
              <w:rPr/>
              <w:t>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0"/>
              <w:jc w:val="center"/>
              <w:rPr>
                <w:rFonts w:ascii="arial" w:hAnsi="arial"/>
                <w:sz w:val="18"/>
              </w:rPr>
            </w:pPr>
            <w:r>
              <w:rPr>
                <w:rFonts w:ascii="arial" w:hAnsi="arial"/>
                <w:sz w:val="18"/>
              </w:rPr>
              <w:t>25.7%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0"/>
              <w:jc w:val="center"/>
              <w:rPr>
                <w:rFonts w:ascii="arial" w:hAnsi="arial"/>
                <w:sz w:val="18"/>
              </w:rPr>
            </w:pPr>
            <w:r>
              <w:rPr>
                <w:rFonts w:ascii="arial" w:hAnsi="arial"/>
                <w:sz w:val="18"/>
              </w:rPr>
              <w:t>30%</w:t>
            </w:r>
          </w:p>
        </w:tc>
        <w:tc>
          <w:tcPr>
            <w:tcW w:w="60" w:type="dxa"/>
            <w:tcBorders/>
            <w:vAlign w:val="center"/>
          </w:tcPr>
          <w:p>
            <w:pPr>
              <w:pStyle w:val="TableContents"/>
              <w:bidi w:val="0"/>
              <w:spacing w:before="0" w:after="283"/>
              <w:jc w:val="left"/>
              <w:rPr/>
            </w:pPr>
            <w:r>
              <w:rPr/>
              <w:t>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0"/>
              <w:jc w:val="center"/>
              <w:rPr/>
            </w:pPr>
            <w:r>
              <w:rPr/>
              <w:t>≥</w:t>
            </w:r>
            <w:r>
              <w:rPr>
                <w:rFonts w:ascii="arial" w:hAnsi="arial"/>
                <w:sz w:val="19"/>
              </w:rPr>
              <w:t>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vMerge w:val="continue"/>
            <w:tcBorders>
              <w:left w:val="single" w:sz="6" w:space="0" w:color="000000"/>
            </w:tcBorders>
            <w:shd w:fill="D8E9F4" w:val="clear"/>
            <w:tcMar>
              <w:left w:w="28" w:type="dxa"/>
            </w:tcMar>
            <w:vAlign w:val="center"/>
          </w:tcPr>
          <w:p>
            <w:pPr>
              <w:pStyle w:val="Normal"/>
              <w:bidi w:val="0"/>
              <w:jc w:val="left"/>
              <w:rPr/>
            </w:pPr>
            <w:r>
              <w:rPr/>
            </w:r>
          </w:p>
        </w:tc>
        <w:tc>
          <w:tcPr>
            <w:tcW w:w="1040" w:type="dxa"/>
            <w:vMerge w:val="continue"/>
            <w:tcBorders>
              <w:right w:val="single" w:sz="6" w:space="0" w:color="000000"/>
            </w:tcBorders>
            <w:shd w:fill="D8E9F4" w:val="clear"/>
            <w:tcMar>
              <w:right w:w="40" w:type="dxa"/>
            </w:tcMar>
            <w:vAlign w:val="center"/>
          </w:tcPr>
          <w:p>
            <w:pPr>
              <w:pStyle w:val="Normal"/>
              <w:bidi w:val="0"/>
              <w:jc w:val="left"/>
              <w:rPr/>
            </w:pPr>
            <w:r>
              <w:rPr/>
            </w:r>
          </w:p>
        </w:tc>
      </w:tr>
      <w:tr>
        <w:trPr/>
        <w:tc>
          <w:tcPr>
            <w:tcW w:w="860" w:type="dxa"/>
            <w:vMerge w:val="continue"/>
            <w:tcBorders>
              <w:top w:val="single" w:sz="6" w:space="0" w:color="31485D"/>
              <w:bottom w:val="single" w:sz="6" w:space="0" w:color="31485D"/>
            </w:tcBorders>
            <w:shd w:fill="31485D" w:val="clear"/>
            <w:tcMar>
              <w:top w:w="28" w:type="dxa"/>
              <w:bottom w:w="28" w:type="dxa"/>
            </w:tcMar>
            <w:vAlign w:val="center"/>
          </w:tcPr>
          <w:p>
            <w:pPr>
              <w:pStyle w:val="Normal"/>
              <w:bidi w:val="0"/>
              <w:jc w:val="left"/>
              <w:rPr/>
            </w:pPr>
            <w:r>
              <w:rPr/>
            </w:r>
          </w:p>
        </w:tc>
        <w:tc>
          <w:tcPr>
            <w:tcW w:w="60" w:type="dxa"/>
            <w:vMerge w:val="continue"/>
            <w:tcBorders>
              <w:left w:val="single" w:sz="6" w:space="0" w:color="000000"/>
              <w:bottom w:val="single" w:sz="6" w:space="0" w:color="000000"/>
            </w:tcBorders>
            <w:shd w:fill="80B8DC" w:val="clear"/>
            <w:tcMar>
              <w:left w:w="28" w:type="dxa"/>
              <w:bottom w:w="28" w:type="dxa"/>
            </w:tcMar>
            <w:vAlign w:val="center"/>
          </w:tcPr>
          <w:p>
            <w:pPr>
              <w:pStyle w:val="Normal"/>
              <w:bidi w:val="0"/>
              <w:jc w:val="left"/>
              <w:rPr/>
            </w:pPr>
            <w:r>
              <w:rPr/>
            </w:r>
          </w:p>
        </w:tc>
        <w:tc>
          <w:tcPr>
            <w:tcW w:w="1250" w:type="dxa"/>
            <w:vMerge w:val="continue"/>
            <w:tcBorders>
              <w:bottom w:val="single" w:sz="6" w:space="0" w:color="000000"/>
              <w:right w:val="single" w:sz="6" w:space="0" w:color="000000"/>
            </w:tcBorders>
            <w:shd w:fill="80B8DC" w:val="clear"/>
            <w:tcMar>
              <w:bottom w:w="28" w:type="dxa"/>
              <w:right w:w="28" w:type="dxa"/>
            </w:tcMar>
            <w:vAlign w:val="center"/>
          </w:tcPr>
          <w:p>
            <w:pPr>
              <w:pStyle w:val="Normal"/>
              <w:bidi w:val="0"/>
              <w:jc w:val="left"/>
              <w:rPr/>
            </w:pPr>
            <w:r>
              <w:rPr/>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5" w:type="dxa"/>
            <w:tcBorders>
              <w:bottom w:val="single" w:sz="6" w:space="0" w:color="000000"/>
            </w:tcBorders>
            <w:tcMar>
              <w:bottom w:w="28" w:type="dxa"/>
            </w:tcMar>
            <w:vAlign w:val="center"/>
          </w:tcPr>
          <w:p>
            <w:pPr>
              <w:pStyle w:val="TableContents"/>
              <w:bidi w:val="0"/>
              <w:spacing w:before="0" w:after="0"/>
              <w:jc w:val="center"/>
              <w:rPr>
                <w:rFonts w:ascii="arial" w:hAnsi="arial"/>
                <w:color w:val="0171B9"/>
                <w:sz w:val="18"/>
              </w:rPr>
            </w:pPr>
            <w:r>
              <w:rPr>
                <w:rFonts w:ascii="arial" w:hAnsi="arial"/>
                <w:color w:val="0171B9"/>
                <w:sz w:val="18"/>
              </w:rPr>
              <w:t>(15.2% actual)</w:t>
            </w:r>
          </w:p>
          <w:p>
            <w:pPr>
              <w:pStyle w:val="TableContents"/>
              <w:bidi w:val="0"/>
              <w:spacing w:before="0" w:after="2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9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9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4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vMerge w:val="continue"/>
            <w:tcBorders>
              <w:left w:val="single" w:sz="6" w:space="0" w:color="000000"/>
            </w:tcBorders>
            <w:shd w:fill="D8E9F4" w:val="clear"/>
            <w:tcMar>
              <w:left w:w="28" w:type="dxa"/>
            </w:tcMar>
            <w:vAlign w:val="center"/>
          </w:tcPr>
          <w:p>
            <w:pPr>
              <w:pStyle w:val="Normal"/>
              <w:bidi w:val="0"/>
              <w:jc w:val="left"/>
              <w:rPr/>
            </w:pPr>
            <w:r>
              <w:rPr/>
            </w:r>
          </w:p>
        </w:tc>
        <w:tc>
          <w:tcPr>
            <w:tcW w:w="1040" w:type="dxa"/>
            <w:vMerge w:val="continue"/>
            <w:tcBorders>
              <w:right w:val="single" w:sz="6" w:space="0" w:color="000000"/>
            </w:tcBorders>
            <w:shd w:fill="D8E9F4" w:val="clear"/>
            <w:tcMar>
              <w:right w:w="40" w:type="dxa"/>
            </w:tcMar>
            <w:vAlign w:val="center"/>
          </w:tcPr>
          <w:p>
            <w:pPr>
              <w:pStyle w:val="Normal"/>
              <w:bidi w:val="0"/>
              <w:jc w:val="left"/>
              <w:rPr/>
            </w:pPr>
            <w:r>
              <w:rPr/>
            </w:r>
          </w:p>
        </w:tc>
      </w:tr>
      <w:tr>
        <w:trPr/>
        <w:tc>
          <w:tcPr>
            <w:tcW w:w="860" w:type="dxa"/>
            <w:vMerge w:val="restart"/>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1250" w:type="dxa"/>
            <w:vMerge w:val="restart"/>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45" w:type="dxa"/>
            <w:gridSpan w:val="21"/>
            <w:tcBorders/>
            <w:vAlign w:val="center"/>
          </w:tcPr>
          <w:p>
            <w:pPr>
              <w:pStyle w:val="TableContents"/>
              <w:bidi w:val="0"/>
              <w:spacing w:before="0" w:after="0"/>
              <w:jc w:val="left"/>
              <w:rPr/>
            </w:pPr>
            <w:r>
              <w:rPr/>
              <w:t> </w:t>
            </w:r>
          </w:p>
          <w:p>
            <w:pPr>
              <w:pStyle w:val="TableContents"/>
              <w:bidi w:val="0"/>
              <w:spacing w:before="0" w:after="20"/>
              <w:jc w:val="right"/>
              <w:rPr/>
            </w:pPr>
            <w:r>
              <w:rPr/>
              <w:t xml:space="preserve">  </w:t>
            </w:r>
            <w:r>
              <w:rPr/>
              <w:drawing>
                <wp:inline distT="0" distB="0" distL="0" distR="0">
                  <wp:extent cx="215900" cy="24765"/>
                  <wp:effectExtent l="0" t="0" r="0" b="0"/>
                  <wp:docPr id="221"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09" descr=""/>
                          <pic:cNvPicPr>
                            <a:picLocks noChangeAspect="1" noChangeArrowheads="1"/>
                          </pic:cNvPicPr>
                        </pic:nvPicPr>
                        <pic:blipFill>
                          <a:blip r:embed="rId118"/>
                          <a:stretch>
                            <a:fillRect/>
                          </a:stretch>
                        </pic:blipFill>
                        <pic:spPr bwMode="auto">
                          <a:xfrm>
                            <a:off x="0" y="0"/>
                            <a:ext cx="215900" cy="24765"/>
                          </a:xfrm>
                          <a:prstGeom prst="rect">
                            <a:avLst/>
                          </a:prstGeom>
                        </pic:spPr>
                      </pic:pic>
                    </a:graphicData>
                  </a:graphic>
                </wp:inline>
              </w:drawing>
            </w:r>
            <w:r>
              <w:rPr/>
              <w:t xml:space="preserve"> </w:t>
            </w:r>
          </w:p>
        </w:tc>
        <w:tc>
          <w:tcPr>
            <w:tcW w:w="60" w:type="dxa"/>
            <w:tcBorders>
              <w:top w:val="single" w:sz="6" w:space="0" w:color="000000"/>
              <w:left w:val="single" w:sz="6" w:space="0" w:color="000000"/>
              <w:bottom w:val="single" w:sz="6" w:space="0" w:color="000000"/>
            </w:tcBorders>
            <w:shd w:fill="0171B9" w:val="clear"/>
            <w:tcMar>
              <w:top w:w="28" w:type="dxa"/>
              <w:left w:w="28" w:type="dxa"/>
              <w:bottom w:w="28" w:type="dxa"/>
            </w:tcMar>
            <w:vAlign w:val="center"/>
          </w:tcPr>
          <w:p>
            <w:pPr>
              <w:pStyle w:val="TableContents"/>
              <w:bidi w:val="0"/>
              <w:spacing w:before="0" w:after="283"/>
              <w:jc w:val="left"/>
              <w:rPr/>
            </w:pPr>
            <w:r>
              <w:rPr/>
              <w:t> </w:t>
            </w:r>
          </w:p>
        </w:tc>
        <w:tc>
          <w:tcPr>
            <w:tcW w:w="1040" w:type="dxa"/>
            <w:tcBorders>
              <w:top w:val="single" w:sz="6" w:space="0" w:color="000000"/>
              <w:bottom w:val="single" w:sz="6" w:space="0" w:color="000000"/>
              <w:right w:val="single" w:sz="6" w:space="0" w:color="000000"/>
            </w:tcBorders>
            <w:shd w:fill="0171B9" w:val="clear"/>
            <w:tcMar>
              <w:top w:w="28" w:type="dxa"/>
              <w:bottom w:w="28" w:type="dxa"/>
              <w:right w:w="40" w:type="dxa"/>
            </w:tcMar>
            <w:vAlign w:val="center"/>
          </w:tcPr>
          <w:p>
            <w:pPr>
              <w:pStyle w:val="TableContents"/>
              <w:bidi w:val="0"/>
              <w:spacing w:before="0" w:after="20"/>
              <w:jc w:val="center"/>
              <w:rPr>
                <w:rFonts w:ascii="arial" w:hAnsi="arial"/>
                <w:b/>
                <w:color w:val="FFFFFF"/>
                <w:sz w:val="18"/>
              </w:rPr>
            </w:pPr>
            <w:r>
              <w:rPr>
                <w:rFonts w:ascii="arial" w:hAnsi="arial"/>
                <w:b/>
                <w:color w:val="FFFFFF"/>
                <w:sz w:val="18"/>
              </w:rPr>
              <w:t>66.4%</w:t>
            </w:r>
          </w:p>
        </w:tc>
      </w:tr>
      <w:tr>
        <w:trPr/>
        <w:tc>
          <w:tcPr>
            <w:tcW w:w="8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7810500" cy="4057650"/>
            <wp:effectExtent l="0" t="0" r="0" b="0"/>
            <wp:docPr id="222"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10" descr=""/>
                    <pic:cNvPicPr>
                      <a:picLocks noChangeAspect="1" noChangeArrowheads="1"/>
                    </pic:cNvPicPr>
                  </pic:nvPicPr>
                  <pic:blipFill>
                    <a:blip r:embed="rId119"/>
                    <a:stretch>
                      <a:fillRect/>
                    </a:stretch>
                  </pic:blipFill>
                  <pic:spPr bwMode="auto">
                    <a:xfrm>
                      <a:off x="0" y="0"/>
                      <a:ext cx="7810500" cy="4057650"/>
                    </a:xfrm>
                    <a:prstGeom prst="rect">
                      <a:avLst/>
                    </a:prstGeom>
                  </pic:spPr>
                </pic:pic>
              </a:graphicData>
            </a:graphic>
          </wp:inline>
        </w:drawing>
      </w:r>
      <w:r>
        <w:rPr/>
        <w:t xml:space="preserve"> </w:t>
      </w:r>
    </w:p>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(1) </w:t>
            </w:r>
          </w:p>
        </w:tc>
        <w:tc>
          <w:tcPr>
            <w:tcW w:w="9948" w:type="dxa"/>
            <w:tcBorders/>
            <w:vAlign w:val="center"/>
          </w:tcPr>
          <w:p>
            <w:pPr>
              <w:pStyle w:val="TableContents"/>
              <w:bidi w:val="0"/>
              <w:spacing w:before="0" w:after="0"/>
              <w:jc w:val="both"/>
              <w:rPr>
                <w:rFonts w:ascii="arial" w:hAnsi="arial"/>
                <w:sz w:val="14"/>
              </w:rPr>
            </w:pPr>
            <w:r>
              <w:rPr>
                <w:rFonts w:ascii="arial" w:hAnsi="arial"/>
                <w:sz w:val="14"/>
              </w:rPr>
              <w:t xml:space="preserve">The non-GAAP operating measures (EPS growth and return on invested capital, or ROIC) with respect to the 2021–2023 performance period are as reported and reconciled in </w:t>
            </w:r>
            <w:r>
              <w:rPr>
                <w:rFonts w:ascii="arial" w:hAnsi="arial"/>
                <w:b/>
                <w:sz w:val="14"/>
              </w:rPr>
              <w:t>Appendix B</w:t>
            </w:r>
            <w:r>
              <w:rPr>
                <w:rFonts w:ascii="arial" w:hAnsi="arial"/>
                <w:sz w:val="14"/>
              </w:rPr>
              <w:t xml:space="preserve">, except that operating measures for 2023 performance were further adjusted to exclude the impact of direct on-going revenues and expenses, including interest expense from acquisition-related debt, from the acquisitions of TeneoBio, Inc., ChemoCentryx, Inc. and Horizon Therapeutics plc, as prescribed by the 2021-2023 performance goals document when it was established in March 2021. For this purpose, non-GAAP net income was increased by $96 million, or $0.18 per share, and ROIC was decreased by 0.5%. </w:t>
            </w:r>
          </w:p>
        </w:tc>
      </w:tr>
    </w:tbl>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283"/>
              <w:jc w:val="left"/>
              <w:rPr/>
            </w:pPr>
            <w:r>
              <w:rPr/>
              <w:t>(2) </w:t>
            </w:r>
          </w:p>
        </w:tc>
        <w:tc>
          <w:tcPr>
            <w:tcW w:w="9891" w:type="dxa"/>
            <w:tcBorders/>
            <w:vAlign w:val="center"/>
          </w:tcPr>
          <w:p>
            <w:pPr>
              <w:pStyle w:val="TableContents"/>
              <w:bidi w:val="0"/>
              <w:spacing w:before="0" w:after="0"/>
              <w:jc w:val="both"/>
              <w:rPr>
                <w:rFonts w:ascii="arial" w:hAnsi="arial"/>
                <w:sz w:val="14"/>
              </w:rPr>
            </w:pPr>
            <w:r>
              <w:rPr>
                <w:rFonts w:ascii="arial" w:hAnsi="arial"/>
                <w:sz w:val="14"/>
              </w:rPr>
              <w:t xml:space="preserve">Our targets for 2021 and 2022 performance were disclosed under the 2021–2023 Performance Goals in our 2022 Proxy Statement filed with the SEC on April 5, 2022 and our 2023 Proxy Statement filed with the SEC on April 6, 2023, respectively. </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(3) </w:t>
            </w:r>
          </w:p>
        </w:tc>
        <w:tc>
          <w:tcPr>
            <w:tcW w:w="9927" w:type="dxa"/>
            <w:tcBorders/>
            <w:vAlign w:val="center"/>
          </w:tcPr>
          <w:p>
            <w:pPr>
              <w:pStyle w:val="TableContents"/>
              <w:bidi w:val="0"/>
              <w:spacing w:before="0" w:after="0"/>
              <w:jc w:val="both"/>
              <w:rPr>
                <w:rFonts w:ascii="arial" w:hAnsi="arial"/>
                <w:sz w:val="14"/>
              </w:rPr>
            </w:pPr>
            <w:r>
              <w:rPr>
                <w:rFonts w:ascii="arial" w:hAnsi="arial"/>
                <w:sz w:val="14"/>
              </w:rPr>
              <w:t xml:space="preserve">ROIC includes cash in invested capital to better align with our strategic priority of “Innovative Medicines” (which contemplates pursuit of innovation both internally and externally) by removing certain potential disincentives for acquisitions that could yield innovative medicines and drive shareholder value. For 2023, our ROIC score was negatively impacted by the additional debt required to acquire Horizon Therapeutics. </w:t>
            </w:r>
          </w:p>
        </w:tc>
      </w:tr>
    </w:tbl>
    <w:tbl>
      <w:tblPr>
        <w:tblW w:w="10205" w:type="dxa"/>
        <w:jc w:val="left"/>
        <w:tblInd w:w="0" w:type="dxa"/>
        <w:tblLayout w:type="fixed"/>
        <w:tblCellMar>
          <w:top w:w="0" w:type="dxa"/>
          <w:left w:w="0" w:type="dxa"/>
          <w:bottom w:w="0" w:type="dxa"/>
          <w:right w:w="0" w:type="dxa"/>
        </w:tblCellMar>
      </w:tblPr>
      <w:tblGrid>
        <w:gridCol w:w="350"/>
        <w:gridCol w:w="9855"/>
      </w:tblGrid>
      <w:tr>
        <w:trPr/>
        <w:tc>
          <w:tcPr>
            <w:tcW w:w="350" w:type="dxa"/>
            <w:tcBorders/>
            <w:vAlign w:val="center"/>
          </w:tcPr>
          <w:p>
            <w:pPr>
              <w:pStyle w:val="TableContents"/>
              <w:bidi w:val="0"/>
              <w:spacing w:before="0" w:after="283"/>
              <w:jc w:val="left"/>
              <w:rPr/>
            </w:pPr>
            <w:r>
              <w:rPr/>
              <w:t>(4) </w:t>
            </w:r>
          </w:p>
        </w:tc>
        <w:tc>
          <w:tcPr>
            <w:tcW w:w="9855" w:type="dxa"/>
            <w:tcBorders/>
            <w:vAlign w:val="center"/>
          </w:tcPr>
          <w:p>
            <w:pPr>
              <w:pStyle w:val="TableContents"/>
              <w:bidi w:val="0"/>
              <w:spacing w:before="0" w:after="0"/>
              <w:jc w:val="both"/>
              <w:rPr>
                <w:rFonts w:ascii="arial" w:hAnsi="arial"/>
                <w:sz w:val="14"/>
              </w:rPr>
            </w:pPr>
            <w:r>
              <w:rPr>
                <w:rFonts w:ascii="arial" w:hAnsi="arial"/>
                <w:sz w:val="14"/>
              </w:rPr>
              <w:t xml:space="preserve">TSR Measurement Points = average daily closing price of stock for the first 20 trading days beginning on the grant date and the last 20 trading days of the performance period. </w:t>
            </w:r>
          </w:p>
        </w:tc>
      </w:tr>
    </w:tbl>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223"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11" descr=""/>
                    <pic:cNvPicPr>
                      <a:picLocks noChangeAspect="1" noChangeArrowheads="1"/>
                    </pic:cNvPicPr>
                  </pic:nvPicPr>
                  <pic:blipFill>
                    <a:blip r:embed="rId120"/>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59</w:t>
      </w:r>
      <w:r>
        <w:rPr>
          <w:rFonts w:ascii="arial" w:hAnsi="arial"/>
          <w:b/>
          <w:sz w:val="22"/>
        </w:rPr>
        <w:t xml:space="preserve"> </w:t>
      </w:r>
      <w:r>
        <w:br w:type="page"/>
      </w:r>
    </w:p>
    <w:p>
      <w:pPr>
        <w:pStyle w:val="HorizontalLine"/>
        <w:bidi w:val="0"/>
        <w:jc w:val="left"/>
        <w:rPr/>
      </w:pPr>
      <w:r>
        <w:rPr/>
      </w:r>
    </w:p>
    <w:tbl>
      <w:tblPr>
        <w:tblW w:w="507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45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459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Compensation Discussion and Analysis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171B9"/>
          <w:sz w:val="28"/>
        </w:rPr>
      </w:pPr>
      <w:bookmarkStart w:id="44" w:name="toc445034_35"/>
      <w:bookmarkStart w:id="45" w:name="txa445034_106"/>
      <w:bookmarkEnd w:id="44"/>
      <w:bookmarkEnd w:id="45"/>
      <w:r>
        <w:rPr>
          <w:rFonts w:ascii="arial" w:hAnsi="arial"/>
          <w:b/>
          <w:color w:val="0171B9"/>
          <w:sz w:val="28"/>
        </w:rPr>
        <w:t xml:space="preserve">Long-Term Incentive Equity Award Design in 2023 </w:t>
      </w:r>
    </w:p>
    <w:p>
      <w:pPr>
        <w:pStyle w:val="TextBody"/>
        <w:pBdr>
          <w:bottom w:val="single" w:sz="2" w:space="1" w:color="666666"/>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46">
                <wp:simplePos x="0" y="0"/>
                <wp:positionH relativeFrom="column">
                  <wp:align>left</wp:align>
                </wp:positionH>
                <wp:positionV relativeFrom="line">
                  <wp:posOffset>635</wp:posOffset>
                </wp:positionV>
                <wp:extent cx="3110230" cy="2076450"/>
                <wp:effectExtent l="0" t="0" r="0" b="0"/>
                <wp:wrapSquare wrapText="right"/>
                <wp:docPr id="224" name="Frame105"/>
                <a:graphic xmlns:a="http://schemas.openxmlformats.org/drawingml/2006/main">
                  <a:graphicData uri="http://schemas.microsoft.com/office/word/2010/wordprocessingShape">
                    <wps:wsp>
                      <wps:cNvSpPr txBox="1"/>
                      <wps:spPr>
                        <a:xfrm>
                          <a:off x="0" y="0"/>
                          <a:ext cx="3110230" cy="207645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In December 2022 and March 2023, the Compensation Committee reviewed, evaluated, and established a performance award goal design for the 2023-2025 performance period (January 1, 2023 to December 31, 2025) with input from management and FW Cook, to reflect stockholder discussions and continue to drive operating performance and financial discipline. For the 2023-2025 performance period, the Compensation Committee retained the same performance award goal design as that of the 2022-2024 performance period with the non-GAAP operating measures of EPS and ROIC weighted equally in each year measured against targets and goals pre-established at the beginning of the three-year performance period for each year of the performance period. The Compensation Committee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63.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In December 2022 and March 2023, the Compensation Committee reviewed, evaluated, and established a performance award goal design for the 2023-2025 performance period (January 1, 2023 to December 31, 2025) with input from management and FW Cook, to reflect stockholder discussions and continue to drive operating performance and financial discipline. For the 2023-2025 performance period, the Compensation Committee retained the same performance award goal design as that of the 2022-2024 performance period with the non-GAAP operating measures of EPS and ROIC weighted equally in each year measured against targets and goals pre-established at the beginning of the three-year performance period for each year of the performance period. The Compensation Committee </w:t>
                      </w:r>
                    </w:p>
                  </w:txbxContent>
                </v:textbox>
                <w10:wrap type="square" side="right"/>
              </v:rect>
            </w:pict>
          </mc:Fallback>
        </mc:AlternateContent>
      </w:r>
      <w:r>
        <mc:AlternateContent>
          <mc:Choice Requires="wps">
            <w:drawing>
              <wp:anchor behindDoc="0" distT="0" distB="0" distL="0" distR="0" simplePos="0" locked="0" layoutInCell="1" allowOverlap="1" relativeHeight="347">
                <wp:simplePos x="0" y="0"/>
                <wp:positionH relativeFrom="column">
                  <wp:align>left</wp:align>
                </wp:positionH>
                <wp:positionV relativeFrom="line">
                  <wp:posOffset>635</wp:posOffset>
                </wp:positionV>
                <wp:extent cx="3175000" cy="2076450"/>
                <wp:effectExtent l="0" t="0" r="0" b="0"/>
                <wp:wrapSquare wrapText="right"/>
                <wp:docPr id="225" name="Frame106"/>
                <a:graphic xmlns:a="http://schemas.openxmlformats.org/drawingml/2006/main">
                  <a:graphicData uri="http://schemas.microsoft.com/office/word/2010/wordprocessingShape">
                    <wps:wsp>
                      <wps:cNvSpPr txBox="1"/>
                      <wps:spPr>
                        <a:xfrm>
                          <a:off x="0" y="0"/>
                          <a:ext cx="3175000" cy="207645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selected non-GAAP EPS to drive delivery of value to stockholders and ROIC to reflect our ongoing focus on remaining operationally disciplined in our management of our capital. The Compensation Committee also retained the TSR modifier of </w:t>
                            </w:r>
                            <w:r>
                              <w:rPr>
                                <w:rFonts w:ascii="arial" w:hAnsi="arial"/>
                                <w:b/>
                                <w:sz w:val="19"/>
                              </w:rPr>
                              <w:t>+</w:t>
                            </w:r>
                            <w:r>
                              <w:rPr>
                                <w:rFonts w:ascii="arial" w:hAnsi="arial"/>
                                <w:sz w:val="19"/>
                              </w:rPr>
                              <w:t>/-30 percentage points and the requirement that the TSR modifier cannot exceed target (100%) regardless of our relative TSR performance if our absolute TSR over the performance period is less than zero. This requirement ensures a stronger tie to stockholders’ interests and investment experience in a challenging market. A detailed depiction of the 2023-2025 performance period goal design can be found in “Elements of Compensation and Specific Compensation Decisions—</w:t>
                            </w:r>
                            <w:r>
                              <w:rPr>
                                <w:rFonts w:ascii="arial" w:hAnsi="arial"/>
                                <w:i/>
                                <w:sz w:val="19"/>
                              </w:rPr>
                              <w:t>2023-2025 Performance Period Goal Design and Award Calculation.</w:t>
                            </w:r>
                            <w:r>
                              <w:rPr>
                                <w:rFonts w:ascii="arial" w:hAnsi="arial"/>
                                <w:sz w:val="19"/>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63.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selected non-GAAP EPS to drive delivery of value to stockholders and ROIC to reflect our ongoing focus on remaining operationally disciplined in our management of our capital. The Compensation Committee also retained the TSR modifier of </w:t>
                      </w:r>
                      <w:r>
                        <w:rPr>
                          <w:rFonts w:ascii="arial" w:hAnsi="arial"/>
                          <w:b/>
                          <w:sz w:val="19"/>
                        </w:rPr>
                        <w:t>+</w:t>
                      </w:r>
                      <w:r>
                        <w:rPr>
                          <w:rFonts w:ascii="arial" w:hAnsi="arial"/>
                          <w:sz w:val="19"/>
                        </w:rPr>
                        <w:t>/-30 percentage points and the requirement that the TSR modifier cannot exceed target (100%) regardless of our relative TSR performance if our absolute TSR over the performance period is less than zero. This requirement ensures a stronger tie to stockholders’ interests and investment experience in a challenging market. A detailed depiction of the 2023-2025 performance period goal design can be found in “Elements of Compensation and Specific Compensation Decisions—</w:t>
                      </w:r>
                      <w:r>
                        <w:rPr>
                          <w:rFonts w:ascii="arial" w:hAnsi="arial"/>
                          <w:i/>
                          <w:sz w:val="19"/>
                        </w:rPr>
                        <w:t>2023-2025 Performance Period Goal Design and Award Calculation.</w:t>
                      </w:r>
                      <w:r>
                        <w:rPr>
                          <w:rFonts w:ascii="arial" w:hAnsi="arial"/>
                          <w:sz w:val="19"/>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b/>
          <w:color w:val="0171B9"/>
          <w:sz w:val="28"/>
        </w:rPr>
      </w:pPr>
      <w:bookmarkStart w:id="46" w:name="toc445034_36"/>
      <w:bookmarkStart w:id="47" w:name="txa445034_107"/>
      <w:bookmarkEnd w:id="46"/>
      <w:bookmarkEnd w:id="47"/>
      <w:r>
        <w:rPr>
          <w:rFonts w:ascii="arial" w:hAnsi="arial"/>
          <w:b/>
          <w:color w:val="0171B9"/>
          <w:sz w:val="28"/>
        </w:rPr>
        <w:t xml:space="preserve">Positive 2023 Say on Pay Vote Outcome and Responses to 2023 Stockholder Input </w:t>
      </w:r>
    </w:p>
    <w:p>
      <w:pPr>
        <w:pStyle w:val="TextBody"/>
        <w:pBdr>
          <w:bottom w:val="single" w:sz="2" w:space="1" w:color="666666"/>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48">
                <wp:simplePos x="0" y="0"/>
                <wp:positionH relativeFrom="column">
                  <wp:align>left</wp:align>
                </wp:positionH>
                <wp:positionV relativeFrom="line">
                  <wp:posOffset>635</wp:posOffset>
                </wp:positionV>
                <wp:extent cx="3110230" cy="1245870"/>
                <wp:effectExtent l="0" t="0" r="0" b="0"/>
                <wp:wrapSquare wrapText="right"/>
                <wp:docPr id="226" name="Frame107"/>
                <a:graphic xmlns:a="http://schemas.openxmlformats.org/drawingml/2006/main">
                  <a:graphicData uri="http://schemas.microsoft.com/office/word/2010/wordprocessingShape">
                    <wps:wsp>
                      <wps:cNvSpPr txBox="1"/>
                      <wps:spPr>
                        <a:xfrm>
                          <a:off x="0" y="0"/>
                          <a:ext cx="3110230" cy="124587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In 2023, we received 93% stockholder support on our say on pay advisory vote. Our directors and management recognize the benefits of robust dialogue with our stockholders and we have engaged consistently in broad, direct, governance-focused stockholder outreach since 2011. Consistent with prior years’ practices, since our 2023 annual meeting of stockholders, we have engaged in governance-focused outreach activities and discussions with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98.1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In 2023, we received 93% stockholder support on our say on pay advisory vote. Our directors and management recognize the benefits of robust dialogue with our stockholders and we have engaged consistently in broad, direct, governance-focused stockholder outreach since 2011. Consistent with prior years’ practices, since our 2023 annual meeting of stockholders, we have engaged in governance-focused outreach activities and discussions with </w:t>
                      </w:r>
                    </w:p>
                  </w:txbxContent>
                </v:textbox>
                <w10:wrap type="square" side="right"/>
              </v:rect>
            </w:pict>
          </mc:Fallback>
        </mc:AlternateContent>
      </w:r>
      <w:r>
        <mc:AlternateContent>
          <mc:Choice Requires="wps">
            <w:drawing>
              <wp:anchor behindDoc="0" distT="0" distB="0" distL="0" distR="0" simplePos="0" locked="0" layoutInCell="1" allowOverlap="1" relativeHeight="349">
                <wp:simplePos x="0" y="0"/>
                <wp:positionH relativeFrom="column">
                  <wp:align>left</wp:align>
                </wp:positionH>
                <wp:positionV relativeFrom="line">
                  <wp:posOffset>635</wp:posOffset>
                </wp:positionV>
                <wp:extent cx="3175000" cy="1045210"/>
                <wp:effectExtent l="0" t="0" r="0" b="0"/>
                <wp:wrapSquare wrapText="right"/>
                <wp:docPr id="227" name="Frame108"/>
                <a:graphic xmlns:a="http://schemas.openxmlformats.org/drawingml/2006/main">
                  <a:graphicData uri="http://schemas.microsoft.com/office/word/2010/wordprocessingShape">
                    <wps:wsp>
                      <wps:cNvSpPr txBox="1"/>
                      <wps:spPr>
                        <a:xfrm>
                          <a:off x="0" y="0"/>
                          <a:ext cx="3175000" cy="104521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stockholders comprising approximately 51% of our outstanding shares. </w:t>
                            </w:r>
                          </w:p>
                          <w:p>
                            <w:pPr>
                              <w:pStyle w:val="TextBody"/>
                              <w:bidi w:val="0"/>
                              <w:spacing w:before="120" w:after="0"/>
                              <w:jc w:val="both"/>
                              <w:rPr>
                                <w:rFonts w:ascii="arial" w:hAnsi="arial"/>
                                <w:sz w:val="19"/>
                              </w:rPr>
                            </w:pPr>
                            <w:r>
                              <w:rPr>
                                <w:rFonts w:ascii="arial" w:hAnsi="arial"/>
                                <w:sz w:val="19"/>
                              </w:rPr>
                              <w:t xml:space="preserve">We will continue to solicit the perspectives of our investors and share such perspectives with our Board. Among other topics, we invite dialogue with our stockholders regarding compensation best practices and policies to help inform our compensation program review process.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82.3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stockholders comprising approximately 51% of our outstanding shares. </w:t>
                      </w:r>
                    </w:p>
                    <w:p>
                      <w:pPr>
                        <w:pStyle w:val="TextBody"/>
                        <w:bidi w:val="0"/>
                        <w:spacing w:before="120" w:after="0"/>
                        <w:jc w:val="both"/>
                        <w:rPr>
                          <w:rFonts w:ascii="arial" w:hAnsi="arial"/>
                          <w:sz w:val="19"/>
                        </w:rPr>
                      </w:pPr>
                      <w:r>
                        <w:rPr>
                          <w:rFonts w:ascii="arial" w:hAnsi="arial"/>
                          <w:sz w:val="19"/>
                        </w:rPr>
                        <w:t xml:space="preserve">We will continue to solicit the perspectives of our investors and share such perspectives with our Board. Among other topics, we invite dialogue with our stockholders regarding compensation best practices and policies to help inform our compensation program review process.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center"/>
        <w:rPr/>
      </w:pPr>
      <w:r>
        <w:rPr/>
        <w:drawing>
          <wp:inline distT="0" distB="0" distL="0" distR="0">
            <wp:extent cx="6257925" cy="2457450"/>
            <wp:effectExtent l="0" t="0" r="0" b="0"/>
            <wp:docPr id="228"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12" descr=""/>
                    <pic:cNvPicPr>
                      <a:picLocks noChangeAspect="1" noChangeArrowheads="1"/>
                    </pic:cNvPicPr>
                  </pic:nvPicPr>
                  <pic:blipFill>
                    <a:blip r:embed="rId121"/>
                    <a:stretch>
                      <a:fillRect/>
                    </a:stretch>
                  </pic:blipFill>
                  <pic:spPr bwMode="auto">
                    <a:xfrm>
                      <a:off x="0" y="0"/>
                      <a:ext cx="6257925" cy="2457450"/>
                    </a:xfrm>
                    <a:prstGeom prst="rect">
                      <a:avLst/>
                    </a:prstGeom>
                  </pic:spPr>
                </pic:pic>
              </a:graphicData>
            </a:graphic>
          </wp:inline>
        </w:drawing>
      </w:r>
      <w:r>
        <w:rPr/>
        <w:t xml:space="preserve"> </w:t>
      </w:r>
    </w:p>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341"/>
        <w:gridCol w:w="9864"/>
      </w:tblGrid>
      <w:tr>
        <w:trPr/>
        <w:tc>
          <w:tcPr>
            <w:tcW w:w="341" w:type="dxa"/>
            <w:tcBorders/>
            <w:vAlign w:val="center"/>
          </w:tcPr>
          <w:p>
            <w:pPr>
              <w:pStyle w:val="TableContents"/>
              <w:bidi w:val="0"/>
              <w:spacing w:before="0" w:after="283"/>
              <w:jc w:val="left"/>
              <w:rPr/>
            </w:pPr>
            <w:r>
              <w:rPr/>
              <w:t>(1) </w:t>
            </w:r>
          </w:p>
        </w:tc>
        <w:tc>
          <w:tcPr>
            <w:tcW w:w="9864" w:type="dxa"/>
            <w:tcBorders/>
            <w:vAlign w:val="center"/>
          </w:tcPr>
          <w:p>
            <w:pPr>
              <w:pStyle w:val="TableContents"/>
              <w:bidi w:val="0"/>
              <w:spacing w:before="0" w:after="0"/>
              <w:jc w:val="both"/>
              <w:rPr>
                <w:rFonts w:ascii="arial" w:hAnsi="arial"/>
                <w:sz w:val="16"/>
              </w:rPr>
            </w:pPr>
            <w:r>
              <w:rPr>
                <w:rFonts w:ascii="arial" w:hAnsi="arial"/>
                <w:sz w:val="16"/>
              </w:rPr>
              <w:t xml:space="preserve">Reference to our website is not intended to function as a hyperlink and the information contained on our website is not intended to be part of this proxy statement. </w:t>
            </w:r>
          </w:p>
        </w:tc>
      </w:tr>
    </w:tbl>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60  </w:t>
      </w:r>
      <w:r>
        <w:rPr>
          <w:rFonts w:ascii="arial" w:hAnsi="arial"/>
          <w:b/>
          <w:color w:val="474747"/>
          <w:sz w:val="22"/>
        </w:rPr>
        <w:drawing>
          <wp:inline distT="0" distB="0" distL="0" distR="0">
            <wp:extent cx="64770" cy="15240"/>
            <wp:effectExtent l="0" t="0" r="0" b="0"/>
            <wp:docPr id="229"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13" descr=""/>
                    <pic:cNvPicPr>
                      <a:picLocks noChangeAspect="1" noChangeArrowheads="1"/>
                    </pic:cNvPicPr>
                  </pic:nvPicPr>
                  <pic:blipFill>
                    <a:blip r:embed="rId122"/>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507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45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459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Compensation Discussion and Analysis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sz w:val="22"/>
        </w:rPr>
      </w:pPr>
      <w:r>
        <w:rPr>
          <w:rFonts w:ascii="arial" w:hAnsi="arial"/>
          <w:b/>
          <w:sz w:val="22"/>
        </w:rPr>
        <w:t xml:space="preserve">Feedback From Our Stockholders and Responsive Actions Taken by Our Board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50">
                <wp:simplePos x="0" y="0"/>
                <wp:positionH relativeFrom="column">
                  <wp:align>left</wp:align>
                </wp:positionH>
                <wp:positionV relativeFrom="line">
                  <wp:posOffset>635</wp:posOffset>
                </wp:positionV>
                <wp:extent cx="3110230" cy="692150"/>
                <wp:effectExtent l="0" t="0" r="0" b="0"/>
                <wp:wrapSquare wrapText="right"/>
                <wp:docPr id="230" name="Frame109"/>
                <a:graphic xmlns:a="http://schemas.openxmlformats.org/drawingml/2006/main">
                  <a:graphicData uri="http://schemas.microsoft.com/office/word/2010/wordprocessingShape">
                    <wps:wsp>
                      <wps:cNvSpPr txBox="1"/>
                      <wps:spPr>
                        <a:xfrm>
                          <a:off x="0" y="0"/>
                          <a:ext cx="3110230" cy="69215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In 2023, stockholder engagement included discussion of questions related to our ESG and patenting activities. The predominant feedback from investors with respect to our compensation and governance practices was that they are satisfied with our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4.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In 2023, stockholder engagement included discussion of questions related to our ESG and patenting activities. The predominant feedback from investors with respect to our compensation and governance practices was that they are satisfied with our </w:t>
                      </w:r>
                    </w:p>
                  </w:txbxContent>
                </v:textbox>
                <w10:wrap type="square" side="right"/>
              </v:rect>
            </w:pict>
          </mc:Fallback>
        </mc:AlternateContent>
      </w:r>
      <w:r>
        <mc:AlternateContent>
          <mc:Choice Requires="wps">
            <w:drawing>
              <wp:anchor behindDoc="0" distT="0" distB="0" distL="0" distR="0" simplePos="0" locked="0" layoutInCell="1" allowOverlap="1" relativeHeight="351">
                <wp:simplePos x="0" y="0"/>
                <wp:positionH relativeFrom="column">
                  <wp:align>left</wp:align>
                </wp:positionH>
                <wp:positionV relativeFrom="line">
                  <wp:posOffset>635</wp:posOffset>
                </wp:positionV>
                <wp:extent cx="3175000" cy="553720"/>
                <wp:effectExtent l="0" t="0" r="0" b="0"/>
                <wp:wrapSquare wrapText="right"/>
                <wp:docPr id="231" name="Frame110"/>
                <a:graphic xmlns:a="http://schemas.openxmlformats.org/drawingml/2006/main">
                  <a:graphicData uri="http://schemas.microsoft.com/office/word/2010/wordprocessingShape">
                    <wps:wsp>
                      <wps:cNvSpPr txBox="1"/>
                      <wps:spPr>
                        <a:xfrm>
                          <a:off x="0" y="0"/>
                          <a:ext cx="3175000" cy="55372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compensation program and governance practices. Stockholder feedback is shared with our Board. We will continue to engage with our stockholders to be sure we understand and address any concerns.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3.6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compensation program and governance practices. Stockholder feedback is shared with our Board. We will continue to engage with our stockholders to be sure we understand and address any concerns. </w:t>
                      </w:r>
                    </w:p>
                  </w:txbxContent>
                </v:textbox>
                <w10:wrap type="square" side="right"/>
              </v:rect>
            </w:pict>
          </mc:Fallback>
        </mc:AlternateConten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60"/>
        <w:gridCol w:w="5724"/>
        <w:gridCol w:w="120"/>
        <w:gridCol w:w="202"/>
        <w:gridCol w:w="60"/>
        <w:gridCol w:w="3764"/>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64" w:type="dxa"/>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top w:val="single" w:sz="6" w:space="0" w:color="0171B9"/>
              <w:left w:val="single" w:sz="6" w:space="0" w:color="0171B9"/>
              <w:right w:val="single" w:sz="6" w:space="0" w:color="0171B9"/>
            </w:tcBorders>
            <w:tcMar>
              <w:top w:w="28" w:type="dxa"/>
              <w:left w:w="160" w:type="dxa"/>
              <w:right w:w="40" w:type="dxa"/>
            </w:tcMar>
            <w:vAlign w:val="center"/>
          </w:tcPr>
          <w:p>
            <w:pPr>
              <w:pStyle w:val="TableContents"/>
              <w:bidi w:val="0"/>
              <w:spacing w:before="0" w:after="0"/>
              <w:jc w:val="center"/>
              <w:rPr>
                <w:rFonts w:ascii="arial" w:hAnsi="arial"/>
                <w:b/>
                <w:color w:val="0171B9"/>
                <w:sz w:val="22"/>
              </w:rPr>
            </w:pPr>
            <w:r>
              <w:rPr>
                <w:rFonts w:ascii="arial" w:hAnsi="arial"/>
                <w:b/>
                <w:color w:val="0171B9"/>
                <w:sz w:val="22"/>
              </w:rPr>
              <w:t>Expanded and Enhanced Disclosures in Response to Stockholder Feedback</w:t>
            </w:r>
          </w:p>
          <w:p>
            <w:pPr>
              <w:pStyle w:val="TableContents"/>
              <w:bidi w:val="0"/>
              <w:spacing w:before="0" w:after="0"/>
              <w:jc w:val="left"/>
              <w:rPr/>
            </w:pPr>
            <w:r>
              <w:rPr/>
              <w:t> </w:t>
            </w:r>
          </w:p>
          <w:p>
            <w:pPr>
              <w:pStyle w:val="TableContents"/>
              <w:bidi w:val="0"/>
              <w:spacing w:before="0" w:after="0"/>
              <w:jc w:val="both"/>
              <w:rPr>
                <w:rFonts w:ascii="arial" w:hAnsi="arial"/>
                <w:sz w:val="19"/>
              </w:rPr>
            </w:pPr>
            <w:r>
              <w:rPr>
                <w:rFonts w:ascii="arial" w:hAnsi="arial"/>
                <w:sz w:val="19"/>
              </w:rPr>
              <w:t>In response to discussions with our stockholders, we have expanded and enhanced a number of our disclosures in our SEC filings and on our website, including with respect to our:</w:t>
            </w:r>
          </w:p>
          <w:p>
            <w:pPr>
              <w:pStyle w:val="TableContents"/>
              <w:bidi w:val="0"/>
              <w:spacing w:before="0" w:after="20"/>
              <w:jc w:val="left"/>
              <w:rPr/>
            </w:pPr>
            <w:r>
              <w:rPr/>
              <w:t> </w:t>
            </w:r>
          </w:p>
        </w:tc>
      </w:tr>
      <w:tr>
        <w:trPr/>
        <w:tc>
          <w:tcPr>
            <w:tcW w:w="275" w:type="dxa"/>
            <w:tcBorders>
              <w:left w:val="single" w:sz="6" w:space="0" w:color="0171B9"/>
            </w:tcBorders>
            <w:tcMar>
              <w:left w:w="160" w:type="dxa"/>
            </w:tcMar>
            <w:vAlign w:val="center"/>
          </w:tcPr>
          <w:p>
            <w:pPr>
              <w:pStyle w:val="TableContents"/>
              <w:bidi w:val="0"/>
              <w:spacing w:before="0" w:after="0"/>
              <w:jc w:val="left"/>
              <w:rPr/>
            </w:pPr>
            <w:r>
              <w:rPr>
                <w:color w:val="0171B9"/>
              </w:rPr>
              <w:t>–</w:t>
            </w:r>
            <w:r>
              <w:rPr/>
              <w:t xml:space="preserve"> </w:t>
            </w:r>
          </w:p>
          <w:p>
            <w:pPr>
              <w:pStyle w:val="TableContents"/>
              <w:bidi w:val="0"/>
              <w:spacing w:before="0" w:after="0"/>
              <w:jc w:val="left"/>
              <w:rPr/>
            </w:pPr>
            <w:r>
              <w:rPr>
                <w:color w:val="0171B9"/>
              </w:rPr>
              <w:t>–</w:t>
            </w:r>
            <w:r>
              <w:rPr/>
              <w:t xml:space="preserve"> </w:t>
            </w:r>
          </w:p>
          <w:p>
            <w:pPr>
              <w:pStyle w:val="TableContents"/>
              <w:bidi w:val="0"/>
              <w:spacing w:before="0" w:after="20"/>
              <w:jc w:val="left"/>
              <w:rPr>
                <w:color w:val="0171B9"/>
              </w:rPr>
            </w:pPr>
            <w:r>
              <w:rPr>
                <w:color w:val="0171B9"/>
              </w:rPr>
              <w:t>–</w:t>
            </w:r>
          </w:p>
        </w:tc>
        <w:tc>
          <w:tcPr>
            <w:tcW w:w="60" w:type="dxa"/>
            <w:vMerge w:val="restart"/>
            <w:tcBorders>
              <w:bottom w:val="single" w:sz="6" w:space="0" w:color="0171B9"/>
            </w:tcBorders>
            <w:tcMar>
              <w:bottom w:w="28" w:type="dxa"/>
            </w:tcMar>
            <w:vAlign w:val="center"/>
          </w:tcPr>
          <w:p>
            <w:pPr>
              <w:pStyle w:val="TableContents"/>
              <w:bidi w:val="0"/>
              <w:spacing w:before="0" w:after="283"/>
              <w:jc w:val="left"/>
              <w:rPr/>
            </w:pPr>
            <w:r>
              <w:rPr/>
              <w:t> </w:t>
            </w:r>
          </w:p>
        </w:tc>
        <w:tc>
          <w:tcPr>
            <w:tcW w:w="5724" w:type="dxa"/>
            <w:vMerge w:val="restart"/>
            <w:tcBorders>
              <w:bottom w:val="single" w:sz="6" w:space="0" w:color="0171B9"/>
            </w:tcBorders>
            <w:tcMar>
              <w:bottom w:w="28" w:type="dxa"/>
            </w:tcMar>
            <w:vAlign w:val="center"/>
          </w:tcPr>
          <w:p>
            <w:pPr>
              <w:pStyle w:val="TableContents"/>
              <w:bidi w:val="0"/>
              <w:spacing w:before="0" w:after="0"/>
              <w:jc w:val="left"/>
              <w:rPr>
                <w:rFonts w:ascii="arial" w:hAnsi="arial"/>
                <w:sz w:val="19"/>
              </w:rPr>
            </w:pPr>
            <w:r>
              <w:rPr>
                <w:rFonts w:ascii="arial" w:hAnsi="arial"/>
                <w:sz w:val="19"/>
              </w:rPr>
              <w:t xml:space="preserve">Board gender and racial/ethnic diversity; </w:t>
            </w:r>
          </w:p>
          <w:p>
            <w:pPr>
              <w:pStyle w:val="TableContents"/>
              <w:bidi w:val="0"/>
              <w:spacing w:before="0" w:after="0"/>
              <w:jc w:val="left"/>
              <w:rPr>
                <w:rFonts w:ascii="arial" w:hAnsi="arial"/>
                <w:sz w:val="19"/>
              </w:rPr>
            </w:pPr>
            <w:r>
              <w:rPr>
                <w:rFonts w:ascii="arial" w:hAnsi="arial"/>
                <w:sz w:val="19"/>
              </w:rPr>
              <w:t>Data from our annual Consolidated EEO-1 Report;(1) Reporting to several environmental standards and guidelines, including the SASB(2) standards for our industry;</w:t>
            </w:r>
          </w:p>
          <w:p>
            <w:pPr>
              <w:pStyle w:val="TableContents"/>
              <w:bidi w:val="0"/>
              <w:spacing w:before="0" w:after="20"/>
              <w:jc w:val="left"/>
              <w:rPr>
                <w:rFonts w:ascii="arial" w:hAnsi="arial"/>
                <w:sz w:val="19"/>
              </w:rPr>
            </w:pPr>
            <w:r>
              <w:rPr>
                <w:rFonts w:ascii="arial" w:hAnsi="arial"/>
                <w:sz w:val="19"/>
              </w:rPr>
              <w:t>Drug pricing practices;</w:t>
            </w:r>
          </w:p>
        </w:tc>
        <w:tc>
          <w:tcPr>
            <w:tcW w:w="12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jc w:val="left"/>
              <w:rPr/>
            </w:pPr>
            <w:r>
              <w:rPr>
                <w:color w:val="0171B9"/>
              </w:rPr>
              <w:t>–</w:t>
            </w:r>
            <w:r>
              <w:rPr/>
              <w:t xml:space="preserve"> </w:t>
            </w:r>
            <w:r>
              <w:rPr>
                <w:color w:val="0171B9"/>
              </w:rPr>
              <w:t> </w:t>
            </w:r>
          </w:p>
          <w:p>
            <w:pPr>
              <w:pStyle w:val="TableContents"/>
              <w:bidi w:val="0"/>
              <w:spacing w:before="0" w:after="20"/>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3764" w:type="dxa"/>
            <w:tcBorders>
              <w:right w:val="single" w:sz="6" w:space="0" w:color="0171B9"/>
            </w:tcBorders>
            <w:tcMar>
              <w:right w:w="40" w:type="dxa"/>
            </w:tcMar>
            <w:vAlign w:val="center"/>
          </w:tcPr>
          <w:p>
            <w:pPr>
              <w:pStyle w:val="TableContents"/>
              <w:bidi w:val="0"/>
              <w:spacing w:before="0" w:after="0"/>
              <w:jc w:val="left"/>
              <w:rPr>
                <w:rFonts w:ascii="arial" w:hAnsi="arial"/>
                <w:sz w:val="19"/>
              </w:rPr>
            </w:pPr>
            <w:r>
              <w:rPr>
                <w:rFonts w:ascii="arial" w:hAnsi="arial"/>
                <w:sz w:val="19"/>
              </w:rPr>
              <w:t xml:space="preserve">Alignment of compensation program with strategic priorities; </w:t>
            </w:r>
          </w:p>
          <w:p>
            <w:pPr>
              <w:pStyle w:val="TableContents"/>
              <w:bidi w:val="0"/>
              <w:spacing w:before="0" w:after="20"/>
              <w:jc w:val="left"/>
              <w:rPr>
                <w:rFonts w:ascii="arial" w:hAnsi="arial"/>
                <w:sz w:val="19"/>
              </w:rPr>
            </w:pPr>
            <w:r>
              <w:rPr>
                <w:rFonts w:ascii="arial" w:hAnsi="arial"/>
                <w:sz w:val="19"/>
              </w:rPr>
              <w:t>Oversight of political contributions, memberships in trade and industry associations, and lobbying;</w:t>
            </w:r>
          </w:p>
        </w:tc>
      </w:tr>
      <w:tr>
        <w:trPr/>
        <w:tc>
          <w:tcPr>
            <w:tcW w:w="275" w:type="dxa"/>
            <w:tcBorders>
              <w:left w:val="single" w:sz="6" w:space="0" w:color="0171B9"/>
              <w:bottom w:val="single" w:sz="6" w:space="0" w:color="0171B9"/>
            </w:tcBorders>
            <w:tcMar>
              <w:left w:w="160" w:type="dxa"/>
              <w:bottom w:w="28" w:type="dxa"/>
            </w:tcMar>
            <w:vAlign w:val="center"/>
          </w:tcPr>
          <w:p>
            <w:pPr>
              <w:pStyle w:val="TableContents"/>
              <w:bidi w:val="0"/>
              <w:spacing w:before="0" w:after="0"/>
              <w:jc w:val="left"/>
              <w:rPr/>
            </w:pPr>
            <w:r>
              <w:rPr/>
              <w:t> </w:t>
            </w:r>
          </w:p>
          <w:p>
            <w:pPr>
              <w:pStyle w:val="TableContents"/>
              <w:bidi w:val="0"/>
              <w:spacing w:before="0" w:after="0"/>
              <w:jc w:val="left"/>
              <w:rPr>
                <w:color w:val="0171B9"/>
              </w:rPr>
            </w:pPr>
            <w:r>
              <w:rPr>
                <w:color w:val="0171B9"/>
              </w:rPr>
              <w:t>–</w:t>
            </w:r>
          </w:p>
          <w:p>
            <w:pPr>
              <w:pStyle w:val="TableContents"/>
              <w:bidi w:val="0"/>
              <w:spacing w:before="0" w:after="20"/>
              <w:jc w:val="left"/>
              <w:rPr/>
            </w:pPr>
            <w:r>
              <w:rPr/>
              <w:t> </w:t>
            </w:r>
          </w:p>
        </w:tc>
        <w:tc>
          <w:tcPr>
            <w:tcW w:w="60" w:type="dxa"/>
            <w:vMerge w:val="continue"/>
            <w:tcBorders>
              <w:bottom w:val="single" w:sz="6" w:space="0" w:color="0171B9"/>
            </w:tcBorders>
            <w:tcMar>
              <w:bottom w:w="28" w:type="dxa"/>
            </w:tcMar>
            <w:vAlign w:val="center"/>
          </w:tcPr>
          <w:p>
            <w:pPr>
              <w:pStyle w:val="Normal"/>
              <w:bidi w:val="0"/>
              <w:jc w:val="left"/>
              <w:rPr/>
            </w:pPr>
            <w:r>
              <w:rPr/>
            </w:r>
          </w:p>
        </w:tc>
        <w:tc>
          <w:tcPr>
            <w:tcW w:w="5724" w:type="dxa"/>
            <w:vMerge w:val="continue"/>
            <w:tcBorders>
              <w:bottom w:val="single" w:sz="6" w:space="0" w:color="0171B9"/>
            </w:tcBorders>
            <w:tcMar>
              <w:bottom w:w="28" w:type="dxa"/>
            </w:tcMar>
            <w:vAlign w:val="center"/>
          </w:tcPr>
          <w:p>
            <w:pPr>
              <w:pStyle w:val="Normal"/>
              <w:bidi w:val="0"/>
              <w:jc w:val="left"/>
              <w:rPr/>
            </w:pPr>
            <w:r>
              <w:rPr/>
            </w:r>
          </w:p>
        </w:tc>
        <w:tc>
          <w:tcPr>
            <w:tcW w:w="120" w:type="dxa"/>
            <w:tcBorders>
              <w:bottom w:val="single" w:sz="6" w:space="0" w:color="0171B9"/>
            </w:tcBorders>
            <w:tcMar>
              <w:bottom w:w="28" w:type="dxa"/>
            </w:tcMar>
            <w:vAlign w:val="center"/>
          </w:tcPr>
          <w:p>
            <w:pPr>
              <w:pStyle w:val="TableContents"/>
              <w:bidi w:val="0"/>
              <w:spacing w:before="0" w:after="283"/>
              <w:jc w:val="left"/>
              <w:rPr/>
            </w:pPr>
            <w:r>
              <w:rPr/>
              <w:t>  </w:t>
            </w:r>
          </w:p>
        </w:tc>
        <w:tc>
          <w:tcPr>
            <w:tcW w:w="202" w:type="dxa"/>
            <w:tcBorders>
              <w:bottom w:val="single" w:sz="6" w:space="0" w:color="0171B9"/>
            </w:tcBorders>
            <w:tcMar>
              <w:bottom w:w="28" w:type="dxa"/>
            </w:tcMar>
            <w:vAlign w:val="center"/>
          </w:tcPr>
          <w:p>
            <w:pPr>
              <w:pStyle w:val="TableContents"/>
              <w:bidi w:val="0"/>
              <w:spacing w:before="0" w:after="283"/>
              <w:jc w:val="left"/>
              <w:rPr>
                <w:color w:val="0171B9"/>
              </w:rPr>
            </w:pPr>
            <w:r>
              <w:rPr>
                <w:color w:val="0171B9"/>
              </w:rPr>
              <w:t>–</w:t>
            </w:r>
          </w:p>
        </w:tc>
        <w:tc>
          <w:tcPr>
            <w:tcW w:w="60" w:type="dxa"/>
            <w:tcBorders>
              <w:bottom w:val="single" w:sz="6" w:space="0" w:color="0171B9"/>
            </w:tcBorders>
            <w:tcMar>
              <w:bottom w:w="28" w:type="dxa"/>
            </w:tcMar>
            <w:vAlign w:val="center"/>
          </w:tcPr>
          <w:p>
            <w:pPr>
              <w:pStyle w:val="TableContents"/>
              <w:bidi w:val="0"/>
              <w:spacing w:before="0" w:after="283"/>
              <w:jc w:val="left"/>
              <w:rPr/>
            </w:pPr>
            <w:r>
              <w:rPr/>
              <w:t> </w:t>
            </w:r>
          </w:p>
        </w:tc>
        <w:tc>
          <w:tcPr>
            <w:tcW w:w="3764" w:type="dxa"/>
            <w:tcBorders>
              <w:bottom w:val="single" w:sz="6" w:space="0" w:color="0171B9"/>
              <w:right w:val="single" w:sz="6" w:space="0" w:color="0171B9"/>
            </w:tcBorders>
            <w:tcMar>
              <w:bottom w:w="28" w:type="dxa"/>
              <w:right w:w="40" w:type="dxa"/>
            </w:tcMar>
            <w:vAlign w:val="center"/>
          </w:tcPr>
          <w:p>
            <w:pPr>
              <w:pStyle w:val="TableContents"/>
              <w:bidi w:val="0"/>
              <w:spacing w:before="0" w:after="0"/>
              <w:jc w:val="both"/>
              <w:rPr>
                <w:rFonts w:ascii="arial" w:hAnsi="arial"/>
                <w:sz w:val="19"/>
              </w:rPr>
            </w:pPr>
            <w:r>
              <w:rPr>
                <w:rFonts w:ascii="arial" w:hAnsi="arial"/>
                <w:sz w:val="19"/>
              </w:rPr>
              <w:t>Patents for our five top selling products.</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tbl>
      <w:tblPr>
        <w:tblW w:w="4780" w:type="dxa"/>
        <w:jc w:val="left"/>
        <w:tblInd w:w="0" w:type="dxa"/>
        <w:tblLayout w:type="fixed"/>
        <w:tblCellMar>
          <w:top w:w="0" w:type="dxa"/>
          <w:left w:w="0" w:type="dxa"/>
          <w:bottom w:w="0" w:type="dxa"/>
          <w:right w:w="0" w:type="dxa"/>
        </w:tblCellMar>
      </w:tblPr>
      <w:tblGrid>
        <w:gridCol w:w="365"/>
        <w:gridCol w:w="4415"/>
      </w:tblGrid>
      <w:tr>
        <w:trPr/>
        <w:tc>
          <w:tcPr>
            <w:tcW w:w="365" w:type="dxa"/>
            <w:tcBorders/>
            <w:vAlign w:val="center"/>
          </w:tcPr>
          <w:p>
            <w:pPr>
              <w:pStyle w:val="TableContents"/>
              <w:bidi w:val="0"/>
              <w:spacing w:before="0" w:after="283"/>
              <w:jc w:val="left"/>
              <w:rPr/>
            </w:pPr>
            <w:r>
              <w:rPr/>
              <w:t>(1) </w:t>
            </w:r>
          </w:p>
        </w:tc>
        <w:tc>
          <w:tcPr>
            <w:tcW w:w="4415" w:type="dxa"/>
            <w:tcBorders/>
            <w:vAlign w:val="center"/>
          </w:tcPr>
          <w:p>
            <w:pPr>
              <w:pStyle w:val="TableContents"/>
              <w:bidi w:val="0"/>
              <w:spacing w:before="0" w:after="0"/>
              <w:jc w:val="both"/>
              <w:rPr>
                <w:rFonts w:ascii="arial" w:hAnsi="arial"/>
                <w:sz w:val="16"/>
              </w:rPr>
            </w:pPr>
            <w:r>
              <w:rPr>
                <w:rFonts w:ascii="arial" w:hAnsi="arial"/>
                <w:sz w:val="16"/>
              </w:rPr>
              <w:t xml:space="preserve">Beginning with our Consolidated EEO-1 Report filed in 2021. </w:t>
            </w:r>
          </w:p>
        </w:tc>
      </w:tr>
    </w:tbl>
    <w:tbl>
      <w:tblPr>
        <w:tblW w:w="3565" w:type="dxa"/>
        <w:jc w:val="left"/>
        <w:tblInd w:w="0" w:type="dxa"/>
        <w:tblLayout w:type="fixed"/>
        <w:tblCellMar>
          <w:top w:w="0" w:type="dxa"/>
          <w:left w:w="0" w:type="dxa"/>
          <w:bottom w:w="0" w:type="dxa"/>
          <w:right w:w="0" w:type="dxa"/>
        </w:tblCellMar>
      </w:tblPr>
      <w:tblGrid>
        <w:gridCol w:w="365"/>
        <w:gridCol w:w="3200"/>
      </w:tblGrid>
      <w:tr>
        <w:trPr/>
        <w:tc>
          <w:tcPr>
            <w:tcW w:w="365" w:type="dxa"/>
            <w:tcBorders/>
            <w:vAlign w:val="center"/>
          </w:tcPr>
          <w:p>
            <w:pPr>
              <w:pStyle w:val="TableContents"/>
              <w:bidi w:val="0"/>
              <w:spacing w:before="0" w:after="283"/>
              <w:jc w:val="left"/>
              <w:rPr/>
            </w:pPr>
            <w:r>
              <w:rPr/>
              <w:t>(2) </w:t>
            </w:r>
          </w:p>
        </w:tc>
        <w:tc>
          <w:tcPr>
            <w:tcW w:w="3200" w:type="dxa"/>
            <w:tcBorders/>
            <w:vAlign w:val="center"/>
          </w:tcPr>
          <w:p>
            <w:pPr>
              <w:pStyle w:val="TableContents"/>
              <w:bidi w:val="0"/>
              <w:spacing w:before="0" w:after="0"/>
              <w:jc w:val="both"/>
              <w:rPr>
                <w:rFonts w:ascii="arial" w:hAnsi="arial"/>
                <w:sz w:val="16"/>
              </w:rPr>
            </w:pPr>
            <w:r>
              <w:rPr>
                <w:rFonts w:ascii="arial" w:hAnsi="arial"/>
                <w:sz w:val="16"/>
              </w:rPr>
              <w:t xml:space="preserve">Sustainability Accounting Standards Board. </w:t>
            </w:r>
          </w:p>
        </w:tc>
      </w:tr>
    </w:tbl>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232"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14" descr=""/>
                    <pic:cNvPicPr>
                      <a:picLocks noChangeAspect="1" noChangeArrowheads="1"/>
                    </pic:cNvPicPr>
                  </pic:nvPicPr>
                  <pic:blipFill>
                    <a:blip r:embed="rId123"/>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61</w:t>
      </w:r>
      <w:r>
        <w:rPr>
          <w:rFonts w:ascii="arial" w:hAnsi="arial"/>
          <w:b/>
          <w:sz w:val="22"/>
        </w:rPr>
        <w:t xml:space="preserve"> </w:t>
      </w:r>
      <w:r>
        <w:br w:type="page"/>
      </w:r>
    </w:p>
    <w:p>
      <w:pPr>
        <w:pStyle w:val="HorizontalLine"/>
        <w:bidi w:val="0"/>
        <w:jc w:val="left"/>
        <w:rPr/>
      </w:pPr>
      <w:r>
        <w:rPr/>
      </w:r>
    </w:p>
    <w:tbl>
      <w:tblPr>
        <w:tblW w:w="507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45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459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Compensation Discussion and Analysis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171B9"/>
          <w:sz w:val="28"/>
        </w:rPr>
      </w:pPr>
      <w:bookmarkStart w:id="48" w:name="toc445034_37"/>
      <w:bookmarkStart w:id="49" w:name="txa445034_108"/>
      <w:bookmarkEnd w:id="48"/>
      <w:bookmarkEnd w:id="49"/>
      <w:r>
        <w:rPr>
          <w:rFonts w:ascii="arial" w:hAnsi="arial"/>
          <w:b/>
          <w:color w:val="0171B9"/>
          <w:sz w:val="28"/>
        </w:rPr>
        <w:t xml:space="preserve">Our 2023 Compensation Program Highlights and Objectives </w:t>
      </w:r>
    </w:p>
    <w:p>
      <w:pPr>
        <w:pStyle w:val="TextBody"/>
        <w:pBdr>
          <w:bottom w:val="single" w:sz="2" w:space="1" w:color="666666"/>
        </w:pBdr>
        <w:bidi w:val="0"/>
        <w:spacing w:lineRule="atLeast" w:line="142" w:before="0" w:after="40"/>
        <w:jc w:val="left"/>
        <w:rPr/>
      </w:pPr>
      <w:r>
        <w:rPr/>
        <w:t> </w:t>
      </w:r>
    </w:p>
    <w:p>
      <w:pPr>
        <w:pStyle w:val="TextBody"/>
        <w:bidi w:val="0"/>
        <w:spacing w:before="0" w:after="0"/>
        <w:jc w:val="left"/>
        <w:rPr/>
      </w:pPr>
      <w:r>
        <w:rPr/>
        <w:t> </w:t>
      </w:r>
    </w:p>
    <w:tbl>
      <w:tblPr>
        <w:tblW w:w="6065" w:type="dxa"/>
        <w:jc w:val="left"/>
        <w:tblInd w:w="0" w:type="dxa"/>
        <w:shd w:fill="999999" w:val="clear"/>
        <w:tblLayout w:type="fixed"/>
        <w:tblCellMar>
          <w:top w:w="0" w:type="dxa"/>
          <w:left w:w="0" w:type="dxa"/>
          <w:bottom w:w="0" w:type="dxa"/>
          <w:right w:w="0" w:type="dxa"/>
        </w:tblCellMar>
      </w:tblPr>
      <w:tblGrid>
        <w:gridCol w:w="6065"/>
      </w:tblGrid>
      <w:tr>
        <w:trPr/>
        <w:tc>
          <w:tcPr>
            <w:tcW w:w="6065" w:type="dxa"/>
            <w:tcBorders/>
            <w:shd w:fill="999999" w:val="clear"/>
            <w:vAlign w:val="center"/>
          </w:tcPr>
          <w:p>
            <w:pPr>
              <w:pStyle w:val="TableContents"/>
              <w:bidi w:val="0"/>
              <w:spacing w:before="0" w:after="283"/>
              <w:jc w:val="left"/>
              <w:rPr>
                <w:sz w:val="4"/>
                <w:szCs w:val="4"/>
              </w:rPr>
            </w:pPr>
            <w:r>
              <w:rPr>
                <w:sz w:val="4"/>
                <w:szCs w:val="4"/>
              </w:rPr>
            </w:r>
          </w:p>
        </w:tc>
      </w:tr>
      <w:tr>
        <w:trPr/>
        <w:tc>
          <w:tcPr>
            <w:tcW w:w="6065" w:type="dxa"/>
            <w:tcBorders>
              <w:top w:val="single" w:sz="6" w:space="0" w:color="000000"/>
              <w:left w:val="single" w:sz="6" w:space="0" w:color="000000"/>
              <w:right w:val="single" w:sz="6" w:space="0" w:color="000000"/>
            </w:tcBorders>
            <w:shd w:fill="999999" w:val="clear"/>
            <w:tcMar>
              <w:top w:w="28" w:type="dxa"/>
              <w:left w:w="160" w:type="dxa"/>
              <w:right w:w="28" w:type="dxa"/>
            </w:tcMar>
            <w:vAlign w:val="center"/>
          </w:tcPr>
          <w:p>
            <w:pPr>
              <w:pStyle w:val="TableContents"/>
              <w:bidi w:val="0"/>
              <w:spacing w:before="0" w:after="283"/>
              <w:jc w:val="left"/>
              <w:rPr/>
            </w:pPr>
            <w:r>
              <w:rPr/>
              <w:t> </w:t>
            </w:r>
          </w:p>
        </w:tc>
      </w:tr>
      <w:tr>
        <w:trPr/>
        <w:tc>
          <w:tcPr>
            <w:tcW w:w="6065" w:type="dxa"/>
            <w:tcBorders>
              <w:left w:val="single" w:sz="6" w:space="0" w:color="000000"/>
              <w:bottom w:val="single" w:sz="6" w:space="0" w:color="000000"/>
              <w:right w:val="single" w:sz="6" w:space="0" w:color="000000"/>
            </w:tcBorders>
            <w:shd w:fill="999999" w:val="clear"/>
            <w:tcMar>
              <w:left w:w="160" w:type="dxa"/>
              <w:bottom w:w="40" w:type="dxa"/>
              <w:right w:w="40" w:type="dxa"/>
            </w:tcMar>
            <w:vAlign w:val="center"/>
          </w:tcPr>
          <w:p>
            <w:pPr>
              <w:pStyle w:val="TableContents"/>
              <w:bidi w:val="0"/>
              <w:spacing w:before="0" w:after="0"/>
              <w:jc w:val="center"/>
              <w:rPr>
                <w:rFonts w:ascii="ARIAL" w:hAnsi="ARIAL"/>
                <w:color w:val="FFFFFF"/>
                <w:sz w:val="20"/>
              </w:rPr>
            </w:pPr>
            <w:r>
              <w:rPr>
                <w:rFonts w:ascii="ARIAL" w:hAnsi="ARIAL"/>
                <w:color w:val="FFFFFF"/>
                <w:sz w:val="20"/>
              </w:rPr>
              <w:t>Total Target Direct Compensation Focuses on At Risk Compensation</w:t>
            </w:r>
          </w:p>
          <w:p>
            <w:pPr>
              <w:pStyle w:val="TableContents"/>
              <w:bidi w:val="0"/>
              <w:spacing w:before="0" w:after="20"/>
              <w:jc w:val="center"/>
              <w:rPr>
                <w:rFonts w:ascii="ARIAL" w:hAnsi="ARIAL"/>
                <w:color w:val="FFFFFF"/>
                <w:sz w:val="20"/>
              </w:rPr>
            </w:pPr>
            <w:r>
              <w:rPr>
                <w:rFonts w:ascii="ARIAL" w:hAnsi="ARIAL"/>
                <w:color w:val="FFFFFF"/>
                <w:sz w:val="20"/>
              </w:rPr>
              <w:t>(91% for our CEO and 83% for our other NEOs)</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7810500" cy="7839075"/>
            <wp:effectExtent l="0" t="0" r="0" b="0"/>
            <wp:docPr id="233"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115" descr=""/>
                    <pic:cNvPicPr>
                      <a:picLocks noChangeAspect="1" noChangeArrowheads="1"/>
                    </pic:cNvPicPr>
                  </pic:nvPicPr>
                  <pic:blipFill>
                    <a:blip r:embed="rId124"/>
                    <a:stretch>
                      <a:fillRect/>
                    </a:stretch>
                  </pic:blipFill>
                  <pic:spPr bwMode="auto">
                    <a:xfrm>
                      <a:off x="0" y="0"/>
                      <a:ext cx="7810500" cy="78390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62  </w:t>
      </w:r>
      <w:r>
        <w:rPr>
          <w:rFonts w:ascii="arial" w:hAnsi="arial"/>
          <w:b/>
          <w:color w:val="474747"/>
          <w:sz w:val="22"/>
        </w:rPr>
        <w:drawing>
          <wp:inline distT="0" distB="0" distL="0" distR="0">
            <wp:extent cx="64770" cy="15240"/>
            <wp:effectExtent l="0" t="0" r="0" b="0"/>
            <wp:docPr id="234"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16" descr=""/>
                    <pic:cNvPicPr>
                      <a:picLocks noChangeAspect="1" noChangeArrowheads="1"/>
                    </pic:cNvPicPr>
                  </pic:nvPicPr>
                  <pic:blipFill>
                    <a:blip r:embed="rId125"/>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507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45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459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Compensation Discussion and Analysis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left"/>
        <w:rPr>
          <w:rFonts w:ascii="arial" w:hAnsi="arial"/>
          <w:b/>
          <w:color w:val="0171B9"/>
          <w:sz w:val="28"/>
        </w:rPr>
      </w:pPr>
      <w:bookmarkStart w:id="50" w:name="toc445034_38"/>
      <w:bookmarkStart w:id="51" w:name="txa445034_109"/>
      <w:bookmarkEnd w:id="50"/>
      <w:bookmarkEnd w:id="51"/>
      <w:r>
        <w:rPr>
          <w:rFonts w:ascii="arial" w:hAnsi="arial"/>
          <w:b/>
          <w:color w:val="0171B9"/>
          <w:sz w:val="28"/>
        </w:rPr>
        <w:t xml:space="preserve">How Compensation Decisions Are Made For Our Named Executive Officers </w:t>
      </w:r>
    </w:p>
    <w:p>
      <w:pPr>
        <w:pStyle w:val="TextBody"/>
        <w:pBdr>
          <w:bottom w:val="single" w:sz="2" w:space="1" w:color="666666"/>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1819275"/>
            <wp:effectExtent l="0" t="0" r="0" b="0"/>
            <wp:docPr id="235"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117" descr=""/>
                    <pic:cNvPicPr>
                      <a:picLocks noChangeAspect="1" noChangeArrowheads="1"/>
                    </pic:cNvPicPr>
                  </pic:nvPicPr>
                  <pic:blipFill>
                    <a:blip r:embed="rId126"/>
                    <a:stretch>
                      <a:fillRect/>
                    </a:stretch>
                  </pic:blipFill>
                  <pic:spPr bwMode="auto">
                    <a:xfrm>
                      <a:off x="0" y="0"/>
                      <a:ext cx="7810500" cy="1819275"/>
                    </a:xfrm>
                    <a:prstGeom prst="rect">
                      <a:avLst/>
                    </a:prstGeom>
                  </pic:spPr>
                </pic:pic>
              </a:graphicData>
            </a:graphic>
          </wp:inline>
        </w:drawing>
      </w:r>
      <w:r>
        <w:rPr/>
        <w:t xml:space="preserve"> </w:t>
      </w:r>
    </w:p>
    <w:p>
      <w:pPr>
        <w:pStyle w:val="TextBody"/>
        <w:bidi w:val="0"/>
        <w:spacing w:before="240" w:after="0"/>
        <w:jc w:val="left"/>
        <w:rPr>
          <w:color w:val="0171B9"/>
        </w:rPr>
      </w:pPr>
      <w:r>
        <w:rPr>
          <w:color w:val="0171B9"/>
        </w:rPr>
        <w:t> </w:t>
      </w:r>
      <w:r>
        <w:rPr>
          <w:rFonts w:ascii="arial" w:hAnsi="arial"/>
          <w:b/>
          <w:color w:val="0171B9"/>
          <w:sz w:val="23"/>
        </w:rPr>
        <w:t xml:space="preserve">Roles and Responsibilities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left w:val="single" w:sz="6" w:space="0" w:color="0171B9"/>
              <w:right w:val="single" w:sz="6" w:space="0" w:color="0171B9"/>
            </w:tcBorders>
            <w:shd w:fill="0171B9" w:val="clear"/>
            <w:tcMar>
              <w:left w:w="160" w:type="dxa"/>
              <w:right w:w="4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FFFFFF"/>
                <w:sz w:val="18"/>
              </w:rPr>
            </w:pPr>
            <w:r>
              <w:rPr>
                <w:rFonts w:ascii="arial" w:hAnsi="arial"/>
                <w:b/>
                <w:color w:val="FFFFFF"/>
                <w:sz w:val="18"/>
              </w:rPr>
              <w:t>Compensation Committee</w:t>
            </w:r>
          </w:p>
          <w:p>
            <w:pPr>
              <w:pStyle w:val="TableContents"/>
              <w:bidi w:val="0"/>
              <w:spacing w:before="0" w:after="0"/>
              <w:jc w:val="left"/>
              <w:rPr>
                <w:rFonts w:ascii="arial" w:hAnsi="arial"/>
                <w:b/>
                <w:i/>
                <w:color w:val="FFFFFF"/>
                <w:sz w:val="19"/>
              </w:rPr>
            </w:pPr>
            <w:r>
              <w:rPr>
                <w:rFonts w:ascii="arial" w:hAnsi="arial"/>
                <w:b/>
                <w:i/>
                <w:color w:val="FFFFFF"/>
                <w:sz w:val="19"/>
              </w:rPr>
              <w:t>Board Committee composed solely of independent directors</w:t>
            </w:r>
          </w:p>
          <w:p>
            <w:pPr>
              <w:pStyle w:val="TableContents"/>
              <w:bidi w:val="0"/>
              <w:spacing w:before="0" w:after="20"/>
              <w:jc w:val="left"/>
              <w:rPr/>
            </w:pPr>
            <w:r>
              <w:rPr/>
              <w:t> </w:t>
            </w:r>
          </w:p>
        </w:tc>
      </w:tr>
      <w:tr>
        <w:trPr/>
        <w:tc>
          <w:tcPr>
            <w:tcW w:w="10205" w:type="dxa"/>
            <w:tcBorders>
              <w:left w:val="single" w:sz="6" w:space="0" w:color="000000"/>
              <w:right w:val="single" w:sz="6" w:space="0" w:color="000000"/>
            </w:tcBorders>
            <w:tcMar>
              <w:left w:w="160" w:type="dxa"/>
              <w:right w:w="28" w:type="dxa"/>
            </w:tcMar>
            <w:vAlign w:val="center"/>
          </w:tcPr>
          <w:p>
            <w:pPr>
              <w:pStyle w:val="TableContents"/>
              <w:bidi w:val="0"/>
              <w:spacing w:before="0" w:after="283"/>
              <w:jc w:val="left"/>
              <w:rPr/>
            </w:pPr>
            <w:r>
              <w:rPr/>
              <w:t> </w:t>
            </w:r>
          </w:p>
        </w:tc>
      </w:tr>
      <w:tr>
        <w:trPr/>
        <w:tc>
          <w:tcPr>
            <w:tcW w:w="10205" w:type="dxa"/>
            <w:tcBorders>
              <w:left w:val="single" w:sz="6" w:space="0" w:color="000000"/>
              <w:bottom w:val="single" w:sz="6" w:space="0" w:color="000000"/>
              <w:right w:val="single" w:sz="6" w:space="0" w:color="000000"/>
            </w:tcBorders>
            <w:tcMar>
              <w:left w:w="160" w:type="dxa"/>
              <w:bottom w:w="28" w:type="dxa"/>
              <w:right w:w="40" w:type="dxa"/>
            </w:tcMar>
            <w:vAlign w:val="center"/>
          </w:tcPr>
          <w:p>
            <w:pPr>
              <w:pStyle w:val="TableContents"/>
              <w:bidi w:val="0"/>
              <w:spacing w:before="0" w:after="0"/>
              <w:jc w:val="both"/>
              <w:rPr/>
            </w:pPr>
            <w:r>
              <w:rPr>
                <w:color w:val="0171B9"/>
              </w:rPr>
              <w:t>•</w:t>
            </w:r>
            <w:r>
              <w:rPr/>
              <w:t>   </w:t>
            </w:r>
            <w:r>
              <w:rPr>
                <w:rFonts w:ascii="arial" w:hAnsi="arial"/>
                <w:sz w:val="19"/>
              </w:rPr>
              <w:t>Oversees the development and effective succession planning of our CEO and other members of Senior Management.</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Evaluates the performance of our CEO within the context of the financial and operational performance of the Company.</w:t>
            </w:r>
          </w:p>
          <w:p>
            <w:pPr>
              <w:pStyle w:val="TableContents"/>
              <w:bidi w:val="0"/>
              <w:spacing w:before="0" w:after="0"/>
              <w:jc w:val="both"/>
              <w:rPr/>
            </w:pPr>
            <w:r>
              <w:rPr>
                <w:color w:val="0171B9"/>
              </w:rPr>
              <w:t>•</w:t>
            </w:r>
            <w:r>
              <w:rPr/>
              <w:t>   </w:t>
            </w:r>
            <w:r>
              <w:rPr>
                <w:rFonts w:ascii="arial" w:hAnsi="arial"/>
                <w:sz w:val="19"/>
              </w:rPr>
              <w:t>Determines and approves compensation for our CEO, other NEOs, Executive Vice Presidents, Senior Vice Presidents, Section 16 officers, and the Chief Audit Executive (collectively, “Senior Management”).</w:t>
            </w:r>
          </w:p>
          <w:p>
            <w:pPr>
              <w:pStyle w:val="TableContents"/>
              <w:bidi w:val="0"/>
              <w:spacing w:before="0" w:after="0"/>
              <w:jc w:val="both"/>
              <w:rPr/>
            </w:pPr>
            <w:r>
              <w:rPr>
                <w:color w:val="0171B9"/>
              </w:rPr>
              <w:t>•</w:t>
            </w:r>
            <w:r>
              <w:rPr/>
              <w:t>   </w:t>
            </w:r>
            <w:r>
              <w:rPr>
                <w:rFonts w:ascii="arial" w:hAnsi="arial"/>
                <w:sz w:val="19"/>
              </w:rPr>
              <w:t>Reviews and approves compensation programs in which our NEOs participate.</w:t>
            </w:r>
          </w:p>
          <w:p>
            <w:pPr>
              <w:pStyle w:val="TableContents"/>
              <w:bidi w:val="0"/>
              <w:spacing w:before="0" w:after="0"/>
              <w:jc w:val="both"/>
              <w:rPr/>
            </w:pPr>
            <w:r>
              <w:rPr>
                <w:color w:val="0171B9"/>
              </w:rPr>
              <w:t>•</w:t>
            </w:r>
            <w:r>
              <w:rPr/>
              <w:t>   </w:t>
            </w:r>
            <w:r>
              <w:rPr>
                <w:rFonts w:ascii="arial" w:hAnsi="arial"/>
                <w:sz w:val="19"/>
              </w:rPr>
              <w:t>Oversees the Board’s relationship with, and response to, stockholders on executive compensation matters.</w:t>
            </w:r>
          </w:p>
          <w:p>
            <w:pPr>
              <w:pStyle w:val="TableContents"/>
              <w:bidi w:val="0"/>
              <w:spacing w:before="0" w:after="20"/>
              <w:jc w:val="both"/>
              <w:rPr/>
            </w:pPr>
            <w:r>
              <w:rPr>
                <w:color w:val="0171B9"/>
              </w:rPr>
              <w:t>•</w:t>
            </w:r>
            <w:r>
              <w:rPr/>
              <w:t>   </w:t>
            </w:r>
            <w:r>
              <w:rPr>
                <w:rFonts w:ascii="arial" w:hAnsi="arial"/>
                <w:sz w:val="19"/>
              </w:rPr>
              <w:t>Exercises the sole authority to select, retain, replace, and/or obtain advice from independent compensation consultants.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left w:val="single" w:sz="6" w:space="0" w:color="0171B9"/>
              <w:right w:val="single" w:sz="6" w:space="0" w:color="0171B9"/>
            </w:tcBorders>
            <w:shd w:fill="0171B9" w:val="clear"/>
            <w:tcMar>
              <w:left w:w="160" w:type="dxa"/>
              <w:right w:w="4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FFFFFF"/>
                <w:sz w:val="19"/>
              </w:rPr>
            </w:pPr>
            <w:r>
              <w:rPr>
                <w:rFonts w:ascii="arial" w:hAnsi="arial"/>
                <w:b/>
                <w:color w:val="FFFFFF"/>
                <w:sz w:val="19"/>
              </w:rPr>
              <w:t>Consultant to the Compensation Committee</w:t>
            </w:r>
          </w:p>
          <w:p>
            <w:pPr>
              <w:pStyle w:val="TableContents"/>
              <w:bidi w:val="0"/>
              <w:spacing w:before="0" w:after="0"/>
              <w:jc w:val="left"/>
              <w:rPr>
                <w:rFonts w:ascii="arial" w:hAnsi="arial"/>
                <w:b/>
                <w:i/>
                <w:color w:val="FFFFFF"/>
                <w:sz w:val="19"/>
              </w:rPr>
            </w:pPr>
            <w:r>
              <w:rPr>
                <w:rFonts w:ascii="arial" w:hAnsi="arial"/>
                <w:b/>
                <w:i/>
                <w:color w:val="FFFFFF"/>
                <w:sz w:val="19"/>
              </w:rPr>
              <w:t>Frederic W. Cook &amp; Co., Inc., Independent consultant to, and retained directly by, the Compensation Committee</w:t>
            </w:r>
          </w:p>
          <w:p>
            <w:pPr>
              <w:pStyle w:val="TableContents"/>
              <w:bidi w:val="0"/>
              <w:spacing w:before="0" w:after="20"/>
              <w:jc w:val="left"/>
              <w:rPr/>
            </w:pPr>
            <w:r>
              <w:rPr/>
              <w:t> </w:t>
            </w:r>
          </w:p>
        </w:tc>
      </w:tr>
      <w:tr>
        <w:trPr/>
        <w:tc>
          <w:tcPr>
            <w:tcW w:w="10205" w:type="dxa"/>
            <w:tcBorders>
              <w:left w:val="single" w:sz="6" w:space="0" w:color="000000"/>
              <w:right w:val="single" w:sz="6" w:space="0" w:color="000000"/>
            </w:tcBorders>
            <w:tcMar>
              <w:left w:w="160" w:type="dxa"/>
              <w:right w:w="28" w:type="dxa"/>
            </w:tcMar>
            <w:vAlign w:val="center"/>
          </w:tcPr>
          <w:p>
            <w:pPr>
              <w:pStyle w:val="TableContents"/>
              <w:bidi w:val="0"/>
              <w:spacing w:before="0" w:after="283"/>
              <w:jc w:val="left"/>
              <w:rPr/>
            </w:pPr>
            <w:r>
              <w:rPr/>
              <w:t> </w:t>
            </w:r>
          </w:p>
        </w:tc>
      </w:tr>
      <w:tr>
        <w:trPr/>
        <w:tc>
          <w:tcPr>
            <w:tcW w:w="10205" w:type="dxa"/>
            <w:tcBorders>
              <w:left w:val="single" w:sz="6" w:space="0" w:color="000000"/>
              <w:bottom w:val="single" w:sz="6" w:space="0" w:color="000000"/>
              <w:right w:val="single" w:sz="6" w:space="0" w:color="000000"/>
            </w:tcBorders>
            <w:tcMar>
              <w:left w:w="160" w:type="dxa"/>
              <w:bottom w:w="28" w:type="dxa"/>
              <w:right w:w="40" w:type="dxa"/>
            </w:tcMar>
            <w:vAlign w:val="center"/>
          </w:tcPr>
          <w:p>
            <w:pPr>
              <w:pStyle w:val="TableContents"/>
              <w:bidi w:val="0"/>
              <w:spacing w:before="0" w:after="0"/>
              <w:jc w:val="both"/>
              <w:rPr/>
            </w:pPr>
            <w:r>
              <w:rPr>
                <w:color w:val="0171B9"/>
              </w:rPr>
              <w:t>•</w:t>
            </w:r>
            <w:r>
              <w:rPr/>
              <w:t>   </w:t>
            </w:r>
            <w:r>
              <w:rPr>
                <w:rFonts w:ascii="arial" w:hAnsi="arial"/>
                <w:sz w:val="19"/>
              </w:rPr>
              <w:t>Regularly attends Compensation Committee meetings, including meeting in executive session with the Compensation Committee.</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Provides advice and studies on the appropriateness and competitiveness of:</w:t>
            </w:r>
          </w:p>
          <w:p>
            <w:pPr>
              <w:pStyle w:val="TableContents"/>
              <w:bidi w:val="0"/>
              <w:spacing w:before="0" w:after="0"/>
              <w:jc w:val="both"/>
              <w:rPr/>
            </w:pPr>
            <w:r>
              <w:rPr>
                <w:color w:val="0171B9"/>
              </w:rPr>
              <w:t>–</w:t>
            </w:r>
            <w:r>
              <w:rPr/>
              <w:t>  </w:t>
            </w:r>
            <w:r>
              <w:rPr>
                <w:rFonts w:ascii="arial" w:hAnsi="arial"/>
                <w:sz w:val="19"/>
              </w:rPr>
              <w:t>our compensation program relative to market practice for our NEO compensation;</w:t>
            </w:r>
          </w:p>
          <w:p>
            <w:pPr>
              <w:pStyle w:val="TableContents"/>
              <w:bidi w:val="0"/>
              <w:spacing w:before="0" w:after="0"/>
              <w:jc w:val="both"/>
              <w:rPr/>
            </w:pPr>
            <w:r>
              <w:rPr>
                <w:color w:val="0171B9"/>
              </w:rPr>
              <w:t>–</w:t>
            </w:r>
            <w:r>
              <w:rPr/>
              <w:t>  </w:t>
            </w:r>
            <w:r>
              <w:rPr>
                <w:rFonts w:ascii="arial" w:hAnsi="arial"/>
                <w:sz w:val="19"/>
              </w:rPr>
              <w:t>our equity programs; and</w:t>
            </w:r>
          </w:p>
          <w:p>
            <w:pPr>
              <w:pStyle w:val="TableContents"/>
              <w:bidi w:val="0"/>
              <w:spacing w:before="0" w:after="0"/>
              <w:jc w:val="both"/>
              <w:rPr/>
            </w:pPr>
            <w:r>
              <w:rPr>
                <w:color w:val="0171B9"/>
              </w:rPr>
              <w:t>–</w:t>
            </w:r>
            <w:r>
              <w:rPr/>
              <w:t>  </w:t>
            </w:r>
            <w:r>
              <w:rPr>
                <w:rFonts w:ascii="arial" w:hAnsi="arial"/>
                <w:sz w:val="19"/>
              </w:rPr>
              <w:t>the selection of our peer group.</w:t>
            </w:r>
          </w:p>
          <w:p>
            <w:pPr>
              <w:pStyle w:val="TableContents"/>
              <w:bidi w:val="0"/>
              <w:spacing w:before="0" w:after="0"/>
              <w:jc w:val="both"/>
              <w:rPr/>
            </w:pPr>
            <w:r>
              <w:rPr>
                <w:color w:val="0171B9"/>
              </w:rPr>
              <w:t>•</w:t>
            </w:r>
            <w:r>
              <w:rPr/>
              <w:t>   </w:t>
            </w:r>
            <w:r>
              <w:rPr>
                <w:rFonts w:ascii="arial" w:hAnsi="arial"/>
                <w:sz w:val="19"/>
              </w:rPr>
              <w:t>Consults, advises, and makes recommendations, when requested, on executive compensation trends and developments, various compensation matters and compensation program designs and practices to support our business strategy and objectives.</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Coordinates and reviews the appropriateness of market data compiled by management.</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At the direction of the Compensation Committee, works with management to assess the potential risks arising from our compensation policies and practices.</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left w:val="single" w:sz="6" w:space="0" w:color="0171B9"/>
              <w:right w:val="single" w:sz="6" w:space="0" w:color="0171B9"/>
            </w:tcBorders>
            <w:shd w:fill="0171B9" w:val="clear"/>
            <w:tcMar>
              <w:left w:w="160" w:type="dxa"/>
              <w:right w:w="28" w:type="dxa"/>
            </w:tcMar>
            <w:vAlign w:val="center"/>
          </w:tcPr>
          <w:p>
            <w:pPr>
              <w:pStyle w:val="TableContents"/>
              <w:bidi w:val="0"/>
              <w:spacing w:before="0" w:after="283"/>
              <w:jc w:val="left"/>
              <w:rPr/>
            </w:pPr>
            <w:r>
              <w:rPr/>
              <w:t> </w:t>
            </w:r>
          </w:p>
        </w:tc>
      </w:tr>
      <w:tr>
        <w:trPr/>
        <w:tc>
          <w:tcPr>
            <w:tcW w:w="10205" w:type="dxa"/>
            <w:tcBorders>
              <w:left w:val="single" w:sz="6" w:space="0" w:color="0171B9"/>
              <w:right w:val="single" w:sz="6" w:space="0" w:color="0171B9"/>
            </w:tcBorders>
            <w:shd w:fill="0171B9" w:val="clear"/>
            <w:tcMar>
              <w:left w:w="160" w:type="dxa"/>
              <w:right w:w="4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color w:val="FFFFFF"/>
                <w:sz w:val="18"/>
              </w:rPr>
            </w:pPr>
            <w:r>
              <w:rPr>
                <w:rFonts w:ascii="arial" w:hAnsi="arial"/>
                <w:b/>
                <w:color w:val="FFFFFF"/>
                <w:sz w:val="18"/>
              </w:rPr>
              <w:t>CEO</w:t>
            </w:r>
          </w:p>
          <w:p>
            <w:pPr>
              <w:pStyle w:val="TableContents"/>
              <w:bidi w:val="0"/>
              <w:spacing w:before="0" w:after="20"/>
              <w:jc w:val="left"/>
              <w:rPr>
                <w:rFonts w:ascii="arial" w:hAnsi="arial"/>
                <w:b/>
                <w:i/>
                <w:color w:val="FFFFFF"/>
                <w:sz w:val="19"/>
              </w:rPr>
            </w:pPr>
            <w:r>
              <w:rPr>
                <w:rFonts w:ascii="arial" w:hAnsi="arial"/>
                <w:b/>
                <w:i/>
                <w:color w:val="FFFFFF"/>
                <w:sz w:val="19"/>
              </w:rPr>
              <w:t>Assisted by the Senior Vice President, Human Resources and other Company staff members</w:t>
            </w:r>
          </w:p>
        </w:tc>
      </w:tr>
      <w:tr>
        <w:trPr/>
        <w:tc>
          <w:tcPr>
            <w:tcW w:w="10205" w:type="dxa"/>
            <w:tcBorders>
              <w:left w:val="single" w:sz="6" w:space="0" w:color="000000"/>
              <w:right w:val="single" w:sz="6" w:space="0" w:color="000000"/>
            </w:tcBorders>
            <w:tcMar>
              <w:left w:w="160" w:type="dxa"/>
              <w:right w:w="28" w:type="dxa"/>
            </w:tcMar>
            <w:vAlign w:val="center"/>
          </w:tcPr>
          <w:p>
            <w:pPr>
              <w:pStyle w:val="TableContents"/>
              <w:bidi w:val="0"/>
              <w:spacing w:before="0" w:after="283"/>
              <w:jc w:val="left"/>
              <w:rPr/>
            </w:pPr>
            <w:r>
              <w:rPr/>
              <w:t> </w:t>
            </w:r>
          </w:p>
        </w:tc>
      </w:tr>
      <w:tr>
        <w:trPr/>
        <w:tc>
          <w:tcPr>
            <w:tcW w:w="10205" w:type="dxa"/>
            <w:tcBorders>
              <w:left w:val="single" w:sz="6" w:space="0" w:color="000000"/>
              <w:bottom w:val="single" w:sz="6" w:space="0" w:color="000000"/>
              <w:right w:val="single" w:sz="6" w:space="0" w:color="000000"/>
            </w:tcBorders>
            <w:tcMar>
              <w:left w:w="160" w:type="dxa"/>
              <w:bottom w:w="28" w:type="dxa"/>
              <w:right w:w="40" w:type="dxa"/>
            </w:tcMar>
            <w:vAlign w:val="center"/>
          </w:tcPr>
          <w:p>
            <w:pPr>
              <w:pStyle w:val="TableContents"/>
              <w:bidi w:val="0"/>
              <w:spacing w:before="0" w:after="0"/>
              <w:jc w:val="both"/>
              <w:rPr/>
            </w:pPr>
            <w:r>
              <w:rPr>
                <w:color w:val="0171B9"/>
              </w:rPr>
              <w:t>•</w:t>
            </w:r>
            <w:r>
              <w:rPr/>
              <w:t>   </w:t>
            </w:r>
            <w:r>
              <w:rPr>
                <w:rFonts w:ascii="arial" w:hAnsi="arial"/>
                <w:sz w:val="19"/>
              </w:rPr>
              <w:t>Conducts performance reviews of the other NEOs and makes recommendations to the Compensation Committee with respect to compensation of other members of Senior Management.</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Provides recommendations on the development of, and succession planning, for the other members of Senior Management.</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236"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18" descr=""/>
                    <pic:cNvPicPr>
                      <a:picLocks noChangeAspect="1" noChangeArrowheads="1"/>
                    </pic:cNvPicPr>
                  </pic:nvPicPr>
                  <pic:blipFill>
                    <a:blip r:embed="rId127"/>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63</w:t>
      </w:r>
      <w:r>
        <w:rPr>
          <w:rFonts w:ascii="arial" w:hAnsi="arial"/>
          <w:b/>
          <w:sz w:val="22"/>
        </w:rPr>
        <w:t xml:space="preserve"> </w:t>
      </w:r>
      <w:r>
        <w:br w:type="page"/>
      </w:r>
    </w:p>
    <w:p>
      <w:pPr>
        <w:pStyle w:val="HorizontalLine"/>
        <w:bidi w:val="0"/>
        <w:jc w:val="left"/>
        <w:rPr/>
      </w:pPr>
      <w:r>
        <w:rPr/>
      </w:r>
    </w:p>
    <w:tbl>
      <w:tblPr>
        <w:tblW w:w="507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45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459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Compensation Discussion and Analysis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rFonts w:ascii="arial" w:hAnsi="arial"/>
          <w:b/>
          <w:color w:val="0171B9"/>
          <w:sz w:val="28"/>
        </w:rPr>
      </w:pPr>
      <w:r>
        <w:rPr>
          <w:rFonts w:ascii="arial" w:hAnsi="arial"/>
          <w:b/>
          <w:color w:val="0171B9"/>
          <w:sz w:val="28"/>
        </w:rPr>
        <w:t xml:space="preserve">Our Values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3"/>
        <w:gridCol w:w="66"/>
        <w:gridCol w:w="4944"/>
        <w:gridCol w:w="134"/>
        <w:gridCol w:w="4759"/>
        <w:gridCol w:w="134"/>
        <w:gridCol w:w="85"/>
      </w:tblGrid>
      <w:tr>
        <w:trPr/>
        <w:tc>
          <w:tcPr>
            <w:tcW w:w="8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494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75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top w:val="single" w:sz="6" w:space="0" w:color="0171B9"/>
              <w:left w:val="single" w:sz="6" w:space="0" w:color="0171B9"/>
              <w:right w:val="single" w:sz="6" w:space="0" w:color="0171B9"/>
            </w:tcBorders>
            <w:tcMar>
              <w:top w:w="28" w:type="dxa"/>
              <w:left w:w="160" w:type="dxa"/>
              <w:right w:w="40" w:type="dxa"/>
            </w:tcMar>
            <w:vAlign w:val="center"/>
          </w:tcPr>
          <w:p>
            <w:pPr>
              <w:pStyle w:val="TableContents"/>
              <w:bidi w:val="0"/>
              <w:spacing w:before="0" w:after="0"/>
              <w:jc w:val="left"/>
              <w:rPr/>
            </w:pPr>
            <w:r>
              <w:rPr/>
              <w:t> </w:t>
            </w:r>
          </w:p>
          <w:p>
            <w:pPr>
              <w:pStyle w:val="TableContents"/>
              <w:bidi w:val="0"/>
              <w:spacing w:before="0" w:after="0"/>
              <w:jc w:val="both"/>
              <w:rPr>
                <w:rFonts w:ascii="arial" w:hAnsi="arial"/>
                <w:sz w:val="19"/>
              </w:rPr>
            </w:pPr>
            <w:r>
              <w:rPr>
                <w:rFonts w:ascii="arial" w:hAnsi="arial"/>
                <w:sz w:val="19"/>
              </w:rPr>
              <w:t>The Amgen Values, formalized in 1996, guide how we execute on our strategy, conduct our business, and what we reward:</w:t>
            </w:r>
          </w:p>
          <w:p>
            <w:pPr>
              <w:pStyle w:val="TableContents"/>
              <w:bidi w:val="0"/>
              <w:spacing w:before="0" w:after="20"/>
              <w:jc w:val="left"/>
              <w:rPr/>
            </w:pPr>
            <w:r>
              <w:rPr/>
              <w:t> </w:t>
            </w:r>
          </w:p>
        </w:tc>
      </w:tr>
      <w:tr>
        <w:trPr/>
        <w:tc>
          <w:tcPr>
            <w:tcW w:w="83" w:type="dxa"/>
            <w:tcBorders>
              <w:left w:val="single" w:sz="6" w:space="0" w:color="0171B9"/>
            </w:tcBorders>
            <w:tcMar>
              <w:left w:w="160" w:type="dxa"/>
            </w:tcMar>
            <w:vAlign w:val="center"/>
          </w:tcPr>
          <w:p>
            <w:pPr>
              <w:pStyle w:val="TableContents"/>
              <w:bidi w:val="0"/>
              <w:spacing w:before="0" w:after="283"/>
              <w:jc w:val="left"/>
              <w:rPr/>
            </w:pPr>
            <w:r>
              <w:rPr/>
              <w:t> </w:t>
            </w:r>
          </w:p>
        </w:tc>
        <w:tc>
          <w:tcPr>
            <w:tcW w:w="66" w:type="dxa"/>
            <w:tcBorders>
              <w:top w:val="single" w:sz="12" w:space="0" w:color="0171B9"/>
              <w:left w:val="single" w:sz="12" w:space="0" w:color="0171B9"/>
            </w:tcBorders>
            <w:shd w:fill="E5F0F8" w:val="clear"/>
            <w:tcMar>
              <w:top w:w="28" w:type="dxa"/>
              <w:left w:w="28" w:type="dxa"/>
            </w:tcMar>
            <w:vAlign w:val="center"/>
          </w:tcPr>
          <w:p>
            <w:pPr>
              <w:pStyle w:val="TableContents"/>
              <w:bidi w:val="0"/>
              <w:spacing w:before="0" w:after="283"/>
              <w:jc w:val="left"/>
              <w:rPr/>
            </w:pPr>
            <w:r>
              <w:rPr/>
              <w:t> </w:t>
            </w:r>
          </w:p>
        </w:tc>
        <w:tc>
          <w:tcPr>
            <w:tcW w:w="4944" w:type="dxa"/>
            <w:tcBorders>
              <w:top w:val="single" w:sz="12" w:space="0" w:color="0171B9"/>
            </w:tcBorders>
            <w:shd w:fill="E5F0F8" w:val="clear"/>
            <w:tcMar>
              <w:top w:w="28" w:type="dxa"/>
            </w:tcMar>
            <w:vAlign w:val="center"/>
          </w:tcPr>
          <w:p>
            <w:pPr>
              <w:pStyle w:val="TableContents"/>
              <w:bidi w:val="0"/>
              <w:spacing w:before="0" w:after="283"/>
              <w:jc w:val="left"/>
              <w:rPr/>
            </w:pPr>
            <w:r>
              <w:rPr/>
              <w:t> </w:t>
            </w:r>
          </w:p>
        </w:tc>
        <w:tc>
          <w:tcPr>
            <w:tcW w:w="134" w:type="dxa"/>
            <w:tcBorders>
              <w:top w:val="single" w:sz="12" w:space="0" w:color="0171B9"/>
            </w:tcBorders>
            <w:shd w:fill="E5F0F8" w:val="clear"/>
            <w:tcMar>
              <w:top w:w="28" w:type="dxa"/>
            </w:tcMar>
            <w:vAlign w:val="center"/>
          </w:tcPr>
          <w:p>
            <w:pPr>
              <w:pStyle w:val="TableContents"/>
              <w:bidi w:val="0"/>
              <w:spacing w:before="0" w:after="283"/>
              <w:jc w:val="left"/>
              <w:rPr/>
            </w:pPr>
            <w:r>
              <w:rPr/>
              <w:t>  </w:t>
            </w:r>
          </w:p>
        </w:tc>
        <w:tc>
          <w:tcPr>
            <w:tcW w:w="4759" w:type="dxa"/>
            <w:tcBorders>
              <w:top w:val="single" w:sz="12" w:space="0" w:color="0171B9"/>
              <w:right w:val="single" w:sz="12" w:space="0" w:color="0171B9"/>
            </w:tcBorders>
            <w:shd w:fill="E5F0F8" w:val="clear"/>
            <w:tcMar>
              <w:top w:w="28" w:type="dxa"/>
              <w:right w:w="28" w:type="dxa"/>
            </w:tcMar>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85" w:type="dxa"/>
            <w:tcBorders>
              <w:right w:val="single" w:sz="6" w:space="0" w:color="0171B9"/>
            </w:tcBorders>
            <w:tcMar>
              <w:right w:w="40" w:type="dxa"/>
            </w:tcMar>
            <w:vAlign w:val="center"/>
          </w:tcPr>
          <w:p>
            <w:pPr>
              <w:pStyle w:val="TableContents"/>
              <w:bidi w:val="0"/>
              <w:spacing w:before="0" w:after="283"/>
              <w:jc w:val="left"/>
              <w:rPr/>
            </w:pPr>
            <w:r>
              <w:rPr/>
              <w:t> </w:t>
            </w:r>
          </w:p>
        </w:tc>
      </w:tr>
      <w:tr>
        <w:trPr/>
        <w:tc>
          <w:tcPr>
            <w:tcW w:w="83" w:type="dxa"/>
            <w:tcBorders>
              <w:left w:val="single" w:sz="6" w:space="0" w:color="0171B9"/>
            </w:tcBorders>
            <w:tcMar>
              <w:left w:w="160" w:type="dxa"/>
            </w:tcMar>
            <w:vAlign w:val="center"/>
          </w:tcPr>
          <w:p>
            <w:pPr>
              <w:pStyle w:val="TableContents"/>
              <w:bidi w:val="0"/>
              <w:spacing w:before="0" w:after="283"/>
              <w:jc w:val="left"/>
              <w:rPr/>
            </w:pPr>
            <w:r>
              <w:rPr/>
              <w:t> </w:t>
            </w:r>
          </w:p>
        </w:tc>
        <w:tc>
          <w:tcPr>
            <w:tcW w:w="66" w:type="dxa"/>
            <w:tcBorders>
              <w:left w:val="single" w:sz="12" w:space="0" w:color="0171B9"/>
            </w:tcBorders>
            <w:shd w:fill="E5F0F8" w:val="clear"/>
            <w:tcMar>
              <w:left w:w="28" w:type="dxa"/>
            </w:tcMar>
            <w:vAlign w:val="center"/>
          </w:tcPr>
          <w:p>
            <w:pPr>
              <w:pStyle w:val="TableContents"/>
              <w:bidi w:val="0"/>
              <w:spacing w:before="0" w:after="283"/>
              <w:jc w:val="left"/>
              <w:rPr/>
            </w:pPr>
            <w:r>
              <w:rPr/>
              <w:t> </w:t>
            </w:r>
          </w:p>
        </w:tc>
        <w:tc>
          <w:tcPr>
            <w:tcW w:w="4944" w:type="dxa"/>
            <w:tcBorders/>
            <w:shd w:fill="E5F0F8" w:val="clear"/>
            <w:vAlign w:val="center"/>
          </w:tcPr>
          <w:p>
            <w:pPr>
              <w:pStyle w:val="TableContents"/>
              <w:bidi w:val="0"/>
              <w:spacing w:before="0" w:after="0"/>
              <w:jc w:val="both"/>
              <w:rPr/>
            </w:pPr>
            <w:r>
              <w:rPr>
                <w:color w:val="0171B9"/>
              </w:rPr>
              <w:t>•</w:t>
            </w:r>
            <w:r>
              <w:rPr/>
              <w:t>   </w:t>
            </w:r>
            <w:r>
              <w:rPr>
                <w:rFonts w:ascii="arial" w:hAnsi="arial"/>
                <w:sz w:val="19"/>
              </w:rPr>
              <w:t>Be science-based;</w:t>
            </w:r>
          </w:p>
        </w:tc>
        <w:tc>
          <w:tcPr>
            <w:tcW w:w="134" w:type="dxa"/>
            <w:tcBorders/>
            <w:shd w:fill="E5F0F8" w:val="clear"/>
            <w:vAlign w:val="center"/>
          </w:tcPr>
          <w:p>
            <w:pPr>
              <w:pStyle w:val="TableContents"/>
              <w:bidi w:val="0"/>
              <w:spacing w:before="0" w:after="283"/>
              <w:jc w:val="left"/>
              <w:rPr/>
            </w:pPr>
            <w:r>
              <w:rPr/>
              <w:t>  </w:t>
            </w:r>
          </w:p>
        </w:tc>
        <w:tc>
          <w:tcPr>
            <w:tcW w:w="4759" w:type="dxa"/>
            <w:tcBorders>
              <w:right w:val="single" w:sz="12" w:space="0" w:color="0171B9"/>
            </w:tcBorders>
            <w:shd w:fill="E5F0F8" w:val="clear"/>
            <w:tcMar>
              <w:right w:w="28" w:type="dxa"/>
            </w:tcMar>
            <w:vAlign w:val="center"/>
          </w:tcPr>
          <w:p>
            <w:pPr>
              <w:pStyle w:val="TableContents"/>
              <w:bidi w:val="0"/>
              <w:spacing w:before="0" w:after="0"/>
              <w:jc w:val="both"/>
              <w:rPr/>
            </w:pPr>
            <w:r>
              <w:rPr>
                <w:color w:val="0171B9"/>
              </w:rPr>
              <w:t>•</w:t>
            </w:r>
            <w:r>
              <w:rPr/>
              <w:t>   </w:t>
            </w:r>
            <w:r>
              <w:rPr>
                <w:rFonts w:ascii="arial" w:hAnsi="arial"/>
                <w:sz w:val="19"/>
              </w:rPr>
              <w:t>Trust and respect each other;</w:t>
            </w:r>
          </w:p>
        </w:tc>
        <w:tc>
          <w:tcPr>
            <w:tcW w:w="134" w:type="dxa"/>
            <w:tcBorders/>
            <w:vAlign w:val="center"/>
          </w:tcPr>
          <w:p>
            <w:pPr>
              <w:pStyle w:val="TableContents"/>
              <w:bidi w:val="0"/>
              <w:spacing w:before="0" w:after="283"/>
              <w:jc w:val="left"/>
              <w:rPr/>
            </w:pPr>
            <w:r>
              <w:rPr/>
              <w:t>  </w:t>
            </w:r>
          </w:p>
        </w:tc>
        <w:tc>
          <w:tcPr>
            <w:tcW w:w="85" w:type="dxa"/>
            <w:tcBorders>
              <w:right w:val="single" w:sz="6" w:space="0" w:color="0171B9"/>
            </w:tcBorders>
            <w:tcMar>
              <w:right w:w="40" w:type="dxa"/>
            </w:tcMar>
            <w:vAlign w:val="center"/>
          </w:tcPr>
          <w:p>
            <w:pPr>
              <w:pStyle w:val="TableContents"/>
              <w:bidi w:val="0"/>
              <w:spacing w:before="0" w:after="283"/>
              <w:jc w:val="left"/>
              <w:rPr/>
            </w:pPr>
            <w:r>
              <w:rPr/>
              <w:t> </w:t>
            </w:r>
          </w:p>
        </w:tc>
      </w:tr>
      <w:tr>
        <w:trPr/>
        <w:tc>
          <w:tcPr>
            <w:tcW w:w="83" w:type="dxa"/>
            <w:tcBorders>
              <w:left w:val="single" w:sz="6" w:space="0" w:color="0171B9"/>
            </w:tcBorders>
            <w:tcMar>
              <w:left w:w="160" w:type="dxa"/>
            </w:tcMar>
            <w:vAlign w:val="center"/>
          </w:tcPr>
          <w:p>
            <w:pPr>
              <w:pStyle w:val="TableContents"/>
              <w:bidi w:val="0"/>
              <w:spacing w:before="0" w:after="283"/>
              <w:jc w:val="left"/>
              <w:rPr/>
            </w:pPr>
            <w:r>
              <w:rPr/>
              <w:t> </w:t>
            </w:r>
          </w:p>
        </w:tc>
        <w:tc>
          <w:tcPr>
            <w:tcW w:w="66" w:type="dxa"/>
            <w:tcBorders>
              <w:left w:val="single" w:sz="12" w:space="0" w:color="0171B9"/>
            </w:tcBorders>
            <w:shd w:fill="E5F0F8" w:val="clear"/>
            <w:tcMar>
              <w:left w:w="28" w:type="dxa"/>
            </w:tcMar>
            <w:vAlign w:val="center"/>
          </w:tcPr>
          <w:p>
            <w:pPr>
              <w:pStyle w:val="TableContents"/>
              <w:bidi w:val="0"/>
              <w:spacing w:before="0" w:after="283"/>
              <w:jc w:val="left"/>
              <w:rPr/>
            </w:pPr>
            <w:r>
              <w:rPr/>
              <w:t> </w:t>
            </w:r>
          </w:p>
        </w:tc>
        <w:tc>
          <w:tcPr>
            <w:tcW w:w="4944" w:type="dxa"/>
            <w:tcBorders/>
            <w:shd w:fill="E5F0F8" w:val="clear"/>
            <w:vAlign w:val="center"/>
          </w:tcPr>
          <w:p>
            <w:pPr>
              <w:pStyle w:val="TableContents"/>
              <w:bidi w:val="0"/>
              <w:spacing w:before="0" w:after="0"/>
              <w:jc w:val="both"/>
              <w:rPr/>
            </w:pPr>
            <w:r>
              <w:rPr>
                <w:color w:val="0171B9"/>
              </w:rPr>
              <w:t>•</w:t>
            </w:r>
            <w:r>
              <w:rPr/>
              <w:t>   </w:t>
            </w:r>
            <w:r>
              <w:rPr>
                <w:rFonts w:ascii="arial" w:hAnsi="arial"/>
                <w:sz w:val="19"/>
              </w:rPr>
              <w:t>Compete intensely and win;</w:t>
            </w:r>
          </w:p>
        </w:tc>
        <w:tc>
          <w:tcPr>
            <w:tcW w:w="134" w:type="dxa"/>
            <w:tcBorders/>
            <w:shd w:fill="E5F0F8" w:val="clear"/>
            <w:vAlign w:val="center"/>
          </w:tcPr>
          <w:p>
            <w:pPr>
              <w:pStyle w:val="TableContents"/>
              <w:bidi w:val="0"/>
              <w:spacing w:before="0" w:after="283"/>
              <w:jc w:val="left"/>
              <w:rPr/>
            </w:pPr>
            <w:r>
              <w:rPr/>
              <w:t>  </w:t>
            </w:r>
          </w:p>
        </w:tc>
        <w:tc>
          <w:tcPr>
            <w:tcW w:w="4759" w:type="dxa"/>
            <w:tcBorders>
              <w:right w:val="single" w:sz="12" w:space="0" w:color="0171B9"/>
            </w:tcBorders>
            <w:shd w:fill="E5F0F8" w:val="clear"/>
            <w:tcMar>
              <w:right w:w="28" w:type="dxa"/>
            </w:tcMar>
            <w:vAlign w:val="center"/>
          </w:tcPr>
          <w:p>
            <w:pPr>
              <w:pStyle w:val="TableContents"/>
              <w:bidi w:val="0"/>
              <w:spacing w:before="0" w:after="0"/>
              <w:jc w:val="both"/>
              <w:rPr/>
            </w:pPr>
            <w:r>
              <w:rPr>
                <w:color w:val="0171B9"/>
              </w:rPr>
              <w:t>•</w:t>
            </w:r>
            <w:r>
              <w:rPr/>
              <w:t>   </w:t>
            </w:r>
            <w:r>
              <w:rPr>
                <w:rFonts w:ascii="arial" w:hAnsi="arial"/>
                <w:sz w:val="19"/>
              </w:rPr>
              <w:t>Ensure quality;</w:t>
            </w:r>
          </w:p>
        </w:tc>
        <w:tc>
          <w:tcPr>
            <w:tcW w:w="134" w:type="dxa"/>
            <w:tcBorders/>
            <w:vAlign w:val="center"/>
          </w:tcPr>
          <w:p>
            <w:pPr>
              <w:pStyle w:val="TableContents"/>
              <w:bidi w:val="0"/>
              <w:spacing w:before="0" w:after="283"/>
              <w:jc w:val="left"/>
              <w:rPr/>
            </w:pPr>
            <w:r>
              <w:rPr/>
              <w:t>  </w:t>
            </w:r>
          </w:p>
        </w:tc>
        <w:tc>
          <w:tcPr>
            <w:tcW w:w="85" w:type="dxa"/>
            <w:tcBorders>
              <w:right w:val="single" w:sz="6" w:space="0" w:color="0171B9"/>
            </w:tcBorders>
            <w:tcMar>
              <w:right w:w="40" w:type="dxa"/>
            </w:tcMar>
            <w:vAlign w:val="center"/>
          </w:tcPr>
          <w:p>
            <w:pPr>
              <w:pStyle w:val="TableContents"/>
              <w:bidi w:val="0"/>
              <w:spacing w:before="0" w:after="283"/>
              <w:jc w:val="left"/>
              <w:rPr/>
            </w:pPr>
            <w:r>
              <w:rPr/>
              <w:t> </w:t>
            </w:r>
          </w:p>
        </w:tc>
      </w:tr>
      <w:tr>
        <w:trPr/>
        <w:tc>
          <w:tcPr>
            <w:tcW w:w="83" w:type="dxa"/>
            <w:tcBorders>
              <w:left w:val="single" w:sz="6" w:space="0" w:color="0171B9"/>
            </w:tcBorders>
            <w:tcMar>
              <w:left w:w="160" w:type="dxa"/>
            </w:tcMar>
            <w:vAlign w:val="center"/>
          </w:tcPr>
          <w:p>
            <w:pPr>
              <w:pStyle w:val="TableContents"/>
              <w:bidi w:val="0"/>
              <w:spacing w:before="0" w:after="283"/>
              <w:jc w:val="left"/>
              <w:rPr/>
            </w:pPr>
            <w:r>
              <w:rPr/>
              <w:t> </w:t>
            </w:r>
          </w:p>
        </w:tc>
        <w:tc>
          <w:tcPr>
            <w:tcW w:w="66" w:type="dxa"/>
            <w:tcBorders>
              <w:left w:val="single" w:sz="12" w:space="0" w:color="0171B9"/>
            </w:tcBorders>
            <w:shd w:fill="E5F0F8" w:val="clear"/>
            <w:tcMar>
              <w:left w:w="28" w:type="dxa"/>
            </w:tcMar>
            <w:vAlign w:val="center"/>
          </w:tcPr>
          <w:p>
            <w:pPr>
              <w:pStyle w:val="TableContents"/>
              <w:bidi w:val="0"/>
              <w:spacing w:before="0" w:after="283"/>
              <w:jc w:val="left"/>
              <w:rPr/>
            </w:pPr>
            <w:r>
              <w:rPr/>
              <w:t> </w:t>
            </w:r>
          </w:p>
        </w:tc>
        <w:tc>
          <w:tcPr>
            <w:tcW w:w="4944" w:type="dxa"/>
            <w:tcBorders/>
            <w:shd w:fill="E5F0F8" w:val="clear"/>
            <w:vAlign w:val="center"/>
          </w:tcPr>
          <w:p>
            <w:pPr>
              <w:pStyle w:val="TableContents"/>
              <w:bidi w:val="0"/>
              <w:spacing w:before="0" w:after="0"/>
              <w:jc w:val="both"/>
              <w:rPr/>
            </w:pPr>
            <w:r>
              <w:rPr>
                <w:color w:val="0171B9"/>
              </w:rPr>
              <w:t>•</w:t>
            </w:r>
            <w:r>
              <w:rPr/>
              <w:t>   </w:t>
            </w:r>
            <w:r>
              <w:rPr>
                <w:rFonts w:ascii="arial" w:hAnsi="arial"/>
                <w:sz w:val="19"/>
              </w:rPr>
              <w:t>Create value for patients, staff, and stockholders;</w:t>
            </w:r>
          </w:p>
        </w:tc>
        <w:tc>
          <w:tcPr>
            <w:tcW w:w="134" w:type="dxa"/>
            <w:tcBorders/>
            <w:shd w:fill="E5F0F8" w:val="clear"/>
            <w:vAlign w:val="center"/>
          </w:tcPr>
          <w:p>
            <w:pPr>
              <w:pStyle w:val="TableContents"/>
              <w:bidi w:val="0"/>
              <w:spacing w:before="0" w:after="283"/>
              <w:jc w:val="left"/>
              <w:rPr/>
            </w:pPr>
            <w:r>
              <w:rPr/>
              <w:t>  </w:t>
            </w:r>
          </w:p>
        </w:tc>
        <w:tc>
          <w:tcPr>
            <w:tcW w:w="4759" w:type="dxa"/>
            <w:tcBorders>
              <w:right w:val="single" w:sz="12" w:space="0" w:color="0171B9"/>
            </w:tcBorders>
            <w:shd w:fill="E5F0F8" w:val="clear"/>
            <w:tcMar>
              <w:right w:w="28" w:type="dxa"/>
            </w:tcMar>
            <w:vAlign w:val="center"/>
          </w:tcPr>
          <w:p>
            <w:pPr>
              <w:pStyle w:val="TableContents"/>
              <w:bidi w:val="0"/>
              <w:spacing w:before="0" w:after="0"/>
              <w:jc w:val="both"/>
              <w:rPr/>
            </w:pPr>
            <w:r>
              <w:rPr>
                <w:color w:val="0171B9"/>
              </w:rPr>
              <w:t>•</w:t>
            </w:r>
            <w:r>
              <w:rPr/>
              <w:t>   </w:t>
            </w:r>
            <w:r>
              <w:rPr>
                <w:rFonts w:ascii="arial" w:hAnsi="arial"/>
                <w:sz w:val="19"/>
              </w:rPr>
              <w:t>Work in teams; and</w:t>
            </w:r>
          </w:p>
        </w:tc>
        <w:tc>
          <w:tcPr>
            <w:tcW w:w="134" w:type="dxa"/>
            <w:tcBorders/>
            <w:vAlign w:val="center"/>
          </w:tcPr>
          <w:p>
            <w:pPr>
              <w:pStyle w:val="TableContents"/>
              <w:bidi w:val="0"/>
              <w:spacing w:before="0" w:after="283"/>
              <w:jc w:val="left"/>
              <w:rPr/>
            </w:pPr>
            <w:r>
              <w:rPr/>
              <w:t>  </w:t>
            </w:r>
          </w:p>
        </w:tc>
        <w:tc>
          <w:tcPr>
            <w:tcW w:w="85" w:type="dxa"/>
            <w:tcBorders>
              <w:right w:val="single" w:sz="6" w:space="0" w:color="0171B9"/>
            </w:tcBorders>
            <w:tcMar>
              <w:right w:w="40" w:type="dxa"/>
            </w:tcMar>
            <w:vAlign w:val="center"/>
          </w:tcPr>
          <w:p>
            <w:pPr>
              <w:pStyle w:val="TableContents"/>
              <w:bidi w:val="0"/>
              <w:spacing w:before="0" w:after="283"/>
              <w:jc w:val="left"/>
              <w:rPr/>
            </w:pPr>
            <w:r>
              <w:rPr/>
              <w:t> </w:t>
            </w:r>
          </w:p>
        </w:tc>
      </w:tr>
      <w:tr>
        <w:trPr/>
        <w:tc>
          <w:tcPr>
            <w:tcW w:w="83" w:type="dxa"/>
            <w:tcBorders>
              <w:left w:val="single" w:sz="6" w:space="0" w:color="0171B9"/>
            </w:tcBorders>
            <w:tcMar>
              <w:left w:w="160" w:type="dxa"/>
            </w:tcMar>
            <w:vAlign w:val="center"/>
          </w:tcPr>
          <w:p>
            <w:pPr>
              <w:pStyle w:val="TableContents"/>
              <w:bidi w:val="0"/>
              <w:spacing w:before="0" w:after="283"/>
              <w:jc w:val="left"/>
              <w:rPr/>
            </w:pPr>
            <w:r>
              <w:rPr/>
              <w:t> </w:t>
            </w:r>
          </w:p>
        </w:tc>
        <w:tc>
          <w:tcPr>
            <w:tcW w:w="66" w:type="dxa"/>
            <w:tcBorders>
              <w:left w:val="single" w:sz="12" w:space="0" w:color="0171B9"/>
            </w:tcBorders>
            <w:shd w:fill="E5F0F8" w:val="clear"/>
            <w:tcMar>
              <w:left w:w="28" w:type="dxa"/>
            </w:tcMar>
            <w:vAlign w:val="center"/>
          </w:tcPr>
          <w:p>
            <w:pPr>
              <w:pStyle w:val="TableContents"/>
              <w:bidi w:val="0"/>
              <w:spacing w:before="0" w:after="283"/>
              <w:jc w:val="left"/>
              <w:rPr/>
            </w:pPr>
            <w:r>
              <w:rPr/>
              <w:t> </w:t>
            </w:r>
          </w:p>
        </w:tc>
        <w:tc>
          <w:tcPr>
            <w:tcW w:w="4944" w:type="dxa"/>
            <w:tcBorders/>
            <w:shd w:fill="E5F0F8" w:val="clear"/>
            <w:vAlign w:val="center"/>
          </w:tcPr>
          <w:p>
            <w:pPr>
              <w:pStyle w:val="TableContents"/>
              <w:bidi w:val="0"/>
              <w:spacing w:before="0" w:after="0"/>
              <w:jc w:val="both"/>
              <w:rPr/>
            </w:pPr>
            <w:r>
              <w:rPr>
                <w:color w:val="0171B9"/>
              </w:rPr>
              <w:t>•</w:t>
            </w:r>
            <w:r>
              <w:rPr/>
              <w:t>   </w:t>
            </w:r>
            <w:r>
              <w:rPr>
                <w:rFonts w:ascii="arial" w:hAnsi="arial"/>
                <w:sz w:val="19"/>
              </w:rPr>
              <w:t>Be ethical;</w:t>
            </w:r>
          </w:p>
        </w:tc>
        <w:tc>
          <w:tcPr>
            <w:tcW w:w="134" w:type="dxa"/>
            <w:tcBorders/>
            <w:shd w:fill="E5F0F8" w:val="clear"/>
            <w:vAlign w:val="center"/>
          </w:tcPr>
          <w:p>
            <w:pPr>
              <w:pStyle w:val="TableContents"/>
              <w:bidi w:val="0"/>
              <w:spacing w:before="0" w:after="283"/>
              <w:jc w:val="left"/>
              <w:rPr/>
            </w:pPr>
            <w:r>
              <w:rPr/>
              <w:t>  </w:t>
            </w:r>
          </w:p>
        </w:tc>
        <w:tc>
          <w:tcPr>
            <w:tcW w:w="4759" w:type="dxa"/>
            <w:tcBorders>
              <w:right w:val="single" w:sz="12" w:space="0" w:color="0171B9"/>
            </w:tcBorders>
            <w:shd w:fill="E5F0F8" w:val="clear"/>
            <w:tcMar>
              <w:right w:w="28" w:type="dxa"/>
            </w:tcMar>
            <w:vAlign w:val="center"/>
          </w:tcPr>
          <w:p>
            <w:pPr>
              <w:pStyle w:val="TableContents"/>
              <w:bidi w:val="0"/>
              <w:spacing w:before="0" w:after="0"/>
              <w:jc w:val="left"/>
              <w:rPr/>
            </w:pPr>
            <w:r>
              <w:rPr>
                <w:color w:val="0171B9"/>
              </w:rPr>
              <w:t>•</w:t>
            </w:r>
            <w:r>
              <w:rPr/>
              <w:t>   </w:t>
            </w:r>
            <w:r>
              <w:rPr>
                <w:rFonts w:ascii="arial" w:hAnsi="arial"/>
                <w:sz w:val="19"/>
              </w:rPr>
              <w:t>Collaborate, communicate, and be accountable.</w:t>
            </w:r>
          </w:p>
        </w:tc>
        <w:tc>
          <w:tcPr>
            <w:tcW w:w="134" w:type="dxa"/>
            <w:tcBorders/>
            <w:vAlign w:val="center"/>
          </w:tcPr>
          <w:p>
            <w:pPr>
              <w:pStyle w:val="TableContents"/>
              <w:bidi w:val="0"/>
              <w:spacing w:before="0" w:after="283"/>
              <w:jc w:val="left"/>
              <w:rPr/>
            </w:pPr>
            <w:r>
              <w:rPr/>
              <w:t>  </w:t>
            </w:r>
          </w:p>
        </w:tc>
        <w:tc>
          <w:tcPr>
            <w:tcW w:w="85" w:type="dxa"/>
            <w:tcBorders>
              <w:right w:val="single" w:sz="6" w:space="0" w:color="0171B9"/>
            </w:tcBorders>
            <w:tcMar>
              <w:right w:w="40" w:type="dxa"/>
            </w:tcMar>
            <w:vAlign w:val="center"/>
          </w:tcPr>
          <w:p>
            <w:pPr>
              <w:pStyle w:val="TableContents"/>
              <w:bidi w:val="0"/>
              <w:spacing w:before="0" w:after="283"/>
              <w:jc w:val="left"/>
              <w:rPr/>
            </w:pPr>
            <w:r>
              <w:rPr/>
              <w:t> </w:t>
            </w:r>
          </w:p>
        </w:tc>
      </w:tr>
      <w:tr>
        <w:trPr/>
        <w:tc>
          <w:tcPr>
            <w:tcW w:w="83" w:type="dxa"/>
            <w:tcBorders>
              <w:left w:val="single" w:sz="6" w:space="0" w:color="0171B9"/>
            </w:tcBorders>
            <w:tcMar>
              <w:left w:w="160" w:type="dxa"/>
            </w:tcMar>
            <w:vAlign w:val="center"/>
          </w:tcPr>
          <w:p>
            <w:pPr>
              <w:pStyle w:val="TableContents"/>
              <w:bidi w:val="0"/>
              <w:spacing w:before="0" w:after="283"/>
              <w:jc w:val="left"/>
              <w:rPr/>
            </w:pPr>
            <w:r>
              <w:rPr/>
              <w:t> </w:t>
            </w:r>
          </w:p>
        </w:tc>
        <w:tc>
          <w:tcPr>
            <w:tcW w:w="9903" w:type="dxa"/>
            <w:gridSpan w:val="4"/>
            <w:tcBorders>
              <w:left w:val="single" w:sz="12" w:space="0" w:color="0171B9"/>
              <w:right w:val="single" w:sz="12" w:space="0" w:color="0171B9"/>
            </w:tcBorders>
            <w:shd w:fill="0171B9" w:val="clear"/>
            <w:tcMar>
              <w:left w:w="28" w:type="dxa"/>
              <w:right w:w="28" w:type="dxa"/>
            </w:tcMar>
            <w:vAlign w:val="center"/>
          </w:tcPr>
          <w:p>
            <w:pPr>
              <w:pStyle w:val="TableContents"/>
              <w:bidi w:val="0"/>
              <w:spacing w:before="0" w:after="283"/>
              <w:jc w:val="left"/>
              <w:rPr/>
            </w:pPr>
            <w:r>
              <w:rPr/>
              <w:t> </w:t>
            </w:r>
          </w:p>
        </w:tc>
        <w:tc>
          <w:tcPr>
            <w:tcW w:w="219" w:type="dxa"/>
            <w:gridSpan w:val="2"/>
            <w:tcBorders>
              <w:right w:val="single" w:sz="6" w:space="0" w:color="0171B9"/>
            </w:tcBorders>
            <w:tcMar>
              <w:right w:w="28" w:type="dxa"/>
            </w:tcMar>
            <w:vAlign w:val="center"/>
          </w:tcPr>
          <w:p>
            <w:pPr>
              <w:pStyle w:val="TableContents"/>
              <w:bidi w:val="0"/>
              <w:spacing w:before="0" w:after="283"/>
              <w:jc w:val="left"/>
              <w:rPr/>
            </w:pPr>
            <w:r>
              <w:rPr/>
              <w:t> </w:t>
            </w:r>
          </w:p>
        </w:tc>
      </w:tr>
      <w:tr>
        <w:trPr/>
        <w:tc>
          <w:tcPr>
            <w:tcW w:w="83" w:type="dxa"/>
            <w:tcBorders>
              <w:left w:val="single" w:sz="6" w:space="0" w:color="0171B9"/>
            </w:tcBorders>
            <w:tcMar>
              <w:left w:w="160" w:type="dxa"/>
            </w:tcMar>
            <w:vAlign w:val="center"/>
          </w:tcPr>
          <w:p>
            <w:pPr>
              <w:pStyle w:val="TableContents"/>
              <w:bidi w:val="0"/>
              <w:spacing w:before="0" w:after="283"/>
              <w:jc w:val="left"/>
              <w:rPr/>
            </w:pPr>
            <w:r>
              <w:rPr/>
              <w:t> </w:t>
            </w:r>
          </w:p>
        </w:tc>
        <w:tc>
          <w:tcPr>
            <w:tcW w:w="66" w:type="dxa"/>
            <w:tcBorders>
              <w:left w:val="single" w:sz="12" w:space="0" w:color="0171B9"/>
              <w:bottom w:val="single" w:sz="12" w:space="0" w:color="0171B9"/>
            </w:tcBorders>
            <w:shd w:fill="0171B9" w:val="clear"/>
            <w:tcMar>
              <w:left w:w="28" w:type="dxa"/>
              <w:bottom w:w="28" w:type="dxa"/>
            </w:tcMar>
            <w:vAlign w:val="center"/>
          </w:tcPr>
          <w:p>
            <w:pPr>
              <w:pStyle w:val="TableContents"/>
              <w:bidi w:val="0"/>
              <w:spacing w:before="0" w:after="283"/>
              <w:jc w:val="left"/>
              <w:rPr/>
            </w:pPr>
            <w:r>
              <w:rPr/>
              <w:t> </w:t>
            </w:r>
          </w:p>
        </w:tc>
        <w:tc>
          <w:tcPr>
            <w:tcW w:w="9837" w:type="dxa"/>
            <w:gridSpan w:val="3"/>
            <w:tcBorders>
              <w:bottom w:val="single" w:sz="12" w:space="0" w:color="0171B9"/>
              <w:right w:val="single" w:sz="12" w:space="0" w:color="0171B9"/>
            </w:tcBorders>
            <w:shd w:fill="0171B9" w:val="clear"/>
            <w:tcMar>
              <w:bottom w:w="40" w:type="dxa"/>
              <w:right w:w="28" w:type="dxa"/>
            </w:tcMar>
            <w:vAlign w:val="center"/>
          </w:tcPr>
          <w:p>
            <w:pPr>
              <w:pStyle w:val="TableContents"/>
              <w:bidi w:val="0"/>
              <w:spacing w:before="0" w:after="0"/>
              <w:jc w:val="center"/>
              <w:rPr>
                <w:rFonts w:ascii="arial" w:hAnsi="arial"/>
                <w:b/>
                <w:color w:val="FFFFFF"/>
                <w:sz w:val="19"/>
              </w:rPr>
            </w:pPr>
            <w:r>
              <w:rPr>
                <w:rFonts w:ascii="arial" w:hAnsi="arial"/>
                <w:b/>
                <w:color w:val="FFFFFF"/>
                <w:sz w:val="19"/>
              </w:rPr>
              <w:t xml:space="preserve">Annual performance reviews for all staff members are designed to weight equally </w:t>
            </w:r>
            <w:r>
              <w:rPr>
                <w:rFonts w:ascii="arial" w:hAnsi="arial"/>
                <w:b/>
                <w:color w:val="FFFFFF"/>
                <w:sz w:val="19"/>
                <w:u w:val="single"/>
              </w:rPr>
              <w:t>what</w:t>
            </w:r>
            <w:r>
              <w:rPr>
                <w:rFonts w:ascii="arial" w:hAnsi="arial"/>
                <w:b/>
                <w:color w:val="FFFFFF"/>
                <w:sz w:val="19"/>
              </w:rPr>
              <w:t xml:space="preserve"> was accomplished</w:t>
            </w:r>
          </w:p>
          <w:p>
            <w:pPr>
              <w:pStyle w:val="TableContents"/>
              <w:bidi w:val="0"/>
              <w:spacing w:before="0" w:after="0"/>
              <w:jc w:val="center"/>
              <w:rPr>
                <w:rFonts w:ascii="arial" w:hAnsi="arial"/>
                <w:b/>
                <w:color w:val="FFFFFF"/>
                <w:sz w:val="19"/>
              </w:rPr>
            </w:pPr>
            <w:r>
              <w:rPr>
                <w:rFonts w:ascii="arial" w:hAnsi="arial"/>
                <w:b/>
                <w:color w:val="FFFFFF"/>
                <w:sz w:val="19"/>
              </w:rPr>
              <w:t xml:space="preserve">as well as </w:t>
            </w:r>
            <w:r>
              <w:rPr>
                <w:rFonts w:ascii="arial" w:hAnsi="arial"/>
                <w:b/>
                <w:color w:val="FFFFFF"/>
                <w:sz w:val="19"/>
                <w:u w:val="single"/>
              </w:rPr>
              <w:t>how</w:t>
            </w:r>
            <w:r>
              <w:rPr>
                <w:rFonts w:ascii="arial" w:hAnsi="arial"/>
                <w:b/>
                <w:color w:val="FFFFFF"/>
                <w:sz w:val="19"/>
              </w:rPr>
              <w:t xml:space="preserve"> it was accomplished in accordance with the Amgen Values</w:t>
            </w:r>
          </w:p>
          <w:p>
            <w:pPr>
              <w:pStyle w:val="TableContents"/>
              <w:bidi w:val="0"/>
              <w:spacing w:before="0" w:after="20"/>
              <w:jc w:val="left"/>
              <w:rPr/>
            </w:pPr>
            <w:r>
              <w:rPr/>
              <w:t> </w:t>
            </w:r>
          </w:p>
        </w:tc>
        <w:tc>
          <w:tcPr>
            <w:tcW w:w="134" w:type="dxa"/>
            <w:tcBorders/>
            <w:vAlign w:val="center"/>
          </w:tcPr>
          <w:p>
            <w:pPr>
              <w:pStyle w:val="TableContents"/>
              <w:bidi w:val="0"/>
              <w:spacing w:before="0" w:after="283"/>
              <w:jc w:val="left"/>
              <w:rPr/>
            </w:pPr>
            <w:r>
              <w:rPr/>
              <w:t>  </w:t>
            </w:r>
          </w:p>
        </w:tc>
        <w:tc>
          <w:tcPr>
            <w:tcW w:w="85" w:type="dxa"/>
            <w:tcBorders>
              <w:right w:val="single" w:sz="6" w:space="0" w:color="0171B9"/>
            </w:tcBorders>
            <w:tcMar>
              <w:right w:w="40" w:type="dxa"/>
            </w:tcMar>
            <w:vAlign w:val="center"/>
          </w:tcPr>
          <w:p>
            <w:pPr>
              <w:pStyle w:val="TableContents"/>
              <w:bidi w:val="0"/>
              <w:spacing w:before="0" w:after="283"/>
              <w:jc w:val="left"/>
              <w:rPr/>
            </w:pPr>
            <w:r>
              <w:rPr/>
              <w:t> </w:t>
            </w:r>
          </w:p>
        </w:tc>
      </w:tr>
      <w:tr>
        <w:trPr/>
        <w:tc>
          <w:tcPr>
            <w:tcW w:w="83" w:type="dxa"/>
            <w:tcBorders>
              <w:left w:val="single" w:sz="6" w:space="0" w:color="0171B9"/>
              <w:bottom w:val="single" w:sz="6" w:space="0" w:color="0171B9"/>
            </w:tcBorders>
            <w:tcMar>
              <w:left w:w="160" w:type="dxa"/>
              <w:bottom w:w="28" w:type="dxa"/>
            </w:tcMar>
            <w:vAlign w:val="center"/>
          </w:tcPr>
          <w:p>
            <w:pPr>
              <w:pStyle w:val="TableContents"/>
              <w:bidi w:val="0"/>
              <w:spacing w:before="0" w:after="283"/>
              <w:jc w:val="left"/>
              <w:rPr/>
            </w:pPr>
            <w:r>
              <w:rPr/>
              <w:t> </w:t>
            </w:r>
          </w:p>
        </w:tc>
        <w:tc>
          <w:tcPr>
            <w:tcW w:w="66" w:type="dxa"/>
            <w:tcBorders>
              <w:bottom w:val="single" w:sz="6" w:space="0" w:color="0171B9"/>
            </w:tcBorders>
            <w:tcMar>
              <w:bottom w:w="28" w:type="dxa"/>
            </w:tcMar>
            <w:vAlign w:val="center"/>
          </w:tcPr>
          <w:p>
            <w:pPr>
              <w:pStyle w:val="TableContents"/>
              <w:bidi w:val="0"/>
              <w:spacing w:before="0" w:after="283"/>
              <w:jc w:val="left"/>
              <w:rPr/>
            </w:pPr>
            <w:r>
              <w:rPr/>
              <w:t> </w:t>
            </w:r>
          </w:p>
        </w:tc>
        <w:tc>
          <w:tcPr>
            <w:tcW w:w="4944" w:type="dxa"/>
            <w:tcBorders>
              <w:bottom w:val="single" w:sz="6" w:space="0" w:color="0171B9"/>
            </w:tcBorders>
            <w:tcMar>
              <w:bottom w:w="28" w:type="dxa"/>
            </w:tcMar>
            <w:vAlign w:val="center"/>
          </w:tcPr>
          <w:p>
            <w:pPr>
              <w:pStyle w:val="TableContents"/>
              <w:bidi w:val="0"/>
              <w:spacing w:before="0" w:after="283"/>
              <w:jc w:val="left"/>
              <w:rPr/>
            </w:pPr>
            <w:r>
              <w:rPr/>
              <w:t> </w:t>
            </w:r>
          </w:p>
        </w:tc>
        <w:tc>
          <w:tcPr>
            <w:tcW w:w="134" w:type="dxa"/>
            <w:tcBorders>
              <w:bottom w:val="single" w:sz="6" w:space="0" w:color="0171B9"/>
            </w:tcBorders>
            <w:tcMar>
              <w:bottom w:w="28" w:type="dxa"/>
            </w:tcMar>
            <w:vAlign w:val="center"/>
          </w:tcPr>
          <w:p>
            <w:pPr>
              <w:pStyle w:val="TableContents"/>
              <w:bidi w:val="0"/>
              <w:spacing w:before="0" w:after="283"/>
              <w:jc w:val="left"/>
              <w:rPr/>
            </w:pPr>
            <w:r>
              <w:rPr/>
              <w:t>  </w:t>
            </w:r>
          </w:p>
        </w:tc>
        <w:tc>
          <w:tcPr>
            <w:tcW w:w="4759" w:type="dxa"/>
            <w:tcBorders>
              <w:bottom w:val="single" w:sz="6" w:space="0" w:color="0171B9"/>
            </w:tcBorders>
            <w:tcMar>
              <w:bottom w:w="28" w:type="dxa"/>
            </w:tcMar>
            <w:vAlign w:val="center"/>
          </w:tcPr>
          <w:p>
            <w:pPr>
              <w:pStyle w:val="TableContents"/>
              <w:bidi w:val="0"/>
              <w:spacing w:before="0" w:after="283"/>
              <w:jc w:val="left"/>
              <w:rPr/>
            </w:pPr>
            <w:r>
              <w:rPr/>
              <w:t> </w:t>
            </w:r>
          </w:p>
        </w:tc>
        <w:tc>
          <w:tcPr>
            <w:tcW w:w="134" w:type="dxa"/>
            <w:tcBorders>
              <w:bottom w:val="single" w:sz="6" w:space="0" w:color="0171B9"/>
            </w:tcBorders>
            <w:tcMar>
              <w:bottom w:w="28" w:type="dxa"/>
            </w:tcMar>
            <w:vAlign w:val="center"/>
          </w:tcPr>
          <w:p>
            <w:pPr>
              <w:pStyle w:val="TableContents"/>
              <w:bidi w:val="0"/>
              <w:spacing w:before="0" w:after="283"/>
              <w:jc w:val="left"/>
              <w:rPr/>
            </w:pPr>
            <w:r>
              <w:rPr/>
              <w:t>  </w:t>
            </w:r>
          </w:p>
        </w:tc>
        <w:tc>
          <w:tcPr>
            <w:tcW w:w="85" w:type="dxa"/>
            <w:tcBorders>
              <w:bottom w:val="single" w:sz="6" w:space="0" w:color="0171B9"/>
              <w:right w:val="single" w:sz="6" w:space="0" w:color="0171B9"/>
            </w:tcBorders>
            <w:tcMar>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52">
                <wp:simplePos x="0" y="0"/>
                <wp:positionH relativeFrom="column">
                  <wp:align>left</wp:align>
                </wp:positionH>
                <wp:positionV relativeFrom="line">
                  <wp:posOffset>635</wp:posOffset>
                </wp:positionV>
                <wp:extent cx="3110230" cy="4152900"/>
                <wp:effectExtent l="0" t="0" r="0" b="0"/>
                <wp:wrapSquare wrapText="right"/>
                <wp:docPr id="237" name="Frame111"/>
                <a:graphic xmlns:a="http://schemas.openxmlformats.org/drawingml/2006/main">
                  <a:graphicData uri="http://schemas.microsoft.com/office/word/2010/wordprocessingShape">
                    <wps:wsp>
                      <wps:cNvSpPr txBox="1"/>
                      <wps:spPr>
                        <a:xfrm>
                          <a:off x="0" y="0"/>
                          <a:ext cx="3110230" cy="4152900"/>
                        </a:xfrm>
                        <a:prstGeom prst="rect"/>
                        <a:solidFill>
                          <a:srgbClr val="FFFFFF"/>
                        </a:solidFill>
                      </wps:spPr>
                      <wps:txbx>
                        <w:txbxContent>
                          <w:p>
                            <w:pPr>
                              <w:pStyle w:val="TextBody"/>
                              <w:bidi w:val="0"/>
                              <w:spacing w:before="0" w:after="0"/>
                              <w:jc w:val="left"/>
                              <w:rPr>
                                <w:rFonts w:ascii="arial" w:hAnsi="arial"/>
                                <w:b/>
                                <w:sz w:val="24"/>
                              </w:rPr>
                            </w:pPr>
                            <w:r>
                              <w:rPr>
                                <w:rFonts w:ascii="arial" w:hAnsi="arial"/>
                                <w:b/>
                                <w:sz w:val="24"/>
                              </w:rPr>
                              <w:t xml:space="preserve">Retaining and Attracting Executive Talent </w:t>
                            </w:r>
                          </w:p>
                          <w:p>
                            <w:pPr>
                              <w:pStyle w:val="TextBody"/>
                              <w:bidi w:val="0"/>
                              <w:spacing w:before="120" w:after="0"/>
                              <w:jc w:val="both"/>
                              <w:rPr>
                                <w:rFonts w:ascii="arial" w:hAnsi="arial"/>
                                <w:sz w:val="19"/>
                              </w:rPr>
                            </w:pPr>
                            <w:r>
                              <w:rPr>
                                <w:rFonts w:ascii="arial" w:hAnsi="arial"/>
                                <w:sz w:val="19"/>
                              </w:rPr>
                              <w:t xml:space="preserve">The Compensation Committee recognizes the unique demands of our industry, including its complex regulatory and reimbursement environment, and the challenges of running an enterprise focused on the discovery, development, manufacture, and commercialization of biologic medicines to address serious illness. The Compensation Committee believes that these unique demands require executive talent that has significant industry experience as well as, for certain key functions, specific scientific expertise to oversee research and development activities and the complex manufacturing requirements of biologic products. Further, the Compensation Committee believes that these very particular skills and capabilities limit the pool of talent from which we can recruit and also cause our employees to be highly valued and sought after in our industry. These factors inform the compensation decisions of the Compensation Committee. </w:t>
                            </w:r>
                          </w:p>
                          <w:p>
                            <w:pPr>
                              <w:pStyle w:val="TextBody"/>
                              <w:bidi w:val="0"/>
                              <w:spacing w:before="240" w:after="0"/>
                              <w:jc w:val="left"/>
                              <w:rPr>
                                <w:rFonts w:ascii="arial" w:hAnsi="arial"/>
                                <w:b/>
                                <w:sz w:val="24"/>
                              </w:rPr>
                            </w:pPr>
                            <w:r>
                              <w:rPr>
                                <w:rFonts w:ascii="arial" w:hAnsi="arial"/>
                                <w:b/>
                                <w:sz w:val="24"/>
                              </w:rPr>
                              <w:t xml:space="preserve">Use of Independent Compensation Committee Consultant </w:t>
                            </w:r>
                          </w:p>
                          <w:p>
                            <w:pPr>
                              <w:pStyle w:val="TextBody"/>
                              <w:bidi w:val="0"/>
                              <w:spacing w:before="120" w:after="0"/>
                              <w:jc w:val="both"/>
                              <w:rPr>
                                <w:rFonts w:ascii="arial" w:hAnsi="arial"/>
                                <w:sz w:val="19"/>
                              </w:rPr>
                            </w:pPr>
                            <w:r>
                              <w:rPr>
                                <w:rFonts w:ascii="arial" w:hAnsi="arial"/>
                                <w:sz w:val="19"/>
                              </w:rPr>
                              <w:t xml:space="preserve">For 2023, to assist the Compensation Committee in its review and determination of executive compensation, the Compensation Committee retained and directed the nature of the activity between FW Cook, an independent consultant, and management undertaking the responsibilities previously described in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27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sz w:val="24"/>
                        </w:rPr>
                      </w:pPr>
                      <w:r>
                        <w:rPr>
                          <w:rFonts w:ascii="arial" w:hAnsi="arial"/>
                          <w:b/>
                          <w:sz w:val="24"/>
                        </w:rPr>
                        <w:t xml:space="preserve">Retaining and Attracting Executive Talent </w:t>
                      </w:r>
                    </w:p>
                    <w:p>
                      <w:pPr>
                        <w:pStyle w:val="TextBody"/>
                        <w:bidi w:val="0"/>
                        <w:spacing w:before="120" w:after="0"/>
                        <w:jc w:val="both"/>
                        <w:rPr>
                          <w:rFonts w:ascii="arial" w:hAnsi="arial"/>
                          <w:sz w:val="19"/>
                        </w:rPr>
                      </w:pPr>
                      <w:r>
                        <w:rPr>
                          <w:rFonts w:ascii="arial" w:hAnsi="arial"/>
                          <w:sz w:val="19"/>
                        </w:rPr>
                        <w:t xml:space="preserve">The Compensation Committee recognizes the unique demands of our industry, including its complex regulatory and reimbursement environment, and the challenges of running an enterprise focused on the discovery, development, manufacture, and commercialization of biologic medicines to address serious illness. The Compensation Committee believes that these unique demands require executive talent that has significant industry experience as well as, for certain key functions, specific scientific expertise to oversee research and development activities and the complex manufacturing requirements of biologic products. Further, the Compensation Committee believes that these very particular skills and capabilities limit the pool of talent from which we can recruit and also cause our employees to be highly valued and sought after in our industry. These factors inform the compensation decisions of the Compensation Committee. </w:t>
                      </w:r>
                    </w:p>
                    <w:p>
                      <w:pPr>
                        <w:pStyle w:val="TextBody"/>
                        <w:bidi w:val="0"/>
                        <w:spacing w:before="240" w:after="0"/>
                        <w:jc w:val="left"/>
                        <w:rPr>
                          <w:rFonts w:ascii="arial" w:hAnsi="arial"/>
                          <w:b/>
                          <w:sz w:val="24"/>
                        </w:rPr>
                      </w:pPr>
                      <w:r>
                        <w:rPr>
                          <w:rFonts w:ascii="arial" w:hAnsi="arial"/>
                          <w:b/>
                          <w:sz w:val="24"/>
                        </w:rPr>
                        <w:t xml:space="preserve">Use of Independent Compensation Committee Consultant </w:t>
                      </w:r>
                    </w:p>
                    <w:p>
                      <w:pPr>
                        <w:pStyle w:val="TextBody"/>
                        <w:bidi w:val="0"/>
                        <w:spacing w:before="120" w:after="0"/>
                        <w:jc w:val="both"/>
                        <w:rPr>
                          <w:rFonts w:ascii="arial" w:hAnsi="arial"/>
                          <w:sz w:val="19"/>
                        </w:rPr>
                      </w:pPr>
                      <w:r>
                        <w:rPr>
                          <w:rFonts w:ascii="arial" w:hAnsi="arial"/>
                          <w:sz w:val="19"/>
                        </w:rPr>
                        <w:t xml:space="preserve">For 2023, to assist the Compensation Committee in its review and determination of executive compensation, the Compensation Committee retained and directed the nature of the activity between FW Cook, an independent consultant, and management undertaking the responsibilities previously described in </w:t>
                      </w:r>
                    </w:p>
                  </w:txbxContent>
                </v:textbox>
                <w10:wrap type="square" side="right"/>
              </v:rect>
            </w:pict>
          </mc:Fallback>
        </mc:AlternateContent>
      </w:r>
      <w:r>
        <mc:AlternateContent>
          <mc:Choice Requires="wps">
            <w:drawing>
              <wp:anchor behindDoc="0" distT="0" distB="0" distL="0" distR="0" simplePos="0" locked="0" layoutInCell="1" allowOverlap="1" relativeHeight="353">
                <wp:simplePos x="0" y="0"/>
                <wp:positionH relativeFrom="column">
                  <wp:align>left</wp:align>
                </wp:positionH>
                <wp:positionV relativeFrom="line">
                  <wp:posOffset>635</wp:posOffset>
                </wp:positionV>
                <wp:extent cx="3175000" cy="3926840"/>
                <wp:effectExtent l="0" t="0" r="0" b="0"/>
                <wp:wrapSquare wrapText="right"/>
                <wp:docPr id="238" name="Frame112"/>
                <a:graphic xmlns:a="http://schemas.openxmlformats.org/drawingml/2006/main">
                  <a:graphicData uri="http://schemas.microsoft.com/office/word/2010/wordprocessingShape">
                    <wps:wsp>
                      <wps:cNvSpPr txBox="1"/>
                      <wps:spPr>
                        <a:xfrm>
                          <a:off x="0" y="0"/>
                          <a:ext cx="3175000" cy="3926840"/>
                        </a:xfrm>
                        <a:prstGeom prst="rect"/>
                        <a:solidFill>
                          <a:srgbClr val="FFFFFF"/>
                        </a:solidFill>
                      </wps:spPr>
                      <wps:txbx>
                        <w:txbxContent>
                          <w:p>
                            <w:pPr>
                              <w:pStyle w:val="TextBody"/>
                              <w:bidi w:val="0"/>
                              <w:spacing w:before="0" w:after="0"/>
                              <w:jc w:val="both"/>
                              <w:rPr/>
                            </w:pPr>
                            <w:r>
                              <w:rPr/>
                              <w:t>“</w:t>
                            </w:r>
                            <w:r>
                              <w:rPr>
                                <w:rFonts w:ascii="arial" w:hAnsi="arial"/>
                                <w:sz w:val="19"/>
                              </w:rPr>
                              <w:t xml:space="preserve">How Compensation Decisions Are Made For Our Named Executive Officers” and, for 2023, including providing advice and consultation regarding regulatory updates, selection of our peer group, market competitiveness of our executive compensation programs, and our Equity Incentive Plan. The Governance and Nominating Committee also engaged FW Cook to assist in its 2023 review of director compensation. For more information regarding the 2023 review of director compensation, see “Director Compensation—Changes to Director Compensation for 2024.” The Company did not engage FW Cook for any other services at the Company in 2023. </w:t>
                            </w:r>
                          </w:p>
                          <w:p>
                            <w:pPr>
                              <w:pStyle w:val="TextBody"/>
                              <w:bidi w:val="0"/>
                              <w:spacing w:before="240" w:after="0"/>
                              <w:jc w:val="both"/>
                              <w:rPr>
                                <w:rFonts w:ascii="arial" w:hAnsi="arial"/>
                                <w:sz w:val="19"/>
                              </w:rPr>
                            </w:pPr>
                            <w:r>
                              <w:rPr>
                                <w:rFonts w:ascii="arial" w:hAnsi="arial"/>
                                <w:sz w:val="19"/>
                              </w:rPr>
                              <w:t xml:space="preserve">On an annual basis, FW Cook reviews our peer group with the Compensation Committee to determine whether the peer group remains appropriate. In July 2023, FW Cook recommended the continued use of the previously established objective criteria for consideration when developing the peer group pool, that no changes to the peer group be made, and that continued focus on U.S. peers was appropriate, recognizing that the non-U.S. peers reflect differences in law, stockholder influences, and governance practices. Based, in part, on these recommendations from FW Cook, as well as a review of the objective criteria, the Compensation Committee determined that this peer group, composed of 14 companies (nine of which are based in the U.S.) remains appropriate.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09.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pPr>
                      <w:r>
                        <w:rPr/>
                        <w:t>“</w:t>
                      </w:r>
                      <w:r>
                        <w:rPr>
                          <w:rFonts w:ascii="arial" w:hAnsi="arial"/>
                          <w:sz w:val="19"/>
                        </w:rPr>
                        <w:t xml:space="preserve">How Compensation Decisions Are Made For Our Named Executive Officers” and, for 2023, including providing advice and consultation regarding regulatory updates, selection of our peer group, market competitiveness of our executive compensation programs, and our Equity Incentive Plan. The Governance and Nominating Committee also engaged FW Cook to assist in its 2023 review of director compensation. For more information regarding the 2023 review of director compensation, see “Director Compensation—Changes to Director Compensation for 2024.” The Company did not engage FW Cook for any other services at the Company in 2023. </w:t>
                      </w:r>
                    </w:p>
                    <w:p>
                      <w:pPr>
                        <w:pStyle w:val="TextBody"/>
                        <w:bidi w:val="0"/>
                        <w:spacing w:before="240" w:after="0"/>
                        <w:jc w:val="both"/>
                        <w:rPr>
                          <w:rFonts w:ascii="arial" w:hAnsi="arial"/>
                          <w:sz w:val="19"/>
                        </w:rPr>
                      </w:pPr>
                      <w:r>
                        <w:rPr>
                          <w:rFonts w:ascii="arial" w:hAnsi="arial"/>
                          <w:sz w:val="19"/>
                        </w:rPr>
                        <w:t xml:space="preserve">On an annual basis, FW Cook reviews our peer group with the Compensation Committee to determine whether the peer group remains appropriate. In July 2023, FW Cook recommended the continued use of the previously established objective criteria for consideration when developing the peer group pool, that no changes to the peer group be made, and that continued focus on U.S. peers was appropriate, recognizing that the non-U.S. peers reflect differences in law, stockholder influences, and governance practices. Based, in part, on these recommendations from FW Cook, as well as a review of the objective criteria, the Compensation Committee determined that this peer group, composed of 14 companies (nine of which are based in the U.S.) remains appropriate.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64  </w:t>
      </w:r>
      <w:r>
        <w:rPr>
          <w:rFonts w:ascii="arial" w:hAnsi="arial"/>
          <w:b/>
          <w:color w:val="474747"/>
          <w:sz w:val="22"/>
        </w:rPr>
        <w:drawing>
          <wp:inline distT="0" distB="0" distL="0" distR="0">
            <wp:extent cx="64770" cy="15240"/>
            <wp:effectExtent l="0" t="0" r="0" b="0"/>
            <wp:docPr id="23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119" descr=""/>
                    <pic:cNvPicPr>
                      <a:picLocks noChangeAspect="1" noChangeArrowheads="1"/>
                    </pic:cNvPicPr>
                  </pic:nvPicPr>
                  <pic:blipFill>
                    <a:blip r:embed="rId128"/>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507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45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459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Compensation Discussion and Analysis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sz w:val="24"/>
        </w:rPr>
      </w:pPr>
      <w:r>
        <w:rPr>
          <w:rFonts w:ascii="arial" w:hAnsi="arial"/>
          <w:b/>
          <w:sz w:val="24"/>
        </w:rPr>
        <w:t xml:space="preserve">How We Establish Our Peer Group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5"/>
        <w:gridCol w:w="60"/>
        <w:gridCol w:w="6200"/>
        <w:gridCol w:w="159"/>
        <w:gridCol w:w="318"/>
        <w:gridCol w:w="73"/>
        <w:gridCol w:w="3260"/>
      </w:tblGrid>
      <w:tr>
        <w:trPr/>
        <w:tc>
          <w:tcPr>
            <w:tcW w:w="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0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135" w:type="dxa"/>
            <w:tcBorders/>
            <w:shd w:fill="0171B9" w:val="clear"/>
            <w:vAlign w:val="center"/>
          </w:tcPr>
          <w:p>
            <w:pPr>
              <w:pStyle w:val="TableContents"/>
              <w:bidi w:val="0"/>
              <w:spacing w:before="0" w:after="283"/>
              <w:jc w:val="left"/>
              <w:rPr>
                <w:sz w:val="4"/>
                <w:szCs w:val="4"/>
              </w:rPr>
            </w:pPr>
            <w:r>
              <w:rPr>
                <w:sz w:val="4"/>
                <w:szCs w:val="4"/>
              </w:rPr>
            </w:r>
          </w:p>
        </w:tc>
        <w:tc>
          <w:tcPr>
            <w:tcW w:w="10070" w:type="dxa"/>
            <w:gridSpan w:val="6"/>
            <w:tcBorders/>
            <w:shd w:fill="0171B9" w:val="clear"/>
            <w:vAlign w:val="center"/>
          </w:tcPr>
          <w:p>
            <w:pPr>
              <w:pStyle w:val="TableContents"/>
              <w:bidi w:val="0"/>
              <w:spacing w:before="0" w:after="283"/>
              <w:jc w:val="left"/>
              <w:rPr>
                <w:sz w:val="4"/>
                <w:szCs w:val="4"/>
              </w:rPr>
            </w:pPr>
            <w:r>
              <w:rPr>
                <w:sz w:val="4"/>
                <w:szCs w:val="4"/>
              </w:rPr>
            </w:r>
          </w:p>
        </w:tc>
      </w:tr>
      <w:tr>
        <w:trPr/>
        <w:tc>
          <w:tcPr>
            <w:tcW w:w="135"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0010" w:type="dxa"/>
            <w:gridSpan w:val="5"/>
            <w:tcBorders>
              <w:bottom w:val="single" w:sz="8" w:space="0" w:color="FFFFFF"/>
            </w:tcBorders>
            <w:shd w:fill="0171B9" w:val="clear"/>
            <w:tcMar>
              <w:bottom w:w="28" w:type="dxa"/>
            </w:tcMar>
            <w:vAlign w:val="center"/>
          </w:tcPr>
          <w:p>
            <w:pPr>
              <w:pStyle w:val="TableContents"/>
              <w:bidi w:val="0"/>
              <w:spacing w:before="0" w:after="0"/>
              <w:jc w:val="center"/>
              <w:rPr>
                <w:rFonts w:ascii="arial" w:hAnsi="arial"/>
                <w:b/>
                <w:color w:val="FFFFFF"/>
                <w:sz w:val="18"/>
              </w:rPr>
            </w:pPr>
            <w:r>
              <w:rPr>
                <w:rFonts w:ascii="arial" w:hAnsi="arial"/>
                <w:b/>
                <w:color w:val="FFFFFF"/>
                <w:sz w:val="18"/>
              </w:rPr>
              <w:t>2023 Peer Group Companies</w:t>
            </w:r>
          </w:p>
          <w:p>
            <w:pPr>
              <w:pStyle w:val="TableContents"/>
              <w:bidi w:val="0"/>
              <w:spacing w:before="0" w:after="20"/>
              <w:jc w:val="center"/>
              <w:rPr>
                <w:rFonts w:ascii="arial" w:hAnsi="arial"/>
                <w:b/>
                <w:color w:val="FFFFFF"/>
                <w:sz w:val="18"/>
              </w:rPr>
            </w:pPr>
            <w:r>
              <w:rPr>
                <w:rFonts w:ascii="arial" w:hAnsi="arial"/>
                <w:b/>
                <w:color w:val="FFFFFF"/>
                <w:sz w:val="18"/>
              </w:rPr>
              <w:t>We focus on biotechnology and pharmaceutical companies with which we compete for executive talent.</w:t>
            </w:r>
          </w:p>
        </w:tc>
      </w:tr>
      <w:tr>
        <w:trPr/>
        <w:tc>
          <w:tcPr>
            <w:tcW w:w="135" w:type="dxa"/>
            <w:tcBorders>
              <w:bottom w:val="single" w:sz="8" w:space="0" w:color="FFFFFF"/>
            </w:tcBorders>
            <w:shd w:fill="CCE2F1"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CCE2F1" w:val="clear"/>
            <w:tcMar>
              <w:bottom w:w="28" w:type="dxa"/>
            </w:tcMar>
            <w:vAlign w:val="center"/>
          </w:tcPr>
          <w:p>
            <w:pPr>
              <w:pStyle w:val="TableContents"/>
              <w:bidi w:val="0"/>
              <w:spacing w:before="0" w:after="283"/>
              <w:jc w:val="left"/>
              <w:rPr/>
            </w:pPr>
            <w:r>
              <w:rPr/>
              <w:t> </w:t>
            </w:r>
          </w:p>
        </w:tc>
        <w:tc>
          <w:tcPr>
            <w:tcW w:w="6200" w:type="dxa"/>
            <w:tcBorders>
              <w:bottom w:val="single" w:sz="8" w:space="0" w:color="FFFFFF"/>
            </w:tcBorders>
            <w:shd w:fill="CCE2F1" w:val="clear"/>
            <w:tcMar>
              <w:bottom w:w="28" w:type="dxa"/>
            </w:tcMar>
            <w:vAlign w:val="center"/>
          </w:tcPr>
          <w:p>
            <w:pPr>
              <w:pStyle w:val="TableContents"/>
              <w:bidi w:val="0"/>
              <w:spacing w:before="0" w:after="0"/>
              <w:jc w:val="center"/>
              <w:rPr>
                <w:rFonts w:ascii="arial" w:hAnsi="arial"/>
                <w:b/>
                <w:sz w:val="18"/>
              </w:rPr>
            </w:pPr>
            <w:r>
              <w:rPr>
                <w:rFonts w:ascii="arial" w:hAnsi="arial"/>
                <w:b/>
                <w:sz w:val="18"/>
              </w:rPr>
              <w:t>Objective Criteria Considered</w:t>
            </w:r>
          </w:p>
          <w:p>
            <w:pPr>
              <w:pStyle w:val="TableContents"/>
              <w:bidi w:val="0"/>
              <w:spacing w:before="0" w:after="20"/>
              <w:jc w:val="left"/>
              <w:rPr/>
            </w:pPr>
            <w:r>
              <w:rPr/>
              <w:t> </w:t>
            </w:r>
          </w:p>
        </w:tc>
        <w:tc>
          <w:tcPr>
            <w:tcW w:w="159" w:type="dxa"/>
            <w:tcBorders>
              <w:bottom w:val="single" w:sz="8" w:space="0" w:color="FFFFFF"/>
            </w:tcBorders>
            <w:shd w:fill="CCE2F1" w:val="clear"/>
            <w:tcMar>
              <w:bottom w:w="28" w:type="dxa"/>
            </w:tcMar>
            <w:vAlign w:val="center"/>
          </w:tcPr>
          <w:p>
            <w:pPr>
              <w:pStyle w:val="TableContents"/>
              <w:bidi w:val="0"/>
              <w:spacing w:before="0" w:after="283"/>
              <w:jc w:val="left"/>
              <w:rPr/>
            </w:pPr>
            <w:r>
              <w:rPr/>
              <w:t> </w:t>
            </w:r>
          </w:p>
        </w:tc>
        <w:tc>
          <w:tcPr>
            <w:tcW w:w="318" w:type="dxa"/>
            <w:tcBorders>
              <w:bottom w:val="single" w:sz="8" w:space="0" w:color="FFFFFF"/>
            </w:tcBorders>
            <w:shd w:fill="CCE2F1" w:val="clear"/>
            <w:tcMar>
              <w:bottom w:w="28" w:type="dxa"/>
            </w:tcMar>
            <w:vAlign w:val="center"/>
          </w:tcPr>
          <w:p>
            <w:pPr>
              <w:pStyle w:val="TableContents"/>
              <w:bidi w:val="0"/>
              <w:spacing w:before="0" w:after="283"/>
              <w:jc w:val="left"/>
              <w:rPr/>
            </w:pPr>
            <w:r>
              <w:rPr/>
              <w:t>  </w:t>
            </w:r>
          </w:p>
        </w:tc>
        <w:tc>
          <w:tcPr>
            <w:tcW w:w="73" w:type="dxa"/>
            <w:tcBorders>
              <w:bottom w:val="single" w:sz="8" w:space="0" w:color="FFFFFF"/>
            </w:tcBorders>
            <w:shd w:fill="CCE2F1" w:val="clear"/>
            <w:tcMar>
              <w:bottom w:w="28" w:type="dxa"/>
            </w:tcMar>
            <w:vAlign w:val="center"/>
          </w:tcPr>
          <w:p>
            <w:pPr>
              <w:pStyle w:val="TableContents"/>
              <w:bidi w:val="0"/>
              <w:spacing w:before="0" w:after="283"/>
              <w:jc w:val="left"/>
              <w:rPr/>
            </w:pPr>
            <w:r>
              <w:rPr/>
              <w:t> </w:t>
            </w:r>
          </w:p>
        </w:tc>
        <w:tc>
          <w:tcPr>
            <w:tcW w:w="3260" w:type="dxa"/>
            <w:tcBorders>
              <w:bottom w:val="single" w:sz="8" w:space="0" w:color="FFFFFF"/>
            </w:tcBorders>
            <w:shd w:fill="CCE2F1" w:val="clear"/>
            <w:tcMar>
              <w:bottom w:w="28" w:type="dxa"/>
            </w:tcMar>
            <w:vAlign w:val="center"/>
          </w:tcPr>
          <w:p>
            <w:pPr>
              <w:pStyle w:val="TableContents"/>
              <w:bidi w:val="0"/>
              <w:spacing w:before="0" w:after="0"/>
              <w:jc w:val="center"/>
              <w:rPr>
                <w:rFonts w:ascii="arial" w:hAnsi="arial"/>
                <w:b/>
                <w:sz w:val="18"/>
              </w:rPr>
            </w:pPr>
            <w:r>
              <w:rPr>
                <w:rFonts w:ascii="arial" w:hAnsi="arial"/>
                <w:b/>
                <w:sz w:val="18"/>
              </w:rPr>
              <w:t>2023 Peer Group</w:t>
            </w:r>
          </w:p>
          <w:p>
            <w:pPr>
              <w:pStyle w:val="TableContents"/>
              <w:bidi w:val="0"/>
              <w:spacing w:before="0" w:after="20"/>
              <w:jc w:val="left"/>
              <w:rPr/>
            </w:pPr>
            <w:r>
              <w:rPr/>
              <w:t> </w:t>
            </w:r>
          </w:p>
        </w:tc>
      </w:tr>
      <w:tr>
        <w:trPr/>
        <w:tc>
          <w:tcPr>
            <w:tcW w:w="135" w:type="dxa"/>
            <w:tcBorders>
              <w:bottom w:val="single" w:sz="8" w:space="0" w:color="0171B9"/>
            </w:tcBorders>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6677" w:type="dxa"/>
            <w:gridSpan w:val="3"/>
            <w:tcBorders>
              <w:bottom w:val="single" w:sz="8" w:space="0" w:color="0171B9"/>
            </w:tcBorders>
            <w:tcMar>
              <w:bottom w:w="28" w:type="dxa"/>
            </w:tcMar>
            <w:vAlign w:val="center"/>
          </w:tcPr>
          <w:p>
            <w:pPr>
              <w:pStyle w:val="TableContents"/>
              <w:bidi w:val="0"/>
              <w:spacing w:before="0" w:after="0"/>
              <w:jc w:val="left"/>
              <w:rPr/>
            </w:pPr>
            <w:r>
              <w:rPr>
                <w:color w:val="0171B9"/>
              </w:rPr>
              <w:t>•</w:t>
            </w:r>
            <w:r>
              <w:rPr/>
              <w:t>   </w:t>
            </w:r>
            <w:r>
              <w:rPr>
                <w:rFonts w:ascii="arial" w:hAnsi="arial"/>
                <w:sz w:val="19"/>
              </w:rPr>
              <w:t>GICS codes of biotechnology (352010) and pharmaceuticals (352020);</w:t>
            </w:r>
          </w:p>
          <w:p>
            <w:pPr>
              <w:pStyle w:val="TableContents"/>
              <w:bidi w:val="0"/>
              <w:spacing w:before="0" w:after="0"/>
              <w:jc w:val="left"/>
              <w:rPr/>
            </w:pPr>
            <w:r>
              <w:rPr/>
              <w:t> </w:t>
            </w:r>
          </w:p>
          <w:p>
            <w:pPr>
              <w:pStyle w:val="TableContents"/>
              <w:bidi w:val="0"/>
              <w:spacing w:before="0" w:after="0"/>
              <w:jc w:val="left"/>
              <w:rPr/>
            </w:pPr>
            <w:r>
              <w:rPr>
                <w:color w:val="0171B9"/>
              </w:rPr>
              <w:t>•</w:t>
            </w:r>
            <w:r>
              <w:rPr/>
              <w:t>   </w:t>
            </w:r>
            <w:r>
              <w:rPr>
                <w:rFonts w:ascii="arial" w:hAnsi="arial"/>
                <w:sz w:val="19"/>
              </w:rPr>
              <w:t>12-month average market capitalization between 0.25 and 4.0x that of Amgen’s average market capitalization for the same period;(1)</w:t>
            </w:r>
          </w:p>
          <w:p>
            <w:pPr>
              <w:pStyle w:val="TableContents"/>
              <w:bidi w:val="0"/>
              <w:spacing w:before="0" w:after="0"/>
              <w:jc w:val="left"/>
              <w:rPr/>
            </w:pPr>
            <w:r>
              <w:rPr/>
              <w:t> </w:t>
            </w:r>
          </w:p>
          <w:p>
            <w:pPr>
              <w:pStyle w:val="TableContents"/>
              <w:bidi w:val="0"/>
              <w:spacing w:before="0" w:after="0"/>
              <w:jc w:val="left"/>
              <w:rPr/>
            </w:pPr>
            <w:r>
              <w:rPr>
                <w:color w:val="0171B9"/>
              </w:rPr>
              <w:t>•</w:t>
            </w:r>
            <w:r>
              <w:rPr/>
              <w:t>   </w:t>
            </w:r>
            <w:r>
              <w:rPr>
                <w:rFonts w:ascii="arial" w:hAnsi="arial"/>
                <w:sz w:val="19"/>
              </w:rPr>
              <w:t>Trailing four-quarter revenues between 0.25 and 4.0x that of Amgen’s revenues;(1)</w:t>
            </w:r>
          </w:p>
          <w:p>
            <w:pPr>
              <w:pStyle w:val="TableContents"/>
              <w:bidi w:val="0"/>
              <w:spacing w:before="0" w:after="0"/>
              <w:jc w:val="left"/>
              <w:rPr/>
            </w:pPr>
            <w:r>
              <w:rPr/>
              <w:t> </w:t>
            </w:r>
          </w:p>
          <w:p>
            <w:pPr>
              <w:pStyle w:val="TableContents"/>
              <w:bidi w:val="0"/>
              <w:spacing w:before="0" w:after="0"/>
              <w:jc w:val="left"/>
              <w:rPr/>
            </w:pPr>
            <w:r>
              <w:rPr>
                <w:color w:val="0171B9"/>
              </w:rPr>
              <w:t>•</w:t>
            </w:r>
            <w:r>
              <w:rPr/>
              <w:t>   </w:t>
            </w:r>
            <w:r>
              <w:rPr>
                <w:rFonts w:ascii="arial" w:hAnsi="arial"/>
                <w:sz w:val="19"/>
              </w:rPr>
              <w:t>Non-U.S. peers limited to those commonly identified as a “peer of peers”;‡</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color w:val="0171B9"/>
              </w:rPr>
              <w:t>•</w:t>
            </w:r>
            <w:r>
              <w:rPr/>
              <w:t>   </w:t>
            </w:r>
            <w:r>
              <w:rPr>
                <w:rFonts w:ascii="arial" w:hAnsi="arial"/>
                <w:sz w:val="19"/>
              </w:rPr>
              <w:t>Competitors for executive talent;</w:t>
            </w:r>
          </w:p>
          <w:p>
            <w:pPr>
              <w:pStyle w:val="TableContents"/>
              <w:bidi w:val="0"/>
              <w:spacing w:before="0" w:after="0"/>
              <w:jc w:val="left"/>
              <w:rPr/>
            </w:pPr>
            <w:r>
              <w:rPr/>
              <w:t> </w:t>
            </w:r>
          </w:p>
          <w:p>
            <w:pPr>
              <w:pStyle w:val="TableContents"/>
              <w:bidi w:val="0"/>
              <w:spacing w:before="0" w:after="0"/>
              <w:jc w:val="left"/>
              <w:rPr/>
            </w:pPr>
            <w:r>
              <w:rPr>
                <w:color w:val="0171B9"/>
              </w:rPr>
              <w:t>•</w:t>
            </w:r>
            <w:r>
              <w:rPr/>
              <w:t>   </w:t>
            </w:r>
            <w:r>
              <w:rPr>
                <w:rFonts w:ascii="arial" w:hAnsi="arial"/>
                <w:sz w:val="19"/>
              </w:rPr>
              <w:t>Companies of comparable scope and complexity;</w:t>
            </w:r>
          </w:p>
          <w:p>
            <w:pPr>
              <w:pStyle w:val="TableContents"/>
              <w:bidi w:val="0"/>
              <w:spacing w:before="0" w:after="0"/>
              <w:jc w:val="left"/>
              <w:rPr/>
            </w:pPr>
            <w:r>
              <w:rPr/>
              <w:t> </w:t>
            </w:r>
          </w:p>
          <w:p>
            <w:pPr>
              <w:pStyle w:val="TableContents"/>
              <w:bidi w:val="0"/>
              <w:spacing w:before="0" w:after="0"/>
              <w:jc w:val="left"/>
              <w:rPr/>
            </w:pPr>
            <w:r>
              <w:rPr>
                <w:color w:val="0171B9"/>
              </w:rPr>
              <w:t>•</w:t>
            </w:r>
            <w:r>
              <w:rPr/>
              <w:t>   </w:t>
            </w:r>
            <w:r>
              <w:rPr>
                <w:rFonts w:ascii="arial" w:hAnsi="arial"/>
                <w:sz w:val="19"/>
              </w:rPr>
              <w:t>Competitors for equity investor capital;</w:t>
            </w:r>
          </w:p>
          <w:p>
            <w:pPr>
              <w:pStyle w:val="TableContents"/>
              <w:bidi w:val="0"/>
              <w:spacing w:before="0" w:after="0"/>
              <w:jc w:val="left"/>
              <w:rPr/>
            </w:pPr>
            <w:r>
              <w:rPr/>
              <w:t> </w:t>
            </w:r>
          </w:p>
          <w:p>
            <w:pPr>
              <w:pStyle w:val="TableContents"/>
              <w:bidi w:val="0"/>
              <w:spacing w:before="0" w:after="0"/>
              <w:jc w:val="left"/>
              <w:rPr/>
            </w:pPr>
            <w:r>
              <w:rPr>
                <w:color w:val="0171B9"/>
              </w:rPr>
              <w:t>•</w:t>
            </w:r>
            <w:r>
              <w:rPr/>
              <w:t>   </w:t>
            </w:r>
            <w:r>
              <w:rPr>
                <w:rFonts w:ascii="arial" w:hAnsi="arial"/>
                <w:sz w:val="19"/>
              </w:rPr>
              <w:t>Companies that identify us as their direct peer;‡ and</w:t>
            </w:r>
          </w:p>
          <w:p>
            <w:pPr>
              <w:pStyle w:val="TableContents"/>
              <w:bidi w:val="0"/>
              <w:spacing w:before="0" w:after="20"/>
              <w:jc w:val="left"/>
              <w:rPr/>
            </w:pPr>
            <w:r>
              <w:rPr>
                <w:color w:val="0171B9"/>
              </w:rPr>
              <w:t>•</w:t>
            </w:r>
            <w:r>
              <w:rPr/>
              <w:t>   </w:t>
            </w:r>
            <w:r>
              <w:rPr>
                <w:rFonts w:ascii="arial" w:hAnsi="arial"/>
                <w:sz w:val="19"/>
              </w:rPr>
              <w:t>Companies with similar pay practices.</w:t>
            </w:r>
          </w:p>
        </w:tc>
        <w:tc>
          <w:tcPr>
            <w:tcW w:w="73" w:type="dxa"/>
            <w:tcBorders>
              <w:bottom w:val="single" w:sz="8" w:space="0" w:color="0171B9"/>
            </w:tcBorders>
            <w:tcMar>
              <w:bottom w:w="28" w:type="dxa"/>
            </w:tcMar>
            <w:vAlign w:val="center"/>
          </w:tcPr>
          <w:p>
            <w:pPr>
              <w:pStyle w:val="TableContents"/>
              <w:bidi w:val="0"/>
              <w:spacing w:before="0" w:after="283"/>
              <w:jc w:val="left"/>
              <w:rPr/>
            </w:pPr>
            <w:r>
              <w:rPr/>
              <w:t> </w:t>
            </w:r>
          </w:p>
        </w:tc>
        <w:tc>
          <w:tcPr>
            <w:tcW w:w="3260" w:type="dxa"/>
            <w:tcBorders>
              <w:bottom w:val="single" w:sz="8" w:space="0" w:color="0171B9"/>
            </w:tcBorders>
            <w:tcMar>
              <w:bottom w:w="28" w:type="dxa"/>
            </w:tcMar>
            <w:vAlign w:val="center"/>
          </w:tcPr>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AbbVie Inc.*</w:t>
            </w:r>
          </w:p>
          <w:p>
            <w:pPr>
              <w:pStyle w:val="TableContents"/>
              <w:bidi w:val="0"/>
              <w:spacing w:before="0" w:after="0"/>
              <w:jc w:val="both"/>
              <w:rPr/>
            </w:pPr>
            <w:r>
              <w:rPr>
                <w:color w:val="0171B9"/>
              </w:rPr>
              <w:t>•</w:t>
            </w:r>
            <w:r>
              <w:rPr/>
              <w:t>   </w:t>
            </w:r>
            <w:r>
              <w:rPr>
                <w:rFonts w:ascii="arial" w:hAnsi="arial"/>
                <w:sz w:val="19"/>
              </w:rPr>
              <w:t>AstraZeneca plc</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Biogen Inc.*</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Bristol-Myers Squibb Company*</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Eli Lilly and Company*</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Gilead Sciences, Inc.*</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GlaxoSmithKline plc</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Johnson &amp; Johnson*</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Merck &amp; Co., Inc.*</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Novartis AG</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Pfizer Inc.*</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Regeneron Pharmaceuticals, Inc.*</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Roche Holding AG</w:t>
            </w:r>
          </w:p>
          <w:p>
            <w:pPr>
              <w:pStyle w:val="TableContents"/>
              <w:bidi w:val="0"/>
              <w:spacing w:before="0" w:after="20"/>
              <w:jc w:val="both"/>
              <w:rPr/>
            </w:pPr>
            <w:r>
              <w:rPr>
                <w:color w:val="0171B9"/>
              </w:rPr>
              <w:t>•</w:t>
            </w:r>
            <w:r>
              <w:rPr/>
              <w:t>   </w:t>
            </w:r>
            <w:r>
              <w:rPr>
                <w:rFonts w:ascii="arial" w:hAnsi="arial"/>
                <w:sz w:val="19"/>
              </w:rPr>
              <w:t>Sanofi S.A.</w:t>
            </w:r>
          </w:p>
        </w:tc>
      </w:tr>
    </w:tbl>
    <w:p>
      <w:pPr>
        <w:pStyle w:val="TextBody"/>
        <w:bidi w:val="0"/>
        <w:spacing w:before="0" w:after="0"/>
        <w:jc w:val="left"/>
        <w:rPr/>
      </w:pPr>
      <w:r>
        <w:rPr/>
        <w:t> </w:t>
      </w:r>
    </w:p>
    <w:tbl>
      <w:tblPr>
        <w:tblW w:w="4285" w:type="dxa"/>
        <w:jc w:val="left"/>
        <w:tblInd w:w="0" w:type="dxa"/>
        <w:tblLayout w:type="fixed"/>
        <w:tblCellMar>
          <w:top w:w="0" w:type="dxa"/>
          <w:left w:w="0" w:type="dxa"/>
          <w:bottom w:w="0" w:type="dxa"/>
          <w:right w:w="0" w:type="dxa"/>
        </w:tblCellMar>
      </w:tblPr>
      <w:tblGrid>
        <w:gridCol w:w="215"/>
        <w:gridCol w:w="4070"/>
      </w:tblGrid>
      <w:tr>
        <w:trPr/>
        <w:tc>
          <w:tcPr>
            <w:tcW w:w="215" w:type="dxa"/>
            <w:tcBorders/>
            <w:vAlign w:val="center"/>
          </w:tcPr>
          <w:p>
            <w:pPr>
              <w:pStyle w:val="TableContents"/>
              <w:bidi w:val="0"/>
              <w:spacing w:before="0" w:after="283"/>
              <w:jc w:val="left"/>
              <w:rPr/>
            </w:pPr>
            <w:r>
              <w:rPr/>
              <w:t>‡ </w:t>
            </w:r>
          </w:p>
        </w:tc>
        <w:tc>
          <w:tcPr>
            <w:tcW w:w="4070" w:type="dxa"/>
            <w:tcBorders/>
            <w:vAlign w:val="center"/>
          </w:tcPr>
          <w:p>
            <w:pPr>
              <w:pStyle w:val="TableContents"/>
              <w:bidi w:val="0"/>
              <w:spacing w:before="0" w:after="0"/>
              <w:jc w:val="both"/>
              <w:rPr>
                <w:rFonts w:ascii="arial" w:hAnsi="arial"/>
                <w:sz w:val="16"/>
              </w:rPr>
            </w:pPr>
            <w:r>
              <w:rPr>
                <w:rFonts w:ascii="arial" w:hAnsi="arial"/>
                <w:sz w:val="16"/>
              </w:rPr>
              <w:t xml:space="preserve">All companies in 2023 peer group list Amgen as a peer. </w:t>
            </w:r>
          </w:p>
        </w:tc>
      </w:tr>
    </w:tbl>
    <w:tbl>
      <w:tblPr>
        <w:tblW w:w="1060" w:type="dxa"/>
        <w:jc w:val="left"/>
        <w:tblInd w:w="0" w:type="dxa"/>
        <w:tblLayout w:type="fixed"/>
        <w:tblCellMar>
          <w:top w:w="0" w:type="dxa"/>
          <w:left w:w="0" w:type="dxa"/>
          <w:bottom w:w="0" w:type="dxa"/>
          <w:right w:w="0" w:type="dxa"/>
        </w:tblCellMar>
      </w:tblPr>
      <w:tblGrid>
        <w:gridCol w:w="155"/>
        <w:gridCol w:w="905"/>
      </w:tblGrid>
      <w:tr>
        <w:trPr/>
        <w:tc>
          <w:tcPr>
            <w:tcW w:w="155"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0"/>
              <w:jc w:val="both"/>
              <w:rPr>
                <w:rFonts w:ascii="arial" w:hAnsi="arial"/>
                <w:sz w:val="16"/>
              </w:rPr>
            </w:pPr>
            <w:r>
              <w:rPr>
                <w:rFonts w:ascii="arial" w:hAnsi="arial"/>
                <w:sz w:val="16"/>
              </w:rPr>
              <w:t xml:space="preserve">U.S.-based </w:t>
            </w:r>
          </w:p>
        </w:tc>
      </w:tr>
    </w:tbl>
    <w:tbl>
      <w:tblPr>
        <w:tblW w:w="3880" w:type="dxa"/>
        <w:jc w:val="left"/>
        <w:tblInd w:w="0" w:type="dxa"/>
        <w:tblLayout w:type="fixed"/>
        <w:tblCellMar>
          <w:top w:w="0" w:type="dxa"/>
          <w:left w:w="0" w:type="dxa"/>
          <w:bottom w:w="0" w:type="dxa"/>
          <w:right w:w="0" w:type="dxa"/>
        </w:tblCellMar>
      </w:tblPr>
      <w:tblGrid>
        <w:gridCol w:w="365"/>
        <w:gridCol w:w="3515"/>
      </w:tblGrid>
      <w:tr>
        <w:trPr/>
        <w:tc>
          <w:tcPr>
            <w:tcW w:w="365" w:type="dxa"/>
            <w:tcBorders/>
            <w:vAlign w:val="center"/>
          </w:tcPr>
          <w:p>
            <w:pPr>
              <w:pStyle w:val="TableContents"/>
              <w:bidi w:val="0"/>
              <w:spacing w:before="0" w:after="283"/>
              <w:jc w:val="left"/>
              <w:rPr/>
            </w:pPr>
            <w:r>
              <w:rPr/>
              <w:t>(1) </w:t>
            </w:r>
          </w:p>
        </w:tc>
        <w:tc>
          <w:tcPr>
            <w:tcW w:w="3515" w:type="dxa"/>
            <w:tcBorders/>
            <w:vAlign w:val="center"/>
          </w:tcPr>
          <w:p>
            <w:pPr>
              <w:pStyle w:val="TableContents"/>
              <w:bidi w:val="0"/>
              <w:spacing w:before="0" w:after="0"/>
              <w:jc w:val="both"/>
              <w:rPr>
                <w:rFonts w:ascii="arial" w:hAnsi="arial"/>
                <w:sz w:val="16"/>
              </w:rPr>
            </w:pPr>
            <w:r>
              <w:rPr>
                <w:rFonts w:ascii="arial" w:hAnsi="arial"/>
                <w:sz w:val="16"/>
              </w:rPr>
              <w:t xml:space="preserve">For purposes of the 2023 peer group analyses: </w:t>
            </w:r>
          </w:p>
        </w:tc>
      </w:tr>
    </w:tbl>
    <w:p>
      <w:pPr>
        <w:pStyle w:val="TextBody"/>
        <w:bidi w:val="0"/>
        <w:spacing w:before="0" w:after="0"/>
        <w:jc w:val="left"/>
        <w:rPr/>
      </w:pPr>
      <w:r>
        <w:rPr/>
        <w:t> </w:t>
      </w:r>
    </w:p>
    <w:tbl>
      <w:tblPr>
        <w:tblW w:w="6539" w:type="dxa"/>
        <w:jc w:val="left"/>
        <w:tblInd w:w="0" w:type="dxa"/>
        <w:tblLayout w:type="fixed"/>
        <w:tblCellMar>
          <w:top w:w="0" w:type="dxa"/>
          <w:left w:w="0" w:type="dxa"/>
          <w:bottom w:w="0" w:type="dxa"/>
          <w:right w:w="0" w:type="dxa"/>
        </w:tblCellMar>
      </w:tblPr>
      <w:tblGrid>
        <w:gridCol w:w="2405"/>
        <w:gridCol w:w="120"/>
        <w:gridCol w:w="2540"/>
        <w:gridCol w:w="120"/>
        <w:gridCol w:w="77"/>
        <w:gridCol w:w="1202"/>
        <w:gridCol w:w="75"/>
      </w:tblGrid>
      <w:tr>
        <w:trPr/>
        <w:tc>
          <w:tcPr>
            <w:tcW w:w="24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405" w:type="dxa"/>
            <w:tcBorders/>
            <w:shd w:fill="0171B9" w:val="clear"/>
            <w:vAlign w:val="center"/>
          </w:tcPr>
          <w:p>
            <w:pPr>
              <w:pStyle w:val="TableContents"/>
              <w:bidi w:val="0"/>
              <w:spacing w:before="0" w:after="283"/>
              <w:jc w:val="left"/>
              <w:rPr>
                <w:sz w:val="4"/>
                <w:szCs w:val="4"/>
              </w:rPr>
            </w:pPr>
            <w:r>
              <w:rPr>
                <w:sz w:val="4"/>
                <w:szCs w:val="4"/>
              </w:rPr>
            </w:r>
          </w:p>
        </w:tc>
        <w:tc>
          <w:tcPr>
            <w:tcW w:w="2660" w:type="dxa"/>
            <w:gridSpan w:val="2"/>
            <w:tcBorders/>
            <w:shd w:fill="0171B9" w:val="clear"/>
            <w:vAlign w:val="center"/>
          </w:tcPr>
          <w:p>
            <w:pPr>
              <w:pStyle w:val="TableContents"/>
              <w:bidi w:val="0"/>
              <w:spacing w:before="0" w:after="283"/>
              <w:jc w:val="left"/>
              <w:rPr>
                <w:sz w:val="4"/>
                <w:szCs w:val="4"/>
              </w:rPr>
            </w:pPr>
            <w:r>
              <w:rPr>
                <w:sz w:val="4"/>
                <w:szCs w:val="4"/>
              </w:rPr>
            </w:r>
          </w:p>
        </w:tc>
        <w:tc>
          <w:tcPr>
            <w:tcW w:w="1474" w:type="dxa"/>
            <w:gridSpan w:val="4"/>
            <w:tcBorders/>
            <w:shd w:fill="0171B9" w:val="clear"/>
            <w:vAlign w:val="center"/>
          </w:tcPr>
          <w:p>
            <w:pPr>
              <w:pStyle w:val="TableContents"/>
              <w:bidi w:val="0"/>
              <w:spacing w:before="0" w:after="283"/>
              <w:jc w:val="left"/>
              <w:rPr>
                <w:sz w:val="4"/>
                <w:szCs w:val="4"/>
              </w:rPr>
            </w:pPr>
            <w:r>
              <w:rPr>
                <w:sz w:val="4"/>
                <w:szCs w:val="4"/>
              </w:rPr>
            </w:r>
          </w:p>
        </w:tc>
      </w:tr>
      <w:tr>
        <w:trPr/>
        <w:tc>
          <w:tcPr>
            <w:tcW w:w="2405"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2540" w:type="dxa"/>
            <w:tcBorders>
              <w:bottom w:val="single" w:sz="8" w:space="0" w:color="FFFFFF"/>
            </w:tcBorders>
            <w:shd w:fill="0171B9" w:val="clear"/>
            <w:tcMar>
              <w:bottom w:w="28" w:type="dxa"/>
            </w:tcMar>
            <w:vAlign w:val="center"/>
          </w:tcPr>
          <w:p>
            <w:pPr>
              <w:pStyle w:val="TableContents"/>
              <w:bidi w:val="0"/>
              <w:spacing w:before="0" w:after="283"/>
              <w:jc w:val="left"/>
              <w:rPr>
                <w:b/>
                <w:color w:val="FFFFFF"/>
              </w:rPr>
            </w:pPr>
            <w:r>
              <w:rPr>
                <w:b/>
                <w:color w:val="FFFFFF"/>
              </w:rPr>
              <w:t>Market Capitalization(a)</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79" w:type="dxa"/>
            <w:gridSpan w:val="2"/>
            <w:tcBorders>
              <w:bottom w:val="single" w:sz="8" w:space="0" w:color="FFFFFF"/>
            </w:tcBorders>
            <w:shd w:fill="0171B9" w:val="clear"/>
            <w:tcMar>
              <w:bottom w:w="28" w:type="dxa"/>
            </w:tcMar>
            <w:vAlign w:val="center"/>
          </w:tcPr>
          <w:p>
            <w:pPr>
              <w:pStyle w:val="TableContents"/>
              <w:bidi w:val="0"/>
              <w:spacing w:before="0" w:after="283"/>
              <w:jc w:val="right"/>
              <w:rPr>
                <w:b/>
                <w:color w:val="FFFFFF"/>
              </w:rPr>
            </w:pPr>
            <w:r>
              <w:rPr>
                <w:b/>
                <w:color w:val="FFFFFF"/>
              </w:rPr>
              <w:t>Revenues(b)</w:t>
            </w:r>
          </w:p>
        </w:tc>
        <w:tc>
          <w:tcPr>
            <w:tcW w:w="75"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r>
      <w:tr>
        <w:trPr/>
        <w:tc>
          <w:tcPr>
            <w:tcW w:w="2405" w:type="dxa"/>
            <w:tcBorders/>
            <w:shd w:fill="CCE2F1" w:val="clear"/>
            <w:vAlign w:val="center"/>
          </w:tcPr>
          <w:p>
            <w:pPr>
              <w:pStyle w:val="TableContents"/>
              <w:bidi w:val="0"/>
              <w:spacing w:lineRule="atLeast" w:line="280" w:before="0" w:after="0"/>
              <w:jc w:val="left"/>
              <w:rPr>
                <w:rFonts w:ascii="arial" w:hAnsi="arial"/>
                <w:sz w:val="18"/>
              </w:rPr>
            </w:pPr>
            <w:r>
              <w:rPr>
                <w:rFonts w:ascii="arial" w:hAnsi="arial"/>
                <w:sz w:val="18"/>
              </w:rPr>
              <w:t>Amgen</w:t>
            </w:r>
          </w:p>
        </w:tc>
        <w:tc>
          <w:tcPr>
            <w:tcW w:w="120" w:type="dxa"/>
            <w:tcBorders/>
            <w:shd w:fill="CCE2F1" w:val="clear"/>
            <w:vAlign w:val="center"/>
          </w:tcPr>
          <w:p>
            <w:pPr>
              <w:pStyle w:val="TableContents"/>
              <w:bidi w:val="0"/>
              <w:spacing w:before="0" w:after="283"/>
              <w:jc w:val="left"/>
              <w:rPr/>
            </w:pPr>
            <w:r>
              <w:rPr/>
              <w:t>  </w:t>
            </w:r>
          </w:p>
        </w:tc>
        <w:tc>
          <w:tcPr>
            <w:tcW w:w="2540" w:type="dxa"/>
            <w:tcBorders/>
            <w:shd w:fill="CCE2F1" w:val="clear"/>
            <w:vAlign w:val="center"/>
          </w:tcPr>
          <w:p>
            <w:pPr>
              <w:pStyle w:val="TableContents"/>
              <w:bidi w:val="0"/>
              <w:spacing w:lineRule="atLeast" w:line="280" w:before="0" w:after="0"/>
              <w:jc w:val="left"/>
              <w:rPr>
                <w:rFonts w:ascii="arial" w:hAnsi="arial"/>
                <w:sz w:val="18"/>
              </w:rPr>
            </w:pPr>
            <w:r>
              <w:rPr>
                <w:rFonts w:ascii="arial" w:hAnsi="arial"/>
                <w:sz w:val="18"/>
              </w:rPr>
              <w:t>$133 billion</w:t>
            </w:r>
          </w:p>
        </w:tc>
        <w:tc>
          <w:tcPr>
            <w:tcW w:w="120" w:type="dxa"/>
            <w:tcBorders/>
            <w:shd w:fill="CCE2F1" w:val="clear"/>
            <w:vAlign w:val="center"/>
          </w:tcPr>
          <w:p>
            <w:pPr>
              <w:pStyle w:val="TableContents"/>
              <w:bidi w:val="0"/>
              <w:spacing w:before="0" w:after="283"/>
              <w:jc w:val="left"/>
              <w:rPr/>
            </w:pPr>
            <w:r>
              <w:rPr/>
              <w:t>  </w:t>
            </w:r>
          </w:p>
        </w:tc>
        <w:tc>
          <w:tcPr>
            <w:tcW w:w="77" w:type="dxa"/>
            <w:tcBorders/>
            <w:shd w:fill="CCE2F1" w:val="clear"/>
            <w:vAlign w:val="center"/>
          </w:tcPr>
          <w:p>
            <w:pPr>
              <w:pStyle w:val="TableContents"/>
              <w:bidi w:val="0"/>
              <w:spacing w:lineRule="atLeast" w:line="280" w:before="0" w:after="0"/>
              <w:jc w:val="left"/>
              <w:rPr/>
            </w:pPr>
            <w:r>
              <w:rPr/>
              <w:t> </w:t>
            </w:r>
          </w:p>
        </w:tc>
        <w:tc>
          <w:tcPr>
            <w:tcW w:w="1202" w:type="dxa"/>
            <w:tcBorders/>
            <w:shd w:fill="CCE2F1" w:val="clear"/>
            <w:vAlign w:val="center"/>
          </w:tcPr>
          <w:p>
            <w:pPr>
              <w:pStyle w:val="TableContents"/>
              <w:bidi w:val="0"/>
              <w:spacing w:lineRule="atLeast" w:line="280" w:before="0" w:after="0"/>
              <w:jc w:val="right"/>
              <w:rPr>
                <w:rFonts w:ascii="arial" w:hAnsi="arial"/>
                <w:sz w:val="18"/>
              </w:rPr>
            </w:pPr>
            <w:r>
              <w:rPr>
                <w:rFonts w:ascii="arial" w:hAnsi="arial"/>
                <w:sz w:val="18"/>
              </w:rPr>
              <w:t>$26 billion</w:t>
            </w:r>
          </w:p>
        </w:tc>
        <w:tc>
          <w:tcPr>
            <w:tcW w:w="75" w:type="dxa"/>
            <w:tcBorders/>
            <w:shd w:fill="CCE2F1" w:val="clear"/>
            <w:vAlign w:val="center"/>
          </w:tcPr>
          <w:p>
            <w:pPr>
              <w:pStyle w:val="TableContents"/>
              <w:bidi w:val="0"/>
              <w:spacing w:lineRule="atLeast" w:line="280" w:before="0" w:after="0"/>
              <w:jc w:val="left"/>
              <w:rPr/>
            </w:pPr>
            <w:r>
              <w:rPr/>
              <w:t> </w:t>
            </w:r>
          </w:p>
        </w:tc>
      </w:tr>
      <w:tr>
        <w:trPr/>
        <w:tc>
          <w:tcPr>
            <w:tcW w:w="2405" w:type="dxa"/>
            <w:tcBorders>
              <w:bottom w:val="single" w:sz="8" w:space="0" w:color="0171B9"/>
            </w:tcBorders>
            <w:tcMar>
              <w:bottom w:w="28" w:type="dxa"/>
            </w:tcMar>
            <w:vAlign w:val="center"/>
          </w:tcPr>
          <w:p>
            <w:pPr>
              <w:pStyle w:val="TableContents"/>
              <w:bidi w:val="0"/>
              <w:spacing w:lineRule="atLeast" w:line="280" w:before="0" w:after="0"/>
              <w:jc w:val="left"/>
              <w:rPr>
                <w:rFonts w:ascii="arial" w:hAnsi="arial"/>
                <w:sz w:val="18"/>
              </w:rPr>
            </w:pPr>
            <w:r>
              <w:rPr>
                <w:rFonts w:ascii="arial" w:hAnsi="arial"/>
                <w:sz w:val="18"/>
              </w:rPr>
              <w:t>Relative Peer Group Position</w:t>
            </w:r>
          </w:p>
        </w:tc>
        <w:tc>
          <w:tcPr>
            <w:tcW w:w="120" w:type="dxa"/>
            <w:tcBorders>
              <w:bottom w:val="single" w:sz="8" w:space="0" w:color="0171B9"/>
            </w:tcBorders>
            <w:tcMar>
              <w:bottom w:w="28" w:type="dxa"/>
            </w:tcMar>
            <w:vAlign w:val="center"/>
          </w:tcPr>
          <w:p>
            <w:pPr>
              <w:pStyle w:val="TableContents"/>
              <w:bidi w:val="0"/>
              <w:spacing w:before="0" w:after="283"/>
              <w:jc w:val="left"/>
              <w:rPr/>
            </w:pPr>
            <w:r>
              <w:rPr/>
              <w:t>  </w:t>
            </w:r>
          </w:p>
        </w:tc>
        <w:tc>
          <w:tcPr>
            <w:tcW w:w="2540" w:type="dxa"/>
            <w:tcBorders>
              <w:bottom w:val="single" w:sz="8" w:space="0" w:color="0171B9"/>
            </w:tcBorders>
            <w:tcMar>
              <w:bottom w:w="28" w:type="dxa"/>
            </w:tcMar>
            <w:vAlign w:val="center"/>
          </w:tcPr>
          <w:p>
            <w:pPr>
              <w:pStyle w:val="TableContents"/>
              <w:bidi w:val="0"/>
              <w:spacing w:lineRule="atLeast" w:line="220" w:before="0" w:after="0"/>
              <w:jc w:val="left"/>
              <w:rPr>
                <w:rFonts w:ascii="arial" w:hAnsi="arial"/>
                <w:sz w:val="18"/>
              </w:rPr>
            </w:pPr>
            <w:r>
              <w:rPr>
                <w:rFonts w:ascii="arial" w:hAnsi="arial"/>
                <w:sz w:val="18"/>
              </w:rPr>
              <w:t>2nd quartile</w:t>
            </w:r>
          </w:p>
        </w:tc>
        <w:tc>
          <w:tcPr>
            <w:tcW w:w="120" w:type="dxa"/>
            <w:tcBorders>
              <w:bottom w:val="single" w:sz="8" w:space="0" w:color="0171B9"/>
            </w:tcBorders>
            <w:tcMar>
              <w:bottom w:w="28" w:type="dxa"/>
            </w:tcMar>
            <w:vAlign w:val="center"/>
          </w:tcPr>
          <w:p>
            <w:pPr>
              <w:pStyle w:val="TableContents"/>
              <w:bidi w:val="0"/>
              <w:spacing w:before="0" w:after="283"/>
              <w:jc w:val="left"/>
              <w:rPr/>
            </w:pPr>
            <w:r>
              <w:rPr/>
              <w:t>  </w:t>
            </w:r>
          </w:p>
        </w:tc>
        <w:tc>
          <w:tcPr>
            <w:tcW w:w="77" w:type="dxa"/>
            <w:tcBorders>
              <w:bottom w:val="single" w:sz="8" w:space="0" w:color="0171B9"/>
            </w:tcBorders>
            <w:tcMar>
              <w:bottom w:w="28" w:type="dxa"/>
            </w:tcMar>
            <w:vAlign w:val="center"/>
          </w:tcPr>
          <w:p>
            <w:pPr>
              <w:pStyle w:val="TableContents"/>
              <w:bidi w:val="0"/>
              <w:spacing w:lineRule="atLeast" w:line="280" w:before="0" w:after="0"/>
              <w:jc w:val="left"/>
              <w:rPr/>
            </w:pPr>
            <w:r>
              <w:rPr/>
              <w:t> </w:t>
            </w:r>
          </w:p>
        </w:tc>
        <w:tc>
          <w:tcPr>
            <w:tcW w:w="1202" w:type="dxa"/>
            <w:tcBorders>
              <w:bottom w:val="single" w:sz="8" w:space="0" w:color="0171B9"/>
            </w:tcBorders>
            <w:tcMar>
              <w:bottom w:w="28" w:type="dxa"/>
            </w:tcMar>
            <w:vAlign w:val="center"/>
          </w:tcPr>
          <w:p>
            <w:pPr>
              <w:pStyle w:val="TableContents"/>
              <w:bidi w:val="0"/>
              <w:spacing w:lineRule="atLeast" w:line="220" w:before="0" w:after="0"/>
              <w:jc w:val="right"/>
              <w:rPr>
                <w:rFonts w:ascii="arial" w:hAnsi="arial"/>
                <w:sz w:val="18"/>
              </w:rPr>
            </w:pPr>
            <w:r>
              <w:rPr>
                <w:rFonts w:ascii="arial" w:hAnsi="arial"/>
                <w:sz w:val="18"/>
              </w:rPr>
              <w:t>1st quartile</w:t>
            </w:r>
          </w:p>
        </w:tc>
        <w:tc>
          <w:tcPr>
            <w:tcW w:w="75" w:type="dxa"/>
            <w:tcBorders>
              <w:bottom w:val="single" w:sz="8" w:space="0" w:color="0171B9"/>
            </w:tcBorders>
            <w:tcMar>
              <w:bottom w:w="28" w:type="dxa"/>
            </w:tcMar>
            <w:vAlign w:val="center"/>
          </w:tcPr>
          <w:p>
            <w:pPr>
              <w:pStyle w:val="TableContents"/>
              <w:bidi w:val="0"/>
              <w:spacing w:lineRule="atLeast" w:line="280" w:before="0" w:after="0"/>
              <w:jc w:val="left"/>
              <w:rPr/>
            </w:pPr>
            <w:r>
              <w:rPr/>
              <w:t> </w:t>
            </w:r>
          </w:p>
        </w:tc>
      </w:tr>
    </w:tbl>
    <w:p>
      <w:pPr>
        <w:pStyle w:val="TextBody"/>
        <w:bidi w:val="0"/>
        <w:spacing w:before="0" w:after="0"/>
        <w:jc w:val="left"/>
        <w:rPr/>
      </w:pPr>
      <w:r>
        <w:rPr/>
        <w:t> </w:t>
      </w:r>
    </w:p>
    <w:tbl>
      <w:tblPr>
        <w:tblW w:w="6010" w:type="dxa"/>
        <w:jc w:val="left"/>
        <w:tblInd w:w="0" w:type="dxa"/>
        <w:tblLayout w:type="fixed"/>
        <w:tblCellMar>
          <w:top w:w="0" w:type="dxa"/>
          <w:left w:w="0" w:type="dxa"/>
          <w:bottom w:w="0" w:type="dxa"/>
          <w:right w:w="0" w:type="dxa"/>
        </w:tblCellMar>
      </w:tblPr>
      <w:tblGrid>
        <w:gridCol w:w="75"/>
        <w:gridCol w:w="335"/>
        <w:gridCol w:w="5600"/>
      </w:tblGrid>
      <w:tr>
        <w:trPr/>
        <w:tc>
          <w:tcPr>
            <w:tcW w:w="7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(a) </w:t>
            </w:r>
          </w:p>
        </w:tc>
        <w:tc>
          <w:tcPr>
            <w:tcW w:w="5600" w:type="dxa"/>
            <w:tcBorders/>
            <w:vAlign w:val="center"/>
          </w:tcPr>
          <w:p>
            <w:pPr>
              <w:pStyle w:val="TableContents"/>
              <w:bidi w:val="0"/>
              <w:spacing w:before="0" w:after="0"/>
              <w:jc w:val="both"/>
              <w:rPr>
                <w:rFonts w:ascii="arial" w:hAnsi="arial"/>
                <w:sz w:val="16"/>
              </w:rPr>
            </w:pPr>
            <w:r>
              <w:rPr>
                <w:rFonts w:ascii="arial" w:hAnsi="arial"/>
                <w:sz w:val="16"/>
              </w:rPr>
              <w:t xml:space="preserve">Represents the 12-month average market capitalization as of May 31, 2023. </w:t>
            </w:r>
          </w:p>
        </w:tc>
      </w:tr>
    </w:tbl>
    <w:tbl>
      <w:tblPr>
        <w:tblW w:w="10205" w:type="dxa"/>
        <w:jc w:val="left"/>
        <w:tblInd w:w="0" w:type="dxa"/>
        <w:tblLayout w:type="fixed"/>
        <w:tblCellMar>
          <w:top w:w="0" w:type="dxa"/>
          <w:left w:w="0" w:type="dxa"/>
          <w:bottom w:w="0" w:type="dxa"/>
          <w:right w:w="0" w:type="dxa"/>
        </w:tblCellMar>
      </w:tblPr>
      <w:tblGrid>
        <w:gridCol w:w="75"/>
        <w:gridCol w:w="293"/>
        <w:gridCol w:w="9837"/>
      </w:tblGrid>
      <w:tr>
        <w:trPr/>
        <w:tc>
          <w:tcPr>
            <w:tcW w:w="75"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(b) </w:t>
            </w:r>
          </w:p>
        </w:tc>
        <w:tc>
          <w:tcPr>
            <w:tcW w:w="9837" w:type="dxa"/>
            <w:tcBorders/>
            <w:vAlign w:val="center"/>
          </w:tcPr>
          <w:p>
            <w:pPr>
              <w:pStyle w:val="TableContents"/>
              <w:bidi w:val="0"/>
              <w:spacing w:before="0" w:after="0"/>
              <w:jc w:val="both"/>
              <w:rPr>
                <w:rFonts w:ascii="arial" w:hAnsi="arial"/>
                <w:sz w:val="16"/>
              </w:rPr>
            </w:pPr>
            <w:r>
              <w:rPr>
                <w:rFonts w:ascii="arial" w:hAnsi="arial"/>
                <w:sz w:val="16"/>
              </w:rPr>
              <w:t xml:space="preserve">Represents revenues for the trailing four quarters ending on or about March 31, 2023, except Sanofi S.A., which is for the trailing four quarters ending 12/31/2022, as provided by the Standard and Poor’s Capital IQ database. </w:t>
            </w:r>
          </w:p>
        </w:tc>
      </w:tr>
    </w:tbl>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54">
                <wp:simplePos x="0" y="0"/>
                <wp:positionH relativeFrom="column">
                  <wp:align>left</wp:align>
                </wp:positionH>
                <wp:positionV relativeFrom="line">
                  <wp:posOffset>635</wp:posOffset>
                </wp:positionV>
                <wp:extent cx="3110230" cy="3274695"/>
                <wp:effectExtent l="0" t="0" r="0" b="0"/>
                <wp:wrapSquare wrapText="right"/>
                <wp:docPr id="240" name="Frame113"/>
                <a:graphic xmlns:a="http://schemas.openxmlformats.org/drawingml/2006/main">
                  <a:graphicData uri="http://schemas.microsoft.com/office/word/2010/wordprocessingShape">
                    <wps:wsp>
                      <wps:cNvSpPr txBox="1"/>
                      <wps:spPr>
                        <a:xfrm>
                          <a:off x="0" y="0"/>
                          <a:ext cx="3110230" cy="3274695"/>
                        </a:xfrm>
                        <a:prstGeom prst="rect"/>
                        <a:solidFill>
                          <a:srgbClr val="FFFFFF"/>
                        </a:solidFill>
                      </wps:spPr>
                      <wps:txbx>
                        <w:txbxContent>
                          <w:p>
                            <w:pPr>
                              <w:pStyle w:val="TextBody"/>
                              <w:bidi w:val="0"/>
                              <w:spacing w:before="0" w:after="0"/>
                              <w:jc w:val="left"/>
                              <w:rPr>
                                <w:rFonts w:ascii="arial" w:hAnsi="arial"/>
                                <w:b/>
                                <w:sz w:val="24"/>
                              </w:rPr>
                            </w:pPr>
                            <w:r>
                              <w:rPr>
                                <w:rFonts w:ascii="arial" w:hAnsi="arial"/>
                                <w:b/>
                                <w:sz w:val="24"/>
                              </w:rPr>
                              <w:t xml:space="preserve">Peer Group Data Sources </w:t>
                            </w:r>
                          </w:p>
                          <w:p>
                            <w:pPr>
                              <w:pStyle w:val="TextBody"/>
                              <w:bidi w:val="0"/>
                              <w:spacing w:before="120" w:after="0"/>
                              <w:jc w:val="both"/>
                              <w:rPr>
                                <w:rFonts w:ascii="arial" w:hAnsi="arial"/>
                                <w:sz w:val="18"/>
                              </w:rPr>
                            </w:pPr>
                            <w:r>
                              <w:rPr>
                                <w:rFonts w:ascii="arial" w:hAnsi="arial"/>
                                <w:sz w:val="18"/>
                              </w:rPr>
                              <w:t xml:space="preserve">Our primary data sources for evaluating all elements of compensation for our CEO is data compiled by FW Cook from the SEC filings of our peer group, including for the 25th, 50th, and 75th percentiles of the specific compensation elements paid to peer group CEOs. For 2023 compensation decisions for our executives, other than the CEO, additional survey sources were utilized to provide a more robust and comprehensive data set that is less skewed by the data anomalies of any one data source. Our primary data sources for evaluating all elements of compensation included the Willis Tower Watson Pharmaceutical Human Resources Association Survey, the Willis Towers Watson Pharmaceutical and Health Sciences, or PHS Survey, the Radford Life Sciences Global Compensation Database, and available data from peer group proxy statement filings. From time to time, our Compensation Committee, with advice from FW Cook, may depart from the benchmarking data to account for structural differences in our organization versus those of our peer group, the strategic importance of certain roles to our business, and internal equity. Factors such as experience level, performance, size, scope, complexity and impact of the role, and market demand for the role can also come into consideration.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57.8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sz w:val="24"/>
                        </w:rPr>
                      </w:pPr>
                      <w:r>
                        <w:rPr>
                          <w:rFonts w:ascii="arial" w:hAnsi="arial"/>
                          <w:b/>
                          <w:sz w:val="24"/>
                        </w:rPr>
                        <w:t xml:space="preserve">Peer Group Data Sources </w:t>
                      </w:r>
                    </w:p>
                    <w:p>
                      <w:pPr>
                        <w:pStyle w:val="TextBody"/>
                        <w:bidi w:val="0"/>
                        <w:spacing w:before="120" w:after="0"/>
                        <w:jc w:val="both"/>
                        <w:rPr>
                          <w:rFonts w:ascii="arial" w:hAnsi="arial"/>
                          <w:sz w:val="18"/>
                        </w:rPr>
                      </w:pPr>
                      <w:r>
                        <w:rPr>
                          <w:rFonts w:ascii="arial" w:hAnsi="arial"/>
                          <w:sz w:val="18"/>
                        </w:rPr>
                        <w:t xml:space="preserve">Our primary data sources for evaluating all elements of compensation for our CEO is data compiled by FW Cook from the SEC filings of our peer group, including for the 25th, 50th, and 75th percentiles of the specific compensation elements paid to peer group CEOs. For 2023 compensation decisions for our executives, other than the CEO, additional survey sources were utilized to provide a more robust and comprehensive data set that is less skewed by the data anomalies of any one data source. Our primary data sources for evaluating all elements of compensation included the Willis Tower Watson Pharmaceutical Human Resources Association Survey, the Willis Towers Watson Pharmaceutical and Health Sciences, or PHS Survey, the Radford Life Sciences Global Compensation Database, and available data from peer group proxy statement filings. From time to time, our Compensation Committee, with advice from FW Cook, may depart from the benchmarking data to account for structural differences in our organization versus those of our peer group, the strategic importance of certain roles to our business, and internal equity. Factors such as experience level, performance, size, scope, complexity and impact of the role, and market demand for the role can also come into consideration. </w:t>
                      </w:r>
                    </w:p>
                  </w:txbxContent>
                </v:textbox>
                <w10:wrap type="square" side="right"/>
              </v:rect>
            </w:pict>
          </mc:Fallback>
        </mc:AlternateContent>
      </w:r>
      <w:r>
        <mc:AlternateContent>
          <mc:Choice Requires="wps">
            <w:drawing>
              <wp:anchor behindDoc="0" distT="0" distB="0" distL="0" distR="0" simplePos="0" locked="0" layoutInCell="1" allowOverlap="1" relativeHeight="355">
                <wp:simplePos x="0" y="0"/>
                <wp:positionH relativeFrom="column">
                  <wp:align>left</wp:align>
                </wp:positionH>
                <wp:positionV relativeFrom="line">
                  <wp:posOffset>635</wp:posOffset>
                </wp:positionV>
                <wp:extent cx="3175000" cy="3154680"/>
                <wp:effectExtent l="0" t="0" r="0" b="0"/>
                <wp:wrapSquare wrapText="right"/>
                <wp:docPr id="241" name="Frame114"/>
                <a:graphic xmlns:a="http://schemas.openxmlformats.org/drawingml/2006/main">
                  <a:graphicData uri="http://schemas.microsoft.com/office/word/2010/wordprocessingShape">
                    <wps:wsp>
                      <wps:cNvSpPr txBox="1"/>
                      <wps:spPr>
                        <a:xfrm>
                          <a:off x="0" y="0"/>
                          <a:ext cx="3175000" cy="3154680"/>
                        </a:xfrm>
                        <a:prstGeom prst="rect"/>
                        <a:solidFill>
                          <a:srgbClr val="FFFFFF"/>
                        </a:solidFill>
                      </wps:spPr>
                      <wps:txbx>
                        <w:txbxContent>
                          <w:p>
                            <w:pPr>
                              <w:pStyle w:val="TextBody"/>
                              <w:bidi w:val="0"/>
                              <w:spacing w:before="0" w:after="0"/>
                              <w:jc w:val="both"/>
                              <w:rPr>
                                <w:rFonts w:ascii="arial" w:hAnsi="arial"/>
                                <w:sz w:val="18"/>
                              </w:rPr>
                            </w:pPr>
                            <w:r>
                              <w:rPr>
                                <w:rFonts w:ascii="arial" w:hAnsi="arial"/>
                                <w:sz w:val="18"/>
                              </w:rPr>
                              <w:t xml:space="preserve">For example, our Executive Vice President, Global Commercial Operations role held by Mr. Gordon is well-matched in the PHS Survey. However, this role is not consistently well-represented in the peer group proxy statements and, as a result, to reflect the scope and criticality of this role, it is instead compared to the second highest paid named executive officer in such filings. Further, as a result of our single business unit structure, our Executive Vice President, Operations role held by Mr. Santos is not well-matched in either the PHS Survey or the peer group proxy statements as this role at our Company oversees a significantly broader scope of responsibilities. Due to this lack of comparability, the compensation for our Executive Vice President, Operations is determined in relation to the compensation decisions made for our other Executive Vice President roles. Based on this data (to the extent applicable), the Compensation Committee is presented with a comparison of each NEO on a position or pay rank basis, with information of each element of compensation for such NEO at the 50th and 75th percentile of the peer group. Consistent with generally accepted practice and because base pay survey data is only available for the previous calendar year, base pay survey data is aged forward to the current year based on expected salary movement.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48.4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8"/>
                        </w:rPr>
                      </w:pPr>
                      <w:r>
                        <w:rPr>
                          <w:rFonts w:ascii="arial" w:hAnsi="arial"/>
                          <w:sz w:val="18"/>
                        </w:rPr>
                        <w:t xml:space="preserve">For example, our Executive Vice President, Global Commercial Operations role held by Mr. Gordon is well-matched in the PHS Survey. However, this role is not consistently well-represented in the peer group proxy statements and, as a result, to reflect the scope and criticality of this role, it is instead compared to the second highest paid named executive officer in such filings. Further, as a result of our single business unit structure, our Executive Vice President, Operations role held by Mr. Santos is not well-matched in either the PHS Survey or the peer group proxy statements as this role at our Company oversees a significantly broader scope of responsibilities. Due to this lack of comparability, the compensation for our Executive Vice President, Operations is determined in relation to the compensation decisions made for our other Executive Vice President roles. Based on this data (to the extent applicable), the Compensation Committee is presented with a comparison of each NEO on a position or pay rank basis, with information of each element of compensation for such NEO at the 50th and 75th percentile of the peer group. Consistent with generally accepted practice and because base pay survey data is only available for the previous calendar year, base pay survey data is aged forward to the current year based on expected salary movement.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242"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20" descr=""/>
                    <pic:cNvPicPr>
                      <a:picLocks noChangeAspect="1" noChangeArrowheads="1"/>
                    </pic:cNvPicPr>
                  </pic:nvPicPr>
                  <pic:blipFill>
                    <a:blip r:embed="rId129"/>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65</w:t>
      </w:r>
      <w:r>
        <w:rPr>
          <w:rFonts w:ascii="arial" w:hAnsi="arial"/>
          <w:b/>
          <w:sz w:val="22"/>
        </w:rPr>
        <w:t xml:space="preserve"> </w:t>
      </w:r>
      <w:r>
        <w:br w:type="page"/>
      </w:r>
    </w:p>
    <w:p>
      <w:pPr>
        <w:pStyle w:val="HorizontalLine"/>
        <w:bidi w:val="0"/>
        <w:jc w:val="left"/>
        <w:rPr/>
      </w:pPr>
      <w:r>
        <w:rPr/>
      </w:r>
    </w:p>
    <w:tbl>
      <w:tblPr>
        <w:tblW w:w="507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45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459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Compensation Discussion and Analysis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both"/>
        <w:rPr>
          <w:rFonts w:ascii="arial" w:hAnsi="arial"/>
          <w:sz w:val="18"/>
        </w:rPr>
      </w:pPr>
      <w:r>
        <w:rPr>
          <w:rFonts w:ascii="arial" w:hAnsi="arial"/>
          <w:sz w:val="18"/>
        </w:rPr>
        <w:t xml:space="preserve">The “Market Median,” as applicable, is determined for our CEO and our other NEOs based on the prior year’s compensation and is reviewed by the Compensation Committee to inform compensation decisions made in March of each year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91"/>
        <w:gridCol w:w="120"/>
        <w:gridCol w:w="6178"/>
        <w:gridCol w:w="120"/>
        <w:gridCol w:w="60"/>
        <w:gridCol w:w="60"/>
        <w:gridCol w:w="76"/>
      </w:tblGrid>
      <w:tr>
        <w:trPr/>
        <w:tc>
          <w:tcPr>
            <w:tcW w:w="35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top w:val="single" w:sz="6" w:space="0" w:color="000000"/>
            </w:tcBorders>
            <w:shd w:fill="0171B9" w:val="clear"/>
            <w:tcMar>
              <w:top w:w="28" w:type="dxa"/>
            </w:tcMar>
            <w:vAlign w:val="center"/>
          </w:tcPr>
          <w:p>
            <w:pPr>
              <w:pStyle w:val="TableContents"/>
              <w:bidi w:val="0"/>
              <w:spacing w:before="0" w:after="283"/>
              <w:jc w:val="left"/>
              <w:rPr/>
            </w:pPr>
            <w:r>
              <w:rPr/>
              <w:t> </w:t>
            </w:r>
          </w:p>
        </w:tc>
      </w:tr>
      <w:tr>
        <w:trPr/>
        <w:tc>
          <w:tcPr>
            <w:tcW w:w="10129" w:type="dxa"/>
            <w:gridSpan w:val="6"/>
            <w:tcBorders/>
            <w:shd w:fill="0171B9"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Market Median</w:t>
            </w:r>
          </w:p>
          <w:p>
            <w:pPr>
              <w:pStyle w:val="TableContents"/>
              <w:bidi w:val="0"/>
              <w:spacing w:before="0" w:after="20"/>
              <w:jc w:val="left"/>
              <w:rPr/>
            </w:pPr>
            <w:r>
              <w:rPr/>
              <w:t> </w:t>
            </w:r>
          </w:p>
        </w:tc>
        <w:tc>
          <w:tcPr>
            <w:tcW w:w="76" w:type="dxa"/>
            <w:tcBorders/>
            <w:shd w:fill="0171B9" w:val="clear"/>
            <w:vAlign w:val="center"/>
          </w:tcPr>
          <w:p>
            <w:pPr>
              <w:pStyle w:val="TableContents"/>
              <w:bidi w:val="0"/>
              <w:spacing w:before="0" w:after="283"/>
              <w:jc w:val="left"/>
              <w:rPr>
                <w:sz w:val="4"/>
                <w:szCs w:val="4"/>
              </w:rPr>
            </w:pPr>
            <w:r>
              <w:rPr>
                <w:sz w:val="4"/>
                <w:szCs w:val="4"/>
              </w:rPr>
            </w:r>
          </w:p>
        </w:tc>
      </w:tr>
      <w:tr>
        <w:trPr/>
        <w:tc>
          <w:tcPr>
            <w:tcW w:w="3591" w:type="dxa"/>
            <w:tcBorders/>
            <w:vAlign w:val="center"/>
          </w:tcPr>
          <w:p>
            <w:pPr>
              <w:pStyle w:val="TableContents"/>
              <w:bidi w:val="0"/>
              <w:spacing w:before="0" w:after="283"/>
              <w:jc w:val="left"/>
              <w:rPr>
                <w:sz w:val="4"/>
                <w:szCs w:val="4"/>
              </w:rPr>
            </w:pPr>
            <w:r>
              <w:rPr>
                <w:sz w:val="4"/>
                <w:szCs w:val="4"/>
              </w:rPr>
            </w:r>
          </w:p>
        </w:tc>
        <w:tc>
          <w:tcPr>
            <w:tcW w:w="6298" w:type="dxa"/>
            <w:gridSpan w:val="2"/>
            <w:tcBorders/>
            <w:vAlign w:val="center"/>
          </w:tcPr>
          <w:p>
            <w:pPr>
              <w:pStyle w:val="TableContents"/>
              <w:bidi w:val="0"/>
              <w:spacing w:before="0" w:after="283"/>
              <w:jc w:val="left"/>
              <w:rPr>
                <w:sz w:val="4"/>
                <w:szCs w:val="4"/>
              </w:rPr>
            </w:pPr>
            <w:r>
              <w:rPr>
                <w:sz w:val="4"/>
                <w:szCs w:val="4"/>
              </w:rPr>
            </w:r>
          </w:p>
        </w:tc>
        <w:tc>
          <w:tcPr>
            <w:tcW w:w="316" w:type="dxa"/>
            <w:gridSpan w:val="4"/>
            <w:tcBorders/>
            <w:vAlign w:val="center"/>
          </w:tcPr>
          <w:p>
            <w:pPr>
              <w:pStyle w:val="TableContents"/>
              <w:bidi w:val="0"/>
              <w:spacing w:before="0" w:after="283"/>
              <w:jc w:val="left"/>
              <w:rPr>
                <w:sz w:val="4"/>
                <w:szCs w:val="4"/>
              </w:rPr>
            </w:pPr>
            <w:r>
              <w:rPr>
                <w:sz w:val="4"/>
                <w:szCs w:val="4"/>
              </w:rPr>
            </w:r>
          </w:p>
        </w:tc>
      </w:tr>
      <w:tr>
        <w:trPr/>
        <w:tc>
          <w:tcPr>
            <w:tcW w:w="3591" w:type="dxa"/>
            <w:tcBorders>
              <w:bottom w:val="single" w:sz="8" w:space="0" w:color="000000"/>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b/>
                <w:sz w:val="18"/>
              </w:rPr>
              <w:t xml:space="preserve">CEO </w:t>
            </w:r>
            <w:r>
              <w:rPr>
                <w:rFonts w:ascii="arial" w:hAnsi="arial"/>
                <w:sz w:val="18"/>
              </w:rPr>
              <w:t>(compiled by FW Cook)</w:t>
            </w:r>
          </w:p>
          <w:p>
            <w:pPr>
              <w:pStyle w:val="TableContents"/>
              <w:bidi w:val="0"/>
              <w:spacing w:before="0" w:after="20"/>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178" w:type="dxa"/>
            <w:tcBorders>
              <w:bottom w:val="single" w:sz="8" w:space="0" w:color="000000"/>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sz w:val="18"/>
              </w:rPr>
            </w:pPr>
            <w:r>
              <w:rPr>
                <w:rFonts w:ascii="arial" w:hAnsi="arial"/>
                <w:b/>
                <w:sz w:val="18"/>
              </w:rPr>
              <w:t>Other NEOs</w:t>
            </w:r>
          </w:p>
          <w:p>
            <w:pPr>
              <w:pStyle w:val="TableContents"/>
              <w:bidi w:val="0"/>
              <w:spacing w:before="0" w:after="20"/>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591" w:type="dxa"/>
            <w:tcBorders/>
            <w:shd w:fill="CCE2F1" w:val="clear"/>
            <w:vAlign w:val="center"/>
          </w:tcPr>
          <w:p>
            <w:pPr>
              <w:pStyle w:val="TableContents"/>
              <w:bidi w:val="0"/>
              <w:spacing w:before="0" w:after="283"/>
              <w:jc w:val="left"/>
              <w:rPr>
                <w:sz w:val="4"/>
                <w:szCs w:val="4"/>
              </w:rPr>
            </w:pPr>
            <w:r>
              <w:rPr>
                <w:sz w:val="4"/>
                <w:szCs w:val="4"/>
              </w:rPr>
            </w:r>
          </w:p>
        </w:tc>
        <w:tc>
          <w:tcPr>
            <w:tcW w:w="6298" w:type="dxa"/>
            <w:gridSpan w:val="2"/>
            <w:tcBorders/>
            <w:shd w:fill="CCE2F1" w:val="clear"/>
            <w:vAlign w:val="center"/>
          </w:tcPr>
          <w:p>
            <w:pPr>
              <w:pStyle w:val="TableContents"/>
              <w:bidi w:val="0"/>
              <w:spacing w:before="0" w:after="283"/>
              <w:jc w:val="left"/>
              <w:rPr>
                <w:sz w:val="4"/>
                <w:szCs w:val="4"/>
              </w:rPr>
            </w:pPr>
            <w:r>
              <w:rPr>
                <w:sz w:val="4"/>
                <w:szCs w:val="4"/>
              </w:rPr>
            </w:r>
          </w:p>
        </w:tc>
        <w:tc>
          <w:tcPr>
            <w:tcW w:w="316"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3591" w:type="dxa"/>
            <w:tcBorders>
              <w:bottom w:val="single" w:sz="6" w:space="0" w:color="000000"/>
            </w:tcBorders>
            <w:shd w:fill="CCE2F1" w:val="clear"/>
            <w:tcMar>
              <w:bottom w:w="40" w:type="dxa"/>
            </w:tcMar>
            <w:vAlign w:val="center"/>
          </w:tcPr>
          <w:p>
            <w:pPr>
              <w:pStyle w:val="TableContents"/>
              <w:bidi w:val="0"/>
              <w:spacing w:before="0" w:after="0"/>
              <w:jc w:val="left"/>
              <w:rPr/>
            </w:pPr>
            <w:r>
              <w:rPr/>
              <w:t> </w:t>
            </w:r>
          </w:p>
          <w:p>
            <w:pPr>
              <w:pStyle w:val="TableContents"/>
              <w:bidi w:val="0"/>
              <w:spacing w:before="0" w:after="20"/>
              <w:jc w:val="both"/>
              <w:rPr/>
            </w:pPr>
            <w:r>
              <w:rPr>
                <w:color w:val="0171B9"/>
              </w:rPr>
              <w:t>•</w:t>
            </w:r>
            <w:r>
              <w:rPr/>
              <w:t>   </w:t>
            </w:r>
            <w:r>
              <w:rPr>
                <w:rFonts w:ascii="arial" w:hAnsi="arial"/>
                <w:sz w:val="19"/>
              </w:rPr>
              <w:t>50th percentile of each compensation element paid to CEOs in our peer group in the previous year as reported in applicable proxy statements.</w:t>
            </w:r>
          </w:p>
        </w:tc>
        <w:tc>
          <w:tcPr>
            <w:tcW w:w="120" w:type="dxa"/>
            <w:tcBorders>
              <w:bottom w:val="single" w:sz="6" w:space="0" w:color="000000"/>
            </w:tcBorders>
            <w:shd w:fill="CCE2F1" w:val="clear"/>
            <w:tcMar>
              <w:bottom w:w="28" w:type="dxa"/>
            </w:tcMar>
            <w:vAlign w:val="center"/>
          </w:tcPr>
          <w:p>
            <w:pPr>
              <w:pStyle w:val="TableContents"/>
              <w:bidi w:val="0"/>
              <w:spacing w:before="0" w:after="283"/>
              <w:jc w:val="left"/>
              <w:rPr/>
            </w:pPr>
            <w:r>
              <w:rPr/>
              <w:t>  </w:t>
            </w:r>
          </w:p>
        </w:tc>
        <w:tc>
          <w:tcPr>
            <w:tcW w:w="6178" w:type="dxa"/>
            <w:tcBorders>
              <w:bottom w:val="single" w:sz="6" w:space="0" w:color="000000"/>
            </w:tcBorders>
            <w:shd w:fill="CCE2F1" w:val="clear"/>
            <w:tcMar>
              <w:bottom w:w="40" w:type="dxa"/>
            </w:tcMar>
            <w:vAlign w:val="center"/>
          </w:tcPr>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Average of the 50th percentile of each compensation element of our peer group from the survey data and proxy statements for the previous year modified for the Executive Vice President, Global Commercial Operations and Executive Vice President, Operations roles as described above.</w:t>
            </w:r>
          </w:p>
          <w:p>
            <w:pPr>
              <w:pStyle w:val="TableContents"/>
              <w:bidi w:val="0"/>
              <w:spacing w:before="0" w:after="20"/>
              <w:jc w:val="left"/>
              <w:rPr/>
            </w:pPr>
            <w:r>
              <w:rPr/>
              <w:t> </w:t>
            </w:r>
          </w:p>
        </w:tc>
        <w:tc>
          <w:tcPr>
            <w:tcW w:w="120" w:type="dxa"/>
            <w:tcBorders>
              <w:bottom w:val="single" w:sz="6" w:space="0" w:color="000000"/>
            </w:tcBorders>
            <w:shd w:fill="CCE2F1"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CCE2F1"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0000"/>
            </w:tcBorders>
            <w:shd w:fill="CCE2F1"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6" w:type="dxa"/>
            <w:tcBorders>
              <w:bottom w:val="single" w:sz="6" w:space="0" w:color="000000"/>
            </w:tcBorders>
            <w:shd w:fill="CCE2F1"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r>
    </w:tbl>
    <w:p>
      <w:pPr>
        <w:pStyle w:val="TextBody"/>
        <w:bidi w:val="0"/>
        <w:spacing w:before="240" w:after="0"/>
        <w:jc w:val="left"/>
        <w:rPr>
          <w:rFonts w:ascii="arial" w:hAnsi="arial"/>
          <w:b/>
          <w:color w:val="0171B9"/>
          <w:sz w:val="28"/>
        </w:rPr>
      </w:pPr>
      <w:bookmarkStart w:id="52" w:name="toc445034_39"/>
      <w:bookmarkStart w:id="53" w:name="txa445034_110"/>
      <w:bookmarkEnd w:id="52"/>
      <w:bookmarkEnd w:id="53"/>
      <w:r>
        <w:rPr>
          <w:rFonts w:ascii="arial" w:hAnsi="arial"/>
          <w:b/>
          <w:color w:val="0171B9"/>
          <w:sz w:val="28"/>
        </w:rPr>
        <w:t xml:space="preserve">Elements of Compensation and Specific Compensation Decisions </w:t>
      </w:r>
    </w:p>
    <w:p>
      <w:pPr>
        <w:pStyle w:val="TextBody"/>
        <w:pBdr>
          <w:bottom w:val="single" w:sz="2" w:space="1" w:color="666666"/>
        </w:pBdr>
        <w:bidi w:val="0"/>
        <w:spacing w:lineRule="atLeast" w:line="142" w:before="0" w:after="40"/>
        <w:jc w:val="left"/>
        <w:rPr/>
      </w:pPr>
      <w:r>
        <w:rPr/>
        <w:t> </w:t>
      </w:r>
    </w:p>
    <w:p>
      <w:pPr>
        <w:pStyle w:val="TextBody"/>
        <w:bidi w:val="0"/>
        <w:spacing w:before="120" w:after="0"/>
        <w:jc w:val="both"/>
        <w:rPr>
          <w:rFonts w:ascii="arial" w:hAnsi="arial"/>
          <w:sz w:val="18"/>
        </w:rPr>
      </w:pPr>
      <w:r>
        <w:rPr>
          <w:rFonts w:ascii="arial" w:hAnsi="arial"/>
          <w:sz w:val="18"/>
        </w:rPr>
        <w:t xml:space="preserve">Described below are our three primary elements of executive compensation in order of magnitude: LTI equity awards; annual cash incentive awards; and base salaries.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3175000" cy="5346065"/>
                <wp:effectExtent l="0" t="0" r="0" b="0"/>
                <wp:wrapSquare wrapText="right"/>
                <wp:docPr id="243" name="Frame116"/>
                <a:graphic xmlns:a="http://schemas.openxmlformats.org/drawingml/2006/main">
                  <a:graphicData uri="http://schemas.microsoft.com/office/word/2010/wordprocessingShape">
                    <wps:wsp>
                      <wps:cNvSpPr txBox="1"/>
                      <wps:spPr>
                        <a:xfrm>
                          <a:off x="0" y="0"/>
                          <a:ext cx="3175000" cy="5346065"/>
                        </a:xfrm>
                        <a:prstGeom prst="rect"/>
                        <a:solidFill>
                          <a:srgbClr val="FFFFFF"/>
                        </a:solidFill>
                      </wps:spPr>
                      <wps:txbx>
                        <w:txbxContent>
                          <w:p>
                            <w:pPr>
                              <w:pStyle w:val="TextBody"/>
                              <w:bidi w:val="0"/>
                              <w:spacing w:before="0" w:after="0"/>
                              <w:jc w:val="both"/>
                              <w:rPr>
                                <w:rFonts w:ascii="arial" w:hAnsi="arial"/>
                                <w:sz w:val="18"/>
                              </w:rPr>
                            </w:pPr>
                            <w:r>
                              <w:rPr>
                                <w:rFonts w:ascii="arial" w:hAnsi="arial"/>
                                <w:sz w:val="18"/>
                              </w:rPr>
                              <w:t xml:space="preserve">associated with the proposed aggregate LTI equity award grants to ensure that our SVT is aligned with our peer group practices. (For certain lower job levels where data is not as comprehensive, we have developed guidelines that trend in-line with available data and consider internal equity.) As illustrated below, the resulting dilutive effect has been maintained at a generally consistent level over the past six years. </w:t>
                            </w:r>
                          </w:p>
                          <w:p>
                            <w:pPr>
                              <w:pStyle w:val="TextBody"/>
                              <w:bidi w:val="0"/>
                              <w:spacing w:before="240" w:after="0"/>
                              <w:jc w:val="both"/>
                              <w:rPr>
                                <w:rFonts w:ascii="arial" w:hAnsi="arial"/>
                                <w:sz w:val="18"/>
                              </w:rPr>
                            </w:pPr>
                            <w:r>
                              <w:rPr>
                                <w:rFonts w:ascii="arial" w:hAnsi="arial"/>
                                <w:sz w:val="18"/>
                              </w:rPr>
                              <w:t xml:space="preserve">We are asking our stockholders to approve an amended Equity Incentive Plan that, in part, increases the number of shares reserved for issuance thereunder by 31,297,000 shares. There has not been an increase in the share reserve under our equity incentive plan since 2013. Additional information regarding our burn rate, share reserve, and terms of the proposed amendment and restatement of equity incentive plan can be found in “Item 3 – Approval of Amgen Inc. Second Amended and Restated 2009 Equity Incentive Plan.” </w:t>
                            </w:r>
                          </w:p>
                          <w:p>
                            <w:pPr>
                              <w:pStyle w:val="TextBody"/>
                              <w:bidi w:val="0"/>
                              <w:spacing w:before="0" w:after="0"/>
                              <w:jc w:val="left"/>
                              <w:rPr/>
                            </w:pPr>
                            <w:r>
                              <w:rPr/>
                              <w:t> </w:t>
                            </w:r>
                          </w:p>
                          <w:p>
                            <w:pPr>
                              <w:pStyle w:val="TextBody"/>
                              <w:bidi w:val="0"/>
                              <w:spacing w:before="0" w:after="0"/>
                              <w:jc w:val="center"/>
                              <w:rPr/>
                            </w:pPr>
                            <w:r>
                              <w:rPr/>
                              <w:drawing>
                                <wp:inline distT="0" distB="0" distL="0" distR="0">
                                  <wp:extent cx="3819525" cy="2619375"/>
                                  <wp:effectExtent l="0" t="0" r="0" b="0"/>
                                  <wp:docPr id="244"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21" descr=""/>
                                          <pic:cNvPicPr>
                                            <a:picLocks noChangeAspect="1" noChangeArrowheads="1"/>
                                          </pic:cNvPicPr>
                                        </pic:nvPicPr>
                                        <pic:blipFill>
                                          <a:blip r:embed="rId130"/>
                                          <a:stretch>
                                            <a:fillRect/>
                                          </a:stretch>
                                        </pic:blipFill>
                                        <pic:spPr bwMode="auto">
                                          <a:xfrm>
                                            <a:off x="0" y="0"/>
                                            <a:ext cx="3819525" cy="2619375"/>
                                          </a:xfrm>
                                          <a:prstGeom prst="rect">
                                            <a:avLst/>
                                          </a:prstGeom>
                                        </pic:spPr>
                                      </pic:pic>
                                    </a:graphicData>
                                  </a:graphic>
                                </wp:inline>
                              </w:drawing>
                            </w:r>
                            <w:r>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20.9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8"/>
                        </w:rPr>
                      </w:pPr>
                      <w:r>
                        <w:rPr>
                          <w:rFonts w:ascii="arial" w:hAnsi="arial"/>
                          <w:sz w:val="18"/>
                        </w:rPr>
                        <w:t xml:space="preserve">associated with the proposed aggregate LTI equity award grants to ensure that our SVT is aligned with our peer group practices. (For certain lower job levels where data is not as comprehensive, we have developed guidelines that trend in-line with available data and consider internal equity.) As illustrated below, the resulting dilutive effect has been maintained at a generally consistent level over the past six years. </w:t>
                      </w:r>
                    </w:p>
                    <w:p>
                      <w:pPr>
                        <w:pStyle w:val="TextBody"/>
                        <w:bidi w:val="0"/>
                        <w:spacing w:before="240" w:after="0"/>
                        <w:jc w:val="both"/>
                        <w:rPr>
                          <w:rFonts w:ascii="arial" w:hAnsi="arial"/>
                          <w:sz w:val="18"/>
                        </w:rPr>
                      </w:pPr>
                      <w:r>
                        <w:rPr>
                          <w:rFonts w:ascii="arial" w:hAnsi="arial"/>
                          <w:sz w:val="18"/>
                        </w:rPr>
                        <w:t xml:space="preserve">We are asking our stockholders to approve an amended Equity Incentive Plan that, in part, increases the number of shares reserved for issuance thereunder by 31,297,000 shares. There has not been an increase in the share reserve under our equity incentive plan since 2013. Additional information regarding our burn rate, share reserve, and terms of the proposed amendment and restatement of equity incentive plan can be found in “Item 3 – Approval of Amgen Inc. Second Amended and Restated 2009 Equity Incentive Plan.” </w:t>
                      </w:r>
                    </w:p>
                    <w:p>
                      <w:pPr>
                        <w:pStyle w:val="TextBody"/>
                        <w:bidi w:val="0"/>
                        <w:spacing w:before="0" w:after="0"/>
                        <w:jc w:val="left"/>
                        <w:rPr/>
                      </w:pPr>
                      <w:r>
                        <w:rPr/>
                        <w:t> </w:t>
                      </w:r>
                    </w:p>
                    <w:p>
                      <w:pPr>
                        <w:pStyle w:val="TextBody"/>
                        <w:bidi w:val="0"/>
                        <w:spacing w:before="0" w:after="0"/>
                        <w:jc w:val="center"/>
                        <w:rPr/>
                      </w:pPr>
                      <w:r>
                        <w:rPr/>
                        <w:drawing>
                          <wp:inline distT="0" distB="0" distL="0" distR="0">
                            <wp:extent cx="3819525" cy="2619375"/>
                            <wp:effectExtent l="0" t="0" r="0" b="0"/>
                            <wp:docPr id="245"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121" descr=""/>
                                    <pic:cNvPicPr>
                                      <a:picLocks noChangeAspect="1" noChangeArrowheads="1"/>
                                    </pic:cNvPicPr>
                                  </pic:nvPicPr>
                                  <pic:blipFill>
                                    <a:blip r:embed="rId131"/>
                                    <a:stretch>
                                      <a:fillRect/>
                                    </a:stretch>
                                  </pic:blipFill>
                                  <pic:spPr bwMode="auto">
                                    <a:xfrm>
                                      <a:off x="0" y="0"/>
                                      <a:ext cx="3819525" cy="2619375"/>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356">
                <wp:simplePos x="0" y="0"/>
                <wp:positionH relativeFrom="column">
                  <wp:align>left</wp:align>
                </wp:positionH>
                <wp:positionV relativeFrom="line">
                  <wp:posOffset>635</wp:posOffset>
                </wp:positionV>
                <wp:extent cx="3110230" cy="4923155"/>
                <wp:effectExtent l="0" t="0" r="0" b="0"/>
                <wp:wrapSquare wrapText="right"/>
                <wp:docPr id="246" name="Frame115"/>
                <a:graphic xmlns:a="http://schemas.openxmlformats.org/drawingml/2006/main">
                  <a:graphicData uri="http://schemas.microsoft.com/office/word/2010/wordprocessingShape">
                    <wps:wsp>
                      <wps:cNvSpPr txBox="1"/>
                      <wps:spPr>
                        <a:xfrm>
                          <a:off x="0" y="0"/>
                          <a:ext cx="3110230" cy="4923155"/>
                        </a:xfrm>
                        <a:prstGeom prst="rect"/>
                        <a:solidFill>
                          <a:srgbClr val="FFFFFF"/>
                        </a:solidFill>
                      </wps:spPr>
                      <wps:txbx>
                        <w:txbxContent>
                          <w:p>
                            <w:pPr>
                              <w:pStyle w:val="TextBody"/>
                              <w:bidi w:val="0"/>
                              <w:spacing w:before="0" w:after="0"/>
                              <w:jc w:val="left"/>
                              <w:rPr>
                                <w:rFonts w:ascii="arial" w:hAnsi="arial"/>
                                <w:b/>
                                <w:sz w:val="22"/>
                              </w:rPr>
                            </w:pPr>
                            <w:r>
                              <w:rPr>
                                <w:rFonts w:ascii="arial" w:hAnsi="arial"/>
                                <w:b/>
                                <w:sz w:val="22"/>
                              </w:rPr>
                              <w:t xml:space="preserve">Long-Term Incentive Equity Awards </w:t>
                            </w:r>
                          </w:p>
                          <w:p>
                            <w:pPr>
                              <w:pStyle w:val="TextBody"/>
                              <w:bidi w:val="0"/>
                              <w:spacing w:before="120" w:after="0"/>
                              <w:jc w:val="both"/>
                              <w:rPr>
                                <w:rFonts w:ascii="arial" w:hAnsi="arial"/>
                                <w:sz w:val="18"/>
                              </w:rPr>
                            </w:pPr>
                            <w:r>
                              <w:rPr>
                                <w:rFonts w:ascii="arial" w:hAnsi="arial"/>
                                <w:sz w:val="18"/>
                              </w:rPr>
                              <w:t xml:space="preserve">Our compensation program aims to achieve the appropriate balance of compensation elements relative to the responsibilities of our staff members, with the result that the largest proportion of compensation for our CEO and the other NEOs is in LTI equity awards that are risk-based and closely aligned with the creation of long-term stockholder value. For 2023, equity-based compensation represents 78% of our CEO’s target compensation and 67% of target compensation for our other NEOs, and 50% of annual equity awards are in long-term performance units. In addition, while being mindful of stockholder dilution (see below), we also grant LTI equity awards each year to nearly all of our staff members worldwide to increase staff awareness of how our performance impacts stockholder value. We believe that our practice of granting equity-based compensation broadly has been a significant factor in advancing our strategic priorities by aligning all of our staff members’ (including our NEOs’) interests with those of our stockholders, rewarding execution of our strategy, fostering long-term focus, and enhancing retention. </w:t>
                            </w:r>
                          </w:p>
                          <w:p>
                            <w:pPr>
                              <w:pStyle w:val="TextBody"/>
                              <w:bidi w:val="0"/>
                              <w:spacing w:before="360" w:after="0"/>
                              <w:jc w:val="left"/>
                              <w:rPr>
                                <w:rFonts w:ascii="arial" w:hAnsi="arial"/>
                                <w:b/>
                                <w:sz w:val="20"/>
                              </w:rPr>
                            </w:pPr>
                            <w:r>
                              <w:rPr>
                                <w:rFonts w:ascii="arial" w:hAnsi="arial"/>
                                <w:b/>
                                <w:sz w:val="20"/>
                              </w:rPr>
                              <w:t xml:space="preserve">We Continue to Exercise Discipline in the Grant of Long-Term Incentive Equity Awards—Monitoring Dilution and Annual Equity Usage </w:t>
                            </w:r>
                          </w:p>
                          <w:p>
                            <w:pPr>
                              <w:pStyle w:val="TextBody"/>
                              <w:bidi w:val="0"/>
                              <w:spacing w:before="120" w:after="0"/>
                              <w:jc w:val="both"/>
                              <w:rPr>
                                <w:rFonts w:ascii="arial" w:hAnsi="arial"/>
                                <w:sz w:val="18"/>
                              </w:rPr>
                            </w:pPr>
                            <w:r>
                              <w:rPr>
                                <w:rFonts w:ascii="arial" w:hAnsi="arial"/>
                                <w:sz w:val="18"/>
                              </w:rPr>
                              <w:t xml:space="preserve">Our Compensation Committee balances the use of equity to align staff members with our stockholders while striving to limit stockholder dilution to that amount which investors would expect to experience with members of our peer group. Annually, LTI equity award grant guidelines are established for each Company job level targeting the 50th percentile of our peer group for levels for which equity data is broadly available, setting an annual LTI equity award budget at approximately the 50th percentile of our peer group, and reviewing the Shareholder Value Transfer (SVT)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87.65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bidi w:val="0"/>
                        <w:spacing w:before="0" w:after="0"/>
                        <w:jc w:val="left"/>
                        <w:rPr>
                          <w:rFonts w:ascii="arial" w:hAnsi="arial"/>
                          <w:b/>
                          <w:sz w:val="22"/>
                        </w:rPr>
                      </w:pPr>
                      <w:r>
                        <w:rPr>
                          <w:rFonts w:ascii="arial" w:hAnsi="arial"/>
                          <w:b/>
                          <w:sz w:val="22"/>
                        </w:rPr>
                        <w:t xml:space="preserve">Long-Term Incentive Equity Awards </w:t>
                      </w:r>
                    </w:p>
                    <w:p>
                      <w:pPr>
                        <w:pStyle w:val="TextBody"/>
                        <w:bidi w:val="0"/>
                        <w:spacing w:before="120" w:after="0"/>
                        <w:jc w:val="both"/>
                        <w:rPr>
                          <w:rFonts w:ascii="arial" w:hAnsi="arial"/>
                          <w:sz w:val="18"/>
                        </w:rPr>
                      </w:pPr>
                      <w:r>
                        <w:rPr>
                          <w:rFonts w:ascii="arial" w:hAnsi="arial"/>
                          <w:sz w:val="18"/>
                        </w:rPr>
                        <w:t xml:space="preserve">Our compensation program aims to achieve the appropriate balance of compensation elements relative to the responsibilities of our staff members, with the result that the largest proportion of compensation for our CEO and the other NEOs is in LTI equity awards that are risk-based and closely aligned with the creation of long-term stockholder value. For 2023, equity-based compensation represents 78% of our CEO’s target compensation and 67% of target compensation for our other NEOs, and 50% of annual equity awards are in long-term performance units. In addition, while being mindful of stockholder dilution (see below), we also grant LTI equity awards each year to nearly all of our staff members worldwide to increase staff awareness of how our performance impacts stockholder value. We believe that our practice of granting equity-based compensation broadly has been a significant factor in advancing our strategic priorities by aligning all of our staff members’ (including our NEOs’) interests with those of our stockholders, rewarding execution of our strategy, fostering long-term focus, and enhancing retention. </w:t>
                      </w:r>
                    </w:p>
                    <w:p>
                      <w:pPr>
                        <w:pStyle w:val="TextBody"/>
                        <w:bidi w:val="0"/>
                        <w:spacing w:before="360" w:after="0"/>
                        <w:jc w:val="left"/>
                        <w:rPr>
                          <w:rFonts w:ascii="arial" w:hAnsi="arial"/>
                          <w:b/>
                          <w:sz w:val="20"/>
                        </w:rPr>
                      </w:pPr>
                      <w:r>
                        <w:rPr>
                          <w:rFonts w:ascii="arial" w:hAnsi="arial"/>
                          <w:b/>
                          <w:sz w:val="20"/>
                        </w:rPr>
                        <w:t xml:space="preserve">We Continue to Exercise Discipline in the Grant of Long-Term Incentive Equity Awards—Monitoring Dilution and Annual Equity Usage </w:t>
                      </w:r>
                    </w:p>
                    <w:p>
                      <w:pPr>
                        <w:pStyle w:val="TextBody"/>
                        <w:bidi w:val="0"/>
                        <w:spacing w:before="120" w:after="0"/>
                        <w:jc w:val="both"/>
                        <w:rPr>
                          <w:rFonts w:ascii="arial" w:hAnsi="arial"/>
                          <w:sz w:val="18"/>
                        </w:rPr>
                      </w:pPr>
                      <w:r>
                        <w:rPr>
                          <w:rFonts w:ascii="arial" w:hAnsi="arial"/>
                          <w:sz w:val="18"/>
                        </w:rPr>
                        <w:t xml:space="preserve">Our Compensation Committee balances the use of equity to align staff members with our stockholders while striving to limit stockholder dilution to that amount which investors would expect to experience with members of our peer group. Annually, LTI equity award grant guidelines are established for each Company job level targeting the 50th percentile of our peer group for levels for which equity data is broadly available, setting an annual LTI equity award budget at approximately the 50th percentile of our peer group, and reviewing the Shareholder Value Transfer (SVT)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66  </w:t>
      </w:r>
      <w:r>
        <w:rPr>
          <w:rFonts w:ascii="arial" w:hAnsi="arial"/>
          <w:b/>
          <w:color w:val="474747"/>
          <w:sz w:val="22"/>
        </w:rPr>
        <w:drawing>
          <wp:inline distT="0" distB="0" distL="0" distR="0">
            <wp:extent cx="64770" cy="15240"/>
            <wp:effectExtent l="0" t="0" r="0" b="0"/>
            <wp:docPr id="247"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122" descr=""/>
                    <pic:cNvPicPr>
                      <a:picLocks noChangeAspect="1" noChangeArrowheads="1"/>
                    </pic:cNvPicPr>
                  </pic:nvPicPr>
                  <pic:blipFill>
                    <a:blip r:embed="rId132"/>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507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45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459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Compensation Discussion and Analysis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3175000" cy="2672715"/>
                <wp:effectExtent l="0" t="0" r="0" b="0"/>
                <wp:wrapSquare wrapText="right"/>
                <wp:docPr id="248" name="Frame118"/>
                <a:graphic xmlns:a="http://schemas.openxmlformats.org/drawingml/2006/main">
                  <a:graphicData uri="http://schemas.microsoft.com/office/word/2010/wordprocessingShape">
                    <wps:wsp>
                      <wps:cNvSpPr txBox="1"/>
                      <wps:spPr>
                        <a:xfrm>
                          <a:off x="0" y="0"/>
                          <a:ext cx="3175000" cy="2672715"/>
                        </a:xfrm>
                        <a:prstGeom prst="rect"/>
                        <a:solidFill>
                          <a:srgbClr val="FFFFFF"/>
                        </a:solidFill>
                      </wps:spPr>
                      <wps:txbx>
                        <w:txbxContent>
                          <w:p>
                            <w:pPr>
                              <w:pStyle w:val="TextBody"/>
                              <w:bidi w:val="0"/>
                              <w:spacing w:before="0" w:after="0"/>
                              <w:jc w:val="center"/>
                              <w:rPr>
                                <w:rFonts w:ascii="arial" w:hAnsi="arial"/>
                                <w:b/>
                                <w:color w:val="0171B9"/>
                                <w:sz w:val="20"/>
                              </w:rPr>
                            </w:pPr>
                            <w:r>
                              <w:rPr>
                                <w:rFonts w:ascii="arial" w:hAnsi="arial"/>
                                <w:b/>
                                <w:color w:val="0171B9"/>
                                <w:sz w:val="20"/>
                              </w:rPr>
                              <w:t xml:space="preserve">LTI Equity Award Allocation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724275" cy="2143125"/>
                                  <wp:effectExtent l="0" t="0" r="0" b="0"/>
                                  <wp:docPr id="249"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123" descr=""/>
                                          <pic:cNvPicPr>
                                            <a:picLocks noChangeAspect="1" noChangeArrowheads="1"/>
                                          </pic:cNvPicPr>
                                        </pic:nvPicPr>
                                        <pic:blipFill>
                                          <a:blip r:embed="rId133"/>
                                          <a:stretch>
                                            <a:fillRect/>
                                          </a:stretch>
                                        </pic:blipFill>
                                        <pic:spPr bwMode="auto">
                                          <a:xfrm>
                                            <a:off x="0" y="0"/>
                                            <a:ext cx="3724275" cy="2143125"/>
                                          </a:xfrm>
                                          <a:prstGeom prst="rect">
                                            <a:avLst/>
                                          </a:prstGeom>
                                        </pic:spPr>
                                      </pic:pic>
                                    </a:graphicData>
                                  </a:graphic>
                                </wp:inline>
                              </w:drawing>
                            </w:r>
                            <w:r>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10.4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center"/>
                        <w:rPr>
                          <w:rFonts w:ascii="arial" w:hAnsi="arial"/>
                          <w:b/>
                          <w:color w:val="0171B9"/>
                          <w:sz w:val="20"/>
                        </w:rPr>
                      </w:pPr>
                      <w:r>
                        <w:rPr>
                          <w:rFonts w:ascii="arial" w:hAnsi="arial"/>
                          <w:b/>
                          <w:color w:val="0171B9"/>
                          <w:sz w:val="20"/>
                        </w:rPr>
                        <w:t xml:space="preserve">LTI Equity Award Allocation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724275" cy="2143125"/>
                            <wp:effectExtent l="0" t="0" r="0" b="0"/>
                            <wp:docPr id="250"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23" descr=""/>
                                    <pic:cNvPicPr>
                                      <a:picLocks noChangeAspect="1" noChangeArrowheads="1"/>
                                    </pic:cNvPicPr>
                                  </pic:nvPicPr>
                                  <pic:blipFill>
                                    <a:blip r:embed="rId134"/>
                                    <a:stretch>
                                      <a:fillRect/>
                                    </a:stretch>
                                  </pic:blipFill>
                                  <pic:spPr bwMode="auto">
                                    <a:xfrm>
                                      <a:off x="0" y="0"/>
                                      <a:ext cx="3724275" cy="2143125"/>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357">
                <wp:simplePos x="0" y="0"/>
                <wp:positionH relativeFrom="column">
                  <wp:align>left</wp:align>
                </wp:positionH>
                <wp:positionV relativeFrom="line">
                  <wp:posOffset>635</wp:posOffset>
                </wp:positionV>
                <wp:extent cx="3110230" cy="2325370"/>
                <wp:effectExtent l="0" t="0" r="0" b="0"/>
                <wp:wrapSquare wrapText="right"/>
                <wp:docPr id="251" name="Frame117"/>
                <a:graphic xmlns:a="http://schemas.openxmlformats.org/drawingml/2006/main">
                  <a:graphicData uri="http://schemas.microsoft.com/office/word/2010/wordprocessingShape">
                    <wps:wsp>
                      <wps:cNvSpPr txBox="1"/>
                      <wps:spPr>
                        <a:xfrm>
                          <a:off x="0" y="0"/>
                          <a:ext cx="3110230" cy="2325370"/>
                        </a:xfrm>
                        <a:prstGeom prst="rect"/>
                        <a:solidFill>
                          <a:srgbClr val="FFFFFF"/>
                        </a:solidFill>
                      </wps:spPr>
                      <wps:txbx>
                        <w:txbxContent>
                          <w:p>
                            <w:pPr>
                              <w:pStyle w:val="TextBody"/>
                              <w:bidi w:val="0"/>
                              <w:spacing w:before="0" w:after="0"/>
                              <w:jc w:val="left"/>
                              <w:rPr>
                                <w:rFonts w:ascii="arial" w:hAnsi="arial"/>
                                <w:b/>
                                <w:sz w:val="20"/>
                              </w:rPr>
                            </w:pPr>
                            <w:r>
                              <w:rPr>
                                <w:rFonts w:ascii="arial" w:hAnsi="arial"/>
                                <w:b/>
                                <w:sz w:val="20"/>
                              </w:rPr>
                              <w:t xml:space="preserve">Long-Term Incentive Equity Award Mix </w:t>
                            </w:r>
                          </w:p>
                          <w:p>
                            <w:pPr>
                              <w:pStyle w:val="TextBody"/>
                              <w:bidi w:val="0"/>
                              <w:spacing w:before="120" w:after="0"/>
                              <w:jc w:val="both"/>
                              <w:rPr>
                                <w:rFonts w:ascii="arial" w:hAnsi="arial"/>
                                <w:sz w:val="18"/>
                              </w:rPr>
                            </w:pPr>
                            <w:r>
                              <w:rPr>
                                <w:rFonts w:ascii="arial" w:hAnsi="arial"/>
                                <w:sz w:val="18"/>
                              </w:rPr>
                              <w:t xml:space="preserve">As part of its annual evaluation of our LTI equity award practices, the Compensation Committee reviewed our LTI equity award mix with FW Cook and elected to maintain the previous year’s LTI equity award allocation for 2023 given its pay-for-performance alignment. As such, 80% of our annual equity award value continued to be delivered as performance-based LTI equity awards consisting of performance units (50%) and stock options (30%). Time-vested RSUs, designed to foster retention, comprise the remaining 20% of equity value. Both our stock options and RSUs generally vest over four years (with no vesting in the first year and vesting in three approximately equal annual installments on the second, third, and fourth anniversaries of the grant date). The delay in the commencement of vesting furthers the longer-term performance emphasis of our LTI equity award program and enhances retention.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83.1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bidi w:val="0"/>
                        <w:spacing w:before="0" w:after="0"/>
                        <w:jc w:val="left"/>
                        <w:rPr>
                          <w:rFonts w:ascii="arial" w:hAnsi="arial"/>
                          <w:b/>
                          <w:sz w:val="20"/>
                        </w:rPr>
                      </w:pPr>
                      <w:r>
                        <w:rPr>
                          <w:rFonts w:ascii="arial" w:hAnsi="arial"/>
                          <w:b/>
                          <w:sz w:val="20"/>
                        </w:rPr>
                        <w:t xml:space="preserve">Long-Term Incentive Equity Award Mix </w:t>
                      </w:r>
                    </w:p>
                    <w:p>
                      <w:pPr>
                        <w:pStyle w:val="TextBody"/>
                        <w:bidi w:val="0"/>
                        <w:spacing w:before="120" w:after="0"/>
                        <w:jc w:val="both"/>
                        <w:rPr>
                          <w:rFonts w:ascii="arial" w:hAnsi="arial"/>
                          <w:sz w:val="18"/>
                        </w:rPr>
                      </w:pPr>
                      <w:r>
                        <w:rPr>
                          <w:rFonts w:ascii="arial" w:hAnsi="arial"/>
                          <w:sz w:val="18"/>
                        </w:rPr>
                        <w:t xml:space="preserve">As part of its annual evaluation of our LTI equity award practices, the Compensation Committee reviewed our LTI equity award mix with FW Cook and elected to maintain the previous year’s LTI equity award allocation for 2023 given its pay-for-performance alignment. As such, 80% of our annual equity award value continued to be delivered as performance-based LTI equity awards consisting of performance units (50%) and stock options (30%). Time-vested RSUs, designed to foster retention, comprise the remaining 20% of equity value. Both our stock options and RSUs generally vest over four years (with no vesting in the first year and vesting in three approximately equal annual installments on the second, third, and fourth anniversaries of the grant date). The delay in the commencement of vesting furthers the longer-term performance emphasis of our LTI equity award program and enhances retention.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Value of 2023 Annual Long-Term Incentive Equity Awards </w:t>
      </w:r>
    </w:p>
    <w:p>
      <w:pPr>
        <w:pStyle w:val="TextBody"/>
        <w:bidi w:val="0"/>
        <w:spacing w:before="120" w:after="0"/>
        <w:jc w:val="both"/>
        <w:rPr>
          <w:rFonts w:ascii="arial" w:hAnsi="arial"/>
          <w:sz w:val="18"/>
        </w:rPr>
      </w:pPr>
      <w:r>
        <w:rPr>
          <w:rFonts w:ascii="arial" w:hAnsi="arial"/>
          <w:sz w:val="18"/>
        </w:rPr>
        <w:t xml:space="preserve">Based on a review of Company and executive performance, market data, and FW Cook and management’s recommendations, the Compensation Committee determined to grant the following annual LTI equity award grant values to our CEO and the other NEOs in March 2023, with an effective grant date of May 2, 2023, the date which is two business days after the date of release of our first quarter 2023 earnings results in accordance with our equity grant policy. </w:t>
      </w:r>
    </w:p>
    <w:p>
      <w:pPr>
        <w:pStyle w:val="TextBody"/>
        <w:bidi w:val="0"/>
        <w:spacing w:before="0" w:after="0"/>
        <w:jc w:val="left"/>
        <w:rPr/>
      </w:pPr>
      <w:r>
        <w:rPr/>
        <w:t> </w:t>
      </w:r>
    </w:p>
    <w:tbl>
      <w:tblPr>
        <w:tblW w:w="9955" w:type="dxa"/>
        <w:jc w:val="left"/>
        <w:tblInd w:w="0" w:type="dxa"/>
        <w:tblLayout w:type="fixed"/>
        <w:tblCellMar>
          <w:top w:w="0" w:type="dxa"/>
          <w:left w:w="0" w:type="dxa"/>
          <w:bottom w:w="0" w:type="dxa"/>
          <w:right w:w="0" w:type="dxa"/>
        </w:tblCellMar>
      </w:tblPr>
      <w:tblGrid>
        <w:gridCol w:w="1940"/>
        <w:gridCol w:w="120"/>
        <w:gridCol w:w="66"/>
        <w:gridCol w:w="1079"/>
        <w:gridCol w:w="60"/>
        <w:gridCol w:w="120"/>
        <w:gridCol w:w="60"/>
        <w:gridCol w:w="980"/>
        <w:gridCol w:w="60"/>
        <w:gridCol w:w="120"/>
        <w:gridCol w:w="60"/>
        <w:gridCol w:w="980"/>
        <w:gridCol w:w="60"/>
        <w:gridCol w:w="120"/>
        <w:gridCol w:w="60"/>
        <w:gridCol w:w="1100"/>
        <w:gridCol w:w="60"/>
        <w:gridCol w:w="120"/>
        <w:gridCol w:w="60"/>
        <w:gridCol w:w="1100"/>
        <w:gridCol w:w="60"/>
        <w:gridCol w:w="120"/>
        <w:gridCol w:w="153"/>
        <w:gridCol w:w="1127"/>
        <w:gridCol w:w="170"/>
      </w:tblGrid>
      <w:tr>
        <w:trPr/>
        <w:tc>
          <w:tcPr>
            <w:tcW w:w="19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940" w:type="dxa"/>
            <w:tcBorders>
              <w:bottom w:val="single" w:sz="8" w:space="0" w:color="FFFFFF"/>
            </w:tcBorders>
            <w:shd w:fill="0171B9" w:val="clear"/>
            <w:tcMar>
              <w:bottom w:w="28" w:type="dxa"/>
            </w:tcMar>
            <w:vAlign w:val="center"/>
          </w:tcPr>
          <w:p>
            <w:pPr>
              <w:pStyle w:val="TableContents"/>
              <w:bidi w:val="0"/>
              <w:spacing w:before="0" w:after="283"/>
              <w:jc w:val="left"/>
              <w:rPr>
                <w:color w:val="FFFFFF"/>
              </w:rPr>
            </w:pPr>
            <w:r>
              <w:rPr>
                <w:color w:val="FFFFFF"/>
              </w:rPr>
              <w:t> </w:t>
            </w:r>
            <w:r>
              <w:rPr>
                <w:b/>
                <w:color w:val="FFFFFF"/>
              </w:rPr>
              <w:t>Named Executive</w:t>
              <w:br/>
              <w:t> Officer</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145" w:type="dxa"/>
            <w:gridSpan w:val="2"/>
            <w:tcBorders>
              <w:bottom w:val="single" w:sz="8" w:space="0" w:color="FFFFFF"/>
            </w:tcBorders>
            <w:shd w:fill="0171B9" w:val="clear"/>
            <w:tcMar>
              <w:bottom w:w="28" w:type="dxa"/>
            </w:tcMar>
            <w:vAlign w:val="center"/>
          </w:tcPr>
          <w:p>
            <w:pPr>
              <w:pStyle w:val="TableContents"/>
              <w:bidi w:val="0"/>
              <w:spacing w:before="0" w:after="0"/>
              <w:jc w:val="right"/>
              <w:rPr>
                <w:rFonts w:ascii="arial" w:hAnsi="arial"/>
                <w:b/>
                <w:color w:val="FFFFFF"/>
                <w:sz w:val="18"/>
              </w:rPr>
            </w:pPr>
            <w:r>
              <w:rPr>
                <w:rFonts w:ascii="arial" w:hAnsi="arial"/>
                <w:b/>
                <w:color w:val="FFFFFF"/>
                <w:sz w:val="18"/>
              </w:rPr>
              <w:t>Performance</w:t>
            </w:r>
          </w:p>
          <w:p>
            <w:pPr>
              <w:pStyle w:val="TableContents"/>
              <w:bidi w:val="0"/>
              <w:spacing w:before="0" w:after="0"/>
              <w:jc w:val="right"/>
              <w:rPr>
                <w:rFonts w:ascii="arial" w:hAnsi="arial"/>
                <w:b/>
                <w:color w:val="FFFFFF"/>
                <w:sz w:val="18"/>
              </w:rPr>
            </w:pPr>
            <w:r>
              <w:rPr>
                <w:rFonts w:ascii="arial" w:hAnsi="arial"/>
                <w:b/>
                <w:color w:val="FFFFFF"/>
                <w:sz w:val="18"/>
              </w:rPr>
              <w:t>Units(1)</w:t>
            </w:r>
          </w:p>
          <w:p>
            <w:pPr>
              <w:pStyle w:val="TableContents"/>
              <w:bidi w:val="0"/>
              <w:spacing w:before="0" w:after="20"/>
              <w:jc w:val="right"/>
              <w:rPr>
                <w:rFonts w:ascii="arial" w:hAnsi="arial"/>
                <w:b/>
                <w:color w:val="FFFFFF"/>
                <w:sz w:val="18"/>
              </w:rPr>
            </w:pPr>
            <w:r>
              <w:rPr>
                <w:rFonts w:ascii="arial" w:hAnsi="arial"/>
                <w:b/>
                <w:color w:val="FFFFFF"/>
                <w:sz w:val="18"/>
              </w:rPr>
              <w:t>($)</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040" w:type="dxa"/>
            <w:gridSpan w:val="2"/>
            <w:tcBorders>
              <w:bottom w:val="single" w:sz="8" w:space="0" w:color="FFFFFF"/>
            </w:tcBorders>
            <w:shd w:fill="0171B9" w:val="clear"/>
            <w:tcMar>
              <w:bottom w:w="28" w:type="dxa"/>
            </w:tcMar>
            <w:vAlign w:val="center"/>
          </w:tcPr>
          <w:p>
            <w:pPr>
              <w:pStyle w:val="TableContents"/>
              <w:bidi w:val="0"/>
              <w:spacing w:before="0" w:after="0"/>
              <w:jc w:val="right"/>
              <w:rPr>
                <w:rFonts w:ascii="arial" w:hAnsi="arial"/>
                <w:b/>
                <w:color w:val="FFFFFF"/>
                <w:sz w:val="18"/>
              </w:rPr>
            </w:pPr>
            <w:r>
              <w:rPr>
                <w:rFonts w:ascii="arial" w:hAnsi="arial"/>
                <w:b/>
                <w:color w:val="FFFFFF"/>
                <w:sz w:val="18"/>
              </w:rPr>
              <w:t>Stock</w:t>
            </w:r>
          </w:p>
          <w:p>
            <w:pPr>
              <w:pStyle w:val="TableContents"/>
              <w:bidi w:val="0"/>
              <w:spacing w:before="0" w:after="0"/>
              <w:jc w:val="right"/>
              <w:rPr>
                <w:rFonts w:ascii="arial" w:hAnsi="arial"/>
                <w:b/>
                <w:color w:val="FFFFFF"/>
                <w:sz w:val="18"/>
              </w:rPr>
            </w:pPr>
            <w:r>
              <w:rPr>
                <w:rFonts w:ascii="arial" w:hAnsi="arial"/>
                <w:b/>
                <w:color w:val="FFFFFF"/>
                <w:sz w:val="18"/>
              </w:rPr>
              <w:t>Options</w:t>
            </w:r>
          </w:p>
          <w:p>
            <w:pPr>
              <w:pStyle w:val="TableContents"/>
              <w:bidi w:val="0"/>
              <w:spacing w:before="0" w:after="20"/>
              <w:jc w:val="right"/>
              <w:rPr>
                <w:rFonts w:ascii="arial" w:hAnsi="arial"/>
                <w:b/>
                <w:color w:val="FFFFFF"/>
                <w:sz w:val="18"/>
              </w:rPr>
            </w:pPr>
            <w:r>
              <w:rPr>
                <w:rFonts w:ascii="arial" w:hAnsi="arial"/>
                <w:b/>
                <w:color w:val="FFFFFF"/>
                <w:sz w:val="18"/>
              </w:rPr>
              <w:t>($)</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040" w:type="dxa"/>
            <w:gridSpan w:val="2"/>
            <w:tcBorders>
              <w:bottom w:val="single" w:sz="8" w:space="0" w:color="FFFFFF"/>
            </w:tcBorders>
            <w:shd w:fill="0171B9" w:val="clear"/>
            <w:tcMar>
              <w:bottom w:w="28" w:type="dxa"/>
            </w:tcMar>
            <w:vAlign w:val="center"/>
          </w:tcPr>
          <w:p>
            <w:pPr>
              <w:pStyle w:val="TableContents"/>
              <w:bidi w:val="0"/>
              <w:spacing w:before="0" w:after="0"/>
              <w:jc w:val="right"/>
              <w:rPr>
                <w:rFonts w:ascii="arial" w:hAnsi="arial"/>
                <w:b/>
                <w:color w:val="FFFFFF"/>
                <w:sz w:val="18"/>
              </w:rPr>
            </w:pPr>
            <w:r>
              <w:rPr>
                <w:rFonts w:ascii="arial" w:hAnsi="arial"/>
                <w:b/>
                <w:color w:val="FFFFFF"/>
                <w:sz w:val="18"/>
              </w:rPr>
              <w:t>Restricted</w:t>
            </w:r>
          </w:p>
          <w:p>
            <w:pPr>
              <w:pStyle w:val="TableContents"/>
              <w:bidi w:val="0"/>
              <w:spacing w:before="0" w:after="0"/>
              <w:jc w:val="right"/>
              <w:rPr>
                <w:rFonts w:ascii="arial" w:hAnsi="arial"/>
                <w:b/>
                <w:color w:val="FFFFFF"/>
                <w:sz w:val="18"/>
              </w:rPr>
            </w:pPr>
            <w:r>
              <w:rPr>
                <w:rFonts w:ascii="arial" w:hAnsi="arial"/>
                <w:b/>
                <w:color w:val="FFFFFF"/>
                <w:sz w:val="18"/>
              </w:rPr>
              <w:t>Stock</w:t>
            </w:r>
          </w:p>
          <w:p>
            <w:pPr>
              <w:pStyle w:val="TableContents"/>
              <w:bidi w:val="0"/>
              <w:spacing w:before="0" w:after="0"/>
              <w:jc w:val="right"/>
              <w:rPr>
                <w:rFonts w:ascii="arial" w:hAnsi="arial"/>
                <w:b/>
                <w:color w:val="FFFFFF"/>
                <w:sz w:val="18"/>
              </w:rPr>
            </w:pPr>
            <w:r>
              <w:rPr>
                <w:rFonts w:ascii="arial" w:hAnsi="arial"/>
                <w:b/>
                <w:color w:val="FFFFFF"/>
                <w:sz w:val="18"/>
              </w:rPr>
              <w:t>Units</w:t>
            </w:r>
          </w:p>
          <w:p>
            <w:pPr>
              <w:pStyle w:val="TableContents"/>
              <w:bidi w:val="0"/>
              <w:spacing w:before="0" w:after="20"/>
              <w:jc w:val="right"/>
              <w:rPr>
                <w:rFonts w:ascii="arial" w:hAnsi="arial"/>
                <w:b/>
                <w:color w:val="FFFFFF"/>
                <w:sz w:val="18"/>
              </w:rPr>
            </w:pPr>
            <w:r>
              <w:rPr>
                <w:rFonts w:ascii="arial" w:hAnsi="arial"/>
                <w:b/>
                <w:color w:val="FFFFFF"/>
                <w:sz w:val="18"/>
              </w:rPr>
              <w:t>($)</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160" w:type="dxa"/>
            <w:gridSpan w:val="2"/>
            <w:tcBorders>
              <w:bottom w:val="single" w:sz="8" w:space="0" w:color="FFFFFF"/>
            </w:tcBorders>
            <w:shd w:fill="0171B9" w:val="clear"/>
            <w:tcMar>
              <w:bottom w:w="28" w:type="dxa"/>
            </w:tcMar>
            <w:vAlign w:val="center"/>
          </w:tcPr>
          <w:p>
            <w:pPr>
              <w:pStyle w:val="TableContents"/>
              <w:bidi w:val="0"/>
              <w:spacing w:before="0" w:after="0"/>
              <w:jc w:val="right"/>
              <w:rPr>
                <w:rFonts w:ascii="arial" w:hAnsi="arial"/>
                <w:b/>
                <w:color w:val="FFFFFF"/>
                <w:sz w:val="18"/>
              </w:rPr>
            </w:pPr>
            <w:r>
              <w:rPr>
                <w:rFonts w:ascii="arial" w:hAnsi="arial"/>
                <w:b/>
                <w:color w:val="FFFFFF"/>
                <w:sz w:val="18"/>
              </w:rPr>
              <w:t>Total Equity</w:t>
            </w:r>
          </w:p>
          <w:p>
            <w:pPr>
              <w:pStyle w:val="TableContents"/>
              <w:bidi w:val="0"/>
              <w:spacing w:before="0" w:after="0"/>
              <w:jc w:val="right"/>
              <w:rPr>
                <w:rFonts w:ascii="arial" w:hAnsi="arial"/>
                <w:b/>
                <w:color w:val="FFFFFF"/>
                <w:sz w:val="18"/>
              </w:rPr>
            </w:pPr>
            <w:r>
              <w:rPr>
                <w:rFonts w:ascii="arial" w:hAnsi="arial"/>
                <w:b/>
                <w:color w:val="FFFFFF"/>
                <w:sz w:val="18"/>
              </w:rPr>
              <w:t>Value</w:t>
            </w:r>
          </w:p>
          <w:p>
            <w:pPr>
              <w:pStyle w:val="TableContents"/>
              <w:bidi w:val="0"/>
              <w:spacing w:before="0" w:after="0"/>
              <w:jc w:val="right"/>
              <w:rPr>
                <w:rFonts w:ascii="arial" w:hAnsi="arial"/>
                <w:b/>
                <w:color w:val="FFFFFF"/>
                <w:sz w:val="18"/>
              </w:rPr>
            </w:pPr>
            <w:r>
              <w:rPr>
                <w:rFonts w:ascii="arial" w:hAnsi="arial"/>
                <w:b/>
                <w:color w:val="FFFFFF"/>
                <w:sz w:val="18"/>
              </w:rPr>
              <w:t>Granted</w:t>
            </w:r>
          </w:p>
          <w:p>
            <w:pPr>
              <w:pStyle w:val="TableContents"/>
              <w:bidi w:val="0"/>
              <w:spacing w:before="0" w:after="20"/>
              <w:jc w:val="right"/>
              <w:rPr>
                <w:rFonts w:ascii="arial" w:hAnsi="arial"/>
                <w:b/>
                <w:color w:val="FFFFFF"/>
                <w:sz w:val="18"/>
              </w:rPr>
            </w:pPr>
            <w:r>
              <w:rPr>
                <w:rFonts w:ascii="arial" w:hAnsi="arial"/>
                <w:b/>
                <w:color w:val="FFFFFF"/>
                <w:sz w:val="18"/>
              </w:rPr>
              <w:t>($)</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160" w:type="dxa"/>
            <w:gridSpan w:val="2"/>
            <w:tcBorders>
              <w:bottom w:val="single" w:sz="8" w:space="0" w:color="FFFFFF"/>
            </w:tcBorders>
            <w:shd w:fill="0171B9" w:val="clear"/>
            <w:tcMar>
              <w:bottom w:w="28" w:type="dxa"/>
            </w:tcMar>
            <w:vAlign w:val="center"/>
          </w:tcPr>
          <w:p>
            <w:pPr>
              <w:pStyle w:val="TableContents"/>
              <w:bidi w:val="0"/>
              <w:spacing w:before="0" w:after="0"/>
              <w:jc w:val="right"/>
              <w:rPr>
                <w:rFonts w:ascii="arial" w:hAnsi="arial"/>
                <w:b/>
                <w:color w:val="FFFFFF"/>
                <w:sz w:val="18"/>
              </w:rPr>
            </w:pPr>
            <w:r>
              <w:rPr>
                <w:rFonts w:ascii="arial" w:hAnsi="arial"/>
                <w:b/>
                <w:color w:val="FFFFFF"/>
                <w:sz w:val="18"/>
              </w:rPr>
              <w:t>2022</w:t>
            </w:r>
          </w:p>
          <w:p>
            <w:pPr>
              <w:pStyle w:val="TableContents"/>
              <w:bidi w:val="0"/>
              <w:spacing w:before="0" w:after="0"/>
              <w:jc w:val="right"/>
              <w:rPr>
                <w:rFonts w:ascii="arial" w:hAnsi="arial"/>
                <w:b/>
                <w:color w:val="FFFFFF"/>
                <w:sz w:val="18"/>
              </w:rPr>
            </w:pPr>
            <w:r>
              <w:rPr>
                <w:rFonts w:ascii="arial" w:hAnsi="arial"/>
                <w:b/>
                <w:color w:val="FFFFFF"/>
                <w:sz w:val="18"/>
              </w:rPr>
              <w:t>Market</w:t>
            </w:r>
          </w:p>
          <w:p>
            <w:pPr>
              <w:pStyle w:val="TableContents"/>
              <w:bidi w:val="0"/>
              <w:spacing w:before="0" w:after="0"/>
              <w:jc w:val="right"/>
              <w:rPr>
                <w:rFonts w:ascii="arial" w:hAnsi="arial"/>
                <w:b/>
                <w:color w:val="FFFFFF"/>
                <w:sz w:val="18"/>
              </w:rPr>
            </w:pPr>
            <w:r>
              <w:rPr>
                <w:rFonts w:ascii="arial" w:hAnsi="arial"/>
                <w:b/>
                <w:color w:val="FFFFFF"/>
                <w:sz w:val="18"/>
              </w:rPr>
              <w:t>Median(2)</w:t>
            </w:r>
          </w:p>
          <w:p>
            <w:pPr>
              <w:pStyle w:val="TableContents"/>
              <w:bidi w:val="0"/>
              <w:spacing w:before="0" w:after="20"/>
              <w:jc w:val="right"/>
              <w:rPr>
                <w:rFonts w:ascii="arial" w:hAnsi="arial"/>
                <w:b/>
                <w:color w:val="FFFFFF"/>
                <w:sz w:val="18"/>
              </w:rPr>
            </w:pPr>
            <w:r>
              <w:rPr>
                <w:rFonts w:ascii="arial" w:hAnsi="arial"/>
                <w:b/>
                <w:color w:val="FFFFFF"/>
                <w:sz w:val="18"/>
              </w:rPr>
              <w:t>($)</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80" w:type="dxa"/>
            <w:gridSpan w:val="2"/>
            <w:tcBorders>
              <w:bottom w:val="single" w:sz="8" w:space="0" w:color="FFFFFF"/>
            </w:tcBorders>
            <w:shd w:fill="0171B9" w:val="clear"/>
            <w:tcMar>
              <w:bottom w:w="28" w:type="dxa"/>
            </w:tcMar>
            <w:vAlign w:val="center"/>
          </w:tcPr>
          <w:p>
            <w:pPr>
              <w:pStyle w:val="TableContents"/>
              <w:bidi w:val="0"/>
              <w:spacing w:before="0" w:after="0"/>
              <w:jc w:val="right"/>
              <w:rPr>
                <w:rFonts w:ascii="arial" w:hAnsi="arial"/>
                <w:b/>
                <w:color w:val="FFFFFF"/>
                <w:sz w:val="18"/>
              </w:rPr>
            </w:pPr>
            <w:r>
              <w:rPr>
                <w:rFonts w:ascii="arial" w:hAnsi="arial"/>
                <w:b/>
                <w:color w:val="FFFFFF"/>
                <w:sz w:val="18"/>
              </w:rPr>
              <w:t>Difference vs.</w:t>
            </w:r>
          </w:p>
          <w:p>
            <w:pPr>
              <w:pStyle w:val="TableContents"/>
              <w:bidi w:val="0"/>
              <w:spacing w:before="0" w:after="0"/>
              <w:jc w:val="right"/>
              <w:rPr>
                <w:rFonts w:ascii="arial" w:hAnsi="arial"/>
                <w:b/>
                <w:color w:val="FFFFFF"/>
                <w:sz w:val="18"/>
              </w:rPr>
            </w:pPr>
            <w:r>
              <w:rPr>
                <w:rFonts w:ascii="arial" w:hAnsi="arial"/>
                <w:b/>
                <w:color w:val="FFFFFF"/>
                <w:sz w:val="18"/>
              </w:rPr>
              <w:t>Market Median</w:t>
            </w:r>
          </w:p>
          <w:p>
            <w:pPr>
              <w:pStyle w:val="TableContents"/>
              <w:bidi w:val="0"/>
              <w:spacing w:before="0" w:after="0"/>
              <w:jc w:val="right"/>
              <w:rPr>
                <w:rFonts w:ascii="arial" w:hAnsi="arial"/>
                <w:b/>
                <w:color w:val="FFFFFF"/>
                <w:sz w:val="18"/>
              </w:rPr>
            </w:pPr>
            <w:r>
              <w:rPr>
                <w:rFonts w:ascii="arial" w:hAnsi="arial"/>
                <w:b/>
                <w:color w:val="FFFFFF"/>
                <w:sz w:val="18"/>
              </w:rPr>
              <w:t>Over/(Under)</w:t>
            </w:r>
          </w:p>
          <w:p>
            <w:pPr>
              <w:pStyle w:val="TableContents"/>
              <w:bidi w:val="0"/>
              <w:spacing w:before="0" w:after="20"/>
              <w:jc w:val="right"/>
              <w:rPr>
                <w:rFonts w:ascii="arial" w:hAnsi="arial"/>
                <w:b/>
                <w:color w:val="FFFFFF"/>
                <w:sz w:val="18"/>
              </w:rPr>
            </w:pPr>
            <w:r>
              <w:rPr>
                <w:rFonts w:ascii="arial" w:hAnsi="arial"/>
                <w:b/>
                <w:color w:val="FFFFFF"/>
                <w:sz w:val="18"/>
              </w:rPr>
              <w:t>(%)</w:t>
            </w:r>
          </w:p>
        </w:tc>
        <w:tc>
          <w:tcPr>
            <w:tcW w:w="17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r>
      <w:tr>
        <w:trPr/>
        <w:tc>
          <w:tcPr>
            <w:tcW w:w="1940" w:type="dxa"/>
            <w:tcBorders/>
            <w:shd w:fill="CCE2F1" w:val="clear"/>
            <w:vAlign w:val="center"/>
          </w:tcPr>
          <w:p>
            <w:pPr>
              <w:pStyle w:val="TableContents"/>
              <w:bidi w:val="0"/>
              <w:spacing w:before="0" w:after="283"/>
              <w:jc w:val="left"/>
              <w:rPr>
                <w:sz w:val="4"/>
                <w:szCs w:val="4"/>
              </w:rPr>
            </w:pPr>
            <w:r>
              <w:rPr>
                <w:sz w:val="4"/>
                <w:szCs w:val="4"/>
              </w:rPr>
            </w:r>
          </w:p>
        </w:tc>
        <w:tc>
          <w:tcPr>
            <w:tcW w:w="1325" w:type="dxa"/>
            <w:gridSpan w:val="4"/>
            <w:tcBorders/>
            <w:shd w:fill="CCE2F1" w:val="clear"/>
            <w:vAlign w:val="center"/>
          </w:tcPr>
          <w:p>
            <w:pPr>
              <w:pStyle w:val="TableContents"/>
              <w:bidi w:val="0"/>
              <w:spacing w:before="0" w:after="283"/>
              <w:jc w:val="left"/>
              <w:rPr>
                <w:sz w:val="4"/>
                <w:szCs w:val="4"/>
              </w:rPr>
            </w:pPr>
            <w:r>
              <w:rPr>
                <w:sz w:val="4"/>
                <w:szCs w:val="4"/>
              </w:rPr>
            </w:r>
          </w:p>
        </w:tc>
        <w:tc>
          <w:tcPr>
            <w:tcW w:w="1220" w:type="dxa"/>
            <w:gridSpan w:val="4"/>
            <w:tcBorders/>
            <w:shd w:fill="CCE2F1" w:val="clear"/>
            <w:vAlign w:val="center"/>
          </w:tcPr>
          <w:p>
            <w:pPr>
              <w:pStyle w:val="TableContents"/>
              <w:bidi w:val="0"/>
              <w:spacing w:before="0" w:after="283"/>
              <w:jc w:val="left"/>
              <w:rPr>
                <w:sz w:val="4"/>
                <w:szCs w:val="4"/>
              </w:rPr>
            </w:pPr>
            <w:r>
              <w:rPr>
                <w:sz w:val="4"/>
                <w:szCs w:val="4"/>
              </w:rPr>
            </w:r>
          </w:p>
        </w:tc>
        <w:tc>
          <w:tcPr>
            <w:tcW w:w="1220" w:type="dxa"/>
            <w:gridSpan w:val="4"/>
            <w:tcBorders/>
            <w:shd w:fill="CCE2F1" w:val="clear"/>
            <w:vAlign w:val="center"/>
          </w:tcPr>
          <w:p>
            <w:pPr>
              <w:pStyle w:val="TableContents"/>
              <w:bidi w:val="0"/>
              <w:spacing w:before="0" w:after="283"/>
              <w:jc w:val="left"/>
              <w:rPr>
                <w:sz w:val="4"/>
                <w:szCs w:val="4"/>
              </w:rPr>
            </w:pPr>
            <w:r>
              <w:rPr>
                <w:sz w:val="4"/>
                <w:szCs w:val="4"/>
              </w:rPr>
            </w:r>
          </w:p>
        </w:tc>
        <w:tc>
          <w:tcPr>
            <w:tcW w:w="1340" w:type="dxa"/>
            <w:gridSpan w:val="4"/>
            <w:tcBorders/>
            <w:shd w:fill="CCE2F1" w:val="clear"/>
            <w:vAlign w:val="center"/>
          </w:tcPr>
          <w:p>
            <w:pPr>
              <w:pStyle w:val="TableContents"/>
              <w:bidi w:val="0"/>
              <w:spacing w:before="0" w:after="283"/>
              <w:jc w:val="left"/>
              <w:rPr>
                <w:sz w:val="4"/>
                <w:szCs w:val="4"/>
              </w:rPr>
            </w:pPr>
            <w:r>
              <w:rPr>
                <w:sz w:val="4"/>
                <w:szCs w:val="4"/>
              </w:rPr>
            </w:r>
          </w:p>
        </w:tc>
        <w:tc>
          <w:tcPr>
            <w:tcW w:w="1340" w:type="dxa"/>
            <w:gridSpan w:val="4"/>
            <w:tcBorders/>
            <w:shd w:fill="CCE2F1" w:val="clear"/>
            <w:vAlign w:val="center"/>
          </w:tcPr>
          <w:p>
            <w:pPr>
              <w:pStyle w:val="TableContents"/>
              <w:bidi w:val="0"/>
              <w:spacing w:before="0" w:after="283"/>
              <w:jc w:val="left"/>
              <w:rPr>
                <w:sz w:val="4"/>
                <w:szCs w:val="4"/>
              </w:rPr>
            </w:pPr>
            <w:r>
              <w:rPr>
                <w:sz w:val="4"/>
                <w:szCs w:val="4"/>
              </w:rPr>
            </w:r>
          </w:p>
        </w:tc>
        <w:tc>
          <w:tcPr>
            <w:tcW w:w="1570"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1940" w:type="dxa"/>
            <w:tcBorders/>
            <w:shd w:fill="CCE2F1" w:val="clear"/>
            <w:vAlign w:val="center"/>
          </w:tcPr>
          <w:p>
            <w:pPr>
              <w:pStyle w:val="TableContents"/>
              <w:bidi w:val="0"/>
              <w:spacing w:before="0" w:after="0"/>
              <w:jc w:val="left"/>
              <w:rPr/>
            </w:pPr>
            <w:r>
              <w:rPr/>
              <w:t> </w:t>
            </w:r>
            <w:r>
              <w:rPr>
                <w:rFonts w:ascii="arial" w:hAnsi="arial"/>
                <w:sz w:val="18"/>
              </w:rPr>
              <w:t>Robert A. Bradway</w:t>
            </w:r>
          </w:p>
        </w:tc>
        <w:tc>
          <w:tcPr>
            <w:tcW w:w="120" w:type="dxa"/>
            <w:tcBorders/>
            <w:shd w:fill="CCE2F1" w:val="clear"/>
            <w:vAlign w:val="center"/>
          </w:tcPr>
          <w:p>
            <w:pPr>
              <w:pStyle w:val="TableContents"/>
              <w:bidi w:val="0"/>
              <w:spacing w:before="0" w:after="283"/>
              <w:jc w:val="left"/>
              <w:rPr/>
            </w:pPr>
            <w:r>
              <w:rPr/>
              <w:t>  </w:t>
            </w:r>
          </w:p>
        </w:tc>
        <w:tc>
          <w:tcPr>
            <w:tcW w:w="66" w:type="dxa"/>
            <w:tcBorders/>
            <w:shd w:fill="CCE2F1" w:val="clear"/>
            <w:vAlign w:val="center"/>
          </w:tcPr>
          <w:p>
            <w:pPr>
              <w:pStyle w:val="TableContents"/>
              <w:bidi w:val="0"/>
              <w:spacing w:before="0" w:after="283"/>
              <w:jc w:val="left"/>
              <w:rPr/>
            </w:pPr>
            <w:r>
              <w:rPr/>
              <w:t> </w:t>
            </w:r>
          </w:p>
        </w:tc>
        <w:tc>
          <w:tcPr>
            <w:tcW w:w="1079" w:type="dxa"/>
            <w:tcBorders/>
            <w:shd w:fill="CCE2F1" w:val="clear"/>
            <w:vAlign w:val="center"/>
          </w:tcPr>
          <w:p>
            <w:pPr>
              <w:pStyle w:val="TableContents"/>
              <w:bidi w:val="0"/>
              <w:spacing w:before="0" w:after="283"/>
              <w:jc w:val="right"/>
              <w:rPr/>
            </w:pPr>
            <w:r>
              <w:rPr/>
              <w:t>7,956,250</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980" w:type="dxa"/>
            <w:tcBorders/>
            <w:shd w:fill="CCE2F1" w:val="clear"/>
            <w:vAlign w:val="center"/>
          </w:tcPr>
          <w:p>
            <w:pPr>
              <w:pStyle w:val="TableContents"/>
              <w:bidi w:val="0"/>
              <w:spacing w:before="0" w:after="283"/>
              <w:jc w:val="right"/>
              <w:rPr/>
            </w:pPr>
            <w:r>
              <w:rPr/>
              <w:t>4,773,750</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980" w:type="dxa"/>
            <w:tcBorders/>
            <w:shd w:fill="CCE2F1" w:val="clear"/>
            <w:vAlign w:val="center"/>
          </w:tcPr>
          <w:p>
            <w:pPr>
              <w:pStyle w:val="TableContents"/>
              <w:bidi w:val="0"/>
              <w:spacing w:before="0" w:after="283"/>
              <w:jc w:val="right"/>
              <w:rPr/>
            </w:pPr>
            <w:r>
              <w:rPr/>
              <w:t>3,182,500</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100" w:type="dxa"/>
            <w:tcBorders/>
            <w:shd w:fill="CCE2F1" w:val="clear"/>
            <w:vAlign w:val="center"/>
          </w:tcPr>
          <w:p>
            <w:pPr>
              <w:pStyle w:val="TableContents"/>
              <w:bidi w:val="0"/>
              <w:spacing w:before="0" w:after="283"/>
              <w:jc w:val="right"/>
              <w:rPr/>
            </w:pPr>
            <w:r>
              <w:rPr/>
              <w:t>15,912,500</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100" w:type="dxa"/>
            <w:tcBorders/>
            <w:shd w:fill="CCE2F1" w:val="clear"/>
            <w:vAlign w:val="center"/>
          </w:tcPr>
          <w:p>
            <w:pPr>
              <w:pStyle w:val="TableContents"/>
              <w:bidi w:val="0"/>
              <w:spacing w:before="0" w:after="283"/>
              <w:jc w:val="right"/>
              <w:rPr/>
            </w:pPr>
            <w:r>
              <w:rPr/>
              <w:t>13,966,000</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153" w:type="dxa"/>
            <w:tcBorders/>
            <w:shd w:fill="CCE2F1" w:val="clear"/>
            <w:vAlign w:val="center"/>
          </w:tcPr>
          <w:p>
            <w:pPr>
              <w:pStyle w:val="TableContents"/>
              <w:bidi w:val="0"/>
              <w:spacing w:before="0" w:after="283"/>
              <w:jc w:val="left"/>
              <w:rPr/>
            </w:pPr>
            <w:r>
              <w:rPr/>
              <w:t> </w:t>
            </w:r>
          </w:p>
        </w:tc>
        <w:tc>
          <w:tcPr>
            <w:tcW w:w="1127" w:type="dxa"/>
            <w:tcBorders/>
            <w:shd w:fill="CCE2F1" w:val="clear"/>
            <w:vAlign w:val="center"/>
          </w:tcPr>
          <w:p>
            <w:pPr>
              <w:pStyle w:val="TableContents"/>
              <w:bidi w:val="0"/>
              <w:spacing w:before="0" w:after="283"/>
              <w:jc w:val="right"/>
              <w:rPr/>
            </w:pPr>
            <w:r>
              <w:rPr/>
              <w:t>13.9</w:t>
            </w:r>
          </w:p>
        </w:tc>
        <w:tc>
          <w:tcPr>
            <w:tcW w:w="170" w:type="dxa"/>
            <w:tcBorders/>
            <w:shd w:fill="CCE2F1" w:val="clear"/>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1325"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570" w:type="dxa"/>
            <w:gridSpan w:val="4"/>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0"/>
              <w:jc w:val="left"/>
              <w:rPr/>
            </w:pPr>
            <w:r>
              <w:rPr/>
              <w:t> </w:t>
            </w:r>
            <w:r>
              <w:rPr>
                <w:rFonts w:ascii="arial" w:hAnsi="arial"/>
                <w:sz w:val="18"/>
              </w:rPr>
              <w:t>Murdo Gordon</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pPr>
            <w:r>
              <w:rPr/>
              <w:t>2,500,000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1,500,000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5,000,000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5,014,000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(0.3</w:t>
            </w:r>
          </w:p>
        </w:tc>
        <w:tc>
          <w:tcPr>
            <w:tcW w:w="170" w:type="dxa"/>
            <w:tcBorders/>
            <w:vAlign w:val="center"/>
          </w:tcPr>
          <w:p>
            <w:pPr>
              <w:pStyle w:val="TableContents"/>
              <w:bidi w:val="0"/>
              <w:spacing w:before="0" w:after="283"/>
              <w:jc w:val="left"/>
              <w:rPr/>
            </w:pPr>
            <w:r>
              <w:rPr/>
              <w:t>) </w:t>
            </w:r>
          </w:p>
        </w:tc>
      </w:tr>
      <w:tr>
        <w:trPr/>
        <w:tc>
          <w:tcPr>
            <w:tcW w:w="1940" w:type="dxa"/>
            <w:tcBorders/>
            <w:shd w:fill="CCE2F1" w:val="clear"/>
            <w:vAlign w:val="center"/>
          </w:tcPr>
          <w:p>
            <w:pPr>
              <w:pStyle w:val="TableContents"/>
              <w:bidi w:val="0"/>
              <w:spacing w:before="0" w:after="283"/>
              <w:jc w:val="left"/>
              <w:rPr>
                <w:sz w:val="4"/>
                <w:szCs w:val="4"/>
              </w:rPr>
            </w:pPr>
            <w:r>
              <w:rPr>
                <w:sz w:val="4"/>
                <w:szCs w:val="4"/>
              </w:rPr>
            </w:r>
          </w:p>
        </w:tc>
        <w:tc>
          <w:tcPr>
            <w:tcW w:w="1325" w:type="dxa"/>
            <w:gridSpan w:val="4"/>
            <w:tcBorders/>
            <w:shd w:fill="CCE2F1" w:val="clear"/>
            <w:vAlign w:val="center"/>
          </w:tcPr>
          <w:p>
            <w:pPr>
              <w:pStyle w:val="TableContents"/>
              <w:bidi w:val="0"/>
              <w:spacing w:before="0" w:after="283"/>
              <w:jc w:val="left"/>
              <w:rPr>
                <w:sz w:val="4"/>
                <w:szCs w:val="4"/>
              </w:rPr>
            </w:pPr>
            <w:r>
              <w:rPr>
                <w:sz w:val="4"/>
                <w:szCs w:val="4"/>
              </w:rPr>
            </w:r>
          </w:p>
        </w:tc>
        <w:tc>
          <w:tcPr>
            <w:tcW w:w="1220" w:type="dxa"/>
            <w:gridSpan w:val="4"/>
            <w:tcBorders/>
            <w:shd w:fill="CCE2F1" w:val="clear"/>
            <w:vAlign w:val="center"/>
          </w:tcPr>
          <w:p>
            <w:pPr>
              <w:pStyle w:val="TableContents"/>
              <w:bidi w:val="0"/>
              <w:spacing w:before="0" w:after="283"/>
              <w:jc w:val="left"/>
              <w:rPr>
                <w:sz w:val="4"/>
                <w:szCs w:val="4"/>
              </w:rPr>
            </w:pPr>
            <w:r>
              <w:rPr>
                <w:sz w:val="4"/>
                <w:szCs w:val="4"/>
              </w:rPr>
            </w:r>
          </w:p>
        </w:tc>
        <w:tc>
          <w:tcPr>
            <w:tcW w:w="1220" w:type="dxa"/>
            <w:gridSpan w:val="4"/>
            <w:tcBorders/>
            <w:shd w:fill="CCE2F1" w:val="clear"/>
            <w:vAlign w:val="center"/>
          </w:tcPr>
          <w:p>
            <w:pPr>
              <w:pStyle w:val="TableContents"/>
              <w:bidi w:val="0"/>
              <w:spacing w:before="0" w:after="283"/>
              <w:jc w:val="left"/>
              <w:rPr>
                <w:sz w:val="4"/>
                <w:szCs w:val="4"/>
              </w:rPr>
            </w:pPr>
            <w:r>
              <w:rPr>
                <w:sz w:val="4"/>
                <w:szCs w:val="4"/>
              </w:rPr>
            </w:r>
          </w:p>
        </w:tc>
        <w:tc>
          <w:tcPr>
            <w:tcW w:w="1340" w:type="dxa"/>
            <w:gridSpan w:val="4"/>
            <w:tcBorders/>
            <w:shd w:fill="CCE2F1" w:val="clear"/>
            <w:vAlign w:val="center"/>
          </w:tcPr>
          <w:p>
            <w:pPr>
              <w:pStyle w:val="TableContents"/>
              <w:bidi w:val="0"/>
              <w:spacing w:before="0" w:after="283"/>
              <w:jc w:val="left"/>
              <w:rPr>
                <w:sz w:val="4"/>
                <w:szCs w:val="4"/>
              </w:rPr>
            </w:pPr>
            <w:r>
              <w:rPr>
                <w:sz w:val="4"/>
                <w:szCs w:val="4"/>
              </w:rPr>
            </w:r>
          </w:p>
        </w:tc>
        <w:tc>
          <w:tcPr>
            <w:tcW w:w="1340" w:type="dxa"/>
            <w:gridSpan w:val="4"/>
            <w:tcBorders/>
            <w:shd w:fill="CCE2F1" w:val="clear"/>
            <w:vAlign w:val="center"/>
          </w:tcPr>
          <w:p>
            <w:pPr>
              <w:pStyle w:val="TableContents"/>
              <w:bidi w:val="0"/>
              <w:spacing w:before="0" w:after="283"/>
              <w:jc w:val="left"/>
              <w:rPr>
                <w:sz w:val="4"/>
                <w:szCs w:val="4"/>
              </w:rPr>
            </w:pPr>
            <w:r>
              <w:rPr>
                <w:sz w:val="4"/>
                <w:szCs w:val="4"/>
              </w:rPr>
            </w:r>
          </w:p>
        </w:tc>
        <w:tc>
          <w:tcPr>
            <w:tcW w:w="1570"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1940" w:type="dxa"/>
            <w:tcBorders/>
            <w:shd w:fill="CCE2F1" w:val="clear"/>
            <w:vAlign w:val="center"/>
          </w:tcPr>
          <w:p>
            <w:pPr>
              <w:pStyle w:val="TableContents"/>
              <w:bidi w:val="0"/>
              <w:spacing w:before="0" w:after="0"/>
              <w:jc w:val="left"/>
              <w:rPr/>
            </w:pPr>
            <w:r>
              <w:rPr/>
              <w:t> </w:t>
            </w:r>
            <w:r>
              <w:rPr>
                <w:rFonts w:ascii="arial" w:hAnsi="arial"/>
                <w:sz w:val="18"/>
              </w:rPr>
              <w:t>David M. Reese(3)</w:t>
            </w:r>
          </w:p>
        </w:tc>
        <w:tc>
          <w:tcPr>
            <w:tcW w:w="120" w:type="dxa"/>
            <w:tcBorders/>
            <w:shd w:fill="CCE2F1" w:val="clear"/>
            <w:vAlign w:val="center"/>
          </w:tcPr>
          <w:p>
            <w:pPr>
              <w:pStyle w:val="TableContents"/>
              <w:bidi w:val="0"/>
              <w:spacing w:before="0" w:after="283"/>
              <w:jc w:val="left"/>
              <w:rPr/>
            </w:pPr>
            <w:r>
              <w:rPr/>
              <w:t>  </w:t>
            </w:r>
          </w:p>
        </w:tc>
        <w:tc>
          <w:tcPr>
            <w:tcW w:w="66" w:type="dxa"/>
            <w:tcBorders/>
            <w:shd w:fill="CCE2F1" w:val="clear"/>
            <w:vAlign w:val="center"/>
          </w:tcPr>
          <w:p>
            <w:pPr>
              <w:pStyle w:val="TableContents"/>
              <w:bidi w:val="0"/>
              <w:spacing w:before="0" w:after="283"/>
              <w:jc w:val="left"/>
              <w:rPr/>
            </w:pPr>
            <w:r>
              <w:rPr/>
              <w:t> </w:t>
            </w:r>
          </w:p>
        </w:tc>
        <w:tc>
          <w:tcPr>
            <w:tcW w:w="1079" w:type="dxa"/>
            <w:tcBorders/>
            <w:shd w:fill="CCE2F1" w:val="clear"/>
            <w:vAlign w:val="center"/>
          </w:tcPr>
          <w:p>
            <w:pPr>
              <w:pStyle w:val="TableContents"/>
              <w:bidi w:val="0"/>
              <w:spacing w:before="0" w:after="283"/>
              <w:jc w:val="right"/>
              <w:rPr/>
            </w:pPr>
            <w:r>
              <w:rPr/>
              <w:t>2,250,000</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980" w:type="dxa"/>
            <w:tcBorders/>
            <w:shd w:fill="CCE2F1" w:val="clear"/>
            <w:vAlign w:val="center"/>
          </w:tcPr>
          <w:p>
            <w:pPr>
              <w:pStyle w:val="TableContents"/>
              <w:bidi w:val="0"/>
              <w:spacing w:before="0" w:after="283"/>
              <w:jc w:val="right"/>
              <w:rPr/>
            </w:pPr>
            <w:r>
              <w:rPr/>
              <w:t>1,350,000</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980" w:type="dxa"/>
            <w:tcBorders/>
            <w:shd w:fill="CCE2F1" w:val="clear"/>
            <w:vAlign w:val="center"/>
          </w:tcPr>
          <w:p>
            <w:pPr>
              <w:pStyle w:val="TableContents"/>
              <w:bidi w:val="0"/>
              <w:spacing w:before="0" w:after="283"/>
              <w:jc w:val="right"/>
              <w:rPr/>
            </w:pPr>
            <w:r>
              <w:rPr/>
              <w:t>900,000</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100" w:type="dxa"/>
            <w:tcBorders/>
            <w:shd w:fill="CCE2F1" w:val="clear"/>
            <w:vAlign w:val="center"/>
          </w:tcPr>
          <w:p>
            <w:pPr>
              <w:pStyle w:val="TableContents"/>
              <w:bidi w:val="0"/>
              <w:spacing w:before="0" w:after="283"/>
              <w:jc w:val="right"/>
              <w:rPr/>
            </w:pPr>
            <w:r>
              <w:rPr/>
              <w:t>4,500,000</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100" w:type="dxa"/>
            <w:tcBorders/>
            <w:shd w:fill="CCE2F1" w:val="clear"/>
            <w:vAlign w:val="center"/>
          </w:tcPr>
          <w:p>
            <w:pPr>
              <w:pStyle w:val="TableContents"/>
              <w:bidi w:val="0"/>
              <w:spacing w:before="0" w:after="283"/>
              <w:jc w:val="right"/>
              <w:rPr/>
            </w:pPr>
            <w:r>
              <w:rPr/>
              <w:t>4,747,000</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153" w:type="dxa"/>
            <w:tcBorders/>
            <w:shd w:fill="CCE2F1" w:val="clear"/>
            <w:vAlign w:val="center"/>
          </w:tcPr>
          <w:p>
            <w:pPr>
              <w:pStyle w:val="TableContents"/>
              <w:bidi w:val="0"/>
              <w:spacing w:before="0" w:after="283"/>
              <w:jc w:val="left"/>
              <w:rPr/>
            </w:pPr>
            <w:r>
              <w:rPr/>
              <w:t> </w:t>
            </w:r>
          </w:p>
        </w:tc>
        <w:tc>
          <w:tcPr>
            <w:tcW w:w="1127" w:type="dxa"/>
            <w:tcBorders/>
            <w:shd w:fill="CCE2F1" w:val="clear"/>
            <w:vAlign w:val="center"/>
          </w:tcPr>
          <w:p>
            <w:pPr>
              <w:pStyle w:val="TableContents"/>
              <w:bidi w:val="0"/>
              <w:spacing w:before="0" w:after="283"/>
              <w:jc w:val="right"/>
              <w:rPr/>
            </w:pPr>
            <w:r>
              <w:rPr/>
              <w:t>(5.2</w:t>
            </w:r>
          </w:p>
        </w:tc>
        <w:tc>
          <w:tcPr>
            <w:tcW w:w="170" w:type="dxa"/>
            <w:tcBorders/>
            <w:shd w:fill="CCE2F1" w:val="clear"/>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1325"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570" w:type="dxa"/>
            <w:gridSpan w:val="4"/>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0"/>
              <w:jc w:val="left"/>
              <w:rPr/>
            </w:pPr>
            <w:r>
              <w:rPr/>
              <w:t> </w:t>
            </w:r>
            <w:r>
              <w:rPr>
                <w:rFonts w:ascii="arial" w:hAnsi="arial"/>
                <w:sz w:val="18"/>
              </w:rPr>
              <w:t>Peter H. Griffith</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pPr>
            <w:r>
              <w:rPr/>
              <w:t>2,250,000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1,350,000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4,500,000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4,178,000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right"/>
              <w:rPr/>
            </w:pPr>
            <w:r>
              <w:rPr/>
              <w:t>7.7</w:t>
            </w:r>
          </w:p>
        </w:tc>
        <w:tc>
          <w:tcPr>
            <w:tcW w:w="170" w:type="dxa"/>
            <w:tcBorders/>
            <w:vAlign w:val="center"/>
          </w:tcPr>
          <w:p>
            <w:pPr>
              <w:pStyle w:val="TableContents"/>
              <w:bidi w:val="0"/>
              <w:spacing w:before="0" w:after="283"/>
              <w:jc w:val="left"/>
              <w:rPr>
                <w:sz w:val="4"/>
                <w:szCs w:val="4"/>
              </w:rPr>
            </w:pPr>
            <w:r>
              <w:rPr>
                <w:sz w:val="4"/>
                <w:szCs w:val="4"/>
              </w:rPr>
            </w:r>
          </w:p>
        </w:tc>
      </w:tr>
      <w:tr>
        <w:trPr/>
        <w:tc>
          <w:tcPr>
            <w:tcW w:w="1940" w:type="dxa"/>
            <w:tcBorders/>
            <w:shd w:fill="CCE2F1" w:val="clear"/>
            <w:vAlign w:val="center"/>
          </w:tcPr>
          <w:p>
            <w:pPr>
              <w:pStyle w:val="TableContents"/>
              <w:bidi w:val="0"/>
              <w:spacing w:before="0" w:after="283"/>
              <w:jc w:val="left"/>
              <w:rPr>
                <w:sz w:val="4"/>
                <w:szCs w:val="4"/>
              </w:rPr>
            </w:pPr>
            <w:r>
              <w:rPr>
                <w:sz w:val="4"/>
                <w:szCs w:val="4"/>
              </w:rPr>
            </w:r>
          </w:p>
        </w:tc>
        <w:tc>
          <w:tcPr>
            <w:tcW w:w="1325" w:type="dxa"/>
            <w:gridSpan w:val="4"/>
            <w:tcBorders/>
            <w:shd w:fill="CCE2F1" w:val="clear"/>
            <w:vAlign w:val="center"/>
          </w:tcPr>
          <w:p>
            <w:pPr>
              <w:pStyle w:val="TableContents"/>
              <w:bidi w:val="0"/>
              <w:spacing w:before="0" w:after="283"/>
              <w:jc w:val="left"/>
              <w:rPr>
                <w:sz w:val="4"/>
                <w:szCs w:val="4"/>
              </w:rPr>
            </w:pPr>
            <w:r>
              <w:rPr>
                <w:sz w:val="4"/>
                <w:szCs w:val="4"/>
              </w:rPr>
            </w:r>
          </w:p>
        </w:tc>
        <w:tc>
          <w:tcPr>
            <w:tcW w:w="1220" w:type="dxa"/>
            <w:gridSpan w:val="4"/>
            <w:tcBorders/>
            <w:shd w:fill="CCE2F1" w:val="clear"/>
            <w:vAlign w:val="center"/>
          </w:tcPr>
          <w:p>
            <w:pPr>
              <w:pStyle w:val="TableContents"/>
              <w:bidi w:val="0"/>
              <w:spacing w:before="0" w:after="283"/>
              <w:jc w:val="left"/>
              <w:rPr>
                <w:sz w:val="4"/>
                <w:szCs w:val="4"/>
              </w:rPr>
            </w:pPr>
            <w:r>
              <w:rPr>
                <w:sz w:val="4"/>
                <w:szCs w:val="4"/>
              </w:rPr>
            </w:r>
          </w:p>
        </w:tc>
        <w:tc>
          <w:tcPr>
            <w:tcW w:w="1220" w:type="dxa"/>
            <w:gridSpan w:val="4"/>
            <w:tcBorders/>
            <w:shd w:fill="CCE2F1" w:val="clear"/>
            <w:vAlign w:val="center"/>
          </w:tcPr>
          <w:p>
            <w:pPr>
              <w:pStyle w:val="TableContents"/>
              <w:bidi w:val="0"/>
              <w:spacing w:before="0" w:after="283"/>
              <w:jc w:val="left"/>
              <w:rPr>
                <w:sz w:val="4"/>
                <w:szCs w:val="4"/>
              </w:rPr>
            </w:pPr>
            <w:r>
              <w:rPr>
                <w:sz w:val="4"/>
                <w:szCs w:val="4"/>
              </w:rPr>
            </w:r>
          </w:p>
        </w:tc>
        <w:tc>
          <w:tcPr>
            <w:tcW w:w="1340" w:type="dxa"/>
            <w:gridSpan w:val="4"/>
            <w:tcBorders/>
            <w:shd w:fill="CCE2F1" w:val="clear"/>
            <w:vAlign w:val="center"/>
          </w:tcPr>
          <w:p>
            <w:pPr>
              <w:pStyle w:val="TableContents"/>
              <w:bidi w:val="0"/>
              <w:spacing w:before="0" w:after="283"/>
              <w:jc w:val="left"/>
              <w:rPr>
                <w:sz w:val="4"/>
                <w:szCs w:val="4"/>
              </w:rPr>
            </w:pPr>
            <w:r>
              <w:rPr>
                <w:sz w:val="4"/>
                <w:szCs w:val="4"/>
              </w:rPr>
            </w:r>
          </w:p>
        </w:tc>
        <w:tc>
          <w:tcPr>
            <w:tcW w:w="1340" w:type="dxa"/>
            <w:gridSpan w:val="4"/>
            <w:tcBorders/>
            <w:shd w:fill="CCE2F1" w:val="clear"/>
            <w:vAlign w:val="center"/>
          </w:tcPr>
          <w:p>
            <w:pPr>
              <w:pStyle w:val="TableContents"/>
              <w:bidi w:val="0"/>
              <w:spacing w:before="0" w:after="283"/>
              <w:jc w:val="left"/>
              <w:rPr>
                <w:sz w:val="4"/>
                <w:szCs w:val="4"/>
              </w:rPr>
            </w:pPr>
            <w:r>
              <w:rPr>
                <w:sz w:val="4"/>
                <w:szCs w:val="4"/>
              </w:rPr>
            </w:r>
          </w:p>
        </w:tc>
        <w:tc>
          <w:tcPr>
            <w:tcW w:w="1570"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1940" w:type="dxa"/>
            <w:tcBorders>
              <w:bottom w:val="single" w:sz="8" w:space="0" w:color="0171B9"/>
            </w:tcBorders>
            <w:shd w:fill="CCE2F1" w:val="clear"/>
            <w:tcMar>
              <w:bottom w:w="40" w:type="dxa"/>
            </w:tcMar>
            <w:vAlign w:val="center"/>
          </w:tcPr>
          <w:p>
            <w:pPr>
              <w:pStyle w:val="TableContents"/>
              <w:bidi w:val="0"/>
              <w:spacing w:before="0" w:after="0"/>
              <w:jc w:val="left"/>
              <w:rPr/>
            </w:pPr>
            <w:r>
              <w:rPr/>
              <w:t> </w:t>
            </w:r>
            <w:r>
              <w:rPr>
                <w:rFonts w:ascii="arial" w:hAnsi="arial"/>
                <w:sz w:val="18"/>
              </w:rPr>
              <w:t>Esteban Santos(4)</w:t>
            </w:r>
          </w:p>
        </w:tc>
        <w:tc>
          <w:tcPr>
            <w:tcW w:w="12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6" w:type="dxa"/>
            <w:tcBorders>
              <w:bottom w:val="single" w:sz="8" w:space="0" w:color="0171B9"/>
            </w:tcBorders>
            <w:shd w:fill="CCE2F1" w:val="clear"/>
            <w:tcMar>
              <w:bottom w:w="40" w:type="dxa"/>
            </w:tcMar>
            <w:vAlign w:val="center"/>
          </w:tcPr>
          <w:p>
            <w:pPr>
              <w:pStyle w:val="TableContents"/>
              <w:bidi w:val="0"/>
              <w:spacing w:before="0" w:after="283"/>
              <w:jc w:val="left"/>
              <w:rPr/>
            </w:pPr>
            <w:r>
              <w:rPr/>
              <w:t> </w:t>
            </w:r>
          </w:p>
        </w:tc>
        <w:tc>
          <w:tcPr>
            <w:tcW w:w="1079" w:type="dxa"/>
            <w:tcBorders>
              <w:bottom w:val="single" w:sz="8" w:space="0" w:color="0171B9"/>
            </w:tcBorders>
            <w:shd w:fill="CCE2F1" w:val="clear"/>
            <w:tcMar>
              <w:bottom w:w="40" w:type="dxa"/>
            </w:tcMar>
            <w:vAlign w:val="center"/>
          </w:tcPr>
          <w:p>
            <w:pPr>
              <w:pStyle w:val="TableContents"/>
              <w:bidi w:val="0"/>
              <w:spacing w:before="0" w:after="283"/>
              <w:jc w:val="right"/>
              <w:rPr/>
            </w:pPr>
            <w:r>
              <w:rPr/>
              <w:t>2,100,000</w:t>
            </w:r>
          </w:p>
        </w:tc>
        <w:tc>
          <w:tcPr>
            <w:tcW w:w="60" w:type="dxa"/>
            <w:tcBorders>
              <w:bottom w:val="single" w:sz="8" w:space="0" w:color="0171B9"/>
            </w:tcBorders>
            <w:shd w:fill="CCE2F1" w:val="clear"/>
            <w:tcMar>
              <w:bottom w:w="40" w:type="dxa"/>
            </w:tcMar>
            <w:vAlign w:val="center"/>
          </w:tcPr>
          <w:p>
            <w:pPr>
              <w:pStyle w:val="TableContents"/>
              <w:bidi w:val="0"/>
              <w:spacing w:before="0" w:after="283"/>
              <w:jc w:val="left"/>
              <w:rPr/>
            </w:pPr>
            <w:r>
              <w:rPr/>
              <w:t> </w:t>
            </w:r>
          </w:p>
        </w:tc>
        <w:tc>
          <w:tcPr>
            <w:tcW w:w="12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shd w:fill="CCE2F1" w:val="clear"/>
            <w:tcMar>
              <w:bottom w:w="40" w:type="dxa"/>
            </w:tcMar>
            <w:vAlign w:val="center"/>
          </w:tcPr>
          <w:p>
            <w:pPr>
              <w:pStyle w:val="TableContents"/>
              <w:bidi w:val="0"/>
              <w:spacing w:before="0" w:after="283"/>
              <w:jc w:val="left"/>
              <w:rPr/>
            </w:pPr>
            <w:r>
              <w:rPr/>
              <w:t> </w:t>
            </w:r>
          </w:p>
        </w:tc>
        <w:tc>
          <w:tcPr>
            <w:tcW w:w="980" w:type="dxa"/>
            <w:tcBorders>
              <w:bottom w:val="single" w:sz="8" w:space="0" w:color="0171B9"/>
            </w:tcBorders>
            <w:shd w:fill="CCE2F1" w:val="clear"/>
            <w:tcMar>
              <w:bottom w:w="40" w:type="dxa"/>
            </w:tcMar>
            <w:vAlign w:val="center"/>
          </w:tcPr>
          <w:p>
            <w:pPr>
              <w:pStyle w:val="TableContents"/>
              <w:bidi w:val="0"/>
              <w:spacing w:before="0" w:after="283"/>
              <w:jc w:val="right"/>
              <w:rPr/>
            </w:pPr>
            <w:r>
              <w:rPr/>
              <w:t>1,260,000</w:t>
            </w:r>
          </w:p>
        </w:tc>
        <w:tc>
          <w:tcPr>
            <w:tcW w:w="60" w:type="dxa"/>
            <w:tcBorders>
              <w:bottom w:val="single" w:sz="8" w:space="0" w:color="0171B9"/>
            </w:tcBorders>
            <w:shd w:fill="CCE2F1" w:val="clear"/>
            <w:tcMar>
              <w:bottom w:w="40" w:type="dxa"/>
            </w:tcMar>
            <w:vAlign w:val="center"/>
          </w:tcPr>
          <w:p>
            <w:pPr>
              <w:pStyle w:val="TableContents"/>
              <w:bidi w:val="0"/>
              <w:spacing w:before="0" w:after="283"/>
              <w:jc w:val="left"/>
              <w:rPr/>
            </w:pPr>
            <w:r>
              <w:rPr/>
              <w:t> </w:t>
            </w:r>
          </w:p>
        </w:tc>
        <w:tc>
          <w:tcPr>
            <w:tcW w:w="12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shd w:fill="CCE2F1" w:val="clear"/>
            <w:tcMar>
              <w:bottom w:w="40" w:type="dxa"/>
            </w:tcMar>
            <w:vAlign w:val="center"/>
          </w:tcPr>
          <w:p>
            <w:pPr>
              <w:pStyle w:val="TableContents"/>
              <w:bidi w:val="0"/>
              <w:spacing w:before="0" w:after="283"/>
              <w:jc w:val="left"/>
              <w:rPr/>
            </w:pPr>
            <w:r>
              <w:rPr/>
              <w:t> </w:t>
            </w:r>
          </w:p>
        </w:tc>
        <w:tc>
          <w:tcPr>
            <w:tcW w:w="980" w:type="dxa"/>
            <w:tcBorders>
              <w:bottom w:val="single" w:sz="8" w:space="0" w:color="0171B9"/>
            </w:tcBorders>
            <w:shd w:fill="CCE2F1" w:val="clear"/>
            <w:tcMar>
              <w:bottom w:w="40" w:type="dxa"/>
            </w:tcMar>
            <w:vAlign w:val="center"/>
          </w:tcPr>
          <w:p>
            <w:pPr>
              <w:pStyle w:val="TableContents"/>
              <w:bidi w:val="0"/>
              <w:spacing w:before="0" w:after="283"/>
              <w:jc w:val="right"/>
              <w:rPr/>
            </w:pPr>
            <w:r>
              <w:rPr/>
              <w:t>840,000</w:t>
            </w:r>
          </w:p>
        </w:tc>
        <w:tc>
          <w:tcPr>
            <w:tcW w:w="60" w:type="dxa"/>
            <w:tcBorders>
              <w:bottom w:val="single" w:sz="8" w:space="0" w:color="0171B9"/>
            </w:tcBorders>
            <w:shd w:fill="CCE2F1" w:val="clear"/>
            <w:tcMar>
              <w:bottom w:w="40" w:type="dxa"/>
            </w:tcMar>
            <w:vAlign w:val="center"/>
          </w:tcPr>
          <w:p>
            <w:pPr>
              <w:pStyle w:val="TableContents"/>
              <w:bidi w:val="0"/>
              <w:spacing w:before="0" w:after="283"/>
              <w:jc w:val="left"/>
              <w:rPr/>
            </w:pPr>
            <w:r>
              <w:rPr/>
              <w:t> </w:t>
            </w:r>
          </w:p>
        </w:tc>
        <w:tc>
          <w:tcPr>
            <w:tcW w:w="12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shd w:fill="CCE2F1" w:val="clear"/>
            <w:tcMar>
              <w:bottom w:w="40" w:type="dxa"/>
            </w:tcMar>
            <w:vAlign w:val="center"/>
          </w:tcPr>
          <w:p>
            <w:pPr>
              <w:pStyle w:val="TableContents"/>
              <w:bidi w:val="0"/>
              <w:spacing w:before="0" w:after="283"/>
              <w:jc w:val="left"/>
              <w:rPr/>
            </w:pPr>
            <w:r>
              <w:rPr/>
              <w:t> </w:t>
            </w:r>
          </w:p>
        </w:tc>
        <w:tc>
          <w:tcPr>
            <w:tcW w:w="1100" w:type="dxa"/>
            <w:tcBorders>
              <w:bottom w:val="single" w:sz="8" w:space="0" w:color="0171B9"/>
            </w:tcBorders>
            <w:shd w:fill="CCE2F1" w:val="clear"/>
            <w:tcMar>
              <w:bottom w:w="40" w:type="dxa"/>
            </w:tcMar>
            <w:vAlign w:val="center"/>
          </w:tcPr>
          <w:p>
            <w:pPr>
              <w:pStyle w:val="TableContents"/>
              <w:bidi w:val="0"/>
              <w:spacing w:before="0" w:after="283"/>
              <w:jc w:val="right"/>
              <w:rPr/>
            </w:pPr>
            <w:r>
              <w:rPr/>
              <w:t>4,200,000</w:t>
            </w:r>
          </w:p>
        </w:tc>
        <w:tc>
          <w:tcPr>
            <w:tcW w:w="60" w:type="dxa"/>
            <w:tcBorders>
              <w:bottom w:val="single" w:sz="8" w:space="0" w:color="0171B9"/>
            </w:tcBorders>
            <w:shd w:fill="CCE2F1" w:val="clear"/>
            <w:tcMar>
              <w:bottom w:w="40" w:type="dxa"/>
            </w:tcMar>
            <w:vAlign w:val="center"/>
          </w:tcPr>
          <w:p>
            <w:pPr>
              <w:pStyle w:val="TableContents"/>
              <w:bidi w:val="0"/>
              <w:spacing w:before="0" w:after="283"/>
              <w:jc w:val="left"/>
              <w:rPr/>
            </w:pPr>
            <w:r>
              <w:rPr/>
              <w:t> </w:t>
            </w:r>
          </w:p>
        </w:tc>
        <w:tc>
          <w:tcPr>
            <w:tcW w:w="12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shd w:fill="CCE2F1" w:val="clear"/>
            <w:tcMar>
              <w:bottom w:w="40" w:type="dxa"/>
            </w:tcMar>
            <w:vAlign w:val="center"/>
          </w:tcPr>
          <w:p>
            <w:pPr>
              <w:pStyle w:val="TableContents"/>
              <w:bidi w:val="0"/>
              <w:spacing w:before="0" w:after="283"/>
              <w:jc w:val="left"/>
              <w:rPr/>
            </w:pPr>
            <w:r>
              <w:rPr/>
              <w:t> </w:t>
            </w:r>
          </w:p>
        </w:tc>
        <w:tc>
          <w:tcPr>
            <w:tcW w:w="1100" w:type="dxa"/>
            <w:tcBorders>
              <w:bottom w:val="single" w:sz="8" w:space="0" w:color="0171B9"/>
            </w:tcBorders>
            <w:shd w:fill="CCE2F1" w:val="clear"/>
            <w:tcMar>
              <w:bottom w:w="40" w:type="dxa"/>
            </w:tcMar>
            <w:vAlign w:val="center"/>
          </w:tcPr>
          <w:p>
            <w:pPr>
              <w:pStyle w:val="TableContents"/>
              <w:bidi w:val="0"/>
              <w:spacing w:before="0" w:after="283"/>
              <w:jc w:val="right"/>
              <w:rPr/>
            </w:pPr>
            <w:r>
              <w:rPr/>
              <w:t>n/a</w:t>
            </w:r>
          </w:p>
        </w:tc>
        <w:tc>
          <w:tcPr>
            <w:tcW w:w="60" w:type="dxa"/>
            <w:tcBorders>
              <w:bottom w:val="single" w:sz="8" w:space="0" w:color="0171B9"/>
            </w:tcBorders>
            <w:shd w:fill="CCE2F1" w:val="clear"/>
            <w:tcMar>
              <w:bottom w:w="40" w:type="dxa"/>
            </w:tcMar>
            <w:vAlign w:val="center"/>
          </w:tcPr>
          <w:p>
            <w:pPr>
              <w:pStyle w:val="TableContents"/>
              <w:bidi w:val="0"/>
              <w:spacing w:before="0" w:after="283"/>
              <w:jc w:val="left"/>
              <w:rPr/>
            </w:pPr>
            <w:r>
              <w:rPr/>
              <w:t> </w:t>
            </w:r>
          </w:p>
        </w:tc>
        <w:tc>
          <w:tcPr>
            <w:tcW w:w="12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153" w:type="dxa"/>
            <w:tcBorders>
              <w:bottom w:val="single" w:sz="8" w:space="0" w:color="0171B9"/>
            </w:tcBorders>
            <w:shd w:fill="CCE2F1" w:val="clear"/>
            <w:tcMar>
              <w:bottom w:w="40" w:type="dxa"/>
            </w:tcMar>
            <w:vAlign w:val="center"/>
          </w:tcPr>
          <w:p>
            <w:pPr>
              <w:pStyle w:val="TableContents"/>
              <w:bidi w:val="0"/>
              <w:spacing w:before="0" w:after="283"/>
              <w:jc w:val="left"/>
              <w:rPr/>
            </w:pPr>
            <w:r>
              <w:rPr/>
              <w:t> </w:t>
            </w:r>
          </w:p>
        </w:tc>
        <w:tc>
          <w:tcPr>
            <w:tcW w:w="1127" w:type="dxa"/>
            <w:tcBorders>
              <w:bottom w:val="single" w:sz="8" w:space="0" w:color="0171B9"/>
            </w:tcBorders>
            <w:shd w:fill="CCE2F1" w:val="clear"/>
            <w:tcMar>
              <w:bottom w:w="40" w:type="dxa"/>
            </w:tcMar>
            <w:vAlign w:val="center"/>
          </w:tcPr>
          <w:p>
            <w:pPr>
              <w:pStyle w:val="TableContents"/>
              <w:bidi w:val="0"/>
              <w:spacing w:before="0" w:after="283"/>
              <w:jc w:val="right"/>
              <w:rPr/>
            </w:pPr>
            <w:r>
              <w:rPr/>
              <w:t>n/a</w:t>
            </w:r>
          </w:p>
        </w:tc>
        <w:tc>
          <w:tcPr>
            <w:tcW w:w="170" w:type="dxa"/>
            <w:tcBorders>
              <w:bottom w:val="single" w:sz="8" w:space="0" w:color="0171B9"/>
            </w:tcBorders>
            <w:shd w:fill="CCE2F1" w:val="clear"/>
            <w:tcMar>
              <w:bottom w:w="4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7135" w:type="dxa"/>
        <w:jc w:val="left"/>
        <w:tblInd w:w="0" w:type="dxa"/>
        <w:tblLayout w:type="fixed"/>
        <w:tblCellMar>
          <w:top w:w="0" w:type="dxa"/>
          <w:left w:w="0" w:type="dxa"/>
          <w:bottom w:w="0" w:type="dxa"/>
          <w:right w:w="0" w:type="dxa"/>
        </w:tblCellMar>
      </w:tblPr>
      <w:tblGrid>
        <w:gridCol w:w="365"/>
        <w:gridCol w:w="6770"/>
      </w:tblGrid>
      <w:tr>
        <w:trPr/>
        <w:tc>
          <w:tcPr>
            <w:tcW w:w="365" w:type="dxa"/>
            <w:tcBorders/>
            <w:vAlign w:val="center"/>
          </w:tcPr>
          <w:p>
            <w:pPr>
              <w:pStyle w:val="TableContents"/>
              <w:bidi w:val="0"/>
              <w:spacing w:before="0" w:after="283"/>
              <w:jc w:val="left"/>
              <w:rPr/>
            </w:pPr>
            <w:r>
              <w:rPr/>
              <w:t>(1) </w:t>
            </w:r>
          </w:p>
        </w:tc>
        <w:tc>
          <w:tcPr>
            <w:tcW w:w="6770" w:type="dxa"/>
            <w:tcBorders/>
            <w:vAlign w:val="center"/>
          </w:tcPr>
          <w:p>
            <w:pPr>
              <w:pStyle w:val="TableContents"/>
              <w:bidi w:val="0"/>
              <w:spacing w:before="0" w:after="0"/>
              <w:jc w:val="both"/>
              <w:rPr>
                <w:rFonts w:ascii="arial" w:hAnsi="arial"/>
                <w:sz w:val="16"/>
              </w:rPr>
            </w:pPr>
            <w:r>
              <w:rPr>
                <w:rFonts w:ascii="arial" w:hAnsi="arial"/>
                <w:sz w:val="16"/>
              </w:rPr>
              <w:t xml:space="preserve">The 2023-2025 performance period runs from January 1, 2023 through December 31, 2025. </w:t>
            </w:r>
          </w:p>
        </w:tc>
      </w:tr>
    </w:tbl>
    <w:tbl>
      <w:tblPr>
        <w:tblW w:w="10205" w:type="dxa"/>
        <w:jc w:val="left"/>
        <w:tblInd w:w="0" w:type="dxa"/>
        <w:tblLayout w:type="fixed"/>
        <w:tblCellMar>
          <w:top w:w="0" w:type="dxa"/>
          <w:left w:w="0" w:type="dxa"/>
          <w:bottom w:w="0" w:type="dxa"/>
          <w:right w:w="0" w:type="dxa"/>
        </w:tblCellMar>
      </w:tblPr>
      <w:tblGrid>
        <w:gridCol w:w="315"/>
        <w:gridCol w:w="9890"/>
      </w:tblGrid>
      <w:tr>
        <w:trPr/>
        <w:tc>
          <w:tcPr>
            <w:tcW w:w="315" w:type="dxa"/>
            <w:tcBorders/>
            <w:vAlign w:val="center"/>
          </w:tcPr>
          <w:p>
            <w:pPr>
              <w:pStyle w:val="TableContents"/>
              <w:bidi w:val="0"/>
              <w:spacing w:before="0" w:after="283"/>
              <w:jc w:val="left"/>
              <w:rPr/>
            </w:pPr>
            <w:r>
              <w:rPr/>
              <w:t>(2) </w:t>
            </w:r>
          </w:p>
        </w:tc>
        <w:tc>
          <w:tcPr>
            <w:tcW w:w="9890" w:type="dxa"/>
            <w:tcBorders/>
            <w:vAlign w:val="center"/>
          </w:tcPr>
          <w:p>
            <w:pPr>
              <w:pStyle w:val="TableContents"/>
              <w:bidi w:val="0"/>
              <w:spacing w:before="0" w:after="0"/>
              <w:jc w:val="both"/>
              <w:rPr>
                <w:rFonts w:ascii="arial" w:hAnsi="arial"/>
                <w:sz w:val="16"/>
              </w:rPr>
            </w:pPr>
            <w:r>
              <w:rPr>
                <w:rFonts w:ascii="arial" w:hAnsi="arial"/>
                <w:sz w:val="16"/>
              </w:rPr>
              <w:t>For more information regarding the determination of the Market Median, see “How Compensation Decisions Are Made For Our Named Executive Officers—</w:t>
            </w:r>
            <w:r>
              <w:rPr>
                <w:rFonts w:ascii="arial" w:hAnsi="arial"/>
                <w:i/>
                <w:sz w:val="16"/>
              </w:rPr>
              <w:t>Peer Group Data Sources</w:t>
            </w:r>
            <w:r>
              <w:rPr>
                <w:rFonts w:ascii="arial" w:hAnsi="arial"/>
                <w:sz w:val="16"/>
              </w:rPr>
              <w:t xml:space="preserve">” previously discussed. </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(3) </w:t>
            </w:r>
          </w:p>
        </w:tc>
        <w:tc>
          <w:tcPr>
            <w:tcW w:w="9926" w:type="dxa"/>
            <w:tcBorders/>
            <w:vAlign w:val="center"/>
          </w:tcPr>
          <w:p>
            <w:pPr>
              <w:pStyle w:val="TableContents"/>
              <w:bidi w:val="0"/>
              <w:spacing w:before="0" w:after="0"/>
              <w:jc w:val="both"/>
              <w:rPr>
                <w:rFonts w:ascii="arial" w:hAnsi="arial"/>
                <w:sz w:val="16"/>
              </w:rPr>
            </w:pPr>
            <w:r>
              <w:rPr>
                <w:rFonts w:ascii="arial" w:hAnsi="arial"/>
                <w:sz w:val="16"/>
              </w:rPr>
              <w:t xml:space="preserve">Dr. Reese was appointed as our Executive Vice President and Chief Technology Officer effective December 2023 and no changes were made to his compensation. Prior to this, he served as our Executive Vice President, Research and Development. The Market Median data reflects comparison to other head of research and development roles. </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(4) </w:t>
            </w:r>
          </w:p>
        </w:tc>
        <w:tc>
          <w:tcPr>
            <w:tcW w:w="9923" w:type="dxa"/>
            <w:tcBorders/>
            <w:vAlign w:val="center"/>
          </w:tcPr>
          <w:p>
            <w:pPr>
              <w:pStyle w:val="TableContents"/>
              <w:bidi w:val="0"/>
              <w:spacing w:before="0" w:after="0"/>
              <w:jc w:val="both"/>
              <w:rPr>
                <w:rFonts w:ascii="arial" w:hAnsi="arial"/>
                <w:sz w:val="16"/>
              </w:rPr>
            </w:pPr>
            <w:r>
              <w:rPr>
                <w:rFonts w:ascii="arial" w:hAnsi="arial"/>
                <w:sz w:val="16"/>
              </w:rPr>
              <w:t>As previously discussed under “How Compensation Decisions Are Made For Our Named Executive Officers—</w:t>
            </w:r>
            <w:r>
              <w:rPr>
                <w:rFonts w:ascii="arial" w:hAnsi="arial"/>
                <w:i/>
                <w:sz w:val="16"/>
              </w:rPr>
              <w:t>Peer Group Data Sources,</w:t>
            </w:r>
            <w:r>
              <w:rPr>
                <w:rFonts w:ascii="arial" w:hAnsi="arial"/>
                <w:sz w:val="16"/>
              </w:rPr>
              <w:t xml:space="preserve">” no comparable market data is available for Mr. Santos and his LTI equity award value was established using comparisons to the values granted to our other Executive Vice President roles. </w:t>
            </w:r>
          </w:p>
        </w:tc>
      </w:tr>
    </w:tbl>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58">
                <wp:simplePos x="0" y="0"/>
                <wp:positionH relativeFrom="column">
                  <wp:align>left</wp:align>
                </wp:positionH>
                <wp:positionV relativeFrom="line">
                  <wp:posOffset>635</wp:posOffset>
                </wp:positionV>
                <wp:extent cx="3110230" cy="1314450"/>
                <wp:effectExtent l="0" t="0" r="0" b="0"/>
                <wp:wrapSquare wrapText="right"/>
                <wp:docPr id="252" name="Frame119"/>
                <a:graphic xmlns:a="http://schemas.openxmlformats.org/drawingml/2006/main">
                  <a:graphicData uri="http://schemas.microsoft.com/office/word/2010/wordprocessingShape">
                    <wps:wsp>
                      <wps:cNvSpPr txBox="1"/>
                      <wps:spPr>
                        <a:xfrm>
                          <a:off x="0" y="0"/>
                          <a:ext cx="3110230" cy="1314450"/>
                        </a:xfrm>
                        <a:prstGeom prst="rect"/>
                        <a:solidFill>
                          <a:srgbClr val="FFFFFF"/>
                        </a:solidFill>
                      </wps:spPr>
                      <wps:txbx>
                        <w:txbxContent>
                          <w:p>
                            <w:pPr>
                              <w:pStyle w:val="TextBody"/>
                              <w:bidi w:val="0"/>
                              <w:spacing w:before="0" w:after="0"/>
                              <w:jc w:val="both"/>
                              <w:rPr>
                                <w:rFonts w:ascii="arial" w:hAnsi="arial"/>
                                <w:sz w:val="18"/>
                              </w:rPr>
                            </w:pPr>
                            <w:r>
                              <w:rPr>
                                <w:rFonts w:ascii="arial" w:hAnsi="arial"/>
                                <w:sz w:val="18"/>
                              </w:rPr>
                              <w:t xml:space="preserve">Based on the Compensation Committee’s March 2023 review of market data, the committee approved a LTI equity award for Mr. Bradway at the same value ($15.9 million) as that of 2022 to recognize his successful leadership and execution of the Company’s strategic priorities as well as his experience and tenure in his role. The Compensation Committee also approved LTI equity award grants for each of the other NEOs at the same value as those of 2022 in recognition of their successful leadership of their respective functions, scope of responsibilities across their respective roles, and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03.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8"/>
                        </w:rPr>
                      </w:pPr>
                      <w:r>
                        <w:rPr>
                          <w:rFonts w:ascii="arial" w:hAnsi="arial"/>
                          <w:sz w:val="18"/>
                        </w:rPr>
                        <w:t xml:space="preserve">Based on the Compensation Committee’s March 2023 review of market data, the committee approved a LTI equity award for Mr. Bradway at the same value ($15.9 million) as that of 2022 to recognize his successful leadership and execution of the Company’s strategic priorities as well as his experience and tenure in his role. The Compensation Committee also approved LTI equity award grants for each of the other NEOs at the same value as those of 2022 in recognition of their successful leadership of their respective functions, scope of responsibilities across their respective roles, and </w:t>
                      </w:r>
                    </w:p>
                  </w:txbxContent>
                </v:textbox>
                <w10:wrap type="square" side="right"/>
              </v:rect>
            </w:pict>
          </mc:Fallback>
        </mc:AlternateContent>
      </w:r>
      <w:r>
        <mc:AlternateContent>
          <mc:Choice Requires="wps">
            <w:drawing>
              <wp:anchor behindDoc="0" distT="0" distB="0" distL="0" distR="0" simplePos="0" locked="0" layoutInCell="1" allowOverlap="1" relativeHeight="359">
                <wp:simplePos x="0" y="0"/>
                <wp:positionH relativeFrom="column">
                  <wp:align>left</wp:align>
                </wp:positionH>
                <wp:positionV relativeFrom="line">
                  <wp:posOffset>635</wp:posOffset>
                </wp:positionV>
                <wp:extent cx="3175000" cy="1051560"/>
                <wp:effectExtent l="0" t="0" r="0" b="0"/>
                <wp:wrapSquare wrapText="right"/>
                <wp:docPr id="253" name="Frame120"/>
                <a:graphic xmlns:a="http://schemas.openxmlformats.org/drawingml/2006/main">
                  <a:graphicData uri="http://schemas.microsoft.com/office/word/2010/wordprocessingShape">
                    <wps:wsp>
                      <wps:cNvSpPr txBox="1"/>
                      <wps:spPr>
                        <a:xfrm>
                          <a:off x="0" y="0"/>
                          <a:ext cx="3175000" cy="1051560"/>
                        </a:xfrm>
                        <a:prstGeom prst="rect"/>
                        <a:solidFill>
                          <a:srgbClr val="FFFFFF"/>
                        </a:solidFill>
                      </wps:spPr>
                      <wps:txbx>
                        <w:txbxContent>
                          <w:p>
                            <w:pPr>
                              <w:pStyle w:val="TextBody"/>
                              <w:bidi w:val="0"/>
                              <w:spacing w:before="0" w:after="0"/>
                              <w:jc w:val="both"/>
                              <w:rPr>
                                <w:rFonts w:ascii="arial" w:hAnsi="arial"/>
                                <w:sz w:val="18"/>
                              </w:rPr>
                            </w:pPr>
                            <w:r>
                              <w:rPr>
                                <w:rFonts w:ascii="arial" w:hAnsi="arial"/>
                                <w:sz w:val="18"/>
                              </w:rPr>
                              <w:t xml:space="preserve">experience. As such, the Compensation Committee approved LTI equity award grant values of $5 million for Mr. Gordon, $4.5 million for each of Dr. Reese and Mr. Griffith, and $4.2 million for Mr. Santos. The Compensation Committee concluded that these LTI equity award values were appropriate because they recognize and reward strong execution by our NEOs with compensation that is substantially at risk, performance-based, and focused on the longer-term.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82.8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8"/>
                        </w:rPr>
                      </w:pPr>
                      <w:r>
                        <w:rPr>
                          <w:rFonts w:ascii="arial" w:hAnsi="arial"/>
                          <w:sz w:val="18"/>
                        </w:rPr>
                        <w:t xml:space="preserve">experience. As such, the Compensation Committee approved LTI equity award grant values of $5 million for Mr. Gordon, $4.5 million for each of Dr. Reese and Mr. Griffith, and $4.2 million for Mr. Santos. The Compensation Committee concluded that these LTI equity award values were appropriate because they recognize and reward strong execution by our NEOs with compensation that is substantially at risk, performance-based, and focused on the longer-term.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25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24" descr=""/>
                    <pic:cNvPicPr>
                      <a:picLocks noChangeAspect="1" noChangeArrowheads="1"/>
                    </pic:cNvPicPr>
                  </pic:nvPicPr>
                  <pic:blipFill>
                    <a:blip r:embed="rId135"/>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67</w:t>
      </w:r>
      <w:r>
        <w:rPr>
          <w:rFonts w:ascii="arial" w:hAnsi="arial"/>
          <w:b/>
          <w:sz w:val="22"/>
        </w:rPr>
        <w:t xml:space="preserve"> </w:t>
      </w:r>
      <w:r>
        <w:br w:type="page"/>
      </w:r>
    </w:p>
    <w:p>
      <w:pPr>
        <w:pStyle w:val="HorizontalLine"/>
        <w:bidi w:val="0"/>
        <w:jc w:val="left"/>
        <w:rPr/>
      </w:pPr>
      <w:r>
        <w:rPr/>
      </w:r>
    </w:p>
    <w:tbl>
      <w:tblPr>
        <w:tblW w:w="507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45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459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Compensation Discussion and Analysis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171B9"/>
          <w:sz w:val="22"/>
        </w:rPr>
      </w:pPr>
      <w:r>
        <w:rPr>
          <w:rFonts w:ascii="arial" w:hAnsi="arial"/>
          <w:b/>
          <w:color w:val="0171B9"/>
          <w:sz w:val="22"/>
        </w:rPr>
        <w:t xml:space="preserve">Performance Award Program 2021-2023 Performance Period Performance Units Earned </w:t>
      </w:r>
    </w:p>
    <w:p>
      <w:pPr>
        <w:pStyle w:val="TextBody"/>
        <w:bidi w:val="0"/>
        <w:spacing w:before="260" w:after="0"/>
        <w:jc w:val="both"/>
        <w:rPr>
          <w:rFonts w:ascii="arial" w:hAnsi="arial"/>
          <w:sz w:val="19"/>
        </w:rPr>
      </w:pPr>
      <w:r>
        <w:rPr>
          <w:rFonts w:ascii="arial" w:hAnsi="arial"/>
          <w:sz w:val="19"/>
        </w:rPr>
        <w:t xml:space="preserve">For the last operating year of our 2021-2023 performance period, our 2023 EPS performance earned 102.7% of target and 2023 ROIC performance earned 30.0% of target, resulting in 2023 performance of 66.4% of target for these non-GAAP operating measures. Our performance with respect to our non-GAAP operating measures resulted in 111.6% for 2021, 108.0% for 2022, and 66.4% for 2023. These annual operating measure percentage calculations were then averaged for a total operating measures score of 95.3% for this three-year performance period. Based on our TSR ranking of the 70.9th percentile relative to the TSRs of the companies in the S&amp;P 500, the total operating measures score of 95.3% was increased by 25.1 percentage points, resulting in a payout of 120.4% of target performance units granted. Each earned performance unit converted to one share of Common Stock upon the payout date of March 18, 2024. For the 2021-2023 performance period, this payout percentage resulted in the following number of shares of Common Stock being earned. For additional information on the specific targets and actual performance and calculation of amounts earned, see the detailed description of the 2021-2023 performance period previously discussed on pages 58-59. </w:t>
      </w:r>
    </w:p>
    <w:p>
      <w:pPr>
        <w:pStyle w:val="TextBody"/>
        <w:bidi w:val="0"/>
        <w:spacing w:before="0" w:after="0"/>
        <w:jc w:val="left"/>
        <w:rPr/>
      </w:pPr>
      <w:r>
        <w:rPr/>
        <w:t> </w:t>
      </w:r>
    </w:p>
    <w:tbl>
      <w:tblPr>
        <w:tblW w:w="9754" w:type="dxa"/>
        <w:jc w:val="left"/>
        <w:tblInd w:w="0" w:type="dxa"/>
        <w:tblLayout w:type="fixed"/>
        <w:tblCellMar>
          <w:top w:w="0" w:type="dxa"/>
          <w:left w:w="0" w:type="dxa"/>
          <w:bottom w:w="0" w:type="dxa"/>
          <w:right w:w="0" w:type="dxa"/>
        </w:tblCellMar>
      </w:tblPr>
      <w:tblGrid>
        <w:gridCol w:w="2705"/>
        <w:gridCol w:w="120"/>
        <w:gridCol w:w="124"/>
        <w:gridCol w:w="2041"/>
        <w:gridCol w:w="60"/>
        <w:gridCol w:w="120"/>
        <w:gridCol w:w="178"/>
        <w:gridCol w:w="2031"/>
        <w:gridCol w:w="60"/>
        <w:gridCol w:w="120"/>
        <w:gridCol w:w="171"/>
        <w:gridCol w:w="1949"/>
        <w:gridCol w:w="75"/>
      </w:tblGrid>
      <w:tr>
        <w:trPr/>
        <w:tc>
          <w:tcPr>
            <w:tcW w:w="27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705" w:type="dxa"/>
            <w:tcBorders/>
            <w:shd w:fill="0171B9" w:val="clear"/>
            <w:vAlign w:val="center"/>
          </w:tcPr>
          <w:p>
            <w:pPr>
              <w:pStyle w:val="TableContents"/>
              <w:bidi w:val="0"/>
              <w:spacing w:before="0" w:after="283"/>
              <w:jc w:val="left"/>
              <w:rPr>
                <w:sz w:val="4"/>
                <w:szCs w:val="4"/>
              </w:rPr>
            </w:pPr>
            <w:r>
              <w:rPr>
                <w:sz w:val="4"/>
                <w:szCs w:val="4"/>
              </w:rPr>
            </w:r>
          </w:p>
        </w:tc>
        <w:tc>
          <w:tcPr>
            <w:tcW w:w="2345" w:type="dxa"/>
            <w:gridSpan w:val="4"/>
            <w:tcBorders/>
            <w:shd w:fill="0171B9" w:val="clear"/>
            <w:vAlign w:val="center"/>
          </w:tcPr>
          <w:p>
            <w:pPr>
              <w:pStyle w:val="TableContents"/>
              <w:bidi w:val="0"/>
              <w:spacing w:before="0" w:after="283"/>
              <w:jc w:val="left"/>
              <w:rPr>
                <w:sz w:val="4"/>
                <w:szCs w:val="4"/>
              </w:rPr>
            </w:pPr>
            <w:r>
              <w:rPr>
                <w:sz w:val="4"/>
                <w:szCs w:val="4"/>
              </w:rPr>
            </w:r>
          </w:p>
        </w:tc>
        <w:tc>
          <w:tcPr>
            <w:tcW w:w="2389" w:type="dxa"/>
            <w:gridSpan w:val="4"/>
            <w:tcBorders/>
            <w:shd w:fill="0171B9" w:val="clear"/>
            <w:vAlign w:val="center"/>
          </w:tcPr>
          <w:p>
            <w:pPr>
              <w:pStyle w:val="TableContents"/>
              <w:bidi w:val="0"/>
              <w:spacing w:before="0" w:after="283"/>
              <w:jc w:val="left"/>
              <w:rPr>
                <w:sz w:val="4"/>
                <w:szCs w:val="4"/>
              </w:rPr>
            </w:pPr>
            <w:r>
              <w:rPr>
                <w:sz w:val="4"/>
                <w:szCs w:val="4"/>
              </w:rPr>
            </w:r>
          </w:p>
        </w:tc>
        <w:tc>
          <w:tcPr>
            <w:tcW w:w="2315" w:type="dxa"/>
            <w:gridSpan w:val="4"/>
            <w:tcBorders/>
            <w:shd w:fill="0171B9" w:val="clear"/>
            <w:vAlign w:val="center"/>
          </w:tcPr>
          <w:p>
            <w:pPr>
              <w:pStyle w:val="TableContents"/>
              <w:bidi w:val="0"/>
              <w:spacing w:before="0" w:after="283"/>
              <w:jc w:val="left"/>
              <w:rPr>
                <w:sz w:val="4"/>
                <w:szCs w:val="4"/>
              </w:rPr>
            </w:pPr>
            <w:r>
              <w:rPr>
                <w:sz w:val="4"/>
                <w:szCs w:val="4"/>
              </w:rPr>
            </w:r>
          </w:p>
        </w:tc>
      </w:tr>
      <w:tr>
        <w:trPr/>
        <w:tc>
          <w:tcPr>
            <w:tcW w:w="2705" w:type="dxa"/>
            <w:tcBorders>
              <w:bottom w:val="single" w:sz="8" w:space="0" w:color="FFFFFF"/>
            </w:tcBorders>
            <w:shd w:fill="0171B9" w:val="clear"/>
            <w:tcMar>
              <w:bottom w:w="28" w:type="dxa"/>
            </w:tcMar>
            <w:vAlign w:val="center"/>
          </w:tcPr>
          <w:p>
            <w:pPr>
              <w:pStyle w:val="TableContents"/>
              <w:bidi w:val="0"/>
              <w:spacing w:before="0" w:after="283"/>
              <w:jc w:val="left"/>
              <w:rPr>
                <w:color w:val="FFFFFF"/>
              </w:rPr>
            </w:pPr>
            <w:r>
              <w:rPr>
                <w:color w:val="FFFFFF"/>
              </w:rPr>
              <w:t> </w:t>
            </w:r>
            <w:r>
              <w:rPr>
                <w:b/>
                <w:color w:val="FFFFFF"/>
              </w:rPr>
              <w:t>Named Executive Officer</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2165" w:type="dxa"/>
            <w:gridSpan w:val="2"/>
            <w:tcBorders>
              <w:bottom w:val="single" w:sz="8" w:space="0" w:color="FFFFFF"/>
            </w:tcBorders>
            <w:shd w:fill="0171B9" w:val="clear"/>
            <w:tcMar>
              <w:bottom w:w="28" w:type="dxa"/>
            </w:tcMar>
            <w:vAlign w:val="center"/>
          </w:tcPr>
          <w:p>
            <w:pPr>
              <w:pStyle w:val="TableContents"/>
              <w:bidi w:val="0"/>
              <w:spacing w:before="0" w:after="0"/>
              <w:jc w:val="right"/>
              <w:rPr>
                <w:rFonts w:ascii="arial" w:hAnsi="arial"/>
                <w:b/>
                <w:color w:val="FFFFFF"/>
                <w:sz w:val="18"/>
              </w:rPr>
            </w:pPr>
            <w:r>
              <w:rPr>
                <w:rFonts w:ascii="arial" w:hAnsi="arial"/>
                <w:b/>
                <w:color w:val="FFFFFF"/>
                <w:sz w:val="18"/>
              </w:rPr>
              <w:t>Performance Units Value</w:t>
            </w:r>
          </w:p>
          <w:p>
            <w:pPr>
              <w:pStyle w:val="TableContents"/>
              <w:bidi w:val="0"/>
              <w:spacing w:before="0" w:after="0"/>
              <w:jc w:val="right"/>
              <w:rPr>
                <w:rFonts w:ascii="arial" w:hAnsi="arial"/>
                <w:b/>
                <w:color w:val="FFFFFF"/>
                <w:sz w:val="18"/>
              </w:rPr>
            </w:pPr>
            <w:r>
              <w:rPr>
                <w:rFonts w:ascii="arial" w:hAnsi="arial"/>
                <w:b/>
                <w:color w:val="FFFFFF"/>
                <w:sz w:val="18"/>
              </w:rPr>
              <w:t>Granted (Target)</w:t>
            </w:r>
          </w:p>
          <w:p>
            <w:pPr>
              <w:pStyle w:val="TableContents"/>
              <w:bidi w:val="0"/>
              <w:spacing w:before="0" w:after="20"/>
              <w:jc w:val="right"/>
              <w:rPr>
                <w:rFonts w:ascii="arial" w:hAnsi="arial"/>
                <w:b/>
                <w:color w:val="FFFFFF"/>
                <w:sz w:val="18"/>
              </w:rPr>
            </w:pPr>
            <w:r>
              <w:rPr>
                <w:rFonts w:ascii="arial" w:hAnsi="arial"/>
                <w:b/>
                <w:color w:val="FFFFFF"/>
                <w:sz w:val="18"/>
              </w:rPr>
              <w:t>($)</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2209" w:type="dxa"/>
            <w:gridSpan w:val="2"/>
            <w:tcBorders>
              <w:bottom w:val="single" w:sz="8" w:space="0" w:color="FFFFFF"/>
            </w:tcBorders>
            <w:shd w:fill="0171B9" w:val="clear"/>
            <w:tcMar>
              <w:bottom w:w="28" w:type="dxa"/>
            </w:tcMar>
            <w:vAlign w:val="center"/>
          </w:tcPr>
          <w:p>
            <w:pPr>
              <w:pStyle w:val="TableContents"/>
              <w:bidi w:val="0"/>
              <w:spacing w:before="0" w:after="0"/>
              <w:jc w:val="right"/>
              <w:rPr>
                <w:color w:val="FFFFFF"/>
              </w:rPr>
            </w:pPr>
            <w:r>
              <w:rPr>
                <w:color w:val="FFFFFF"/>
              </w:rPr>
              <w:t> </w:t>
            </w:r>
            <w:r>
              <w:rPr>
                <w:rFonts w:ascii="arial" w:hAnsi="arial"/>
                <w:b/>
                <w:color w:val="FFFFFF"/>
                <w:sz w:val="18"/>
              </w:rPr>
              <w:t>Number of Performance</w:t>
            </w:r>
          </w:p>
          <w:p>
            <w:pPr>
              <w:pStyle w:val="TableContents"/>
              <w:bidi w:val="0"/>
              <w:spacing w:before="0" w:after="0"/>
              <w:jc w:val="right"/>
              <w:rPr>
                <w:rFonts w:ascii="arial" w:hAnsi="arial"/>
                <w:b/>
                <w:color w:val="FFFFFF"/>
                <w:sz w:val="18"/>
              </w:rPr>
            </w:pPr>
            <w:r>
              <w:rPr>
                <w:rFonts w:ascii="arial" w:hAnsi="arial"/>
                <w:b/>
                <w:color w:val="FFFFFF"/>
                <w:sz w:val="18"/>
              </w:rPr>
              <w:t>Units Granted</w:t>
            </w:r>
          </w:p>
          <w:p>
            <w:pPr>
              <w:pStyle w:val="TableContents"/>
              <w:bidi w:val="0"/>
              <w:spacing w:before="0" w:after="20"/>
              <w:jc w:val="right"/>
              <w:rPr>
                <w:rFonts w:ascii="arial" w:hAnsi="arial"/>
                <w:b/>
                <w:color w:val="FFFFFF"/>
                <w:sz w:val="18"/>
              </w:rPr>
            </w:pPr>
            <w:r>
              <w:rPr>
                <w:rFonts w:ascii="arial" w:hAnsi="arial"/>
                <w:b/>
                <w:color w:val="FFFFFF"/>
                <w:sz w:val="18"/>
              </w:rPr>
              <w:t>(#)</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2120" w:type="dxa"/>
            <w:gridSpan w:val="2"/>
            <w:tcBorders>
              <w:bottom w:val="single" w:sz="8" w:space="0" w:color="FFFFFF"/>
            </w:tcBorders>
            <w:shd w:fill="0171B9" w:val="clear"/>
            <w:tcMar>
              <w:bottom w:w="28" w:type="dxa"/>
            </w:tcMar>
            <w:vAlign w:val="center"/>
          </w:tcPr>
          <w:p>
            <w:pPr>
              <w:pStyle w:val="TableContents"/>
              <w:bidi w:val="0"/>
              <w:spacing w:before="0" w:after="0"/>
              <w:jc w:val="right"/>
              <w:rPr>
                <w:rFonts w:ascii="arial" w:hAnsi="arial"/>
                <w:b/>
                <w:color w:val="FFFFFF"/>
                <w:sz w:val="18"/>
              </w:rPr>
            </w:pPr>
            <w:r>
              <w:rPr>
                <w:rFonts w:ascii="arial" w:hAnsi="arial"/>
                <w:b/>
                <w:color w:val="FFFFFF"/>
                <w:sz w:val="18"/>
              </w:rPr>
              <w:t>Number of Shares of our</w:t>
            </w:r>
          </w:p>
          <w:p>
            <w:pPr>
              <w:pStyle w:val="TableContents"/>
              <w:bidi w:val="0"/>
              <w:spacing w:before="0" w:after="0"/>
              <w:jc w:val="right"/>
              <w:rPr>
                <w:rFonts w:ascii="arial" w:hAnsi="arial"/>
                <w:b/>
                <w:color w:val="FFFFFF"/>
                <w:sz w:val="18"/>
              </w:rPr>
            </w:pPr>
            <w:r>
              <w:rPr>
                <w:rFonts w:ascii="arial" w:hAnsi="arial"/>
                <w:b/>
                <w:color w:val="FFFFFF"/>
                <w:sz w:val="18"/>
              </w:rPr>
              <w:t>Common</w:t>
              <w:br/>
              <w:t>Stock Earned(1)</w:t>
            </w:r>
          </w:p>
          <w:p>
            <w:pPr>
              <w:pStyle w:val="TableContents"/>
              <w:bidi w:val="0"/>
              <w:spacing w:before="0" w:after="20"/>
              <w:jc w:val="right"/>
              <w:rPr>
                <w:rFonts w:ascii="arial" w:hAnsi="arial"/>
                <w:b/>
                <w:color w:val="FFFFFF"/>
                <w:sz w:val="18"/>
              </w:rPr>
            </w:pPr>
            <w:r>
              <w:rPr>
                <w:rFonts w:ascii="arial" w:hAnsi="arial"/>
                <w:b/>
                <w:color w:val="FFFFFF"/>
                <w:sz w:val="18"/>
              </w:rPr>
              <w:t>(#)</w:t>
            </w:r>
          </w:p>
        </w:tc>
        <w:tc>
          <w:tcPr>
            <w:tcW w:w="75"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r>
      <w:tr>
        <w:trPr/>
        <w:tc>
          <w:tcPr>
            <w:tcW w:w="2705" w:type="dxa"/>
            <w:tcBorders/>
            <w:shd w:fill="CCE2F1" w:val="clear"/>
            <w:vAlign w:val="center"/>
          </w:tcPr>
          <w:p>
            <w:pPr>
              <w:pStyle w:val="TableContents"/>
              <w:bidi w:val="0"/>
              <w:spacing w:before="0" w:after="283"/>
              <w:jc w:val="left"/>
              <w:rPr>
                <w:sz w:val="4"/>
                <w:szCs w:val="4"/>
              </w:rPr>
            </w:pPr>
            <w:r>
              <w:rPr>
                <w:sz w:val="4"/>
                <w:szCs w:val="4"/>
              </w:rPr>
            </w:r>
          </w:p>
        </w:tc>
        <w:tc>
          <w:tcPr>
            <w:tcW w:w="2345" w:type="dxa"/>
            <w:gridSpan w:val="4"/>
            <w:tcBorders/>
            <w:shd w:fill="CCE2F1" w:val="clear"/>
            <w:vAlign w:val="center"/>
          </w:tcPr>
          <w:p>
            <w:pPr>
              <w:pStyle w:val="TableContents"/>
              <w:bidi w:val="0"/>
              <w:spacing w:before="0" w:after="283"/>
              <w:jc w:val="left"/>
              <w:rPr>
                <w:sz w:val="4"/>
                <w:szCs w:val="4"/>
              </w:rPr>
            </w:pPr>
            <w:r>
              <w:rPr>
                <w:sz w:val="4"/>
                <w:szCs w:val="4"/>
              </w:rPr>
            </w:r>
          </w:p>
        </w:tc>
        <w:tc>
          <w:tcPr>
            <w:tcW w:w="2389" w:type="dxa"/>
            <w:gridSpan w:val="4"/>
            <w:tcBorders/>
            <w:shd w:fill="CCE2F1" w:val="clear"/>
            <w:vAlign w:val="center"/>
          </w:tcPr>
          <w:p>
            <w:pPr>
              <w:pStyle w:val="TableContents"/>
              <w:bidi w:val="0"/>
              <w:spacing w:before="0" w:after="283"/>
              <w:jc w:val="left"/>
              <w:rPr>
                <w:sz w:val="4"/>
                <w:szCs w:val="4"/>
              </w:rPr>
            </w:pPr>
            <w:r>
              <w:rPr>
                <w:sz w:val="4"/>
                <w:szCs w:val="4"/>
              </w:rPr>
            </w:r>
          </w:p>
        </w:tc>
        <w:tc>
          <w:tcPr>
            <w:tcW w:w="2315"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2705" w:type="dxa"/>
            <w:tcBorders/>
            <w:shd w:fill="CCE2F1" w:val="clear"/>
            <w:vAlign w:val="center"/>
          </w:tcPr>
          <w:p>
            <w:pPr>
              <w:pStyle w:val="TableContents"/>
              <w:bidi w:val="0"/>
              <w:spacing w:before="0" w:after="0"/>
              <w:jc w:val="left"/>
              <w:rPr/>
            </w:pPr>
            <w:r>
              <w:rPr/>
              <w:t> </w:t>
            </w:r>
            <w:r>
              <w:rPr>
                <w:rFonts w:ascii="arial" w:hAnsi="arial"/>
                <w:sz w:val="18"/>
              </w:rPr>
              <w:t>Robert A. Bradway</w:t>
            </w:r>
          </w:p>
        </w:tc>
        <w:tc>
          <w:tcPr>
            <w:tcW w:w="120" w:type="dxa"/>
            <w:tcBorders/>
            <w:shd w:fill="CCE2F1" w:val="clear"/>
            <w:vAlign w:val="center"/>
          </w:tcPr>
          <w:p>
            <w:pPr>
              <w:pStyle w:val="TableContents"/>
              <w:bidi w:val="0"/>
              <w:spacing w:before="0" w:after="283"/>
              <w:jc w:val="left"/>
              <w:rPr/>
            </w:pPr>
            <w:r>
              <w:rPr/>
              <w:t>  </w:t>
            </w:r>
          </w:p>
        </w:tc>
        <w:tc>
          <w:tcPr>
            <w:tcW w:w="124" w:type="dxa"/>
            <w:tcBorders/>
            <w:shd w:fill="CCE2F1" w:val="clear"/>
            <w:vAlign w:val="center"/>
          </w:tcPr>
          <w:p>
            <w:pPr>
              <w:pStyle w:val="TableContents"/>
              <w:bidi w:val="0"/>
              <w:spacing w:before="0" w:after="283"/>
              <w:jc w:val="left"/>
              <w:rPr/>
            </w:pPr>
            <w:r>
              <w:rPr/>
              <w:t> </w:t>
            </w:r>
          </w:p>
        </w:tc>
        <w:tc>
          <w:tcPr>
            <w:tcW w:w="2041" w:type="dxa"/>
            <w:tcBorders/>
            <w:shd w:fill="CCE2F1" w:val="clear"/>
            <w:vAlign w:val="center"/>
          </w:tcPr>
          <w:p>
            <w:pPr>
              <w:pStyle w:val="TableContents"/>
              <w:bidi w:val="0"/>
              <w:spacing w:before="0" w:after="283"/>
              <w:jc w:val="right"/>
              <w:rPr/>
            </w:pPr>
            <w:r>
              <w:rPr/>
              <w:t>7,956,250</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178" w:type="dxa"/>
            <w:tcBorders/>
            <w:shd w:fill="CCE2F1" w:val="clear"/>
            <w:vAlign w:val="center"/>
          </w:tcPr>
          <w:p>
            <w:pPr>
              <w:pStyle w:val="TableContents"/>
              <w:bidi w:val="0"/>
              <w:spacing w:before="0" w:after="283"/>
              <w:jc w:val="left"/>
              <w:rPr/>
            </w:pPr>
            <w:r>
              <w:rPr/>
              <w:t> </w:t>
            </w:r>
          </w:p>
        </w:tc>
        <w:tc>
          <w:tcPr>
            <w:tcW w:w="2031" w:type="dxa"/>
            <w:tcBorders/>
            <w:shd w:fill="CCE2F1" w:val="clear"/>
            <w:vAlign w:val="center"/>
          </w:tcPr>
          <w:p>
            <w:pPr>
              <w:pStyle w:val="TableContents"/>
              <w:bidi w:val="0"/>
              <w:spacing w:before="0" w:after="283"/>
              <w:jc w:val="right"/>
              <w:rPr/>
            </w:pPr>
            <w:r>
              <w:rPr/>
              <w:t>31,240</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171" w:type="dxa"/>
            <w:tcBorders/>
            <w:shd w:fill="CCE2F1" w:val="clear"/>
            <w:vAlign w:val="center"/>
          </w:tcPr>
          <w:p>
            <w:pPr>
              <w:pStyle w:val="TableContents"/>
              <w:bidi w:val="0"/>
              <w:spacing w:before="0" w:after="283"/>
              <w:jc w:val="left"/>
              <w:rPr/>
            </w:pPr>
            <w:r>
              <w:rPr/>
              <w:t> </w:t>
            </w:r>
          </w:p>
        </w:tc>
        <w:tc>
          <w:tcPr>
            <w:tcW w:w="1949" w:type="dxa"/>
            <w:tcBorders/>
            <w:shd w:fill="CCE2F1" w:val="clear"/>
            <w:vAlign w:val="center"/>
          </w:tcPr>
          <w:p>
            <w:pPr>
              <w:pStyle w:val="TableContents"/>
              <w:bidi w:val="0"/>
              <w:spacing w:before="0" w:after="283"/>
              <w:jc w:val="right"/>
              <w:rPr/>
            </w:pPr>
            <w:r>
              <w:rPr/>
              <w:t>41,467</w:t>
            </w:r>
          </w:p>
        </w:tc>
        <w:tc>
          <w:tcPr>
            <w:tcW w:w="75" w:type="dxa"/>
            <w:tcBorders/>
            <w:shd w:fill="CCE2F1" w:val="clear"/>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sz w:val="4"/>
                <w:szCs w:val="4"/>
              </w:rPr>
            </w:pPr>
            <w:r>
              <w:rPr>
                <w:sz w:val="4"/>
                <w:szCs w:val="4"/>
              </w:rPr>
            </w:r>
          </w:p>
        </w:tc>
        <w:tc>
          <w:tcPr>
            <w:tcW w:w="2345" w:type="dxa"/>
            <w:gridSpan w:val="4"/>
            <w:tcBorders/>
            <w:vAlign w:val="center"/>
          </w:tcPr>
          <w:p>
            <w:pPr>
              <w:pStyle w:val="TableContents"/>
              <w:bidi w:val="0"/>
              <w:spacing w:before="0" w:after="283"/>
              <w:jc w:val="left"/>
              <w:rPr>
                <w:sz w:val="4"/>
                <w:szCs w:val="4"/>
              </w:rPr>
            </w:pPr>
            <w:r>
              <w:rPr>
                <w:sz w:val="4"/>
                <w:szCs w:val="4"/>
              </w:rPr>
            </w:r>
          </w:p>
        </w:tc>
        <w:tc>
          <w:tcPr>
            <w:tcW w:w="2389" w:type="dxa"/>
            <w:gridSpan w:val="4"/>
            <w:tcBorders/>
            <w:vAlign w:val="center"/>
          </w:tcPr>
          <w:p>
            <w:pPr>
              <w:pStyle w:val="TableContents"/>
              <w:bidi w:val="0"/>
              <w:spacing w:before="0" w:after="283"/>
              <w:jc w:val="left"/>
              <w:rPr>
                <w:sz w:val="4"/>
                <w:szCs w:val="4"/>
              </w:rPr>
            </w:pPr>
            <w:r>
              <w:rPr>
                <w:sz w:val="4"/>
                <w:szCs w:val="4"/>
              </w:rPr>
            </w:r>
          </w:p>
        </w:tc>
        <w:tc>
          <w:tcPr>
            <w:tcW w:w="2315" w:type="dxa"/>
            <w:gridSpan w:val="4"/>
            <w:tcBorders/>
            <w:vAlign w:val="center"/>
          </w:tcPr>
          <w:p>
            <w:pPr>
              <w:pStyle w:val="TableContents"/>
              <w:bidi w:val="0"/>
              <w:spacing w:before="0" w:after="283"/>
              <w:jc w:val="left"/>
              <w:rPr>
                <w:sz w:val="4"/>
                <w:szCs w:val="4"/>
              </w:rPr>
            </w:pPr>
            <w:r>
              <w:rPr>
                <w:sz w:val="4"/>
                <w:szCs w:val="4"/>
              </w:rPr>
            </w:r>
          </w:p>
        </w:tc>
      </w:tr>
      <w:tr>
        <w:trPr/>
        <w:tc>
          <w:tcPr>
            <w:tcW w:w="2705" w:type="dxa"/>
            <w:tcBorders/>
            <w:vAlign w:val="center"/>
          </w:tcPr>
          <w:p>
            <w:pPr>
              <w:pStyle w:val="TableContents"/>
              <w:bidi w:val="0"/>
              <w:spacing w:before="0" w:after="0"/>
              <w:jc w:val="left"/>
              <w:rPr/>
            </w:pPr>
            <w:r>
              <w:rPr/>
              <w:t> </w:t>
            </w:r>
            <w:r>
              <w:rPr>
                <w:rFonts w:ascii="arial" w:hAnsi="arial"/>
                <w:sz w:val="18"/>
              </w:rPr>
              <w:t>Murdo Gordon</w:t>
            </w:r>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041" w:type="dxa"/>
            <w:tcBorders/>
            <w:vAlign w:val="center"/>
          </w:tcPr>
          <w:p>
            <w:pPr>
              <w:pStyle w:val="TableContents"/>
              <w:bidi w:val="0"/>
              <w:spacing w:before="0" w:after="283"/>
              <w:jc w:val="right"/>
              <w:rPr/>
            </w:pPr>
            <w:r>
              <w:rPr/>
              <w:t>2,500,000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2031" w:type="dxa"/>
            <w:tcBorders/>
            <w:vAlign w:val="center"/>
          </w:tcPr>
          <w:p>
            <w:pPr>
              <w:pStyle w:val="TableContents"/>
              <w:bidi w:val="0"/>
              <w:spacing w:before="0" w:after="283"/>
              <w:jc w:val="right"/>
              <w:rPr/>
            </w:pPr>
            <w:r>
              <w:rPr/>
              <w:t>9,816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949" w:type="dxa"/>
            <w:tcBorders/>
            <w:vAlign w:val="center"/>
          </w:tcPr>
          <w:p>
            <w:pPr>
              <w:pStyle w:val="TableContents"/>
              <w:bidi w:val="0"/>
              <w:spacing w:before="0" w:after="283"/>
              <w:jc w:val="right"/>
              <w:rPr/>
            </w:pPr>
            <w:r>
              <w:rPr/>
              <w:t>13,029</w:t>
            </w:r>
          </w:p>
        </w:tc>
        <w:tc>
          <w:tcPr>
            <w:tcW w:w="75" w:type="dxa"/>
            <w:tcBorders/>
            <w:vAlign w:val="center"/>
          </w:tcPr>
          <w:p>
            <w:pPr>
              <w:pStyle w:val="TableContents"/>
              <w:bidi w:val="0"/>
              <w:spacing w:before="0" w:after="283"/>
              <w:jc w:val="left"/>
              <w:rPr/>
            </w:pPr>
            <w:r>
              <w:rPr/>
              <w:t> </w:t>
            </w:r>
          </w:p>
        </w:tc>
      </w:tr>
      <w:tr>
        <w:trPr/>
        <w:tc>
          <w:tcPr>
            <w:tcW w:w="2705" w:type="dxa"/>
            <w:tcBorders/>
            <w:shd w:fill="CCE2F1" w:val="clear"/>
            <w:vAlign w:val="center"/>
          </w:tcPr>
          <w:p>
            <w:pPr>
              <w:pStyle w:val="TableContents"/>
              <w:bidi w:val="0"/>
              <w:spacing w:before="0" w:after="283"/>
              <w:jc w:val="left"/>
              <w:rPr>
                <w:sz w:val="4"/>
                <w:szCs w:val="4"/>
              </w:rPr>
            </w:pPr>
            <w:r>
              <w:rPr>
                <w:sz w:val="4"/>
                <w:szCs w:val="4"/>
              </w:rPr>
            </w:r>
          </w:p>
        </w:tc>
        <w:tc>
          <w:tcPr>
            <w:tcW w:w="2345" w:type="dxa"/>
            <w:gridSpan w:val="4"/>
            <w:tcBorders/>
            <w:shd w:fill="CCE2F1" w:val="clear"/>
            <w:vAlign w:val="center"/>
          </w:tcPr>
          <w:p>
            <w:pPr>
              <w:pStyle w:val="TableContents"/>
              <w:bidi w:val="0"/>
              <w:spacing w:before="0" w:after="283"/>
              <w:jc w:val="left"/>
              <w:rPr>
                <w:sz w:val="4"/>
                <w:szCs w:val="4"/>
              </w:rPr>
            </w:pPr>
            <w:r>
              <w:rPr>
                <w:sz w:val="4"/>
                <w:szCs w:val="4"/>
              </w:rPr>
            </w:r>
          </w:p>
        </w:tc>
        <w:tc>
          <w:tcPr>
            <w:tcW w:w="2389" w:type="dxa"/>
            <w:gridSpan w:val="4"/>
            <w:tcBorders/>
            <w:shd w:fill="CCE2F1" w:val="clear"/>
            <w:vAlign w:val="center"/>
          </w:tcPr>
          <w:p>
            <w:pPr>
              <w:pStyle w:val="TableContents"/>
              <w:bidi w:val="0"/>
              <w:spacing w:before="0" w:after="283"/>
              <w:jc w:val="left"/>
              <w:rPr>
                <w:sz w:val="4"/>
                <w:szCs w:val="4"/>
              </w:rPr>
            </w:pPr>
            <w:r>
              <w:rPr>
                <w:sz w:val="4"/>
                <w:szCs w:val="4"/>
              </w:rPr>
            </w:r>
          </w:p>
        </w:tc>
        <w:tc>
          <w:tcPr>
            <w:tcW w:w="2315"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2705" w:type="dxa"/>
            <w:tcBorders/>
            <w:shd w:fill="CCE2F1" w:val="clear"/>
            <w:vAlign w:val="center"/>
          </w:tcPr>
          <w:p>
            <w:pPr>
              <w:pStyle w:val="TableContents"/>
              <w:bidi w:val="0"/>
              <w:spacing w:before="0" w:after="0"/>
              <w:jc w:val="left"/>
              <w:rPr/>
            </w:pPr>
            <w:r>
              <w:rPr/>
              <w:t> </w:t>
            </w:r>
            <w:r>
              <w:rPr>
                <w:rFonts w:ascii="arial" w:hAnsi="arial"/>
                <w:sz w:val="18"/>
              </w:rPr>
              <w:t>David M. Reese</w:t>
            </w:r>
          </w:p>
        </w:tc>
        <w:tc>
          <w:tcPr>
            <w:tcW w:w="120" w:type="dxa"/>
            <w:tcBorders/>
            <w:shd w:fill="CCE2F1" w:val="clear"/>
            <w:vAlign w:val="center"/>
          </w:tcPr>
          <w:p>
            <w:pPr>
              <w:pStyle w:val="TableContents"/>
              <w:bidi w:val="0"/>
              <w:spacing w:before="0" w:after="283"/>
              <w:jc w:val="left"/>
              <w:rPr/>
            </w:pPr>
            <w:r>
              <w:rPr/>
              <w:t>  </w:t>
            </w:r>
          </w:p>
        </w:tc>
        <w:tc>
          <w:tcPr>
            <w:tcW w:w="124" w:type="dxa"/>
            <w:tcBorders/>
            <w:shd w:fill="CCE2F1" w:val="clear"/>
            <w:vAlign w:val="center"/>
          </w:tcPr>
          <w:p>
            <w:pPr>
              <w:pStyle w:val="TableContents"/>
              <w:bidi w:val="0"/>
              <w:spacing w:before="0" w:after="283"/>
              <w:jc w:val="left"/>
              <w:rPr/>
            </w:pPr>
            <w:r>
              <w:rPr/>
              <w:t> </w:t>
            </w:r>
          </w:p>
        </w:tc>
        <w:tc>
          <w:tcPr>
            <w:tcW w:w="2041" w:type="dxa"/>
            <w:tcBorders/>
            <w:shd w:fill="CCE2F1" w:val="clear"/>
            <w:vAlign w:val="center"/>
          </w:tcPr>
          <w:p>
            <w:pPr>
              <w:pStyle w:val="TableContents"/>
              <w:bidi w:val="0"/>
              <w:spacing w:before="0" w:after="283"/>
              <w:jc w:val="right"/>
              <w:rPr/>
            </w:pPr>
            <w:r>
              <w:rPr/>
              <w:t>2,400,000</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178" w:type="dxa"/>
            <w:tcBorders/>
            <w:shd w:fill="CCE2F1" w:val="clear"/>
            <w:vAlign w:val="center"/>
          </w:tcPr>
          <w:p>
            <w:pPr>
              <w:pStyle w:val="TableContents"/>
              <w:bidi w:val="0"/>
              <w:spacing w:before="0" w:after="283"/>
              <w:jc w:val="left"/>
              <w:rPr/>
            </w:pPr>
            <w:r>
              <w:rPr/>
              <w:t> </w:t>
            </w:r>
          </w:p>
        </w:tc>
        <w:tc>
          <w:tcPr>
            <w:tcW w:w="2031" w:type="dxa"/>
            <w:tcBorders/>
            <w:shd w:fill="CCE2F1" w:val="clear"/>
            <w:vAlign w:val="center"/>
          </w:tcPr>
          <w:p>
            <w:pPr>
              <w:pStyle w:val="TableContents"/>
              <w:bidi w:val="0"/>
              <w:spacing w:before="0" w:after="283"/>
              <w:jc w:val="right"/>
              <w:rPr/>
            </w:pPr>
            <w:r>
              <w:rPr/>
              <w:t>9,423</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171" w:type="dxa"/>
            <w:tcBorders/>
            <w:shd w:fill="CCE2F1" w:val="clear"/>
            <w:vAlign w:val="center"/>
          </w:tcPr>
          <w:p>
            <w:pPr>
              <w:pStyle w:val="TableContents"/>
              <w:bidi w:val="0"/>
              <w:spacing w:before="0" w:after="283"/>
              <w:jc w:val="left"/>
              <w:rPr/>
            </w:pPr>
            <w:r>
              <w:rPr/>
              <w:t> </w:t>
            </w:r>
          </w:p>
        </w:tc>
        <w:tc>
          <w:tcPr>
            <w:tcW w:w="1949" w:type="dxa"/>
            <w:tcBorders/>
            <w:shd w:fill="CCE2F1" w:val="clear"/>
            <w:vAlign w:val="center"/>
          </w:tcPr>
          <w:p>
            <w:pPr>
              <w:pStyle w:val="TableContents"/>
              <w:bidi w:val="0"/>
              <w:spacing w:before="0" w:after="283"/>
              <w:jc w:val="right"/>
              <w:rPr/>
            </w:pPr>
            <w:r>
              <w:rPr/>
              <w:t>12,508</w:t>
            </w:r>
          </w:p>
        </w:tc>
        <w:tc>
          <w:tcPr>
            <w:tcW w:w="75" w:type="dxa"/>
            <w:tcBorders/>
            <w:shd w:fill="CCE2F1" w:val="clear"/>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sz w:val="4"/>
                <w:szCs w:val="4"/>
              </w:rPr>
            </w:pPr>
            <w:r>
              <w:rPr>
                <w:sz w:val="4"/>
                <w:szCs w:val="4"/>
              </w:rPr>
            </w:r>
          </w:p>
        </w:tc>
        <w:tc>
          <w:tcPr>
            <w:tcW w:w="2345" w:type="dxa"/>
            <w:gridSpan w:val="4"/>
            <w:tcBorders/>
            <w:vAlign w:val="center"/>
          </w:tcPr>
          <w:p>
            <w:pPr>
              <w:pStyle w:val="TableContents"/>
              <w:bidi w:val="0"/>
              <w:spacing w:before="0" w:after="283"/>
              <w:jc w:val="left"/>
              <w:rPr>
                <w:sz w:val="4"/>
                <w:szCs w:val="4"/>
              </w:rPr>
            </w:pPr>
            <w:r>
              <w:rPr>
                <w:sz w:val="4"/>
                <w:szCs w:val="4"/>
              </w:rPr>
            </w:r>
          </w:p>
        </w:tc>
        <w:tc>
          <w:tcPr>
            <w:tcW w:w="2389" w:type="dxa"/>
            <w:gridSpan w:val="4"/>
            <w:tcBorders/>
            <w:vAlign w:val="center"/>
          </w:tcPr>
          <w:p>
            <w:pPr>
              <w:pStyle w:val="TableContents"/>
              <w:bidi w:val="0"/>
              <w:spacing w:before="0" w:after="283"/>
              <w:jc w:val="left"/>
              <w:rPr>
                <w:sz w:val="4"/>
                <w:szCs w:val="4"/>
              </w:rPr>
            </w:pPr>
            <w:r>
              <w:rPr>
                <w:sz w:val="4"/>
                <w:szCs w:val="4"/>
              </w:rPr>
            </w:r>
          </w:p>
        </w:tc>
        <w:tc>
          <w:tcPr>
            <w:tcW w:w="2315" w:type="dxa"/>
            <w:gridSpan w:val="4"/>
            <w:tcBorders/>
            <w:vAlign w:val="center"/>
          </w:tcPr>
          <w:p>
            <w:pPr>
              <w:pStyle w:val="TableContents"/>
              <w:bidi w:val="0"/>
              <w:spacing w:before="0" w:after="283"/>
              <w:jc w:val="left"/>
              <w:rPr>
                <w:sz w:val="4"/>
                <w:szCs w:val="4"/>
              </w:rPr>
            </w:pPr>
            <w:r>
              <w:rPr>
                <w:sz w:val="4"/>
                <w:szCs w:val="4"/>
              </w:rPr>
            </w:r>
          </w:p>
        </w:tc>
      </w:tr>
      <w:tr>
        <w:trPr/>
        <w:tc>
          <w:tcPr>
            <w:tcW w:w="2705" w:type="dxa"/>
            <w:tcBorders/>
            <w:vAlign w:val="center"/>
          </w:tcPr>
          <w:p>
            <w:pPr>
              <w:pStyle w:val="TableContents"/>
              <w:bidi w:val="0"/>
              <w:spacing w:before="0" w:after="0"/>
              <w:jc w:val="left"/>
              <w:rPr/>
            </w:pPr>
            <w:r>
              <w:rPr/>
              <w:t> </w:t>
            </w:r>
            <w:r>
              <w:rPr>
                <w:rFonts w:ascii="arial" w:hAnsi="arial"/>
                <w:sz w:val="18"/>
              </w:rPr>
              <w:t>Peter H. Griffith</w:t>
            </w:r>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041" w:type="dxa"/>
            <w:tcBorders/>
            <w:vAlign w:val="center"/>
          </w:tcPr>
          <w:p>
            <w:pPr>
              <w:pStyle w:val="TableContents"/>
              <w:bidi w:val="0"/>
              <w:spacing w:before="0" w:after="283"/>
              <w:jc w:val="right"/>
              <w:rPr/>
            </w:pPr>
            <w:r>
              <w:rPr/>
              <w:t>2,000,000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2031" w:type="dxa"/>
            <w:tcBorders/>
            <w:vAlign w:val="center"/>
          </w:tcPr>
          <w:p>
            <w:pPr>
              <w:pStyle w:val="TableContents"/>
              <w:bidi w:val="0"/>
              <w:spacing w:before="0" w:after="283"/>
              <w:jc w:val="right"/>
              <w:rPr/>
            </w:pPr>
            <w:r>
              <w:rPr/>
              <w:t>7,852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949" w:type="dxa"/>
            <w:tcBorders/>
            <w:vAlign w:val="center"/>
          </w:tcPr>
          <w:p>
            <w:pPr>
              <w:pStyle w:val="TableContents"/>
              <w:bidi w:val="0"/>
              <w:spacing w:before="0" w:after="283"/>
              <w:jc w:val="right"/>
              <w:rPr/>
            </w:pPr>
            <w:r>
              <w:rPr/>
              <w:t>10,422</w:t>
            </w:r>
          </w:p>
        </w:tc>
        <w:tc>
          <w:tcPr>
            <w:tcW w:w="75" w:type="dxa"/>
            <w:tcBorders/>
            <w:vAlign w:val="center"/>
          </w:tcPr>
          <w:p>
            <w:pPr>
              <w:pStyle w:val="TableContents"/>
              <w:bidi w:val="0"/>
              <w:spacing w:before="0" w:after="283"/>
              <w:jc w:val="left"/>
              <w:rPr/>
            </w:pPr>
            <w:r>
              <w:rPr/>
              <w:t> </w:t>
            </w:r>
          </w:p>
        </w:tc>
      </w:tr>
      <w:tr>
        <w:trPr/>
        <w:tc>
          <w:tcPr>
            <w:tcW w:w="2705" w:type="dxa"/>
            <w:tcBorders/>
            <w:shd w:fill="CCE2F1" w:val="clear"/>
            <w:vAlign w:val="center"/>
          </w:tcPr>
          <w:p>
            <w:pPr>
              <w:pStyle w:val="TableContents"/>
              <w:bidi w:val="0"/>
              <w:spacing w:before="0" w:after="283"/>
              <w:jc w:val="left"/>
              <w:rPr>
                <w:sz w:val="4"/>
                <w:szCs w:val="4"/>
              </w:rPr>
            </w:pPr>
            <w:r>
              <w:rPr>
                <w:sz w:val="4"/>
                <w:szCs w:val="4"/>
              </w:rPr>
            </w:r>
          </w:p>
        </w:tc>
        <w:tc>
          <w:tcPr>
            <w:tcW w:w="2345" w:type="dxa"/>
            <w:gridSpan w:val="4"/>
            <w:tcBorders/>
            <w:shd w:fill="CCE2F1" w:val="clear"/>
            <w:vAlign w:val="center"/>
          </w:tcPr>
          <w:p>
            <w:pPr>
              <w:pStyle w:val="TableContents"/>
              <w:bidi w:val="0"/>
              <w:spacing w:before="0" w:after="283"/>
              <w:jc w:val="left"/>
              <w:rPr>
                <w:sz w:val="4"/>
                <w:szCs w:val="4"/>
              </w:rPr>
            </w:pPr>
            <w:r>
              <w:rPr>
                <w:sz w:val="4"/>
                <w:szCs w:val="4"/>
              </w:rPr>
            </w:r>
          </w:p>
        </w:tc>
        <w:tc>
          <w:tcPr>
            <w:tcW w:w="2389" w:type="dxa"/>
            <w:gridSpan w:val="4"/>
            <w:tcBorders/>
            <w:shd w:fill="CCE2F1" w:val="clear"/>
            <w:vAlign w:val="center"/>
          </w:tcPr>
          <w:p>
            <w:pPr>
              <w:pStyle w:val="TableContents"/>
              <w:bidi w:val="0"/>
              <w:spacing w:before="0" w:after="283"/>
              <w:jc w:val="left"/>
              <w:rPr>
                <w:sz w:val="4"/>
                <w:szCs w:val="4"/>
              </w:rPr>
            </w:pPr>
            <w:r>
              <w:rPr>
                <w:sz w:val="4"/>
                <w:szCs w:val="4"/>
              </w:rPr>
            </w:r>
          </w:p>
        </w:tc>
        <w:tc>
          <w:tcPr>
            <w:tcW w:w="2315"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2705" w:type="dxa"/>
            <w:tcBorders>
              <w:bottom w:val="single" w:sz="8" w:space="0" w:color="0171B9"/>
            </w:tcBorders>
            <w:shd w:fill="CCE2F1" w:val="clear"/>
            <w:tcMar>
              <w:bottom w:w="28" w:type="dxa"/>
            </w:tcMar>
            <w:vAlign w:val="center"/>
          </w:tcPr>
          <w:p>
            <w:pPr>
              <w:pStyle w:val="TableContents"/>
              <w:bidi w:val="0"/>
              <w:spacing w:lineRule="atLeast" w:line="260" w:before="0" w:after="0"/>
              <w:jc w:val="left"/>
              <w:rPr/>
            </w:pPr>
            <w:r>
              <w:rPr/>
              <w:t> </w:t>
            </w:r>
            <w:r>
              <w:rPr>
                <w:rFonts w:ascii="arial" w:hAnsi="arial"/>
                <w:sz w:val="18"/>
              </w:rPr>
              <w:t>Esteban Santos</w:t>
            </w:r>
          </w:p>
        </w:tc>
        <w:tc>
          <w:tcPr>
            <w:tcW w:w="12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124" w:type="dxa"/>
            <w:tcBorders>
              <w:bottom w:val="single" w:sz="8" w:space="0" w:color="0171B9"/>
            </w:tcBorders>
            <w:shd w:fill="CCE2F1" w:val="clear"/>
            <w:tcMar>
              <w:bottom w:w="28" w:type="dxa"/>
            </w:tcMar>
            <w:vAlign w:val="center"/>
          </w:tcPr>
          <w:p>
            <w:pPr>
              <w:pStyle w:val="TableContents"/>
              <w:bidi w:val="0"/>
              <w:spacing w:lineRule="atLeast" w:line="260" w:before="0" w:after="0"/>
              <w:jc w:val="left"/>
              <w:rPr/>
            </w:pPr>
            <w:r>
              <w:rPr/>
              <w:t> </w:t>
            </w:r>
          </w:p>
        </w:tc>
        <w:tc>
          <w:tcPr>
            <w:tcW w:w="2041" w:type="dxa"/>
            <w:tcBorders>
              <w:bottom w:val="single" w:sz="8" w:space="0" w:color="0171B9"/>
            </w:tcBorders>
            <w:shd w:fill="CCE2F1" w:val="clear"/>
            <w:tcMar>
              <w:bottom w:w="28" w:type="dxa"/>
            </w:tcMar>
            <w:vAlign w:val="center"/>
          </w:tcPr>
          <w:p>
            <w:pPr>
              <w:pStyle w:val="TableContents"/>
              <w:bidi w:val="0"/>
              <w:spacing w:lineRule="atLeast" w:line="260" w:before="0" w:after="0"/>
              <w:jc w:val="right"/>
              <w:rPr>
                <w:rFonts w:ascii="arial" w:hAnsi="arial"/>
                <w:sz w:val="18"/>
              </w:rPr>
            </w:pPr>
            <w:r>
              <w:rPr>
                <w:rFonts w:ascii="arial" w:hAnsi="arial"/>
                <w:sz w:val="18"/>
              </w:rPr>
              <w:t>2,375,000</w:t>
            </w:r>
          </w:p>
        </w:tc>
        <w:tc>
          <w:tcPr>
            <w:tcW w:w="60" w:type="dxa"/>
            <w:tcBorders>
              <w:bottom w:val="single" w:sz="8" w:space="0" w:color="0171B9"/>
            </w:tcBorders>
            <w:shd w:fill="CCE2F1" w:val="clear"/>
            <w:tcMar>
              <w:bottom w:w="28" w:type="dxa"/>
            </w:tcMar>
            <w:vAlign w:val="center"/>
          </w:tcPr>
          <w:p>
            <w:pPr>
              <w:pStyle w:val="TableContents"/>
              <w:bidi w:val="0"/>
              <w:spacing w:lineRule="atLeast" w:line="260" w:before="0" w:after="0"/>
              <w:jc w:val="left"/>
              <w:rPr/>
            </w:pPr>
            <w:r>
              <w:rPr/>
              <w:t> </w:t>
            </w:r>
          </w:p>
        </w:tc>
        <w:tc>
          <w:tcPr>
            <w:tcW w:w="12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178" w:type="dxa"/>
            <w:tcBorders>
              <w:bottom w:val="single" w:sz="8" w:space="0" w:color="0171B9"/>
            </w:tcBorders>
            <w:shd w:fill="CCE2F1" w:val="clear"/>
            <w:tcMar>
              <w:bottom w:w="28" w:type="dxa"/>
            </w:tcMar>
            <w:vAlign w:val="center"/>
          </w:tcPr>
          <w:p>
            <w:pPr>
              <w:pStyle w:val="TableContents"/>
              <w:bidi w:val="0"/>
              <w:spacing w:lineRule="atLeast" w:line="260" w:before="0" w:after="0"/>
              <w:jc w:val="left"/>
              <w:rPr/>
            </w:pPr>
            <w:r>
              <w:rPr/>
              <w:t> </w:t>
            </w:r>
          </w:p>
        </w:tc>
        <w:tc>
          <w:tcPr>
            <w:tcW w:w="2031" w:type="dxa"/>
            <w:tcBorders>
              <w:bottom w:val="single" w:sz="8" w:space="0" w:color="0171B9"/>
            </w:tcBorders>
            <w:shd w:fill="CCE2F1" w:val="clear"/>
            <w:tcMar>
              <w:bottom w:w="28" w:type="dxa"/>
            </w:tcMar>
            <w:vAlign w:val="center"/>
          </w:tcPr>
          <w:p>
            <w:pPr>
              <w:pStyle w:val="TableContents"/>
              <w:bidi w:val="0"/>
              <w:spacing w:lineRule="atLeast" w:line="260" w:before="0" w:after="0"/>
              <w:jc w:val="right"/>
              <w:rPr>
                <w:rFonts w:ascii="arial" w:hAnsi="arial"/>
                <w:sz w:val="18"/>
              </w:rPr>
            </w:pPr>
            <w:r>
              <w:rPr>
                <w:rFonts w:ascii="arial" w:hAnsi="arial"/>
                <w:sz w:val="18"/>
              </w:rPr>
              <w:t>9,325</w:t>
            </w:r>
          </w:p>
        </w:tc>
        <w:tc>
          <w:tcPr>
            <w:tcW w:w="60" w:type="dxa"/>
            <w:tcBorders>
              <w:bottom w:val="single" w:sz="8" w:space="0" w:color="0171B9"/>
            </w:tcBorders>
            <w:shd w:fill="CCE2F1" w:val="clear"/>
            <w:tcMar>
              <w:bottom w:w="28" w:type="dxa"/>
            </w:tcMar>
            <w:vAlign w:val="center"/>
          </w:tcPr>
          <w:p>
            <w:pPr>
              <w:pStyle w:val="TableContents"/>
              <w:bidi w:val="0"/>
              <w:spacing w:lineRule="atLeast" w:line="260" w:before="0" w:after="0"/>
              <w:jc w:val="left"/>
              <w:rPr/>
            </w:pPr>
            <w:r>
              <w:rPr/>
              <w:t> </w:t>
            </w:r>
          </w:p>
        </w:tc>
        <w:tc>
          <w:tcPr>
            <w:tcW w:w="12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171" w:type="dxa"/>
            <w:tcBorders>
              <w:bottom w:val="single" w:sz="8" w:space="0" w:color="0171B9"/>
            </w:tcBorders>
            <w:shd w:fill="CCE2F1" w:val="clear"/>
            <w:tcMar>
              <w:bottom w:w="28" w:type="dxa"/>
            </w:tcMar>
            <w:vAlign w:val="center"/>
          </w:tcPr>
          <w:p>
            <w:pPr>
              <w:pStyle w:val="TableContents"/>
              <w:bidi w:val="0"/>
              <w:spacing w:lineRule="atLeast" w:line="260" w:before="0" w:after="0"/>
              <w:jc w:val="left"/>
              <w:rPr/>
            </w:pPr>
            <w:r>
              <w:rPr/>
              <w:t> </w:t>
            </w:r>
          </w:p>
        </w:tc>
        <w:tc>
          <w:tcPr>
            <w:tcW w:w="1949" w:type="dxa"/>
            <w:tcBorders>
              <w:bottom w:val="single" w:sz="8" w:space="0" w:color="0171B9"/>
            </w:tcBorders>
            <w:shd w:fill="CCE2F1" w:val="clear"/>
            <w:tcMar>
              <w:bottom w:w="28" w:type="dxa"/>
            </w:tcMar>
            <w:vAlign w:val="center"/>
          </w:tcPr>
          <w:p>
            <w:pPr>
              <w:pStyle w:val="TableContents"/>
              <w:bidi w:val="0"/>
              <w:spacing w:lineRule="atLeast" w:line="260" w:before="0" w:after="0"/>
              <w:jc w:val="right"/>
              <w:rPr>
                <w:rFonts w:ascii="arial" w:hAnsi="arial"/>
                <w:sz w:val="18"/>
              </w:rPr>
            </w:pPr>
            <w:r>
              <w:rPr>
                <w:rFonts w:ascii="arial" w:hAnsi="arial"/>
                <w:sz w:val="18"/>
              </w:rPr>
              <w:t>12,377</w:t>
            </w:r>
          </w:p>
        </w:tc>
        <w:tc>
          <w:tcPr>
            <w:tcW w:w="75" w:type="dxa"/>
            <w:tcBorders>
              <w:bottom w:val="single" w:sz="8" w:space="0" w:color="0171B9"/>
            </w:tcBorders>
            <w:shd w:fill="CCE2F1" w:val="clear"/>
            <w:tcMar>
              <w:bottom w:w="28" w:type="dxa"/>
            </w:tcMar>
            <w:vAlign w:val="center"/>
          </w:tcPr>
          <w:p>
            <w:pPr>
              <w:pStyle w:val="TableContents"/>
              <w:bidi w:val="0"/>
              <w:spacing w:lineRule="atLeast" w:line="260" w:before="0" w:after="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48"/>
        <w:gridCol w:w="9857"/>
      </w:tblGrid>
      <w:tr>
        <w:trPr/>
        <w:tc>
          <w:tcPr>
            <w:tcW w:w="348" w:type="dxa"/>
            <w:tcBorders/>
            <w:vAlign w:val="center"/>
          </w:tcPr>
          <w:p>
            <w:pPr>
              <w:pStyle w:val="TableContents"/>
              <w:bidi w:val="0"/>
              <w:spacing w:before="0" w:after="283"/>
              <w:jc w:val="left"/>
              <w:rPr/>
            </w:pPr>
            <w:r>
              <w:rPr/>
              <w:t>(1) </w:t>
            </w:r>
          </w:p>
        </w:tc>
        <w:tc>
          <w:tcPr>
            <w:tcW w:w="9857" w:type="dxa"/>
            <w:tcBorders/>
            <w:vAlign w:val="center"/>
          </w:tcPr>
          <w:p>
            <w:pPr>
              <w:pStyle w:val="TableContents"/>
              <w:bidi w:val="0"/>
              <w:spacing w:before="0" w:after="0"/>
              <w:jc w:val="both"/>
              <w:rPr>
                <w:rFonts w:ascii="arial" w:hAnsi="arial"/>
                <w:sz w:val="16"/>
              </w:rPr>
            </w:pPr>
            <w:r>
              <w:rPr>
                <w:rFonts w:ascii="arial" w:hAnsi="arial"/>
                <w:sz w:val="16"/>
              </w:rPr>
              <w:t xml:space="preserve">Includes dividend equivalents earned on these amounts rounded down to the nearest whole number of shares (excluding fractional shares paid in cash). </w:t>
            </w:r>
          </w:p>
        </w:tc>
      </w:tr>
    </w:tbl>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68  </w:t>
      </w:r>
      <w:r>
        <w:rPr>
          <w:rFonts w:ascii="arial" w:hAnsi="arial"/>
          <w:b/>
          <w:color w:val="474747"/>
          <w:sz w:val="22"/>
        </w:rPr>
        <w:drawing>
          <wp:inline distT="0" distB="0" distL="0" distR="0">
            <wp:extent cx="64770" cy="15240"/>
            <wp:effectExtent l="0" t="0" r="0" b="0"/>
            <wp:docPr id="25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125" descr=""/>
                    <pic:cNvPicPr>
                      <a:picLocks noChangeAspect="1" noChangeArrowheads="1"/>
                    </pic:cNvPicPr>
                  </pic:nvPicPr>
                  <pic:blipFill>
                    <a:blip r:embed="rId136"/>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507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45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459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Compensation Discussion and Analysis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b/>
          <w:sz w:val="22"/>
        </w:rPr>
      </w:pPr>
      <w:r>
        <w:rPr>
          <w:rFonts w:ascii="arial" w:hAnsi="arial"/>
          <w:b/>
          <w:sz w:val="22"/>
        </w:rPr>
        <w:t xml:space="preserve">2022-2024 Performance Period Goal Design, Targets, and Award Calculation </w:t>
      </w:r>
    </w:p>
    <w:p>
      <w:pPr>
        <w:pStyle w:val="TextBody"/>
        <w:bidi w:val="0"/>
        <w:spacing w:before="120" w:after="0"/>
        <w:jc w:val="center"/>
        <w:rPr>
          <w:rFonts w:ascii="arial" w:hAnsi="arial"/>
          <w:b/>
          <w:color w:val="0171B9"/>
          <w:sz w:val="22"/>
        </w:rPr>
      </w:pPr>
      <w:r>
        <w:rPr>
          <w:rFonts w:ascii="arial" w:hAnsi="arial"/>
          <w:b/>
          <w:color w:val="0171B9"/>
          <w:sz w:val="22"/>
        </w:rPr>
        <w:t xml:space="preserve">All operating measures and goals were established at the beginning of the three-year performance period. </w:t>
      </w:r>
    </w:p>
    <w:p>
      <w:pPr>
        <w:pStyle w:val="TextBody"/>
        <w:bidi w:val="0"/>
        <w:spacing w:before="120" w:after="0"/>
        <w:jc w:val="both"/>
        <w:rPr>
          <w:rFonts w:ascii="arial" w:hAnsi="arial"/>
          <w:sz w:val="19"/>
        </w:rPr>
      </w:pPr>
      <w:r>
        <w:rPr>
          <w:rFonts w:ascii="arial" w:hAnsi="arial"/>
          <w:sz w:val="19"/>
        </w:rPr>
        <w:t xml:space="preserve">The Compensation Committee constructed the goal design for the 2022-2024 performance period (January 1, 2022 to December 31, 2024) with the same two operating measures as the 2020-2022 and 2021-2023 performance periods of non-GAAP EPS growth and ROIC weighted equally in each year (one-half per measure) and relative TSR modifier (+/-30 percentage points). The TSR modifier cannot exceed target (100%) regardless of our relative TSR performance if our absolute TSR over the performance period is less than zero. </w:t>
      </w:r>
    </w:p>
    <w:p>
      <w:pPr>
        <w:pStyle w:val="TextBody"/>
        <w:bidi w:val="0"/>
        <w:spacing w:before="240" w:after="0"/>
        <w:jc w:val="left"/>
        <w:rPr>
          <w:rFonts w:ascii="arial" w:hAnsi="arial"/>
          <w:b/>
          <w:sz w:val="22"/>
        </w:rPr>
      </w:pPr>
      <w:r>
        <w:rPr>
          <w:rFonts w:ascii="arial" w:hAnsi="arial"/>
          <w:b/>
          <w:sz w:val="22"/>
        </w:rPr>
        <w:t xml:space="preserve">2023 Operating Measures and Performance for the 2022-2024 Performance Period </w:t>
      </w:r>
    </w:p>
    <w:p>
      <w:pPr>
        <w:pStyle w:val="TextBody"/>
        <w:bidi w:val="0"/>
        <w:spacing w:before="0" w:after="0"/>
        <w:jc w:val="left"/>
        <w:rPr/>
      </w:pPr>
      <w:r>
        <w:rPr/>
        <w:t> </w:t>
      </w:r>
    </w:p>
    <w:tbl>
      <w:tblPr>
        <w:tblW w:w="8500" w:type="dxa"/>
        <w:jc w:val="left"/>
        <w:tblInd w:w="0" w:type="dxa"/>
        <w:tblLayout w:type="fixed"/>
        <w:tblCellMar>
          <w:top w:w="0" w:type="dxa"/>
          <w:left w:w="0" w:type="dxa"/>
          <w:bottom w:w="0" w:type="dxa"/>
          <w:right w:w="0" w:type="dxa"/>
        </w:tblCellMar>
      </w:tblPr>
      <w:tblGrid>
        <w:gridCol w:w="860"/>
        <w:gridCol w:w="60"/>
        <w:gridCol w:w="1250"/>
        <w:gridCol w:w="60"/>
        <w:gridCol w:w="60"/>
        <w:gridCol w:w="60"/>
        <w:gridCol w:w="1205"/>
        <w:gridCol w:w="60"/>
        <w:gridCol w:w="60"/>
        <w:gridCol w:w="60"/>
        <w:gridCol w:w="60"/>
        <w:gridCol w:w="60"/>
        <w:gridCol w:w="590"/>
        <w:gridCol w:w="60"/>
        <w:gridCol w:w="60"/>
        <w:gridCol w:w="60"/>
        <w:gridCol w:w="60"/>
        <w:gridCol w:w="60"/>
        <w:gridCol w:w="590"/>
        <w:gridCol w:w="60"/>
        <w:gridCol w:w="60"/>
        <w:gridCol w:w="60"/>
        <w:gridCol w:w="60"/>
        <w:gridCol w:w="60"/>
        <w:gridCol w:w="605"/>
        <w:gridCol w:w="60"/>
        <w:gridCol w:w="60"/>
        <w:gridCol w:w="60"/>
        <w:gridCol w:w="60"/>
        <w:gridCol w:w="60"/>
        <w:gridCol w:w="740"/>
        <w:gridCol w:w="60"/>
        <w:gridCol w:w="60"/>
        <w:gridCol w:w="60"/>
        <w:gridCol w:w="1040"/>
      </w:tblGrid>
      <w:tr>
        <w:trPr/>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25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0"/>
              <w:jc w:val="center"/>
              <w:rPr>
                <w:rFonts w:ascii="arial" w:hAnsi="arial"/>
                <w:b/>
                <w:sz w:val="16"/>
              </w:rPr>
            </w:pPr>
            <w:r>
              <w:rPr>
                <w:rFonts w:ascii="arial" w:hAnsi="arial"/>
                <w:b/>
                <w:sz w:val="16"/>
              </w:rPr>
              <w:t>Non-GAAP(1)</w:t>
            </w:r>
          </w:p>
          <w:p>
            <w:pPr>
              <w:pStyle w:val="TableContents"/>
              <w:bidi w:val="0"/>
              <w:spacing w:before="0" w:after="0"/>
              <w:jc w:val="center"/>
              <w:rPr>
                <w:rFonts w:ascii="arial" w:hAnsi="arial"/>
                <w:b/>
                <w:sz w:val="16"/>
              </w:rPr>
            </w:pPr>
            <w:r>
              <w:rPr>
                <w:rFonts w:ascii="arial" w:hAnsi="arial"/>
                <w:b/>
                <w:sz w:val="16"/>
              </w:rPr>
              <w:t>Operating</w:t>
            </w:r>
          </w:p>
          <w:p>
            <w:pPr>
              <w:pStyle w:val="TableContents"/>
              <w:bidi w:val="0"/>
              <w:spacing w:before="0" w:after="20"/>
              <w:jc w:val="center"/>
              <w:rPr>
                <w:rFonts w:ascii="arial" w:hAnsi="arial"/>
                <w:b/>
                <w:sz w:val="16"/>
              </w:rPr>
            </w:pPr>
            <w:r>
              <w:rPr>
                <w:rFonts w:ascii="arial" w:hAnsi="arial"/>
                <w:b/>
                <w:sz w:val="16"/>
              </w:rPr>
              <w:t>Measures</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445" w:type="dxa"/>
            <w:gridSpan w:val="5"/>
            <w:tcBorders>
              <w:top w:val="single" w:sz="6" w:space="0" w:color="000000"/>
              <w:bottom w:val="single" w:sz="6" w:space="0" w:color="000000"/>
            </w:tcBorders>
            <w:tcMar>
              <w:top w:w="28" w:type="dxa"/>
              <w:bottom w:w="28" w:type="dxa"/>
            </w:tcMar>
            <w:vAlign w:val="center"/>
          </w:tcPr>
          <w:p>
            <w:pPr>
              <w:pStyle w:val="TableContents"/>
              <w:bidi w:val="0"/>
              <w:spacing w:before="0" w:after="0"/>
              <w:jc w:val="center"/>
              <w:rPr>
                <w:rFonts w:ascii="arial" w:hAnsi="arial"/>
                <w:b/>
                <w:sz w:val="16"/>
              </w:rPr>
            </w:pPr>
            <w:r>
              <w:rPr>
                <w:rFonts w:ascii="arial" w:hAnsi="arial"/>
                <w:b/>
                <w:sz w:val="16"/>
              </w:rPr>
              <w:t>Minimum</w:t>
            </w:r>
          </w:p>
          <w:p>
            <w:pPr>
              <w:pStyle w:val="TableContents"/>
              <w:bidi w:val="0"/>
              <w:spacing w:before="0" w:after="20"/>
              <w:jc w:val="center"/>
              <w:rPr>
                <w:rFonts w:ascii="arial" w:hAnsi="arial"/>
                <w:sz w:val="16"/>
              </w:rPr>
            </w:pPr>
            <w:r>
              <w:rPr>
                <w:rFonts w:ascii="arial" w:hAnsi="arial"/>
                <w:sz w:val="16"/>
              </w:rPr>
              <w:t>(30%)</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830" w:type="dxa"/>
            <w:gridSpan w:val="5"/>
            <w:tcBorders>
              <w:top w:val="single" w:sz="6" w:space="0" w:color="000000"/>
              <w:bottom w:val="single" w:sz="6" w:space="0" w:color="000000"/>
            </w:tcBorders>
            <w:tcMar>
              <w:top w:w="28" w:type="dxa"/>
              <w:bottom w:w="28" w:type="dxa"/>
            </w:tcMar>
            <w:vAlign w:val="center"/>
          </w:tcPr>
          <w:p>
            <w:pPr>
              <w:pStyle w:val="TableContents"/>
              <w:bidi w:val="0"/>
              <w:spacing w:before="0" w:after="0"/>
              <w:jc w:val="center"/>
              <w:rPr>
                <w:rFonts w:ascii="arial" w:hAnsi="arial"/>
                <w:b/>
                <w:sz w:val="16"/>
              </w:rPr>
            </w:pPr>
            <w:r>
              <w:rPr>
                <w:rFonts w:ascii="arial" w:hAnsi="arial"/>
                <w:b/>
                <w:sz w:val="16"/>
              </w:rPr>
              <w:t>Low</w:t>
            </w:r>
          </w:p>
          <w:p>
            <w:pPr>
              <w:pStyle w:val="TableContents"/>
              <w:bidi w:val="0"/>
              <w:spacing w:before="0" w:after="20"/>
              <w:jc w:val="center"/>
              <w:rPr>
                <w:rFonts w:ascii="arial" w:hAnsi="arial"/>
                <w:sz w:val="16"/>
              </w:rPr>
            </w:pPr>
            <w:r>
              <w:rPr>
                <w:rFonts w:ascii="arial" w:hAnsi="arial"/>
                <w:sz w:val="16"/>
              </w:rPr>
              <w:t>(80%)</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830" w:type="dxa"/>
            <w:gridSpan w:val="5"/>
            <w:tcBorders>
              <w:top w:val="single" w:sz="6" w:space="0" w:color="000000"/>
              <w:bottom w:val="single" w:sz="6" w:space="0" w:color="000000"/>
            </w:tcBorders>
            <w:tcMar>
              <w:top w:w="28" w:type="dxa"/>
              <w:bottom w:w="28" w:type="dxa"/>
            </w:tcMar>
            <w:vAlign w:val="center"/>
          </w:tcPr>
          <w:p>
            <w:pPr>
              <w:pStyle w:val="TableContents"/>
              <w:bidi w:val="0"/>
              <w:spacing w:before="0" w:after="0"/>
              <w:jc w:val="center"/>
              <w:rPr>
                <w:rFonts w:ascii="arial" w:hAnsi="arial"/>
                <w:b/>
                <w:sz w:val="16"/>
              </w:rPr>
            </w:pPr>
            <w:r>
              <w:rPr>
                <w:rFonts w:ascii="arial" w:hAnsi="arial"/>
                <w:b/>
                <w:sz w:val="16"/>
              </w:rPr>
              <w:t>Target</w:t>
            </w:r>
          </w:p>
          <w:p>
            <w:pPr>
              <w:pStyle w:val="TableContents"/>
              <w:bidi w:val="0"/>
              <w:spacing w:before="0" w:after="20"/>
              <w:jc w:val="center"/>
              <w:rPr>
                <w:rFonts w:ascii="arial" w:hAnsi="arial"/>
                <w:sz w:val="16"/>
              </w:rPr>
            </w:pPr>
            <w:r>
              <w:rPr>
                <w:rFonts w:ascii="arial" w:hAnsi="arial"/>
                <w:sz w:val="16"/>
              </w:rPr>
              <w:t>(100%)</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845" w:type="dxa"/>
            <w:gridSpan w:val="5"/>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0"/>
              <w:jc w:val="center"/>
              <w:rPr>
                <w:rFonts w:ascii="arial" w:hAnsi="arial"/>
                <w:b/>
                <w:sz w:val="16"/>
              </w:rPr>
            </w:pPr>
            <w:r>
              <w:rPr>
                <w:rFonts w:ascii="arial" w:hAnsi="arial"/>
                <w:b/>
                <w:sz w:val="16"/>
              </w:rPr>
              <w:t>High</w:t>
            </w:r>
          </w:p>
          <w:p>
            <w:pPr>
              <w:pStyle w:val="TableContents"/>
              <w:bidi w:val="0"/>
              <w:spacing w:before="0" w:after="20"/>
              <w:jc w:val="center"/>
              <w:rPr>
                <w:rFonts w:ascii="arial" w:hAnsi="arial"/>
                <w:sz w:val="16"/>
              </w:rPr>
            </w:pPr>
            <w:r>
              <w:rPr>
                <w:rFonts w:ascii="arial" w:hAnsi="arial"/>
                <w:sz w:val="16"/>
              </w:rPr>
              <w:t>(120%)</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980" w:type="dxa"/>
            <w:gridSpan w:val="5"/>
            <w:tcBorders>
              <w:top w:val="single" w:sz="6" w:space="0" w:color="000000"/>
              <w:bottom w:val="single" w:sz="6" w:space="0" w:color="000000"/>
            </w:tcBorders>
            <w:tcMar>
              <w:top w:w="28" w:type="dxa"/>
              <w:bottom w:w="28" w:type="dxa"/>
            </w:tcMar>
            <w:vAlign w:val="center"/>
          </w:tcPr>
          <w:p>
            <w:pPr>
              <w:pStyle w:val="TableContents"/>
              <w:bidi w:val="0"/>
              <w:spacing w:before="0" w:after="0"/>
              <w:jc w:val="center"/>
              <w:rPr>
                <w:rFonts w:ascii="arial" w:hAnsi="arial"/>
                <w:b/>
                <w:sz w:val="16"/>
              </w:rPr>
            </w:pPr>
            <w:r>
              <w:rPr>
                <w:rFonts w:ascii="arial" w:hAnsi="arial"/>
                <w:b/>
                <w:sz w:val="16"/>
              </w:rPr>
              <w:t>Maximum</w:t>
            </w:r>
          </w:p>
          <w:p>
            <w:pPr>
              <w:pStyle w:val="TableContents"/>
              <w:bidi w:val="0"/>
              <w:spacing w:before="0" w:after="20"/>
              <w:jc w:val="center"/>
              <w:rPr>
                <w:rFonts w:ascii="arial" w:hAnsi="arial"/>
                <w:sz w:val="16"/>
              </w:rPr>
            </w:pPr>
            <w:r>
              <w:rPr>
                <w:rFonts w:ascii="arial" w:hAnsi="arial"/>
                <w:sz w:val="16"/>
              </w:rPr>
              <w:t>(170%)</w:t>
            </w:r>
          </w:p>
        </w:tc>
        <w:tc>
          <w:tcPr>
            <w:tcW w:w="60" w:type="dxa"/>
            <w:tcBorders>
              <w:top w:val="single" w:sz="6" w:space="0" w:color="000000"/>
              <w:left w:val="single" w:sz="6" w:space="0" w:color="000000"/>
              <w:bottom w:val="single" w:sz="6" w:space="0" w:color="000000"/>
            </w:tcBorders>
            <w:shd w:fill="0171B9" w:val="clear"/>
            <w:tcMar>
              <w:top w:w="28" w:type="dxa"/>
              <w:left w:w="28" w:type="dxa"/>
              <w:bottom w:w="28" w:type="dxa"/>
            </w:tcMar>
            <w:vAlign w:val="center"/>
          </w:tcPr>
          <w:p>
            <w:pPr>
              <w:pStyle w:val="TableContents"/>
              <w:bidi w:val="0"/>
              <w:spacing w:before="0" w:after="283"/>
              <w:jc w:val="left"/>
              <w:rPr/>
            </w:pPr>
            <w:r>
              <w:rPr/>
              <w:t> </w:t>
            </w:r>
          </w:p>
        </w:tc>
        <w:tc>
          <w:tcPr>
            <w:tcW w:w="1040" w:type="dxa"/>
            <w:tcBorders>
              <w:top w:val="single" w:sz="6" w:space="0" w:color="000000"/>
              <w:bottom w:val="single" w:sz="6" w:space="0" w:color="000000"/>
              <w:right w:val="single" w:sz="6" w:space="0" w:color="000000"/>
            </w:tcBorders>
            <w:shd w:fill="0171B9" w:val="clear"/>
            <w:tcMar>
              <w:top w:w="28" w:type="dxa"/>
              <w:bottom w:w="28" w:type="dxa"/>
              <w:right w:w="40"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2023</w:t>
            </w:r>
          </w:p>
          <w:p>
            <w:pPr>
              <w:pStyle w:val="TableContents"/>
              <w:bidi w:val="0"/>
              <w:spacing w:before="0" w:after="0"/>
              <w:jc w:val="center"/>
              <w:rPr>
                <w:rFonts w:ascii="arial" w:hAnsi="arial"/>
                <w:b/>
                <w:color w:val="FFFFFF"/>
                <w:sz w:val="16"/>
              </w:rPr>
            </w:pPr>
            <w:r>
              <w:rPr>
                <w:rFonts w:ascii="arial" w:hAnsi="arial"/>
                <w:b/>
                <w:color w:val="FFFFFF"/>
                <w:sz w:val="16"/>
              </w:rPr>
              <w:t>Performance</w:t>
            </w:r>
          </w:p>
          <w:p>
            <w:pPr>
              <w:pStyle w:val="TableContents"/>
              <w:bidi w:val="0"/>
              <w:spacing w:before="0" w:after="20"/>
              <w:jc w:val="center"/>
              <w:rPr>
                <w:rFonts w:ascii="arial" w:hAnsi="arial"/>
                <w:b/>
                <w:color w:val="FFFFFF"/>
                <w:sz w:val="16"/>
              </w:rPr>
            </w:pPr>
            <w:r>
              <w:rPr>
                <w:rFonts w:ascii="arial" w:hAnsi="arial"/>
                <w:b/>
                <w:color w:val="FFFFFF"/>
                <w:sz w:val="16"/>
              </w:rPr>
              <w:t>Scores</w:t>
            </w:r>
          </w:p>
        </w:tc>
      </w:tr>
      <w:tr>
        <w:trPr/>
        <w:tc>
          <w:tcPr>
            <w:tcW w:w="860" w:type="dxa"/>
            <w:vMerge w:val="restart"/>
            <w:tcBorders>
              <w:top w:val="single" w:sz="6" w:space="0" w:color="31485D"/>
              <w:bottom w:val="single" w:sz="6" w:space="0" w:color="31485D"/>
            </w:tcBorders>
            <w:shd w:fill="31485D" w:val="clear"/>
            <w:tcMar>
              <w:top w:w="28" w:type="dxa"/>
              <w:bottom w:w="28" w:type="dxa"/>
            </w:tcMar>
            <w:vAlign w:val="center"/>
          </w:tcPr>
          <w:p>
            <w:pPr>
              <w:pStyle w:val="TableContents"/>
              <w:bidi w:val="0"/>
              <w:jc w:val="center"/>
              <w:rPr/>
            </w:pPr>
            <w:r>
              <w:rPr/>
            </w:r>
          </w:p>
          <w:p>
            <w:pPr>
              <w:pStyle w:val="TableContents"/>
              <w:bidi w:val="0"/>
              <w:spacing w:before="0" w:after="20"/>
              <w:jc w:val="center"/>
              <w:rPr/>
            </w:pPr>
            <w:r>
              <w:rPr/>
              <w:t xml:space="preserve">    </w:t>
            </w:r>
            <w:r>
              <w:rPr/>
              <w:drawing>
                <wp:inline distT="0" distB="0" distL="0" distR="0">
                  <wp:extent cx="133350" cy="571500"/>
                  <wp:effectExtent l="0" t="0" r="0" b="0"/>
                  <wp:docPr id="25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26" descr=""/>
                          <pic:cNvPicPr>
                            <a:picLocks noChangeAspect="1" noChangeArrowheads="1"/>
                          </pic:cNvPicPr>
                        </pic:nvPicPr>
                        <pic:blipFill>
                          <a:blip r:embed="rId137"/>
                          <a:stretch>
                            <a:fillRect/>
                          </a:stretch>
                        </pic:blipFill>
                        <pic:spPr bwMode="auto">
                          <a:xfrm>
                            <a:off x="0" y="0"/>
                            <a:ext cx="133350" cy="571500"/>
                          </a:xfrm>
                          <a:prstGeom prst="rect">
                            <a:avLst/>
                          </a:prstGeom>
                        </pic:spPr>
                      </pic:pic>
                    </a:graphicData>
                  </a:graphic>
                </wp:inline>
              </w:drawing>
            </w:r>
            <w:r>
              <w:rPr/>
              <w:t xml:space="preserve"> </w:t>
            </w:r>
          </w:p>
        </w:tc>
        <w:tc>
          <w:tcPr>
            <w:tcW w:w="60" w:type="dxa"/>
            <w:vMerge w:val="restart"/>
            <w:tcBorders>
              <w:top w:val="single" w:sz="6" w:space="0" w:color="000000"/>
              <w:left w:val="single" w:sz="6" w:space="0" w:color="000000"/>
              <w:bottom w:val="single" w:sz="6" w:space="0" w:color="000000"/>
            </w:tcBorders>
            <w:shd w:fill="0171B9" w:val="clear"/>
            <w:tcMar>
              <w:top w:w="28" w:type="dxa"/>
              <w:left w:w="28" w:type="dxa"/>
              <w:bottom w:w="28" w:type="dxa"/>
            </w:tcMar>
            <w:vAlign w:val="center"/>
          </w:tcPr>
          <w:p>
            <w:pPr>
              <w:pStyle w:val="TableContents"/>
              <w:bidi w:val="0"/>
              <w:spacing w:before="0" w:after="283"/>
              <w:jc w:val="left"/>
              <w:rPr/>
            </w:pPr>
            <w:r>
              <w:rPr/>
              <w:t> </w:t>
            </w:r>
          </w:p>
        </w:tc>
        <w:tc>
          <w:tcPr>
            <w:tcW w:w="1250" w:type="dxa"/>
            <w:vMerge w:val="restart"/>
            <w:tcBorders>
              <w:top w:val="single" w:sz="6" w:space="0" w:color="000000"/>
              <w:bottom w:val="single" w:sz="6" w:space="0" w:color="000000"/>
              <w:right w:val="single" w:sz="6" w:space="0" w:color="000000"/>
            </w:tcBorders>
            <w:shd w:fill="0171B9" w:val="clear"/>
            <w:tcMar>
              <w:top w:w="28" w:type="dxa"/>
              <w:bottom w:w="28" w:type="dxa"/>
              <w:right w:w="28" w:type="dxa"/>
            </w:tcMar>
            <w:vAlign w:val="center"/>
          </w:tcPr>
          <w:p>
            <w:pPr>
              <w:pStyle w:val="TableContents"/>
              <w:bidi w:val="0"/>
              <w:spacing w:before="0" w:after="0"/>
              <w:jc w:val="center"/>
              <w:rPr>
                <w:color w:val="FFFFFF"/>
              </w:rPr>
            </w:pPr>
            <w:r>
              <w:rPr>
                <w:color w:val="FFFFFF"/>
              </w:rPr>
              <w:t> </w:t>
            </w:r>
            <w:r>
              <w:rPr>
                <w:rFonts w:ascii="arial" w:hAnsi="arial"/>
                <w:b/>
                <w:color w:val="FFFFFF"/>
                <w:sz w:val="18"/>
              </w:rPr>
              <w:t>EPS Growth </w:t>
            </w:r>
          </w:p>
          <w:p>
            <w:pPr>
              <w:pStyle w:val="TableContents"/>
              <w:bidi w:val="0"/>
              <w:spacing w:before="0" w:after="20"/>
              <w:jc w:val="center"/>
              <w:rPr>
                <w:rFonts w:ascii="arial" w:hAnsi="arial"/>
                <w:color w:val="FFFFFF"/>
                <w:sz w:val="18"/>
              </w:rPr>
            </w:pPr>
            <w:r>
              <w:rPr>
                <w:rFonts w:ascii="arial" w:hAnsi="arial"/>
                <w:color w:val="FFFFFF"/>
                <w:sz w:val="18"/>
              </w:rPr>
              <w:t>($)</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vMerge w:val="restart"/>
            <w:tcBorders>
              <w:left w:val="single" w:sz="6" w:space="0" w:color="000000"/>
              <w:bottom w:val="single" w:sz="6" w:space="0" w:color="000000"/>
            </w:tcBorders>
            <w:shd w:fill="D8E9F4" w:val="clear"/>
            <w:tcMar>
              <w:left w:w="28" w:type="dxa"/>
              <w:bottom w:w="28" w:type="dxa"/>
            </w:tcMar>
            <w:vAlign w:val="center"/>
          </w:tcPr>
          <w:p>
            <w:pPr>
              <w:pStyle w:val="TableContents"/>
              <w:bidi w:val="0"/>
              <w:spacing w:before="0" w:after="283"/>
              <w:jc w:val="left"/>
              <w:rPr/>
            </w:pPr>
            <w:r>
              <w:rPr/>
              <w:t> </w:t>
            </w:r>
          </w:p>
        </w:tc>
        <w:tc>
          <w:tcPr>
            <w:tcW w:w="1040" w:type="dxa"/>
            <w:vMerge w:val="restart"/>
            <w:tcBorders>
              <w:bottom w:val="single" w:sz="6" w:space="0" w:color="000000"/>
              <w:right w:val="single" w:sz="6" w:space="0" w:color="000000"/>
            </w:tcBorders>
            <w:shd w:fill="D8E9F4" w:val="clear"/>
            <w:tcMar>
              <w:bottom w:w="28" w:type="dxa"/>
              <w:right w:w="40" w:type="dxa"/>
            </w:tcMar>
            <w:vAlign w:val="center"/>
          </w:tcPr>
          <w:p>
            <w:pPr>
              <w:pStyle w:val="TableContents"/>
              <w:bidi w:val="0"/>
              <w:spacing w:before="0" w:after="283"/>
              <w:jc w:val="center"/>
              <w:rPr>
                <w:b/>
              </w:rPr>
            </w:pPr>
            <w:r>
              <w:rPr>
                <w:b/>
              </w:rPr>
              <w:t>99.4%</w:t>
            </w:r>
          </w:p>
        </w:tc>
      </w:tr>
      <w:tr>
        <w:trPr/>
        <w:tc>
          <w:tcPr>
            <w:tcW w:w="860" w:type="dxa"/>
            <w:vMerge w:val="continue"/>
            <w:tcBorders>
              <w:top w:val="single" w:sz="6" w:space="0" w:color="31485D"/>
              <w:bottom w:val="single" w:sz="6" w:space="0" w:color="31485D"/>
            </w:tcBorders>
            <w:shd w:fill="31485D" w:val="clear"/>
            <w:tcMar>
              <w:top w:w="28" w:type="dxa"/>
              <w:bottom w:w="28" w:type="dxa"/>
            </w:tcMar>
            <w:vAlign w:val="center"/>
          </w:tcPr>
          <w:p>
            <w:pPr>
              <w:pStyle w:val="Normal"/>
              <w:bidi w:val="0"/>
              <w:jc w:val="left"/>
              <w:rPr/>
            </w:pPr>
            <w:r>
              <w:rPr/>
            </w:r>
          </w:p>
        </w:tc>
        <w:tc>
          <w:tcPr>
            <w:tcW w:w="60" w:type="dxa"/>
            <w:vMerge w:val="continue"/>
            <w:tcBorders>
              <w:top w:val="single" w:sz="6" w:space="0" w:color="000000"/>
              <w:left w:val="single" w:sz="6" w:space="0" w:color="000000"/>
              <w:bottom w:val="single" w:sz="6" w:space="0" w:color="000000"/>
            </w:tcBorders>
            <w:shd w:fill="0171B9" w:val="clear"/>
            <w:tcMar>
              <w:top w:w="28" w:type="dxa"/>
              <w:left w:w="28" w:type="dxa"/>
              <w:bottom w:w="28" w:type="dxa"/>
            </w:tcMar>
            <w:vAlign w:val="center"/>
          </w:tcPr>
          <w:p>
            <w:pPr>
              <w:pStyle w:val="Normal"/>
              <w:bidi w:val="0"/>
              <w:jc w:val="left"/>
              <w:rPr/>
            </w:pPr>
            <w:r>
              <w:rPr/>
            </w:r>
          </w:p>
        </w:tc>
        <w:tc>
          <w:tcPr>
            <w:tcW w:w="1250" w:type="dxa"/>
            <w:vMerge w:val="continue"/>
            <w:tcBorders>
              <w:top w:val="single" w:sz="6" w:space="0" w:color="000000"/>
              <w:bottom w:val="single" w:sz="6" w:space="0" w:color="000000"/>
              <w:right w:val="single" w:sz="6" w:space="0" w:color="000000"/>
            </w:tcBorders>
            <w:shd w:fill="0171B9" w:val="clear"/>
            <w:tcMar>
              <w:top w:w="28" w:type="dxa"/>
              <w:bottom w:w="28" w:type="dxa"/>
              <w:right w:w="28" w:type="dxa"/>
            </w:tcMar>
            <w:vAlign w:val="center"/>
          </w:tcPr>
          <w:p>
            <w:pPr>
              <w:pStyle w:val="Normal"/>
              <w:bidi w:val="0"/>
              <w:jc w:val="left"/>
              <w:rPr/>
            </w:pPr>
            <w:r>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0"/>
              <w:jc w:val="center"/>
              <w:rPr/>
            </w:pPr>
            <w:r>
              <w:rPr/>
              <w:t>≤</w:t>
            </w:r>
            <w:r>
              <w:rPr>
                <w:rFonts w:ascii="arial" w:hAnsi="arial"/>
                <w:sz w:val="18"/>
              </w:rPr>
              <w:t>$14.00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top w:val="dotted" w:sz="6" w:space="0" w:color="0171B9"/>
              <w:left w:val="dotted" w:sz="6" w:space="0" w:color="0171B9"/>
              <w:bottom w:val="dotted" w:sz="6" w:space="0" w:color="0171B9"/>
            </w:tcBorders>
            <w:tcMar>
              <w:top w:w="28" w:type="dxa"/>
              <w:left w:w="28" w:type="dxa"/>
              <w:bottom w:w="28" w:type="dxa"/>
            </w:tcMar>
            <w:vAlign w:val="center"/>
          </w:tcPr>
          <w:p>
            <w:pPr>
              <w:pStyle w:val="TableContents"/>
              <w:bidi w:val="0"/>
              <w:spacing w:before="0" w:after="283"/>
              <w:jc w:val="left"/>
              <w:rPr/>
            </w:pPr>
            <w:r>
              <w:rPr/>
              <w:t> </w:t>
            </w:r>
          </w:p>
        </w:tc>
        <w:tc>
          <w:tcPr>
            <w:tcW w:w="590" w:type="dxa"/>
            <w:tcBorders>
              <w:top w:val="dotted" w:sz="6" w:space="0" w:color="0171B9"/>
              <w:bottom w:val="dotted" w:sz="6" w:space="0" w:color="0171B9"/>
            </w:tcBorders>
            <w:tcMar>
              <w:top w:w="28" w:type="dxa"/>
              <w:bottom w:w="28" w:type="dxa"/>
            </w:tcMar>
            <w:vAlign w:val="center"/>
          </w:tcPr>
          <w:p>
            <w:pPr>
              <w:pStyle w:val="TableContents"/>
              <w:bidi w:val="0"/>
              <w:spacing w:before="0" w:after="20"/>
              <w:jc w:val="center"/>
              <w:rPr>
                <w:rFonts w:ascii="arial" w:hAnsi="arial"/>
                <w:sz w:val="18"/>
              </w:rPr>
            </w:pPr>
            <w:r>
              <w:rPr>
                <w:rFonts w:ascii="arial" w:hAnsi="arial"/>
                <w:sz w:val="18"/>
              </w:rPr>
              <w:t>$16.00</w:t>
            </w:r>
          </w:p>
        </w:tc>
        <w:tc>
          <w:tcPr>
            <w:tcW w:w="60" w:type="dxa"/>
            <w:tcBorders>
              <w:top w:val="dotted" w:sz="6" w:space="0" w:color="0171B9"/>
              <w:bottom w:val="dotted" w:sz="6" w:space="0" w:color="0171B9"/>
            </w:tcBorders>
            <w:tcMar>
              <w:top w:w="28" w:type="dxa"/>
              <w:bottom w:w="28" w:type="dxa"/>
            </w:tcMar>
            <w:vAlign w:val="center"/>
          </w:tcPr>
          <w:p>
            <w:pPr>
              <w:pStyle w:val="TableContents"/>
              <w:bidi w:val="0"/>
              <w:spacing w:before="0" w:after="283"/>
              <w:jc w:val="left"/>
              <w:rPr/>
            </w:pPr>
            <w:r>
              <w:rPr/>
              <w:t> </w:t>
            </w:r>
          </w:p>
        </w:tc>
        <w:tc>
          <w:tcPr>
            <w:tcW w:w="60" w:type="dxa"/>
            <w:tcBorders>
              <w:top w:val="dotted" w:sz="6" w:space="0" w:color="0171B9"/>
              <w:bottom w:val="dotted" w:sz="6" w:space="0" w:color="0171B9"/>
            </w:tcBorders>
            <w:tcMar>
              <w:top w:w="28" w:type="dxa"/>
              <w:bottom w:w="28" w:type="dxa"/>
            </w:tcMar>
            <w:vAlign w:val="center"/>
          </w:tcPr>
          <w:p>
            <w:pPr>
              <w:pStyle w:val="TableContents"/>
              <w:bidi w:val="0"/>
              <w:spacing w:before="0" w:after="283"/>
              <w:jc w:val="left"/>
              <w:rPr/>
            </w:pPr>
            <w:r>
              <w:rPr/>
              <w:t> </w:t>
            </w:r>
          </w:p>
        </w:tc>
        <w:tc>
          <w:tcPr>
            <w:tcW w:w="60" w:type="dxa"/>
            <w:tcBorders>
              <w:top w:val="dotted" w:sz="6" w:space="0" w:color="0171B9"/>
              <w:left w:val="single" w:sz="6" w:space="0" w:color="000000"/>
              <w:bottom w:val="dotted" w:sz="6" w:space="0" w:color="0171B9"/>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dotted" w:sz="6" w:space="0" w:color="0171B9"/>
              <w:bottom w:val="dotted" w:sz="6" w:space="0" w:color="0171B9"/>
            </w:tcBorders>
            <w:tcMar>
              <w:top w:w="28" w:type="dxa"/>
              <w:bottom w:w="28" w:type="dxa"/>
            </w:tcMar>
            <w:vAlign w:val="center"/>
          </w:tcPr>
          <w:p>
            <w:pPr>
              <w:pStyle w:val="TableContents"/>
              <w:bidi w:val="0"/>
              <w:spacing w:before="0" w:after="283"/>
              <w:jc w:val="left"/>
              <w:rPr/>
            </w:pPr>
            <w:r>
              <w:rPr/>
              <w:t> </w:t>
            </w:r>
          </w:p>
        </w:tc>
        <w:tc>
          <w:tcPr>
            <w:tcW w:w="60" w:type="dxa"/>
            <w:tcBorders>
              <w:top w:val="dotted" w:sz="6" w:space="0" w:color="0171B9"/>
              <w:bottom w:val="dotted" w:sz="6" w:space="0" w:color="0171B9"/>
            </w:tcBorders>
            <w:tcMar>
              <w:top w:w="28" w:type="dxa"/>
              <w:bottom w:w="28" w:type="dxa"/>
            </w:tcMar>
            <w:vAlign w:val="center"/>
          </w:tcPr>
          <w:p>
            <w:pPr>
              <w:pStyle w:val="TableContents"/>
              <w:bidi w:val="0"/>
              <w:spacing w:before="0" w:after="283"/>
              <w:jc w:val="left"/>
              <w:rPr/>
            </w:pPr>
            <w:r>
              <w:rPr/>
              <w:t> </w:t>
            </w:r>
          </w:p>
        </w:tc>
        <w:tc>
          <w:tcPr>
            <w:tcW w:w="590" w:type="dxa"/>
            <w:tcBorders>
              <w:top w:val="dotted" w:sz="6" w:space="0" w:color="0171B9"/>
              <w:bottom w:val="dotted" w:sz="6" w:space="0" w:color="0171B9"/>
              <w:right w:val="dotted" w:sz="6" w:space="0" w:color="0171B9"/>
            </w:tcBorders>
            <w:tcMar>
              <w:top w:w="28" w:type="dxa"/>
              <w:bottom w:w="28" w:type="dxa"/>
              <w:right w:w="28" w:type="dxa"/>
            </w:tcMar>
            <w:vAlign w:val="center"/>
          </w:tcPr>
          <w:p>
            <w:pPr>
              <w:pStyle w:val="TableContents"/>
              <w:bidi w:val="0"/>
              <w:spacing w:before="0" w:after="20"/>
              <w:jc w:val="center"/>
              <w:rPr>
                <w:rFonts w:ascii="arial" w:hAnsi="arial"/>
                <w:sz w:val="18"/>
              </w:rPr>
            </w:pPr>
            <w:r>
              <w:rPr>
                <w:rFonts w:ascii="arial" w:hAnsi="arial"/>
                <w:sz w:val="18"/>
              </w:rPr>
              <w:t>$18.90</w:t>
            </w:r>
          </w:p>
        </w:tc>
        <w:tc>
          <w:tcPr>
            <w:tcW w:w="60" w:type="dxa"/>
            <w:tcBorders/>
            <w:vAlign w:val="center"/>
          </w:tcPr>
          <w:p>
            <w:pPr>
              <w:pStyle w:val="TableContents"/>
              <w:bidi w:val="0"/>
              <w:spacing w:before="0" w:after="283"/>
              <w:jc w:val="left"/>
              <w:rPr/>
            </w:pPr>
            <w:r>
              <w:rPr/>
              <w:t>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0"/>
              <w:jc w:val="center"/>
              <w:rPr>
                <w:rFonts w:ascii="arial" w:hAnsi="arial"/>
                <w:sz w:val="19"/>
              </w:rPr>
            </w:pPr>
            <w:r>
              <w:rPr>
                <w:rFonts w:ascii="arial" w:hAnsi="arial"/>
                <w:sz w:val="19"/>
              </w:rPr>
              <w:t>$21.00</w:t>
            </w:r>
          </w:p>
        </w:tc>
        <w:tc>
          <w:tcPr>
            <w:tcW w:w="60" w:type="dxa"/>
            <w:tcBorders/>
            <w:vAlign w:val="center"/>
          </w:tcPr>
          <w:p>
            <w:pPr>
              <w:pStyle w:val="TableContents"/>
              <w:bidi w:val="0"/>
              <w:spacing w:before="0" w:after="283"/>
              <w:jc w:val="left"/>
              <w:rPr/>
            </w:pPr>
            <w:r>
              <w:rPr/>
              <w:t>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0"/>
              <w:jc w:val="center"/>
              <w:rPr/>
            </w:pPr>
            <w:r>
              <w:rPr/>
              <w:t>≥</w:t>
            </w:r>
            <w:r>
              <w:rPr>
                <w:rFonts w:ascii="arial" w:hAnsi="arial"/>
                <w:sz w:val="19"/>
              </w:rPr>
              <w:t>$23.00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vMerge w:val="continue"/>
            <w:tcBorders>
              <w:left w:val="single" w:sz="6" w:space="0" w:color="000000"/>
              <w:bottom w:val="single" w:sz="6" w:space="0" w:color="000000"/>
            </w:tcBorders>
            <w:shd w:fill="D8E9F4" w:val="clear"/>
            <w:tcMar>
              <w:left w:w="28" w:type="dxa"/>
              <w:bottom w:w="28" w:type="dxa"/>
            </w:tcMar>
            <w:vAlign w:val="center"/>
          </w:tcPr>
          <w:p>
            <w:pPr>
              <w:pStyle w:val="Normal"/>
              <w:bidi w:val="0"/>
              <w:jc w:val="left"/>
              <w:rPr/>
            </w:pPr>
            <w:r>
              <w:rPr/>
            </w:r>
          </w:p>
        </w:tc>
        <w:tc>
          <w:tcPr>
            <w:tcW w:w="1040" w:type="dxa"/>
            <w:vMerge w:val="continue"/>
            <w:tcBorders>
              <w:bottom w:val="single" w:sz="6" w:space="0" w:color="000000"/>
              <w:right w:val="single" w:sz="6" w:space="0" w:color="000000"/>
            </w:tcBorders>
            <w:shd w:fill="D8E9F4" w:val="clear"/>
            <w:tcMar>
              <w:bottom w:w="28" w:type="dxa"/>
              <w:right w:w="40" w:type="dxa"/>
            </w:tcMar>
            <w:vAlign w:val="center"/>
          </w:tcPr>
          <w:p>
            <w:pPr>
              <w:pStyle w:val="Normal"/>
              <w:bidi w:val="0"/>
              <w:jc w:val="left"/>
              <w:rPr/>
            </w:pPr>
            <w:r>
              <w:rPr/>
            </w:r>
          </w:p>
        </w:tc>
      </w:tr>
      <w:tr>
        <w:trPr/>
        <w:tc>
          <w:tcPr>
            <w:tcW w:w="860" w:type="dxa"/>
            <w:vMerge w:val="continue"/>
            <w:tcBorders>
              <w:top w:val="single" w:sz="6" w:space="0" w:color="31485D"/>
              <w:bottom w:val="single" w:sz="6" w:space="0" w:color="31485D"/>
            </w:tcBorders>
            <w:shd w:fill="31485D" w:val="clear"/>
            <w:tcMar>
              <w:top w:w="28" w:type="dxa"/>
              <w:bottom w:w="28" w:type="dxa"/>
            </w:tcMar>
            <w:vAlign w:val="center"/>
          </w:tcPr>
          <w:p>
            <w:pPr>
              <w:pStyle w:val="Normal"/>
              <w:bidi w:val="0"/>
              <w:jc w:val="left"/>
              <w:rPr/>
            </w:pPr>
            <w:r>
              <w:rPr/>
            </w:r>
          </w:p>
        </w:tc>
        <w:tc>
          <w:tcPr>
            <w:tcW w:w="60" w:type="dxa"/>
            <w:vMerge w:val="continue"/>
            <w:tcBorders>
              <w:top w:val="single" w:sz="6" w:space="0" w:color="000000"/>
              <w:left w:val="single" w:sz="6" w:space="0" w:color="000000"/>
              <w:bottom w:val="single" w:sz="6" w:space="0" w:color="000000"/>
            </w:tcBorders>
            <w:shd w:fill="0171B9" w:val="clear"/>
            <w:tcMar>
              <w:top w:w="28" w:type="dxa"/>
              <w:left w:w="28" w:type="dxa"/>
              <w:bottom w:w="28" w:type="dxa"/>
            </w:tcMar>
            <w:vAlign w:val="center"/>
          </w:tcPr>
          <w:p>
            <w:pPr>
              <w:pStyle w:val="Normal"/>
              <w:bidi w:val="0"/>
              <w:jc w:val="left"/>
              <w:rPr/>
            </w:pPr>
            <w:r>
              <w:rPr/>
            </w:r>
          </w:p>
        </w:tc>
        <w:tc>
          <w:tcPr>
            <w:tcW w:w="1250" w:type="dxa"/>
            <w:vMerge w:val="continue"/>
            <w:tcBorders>
              <w:top w:val="single" w:sz="6" w:space="0" w:color="000000"/>
              <w:bottom w:val="single" w:sz="6" w:space="0" w:color="000000"/>
              <w:right w:val="single" w:sz="6" w:space="0" w:color="000000"/>
            </w:tcBorders>
            <w:shd w:fill="0171B9" w:val="clear"/>
            <w:tcMar>
              <w:top w:w="28" w:type="dxa"/>
              <w:bottom w:w="28" w:type="dxa"/>
              <w:right w:w="28" w:type="dxa"/>
            </w:tcMar>
            <w:vAlign w:val="center"/>
          </w:tcPr>
          <w:p>
            <w:pPr>
              <w:pStyle w:val="Normal"/>
              <w:bidi w:val="0"/>
              <w:jc w:val="left"/>
              <w:rPr/>
            </w:pPr>
            <w:r>
              <w:rPr/>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80" w:type="dxa"/>
            <w:gridSpan w:val="7"/>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color w:val="0171B9"/>
                <w:sz w:val="18"/>
              </w:rPr>
            </w:pPr>
            <w:r>
              <w:rPr>
                <w:rFonts w:ascii="arial" w:hAnsi="arial"/>
                <w:color w:val="0171B9"/>
                <w:sz w:val="18"/>
              </w:rPr>
              <w:t>($18.82 actual)</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4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vMerge w:val="continue"/>
            <w:tcBorders>
              <w:left w:val="single" w:sz="6" w:space="0" w:color="000000"/>
              <w:bottom w:val="single" w:sz="6" w:space="0" w:color="000000"/>
            </w:tcBorders>
            <w:shd w:fill="D8E9F4" w:val="clear"/>
            <w:tcMar>
              <w:left w:w="28" w:type="dxa"/>
              <w:bottom w:w="28" w:type="dxa"/>
            </w:tcMar>
            <w:vAlign w:val="center"/>
          </w:tcPr>
          <w:p>
            <w:pPr>
              <w:pStyle w:val="Normal"/>
              <w:bidi w:val="0"/>
              <w:jc w:val="left"/>
              <w:rPr/>
            </w:pPr>
            <w:r>
              <w:rPr/>
            </w:r>
          </w:p>
        </w:tc>
        <w:tc>
          <w:tcPr>
            <w:tcW w:w="1040" w:type="dxa"/>
            <w:vMerge w:val="continue"/>
            <w:tcBorders>
              <w:bottom w:val="single" w:sz="6" w:space="0" w:color="000000"/>
              <w:right w:val="single" w:sz="6" w:space="0" w:color="000000"/>
            </w:tcBorders>
            <w:shd w:fill="D8E9F4" w:val="clear"/>
            <w:tcMar>
              <w:bottom w:w="28" w:type="dxa"/>
              <w:right w:w="40" w:type="dxa"/>
            </w:tcMar>
            <w:vAlign w:val="center"/>
          </w:tcPr>
          <w:p>
            <w:pPr>
              <w:pStyle w:val="Normal"/>
              <w:bidi w:val="0"/>
              <w:jc w:val="left"/>
              <w:rPr/>
            </w:pPr>
            <w:r>
              <w:rPr/>
            </w:r>
          </w:p>
        </w:tc>
      </w:tr>
      <w:tr>
        <w:trPr/>
        <w:tc>
          <w:tcPr>
            <w:tcW w:w="860" w:type="dxa"/>
            <w:vMerge w:val="continue"/>
            <w:tcBorders>
              <w:top w:val="single" w:sz="6" w:space="0" w:color="31485D"/>
              <w:bottom w:val="single" w:sz="6" w:space="0" w:color="31485D"/>
            </w:tcBorders>
            <w:shd w:fill="31485D" w:val="clear"/>
            <w:tcMar>
              <w:top w:w="28" w:type="dxa"/>
              <w:bottom w:w="28" w:type="dxa"/>
            </w:tcMar>
            <w:vAlign w:val="center"/>
          </w:tcPr>
          <w:p>
            <w:pPr>
              <w:pStyle w:val="Normal"/>
              <w:bidi w:val="0"/>
              <w:jc w:val="left"/>
              <w:rPr/>
            </w:pPr>
            <w:r>
              <w:rPr/>
            </w:r>
          </w:p>
        </w:tc>
        <w:tc>
          <w:tcPr>
            <w:tcW w:w="60" w:type="dxa"/>
            <w:vMerge w:val="restart"/>
            <w:tcBorders>
              <w:left w:val="single" w:sz="6" w:space="0" w:color="000000"/>
              <w:bottom w:val="single" w:sz="6" w:space="0" w:color="000000"/>
            </w:tcBorders>
            <w:shd w:fill="80B8DC" w:val="clear"/>
            <w:tcMar>
              <w:left w:w="28" w:type="dxa"/>
              <w:bottom w:w="28" w:type="dxa"/>
            </w:tcMar>
            <w:vAlign w:val="center"/>
          </w:tcPr>
          <w:p>
            <w:pPr>
              <w:pStyle w:val="TableContents"/>
              <w:bidi w:val="0"/>
              <w:spacing w:before="0" w:after="283"/>
              <w:jc w:val="left"/>
              <w:rPr/>
            </w:pPr>
            <w:r>
              <w:rPr/>
              <w:t> </w:t>
            </w:r>
          </w:p>
        </w:tc>
        <w:tc>
          <w:tcPr>
            <w:tcW w:w="1250" w:type="dxa"/>
            <w:vMerge w:val="restart"/>
            <w:tcBorders>
              <w:bottom w:val="single" w:sz="6" w:space="0" w:color="000000"/>
              <w:right w:val="single" w:sz="6" w:space="0" w:color="000000"/>
            </w:tcBorders>
            <w:shd w:fill="80B8DC" w:val="clear"/>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ROIC(2)</w:t>
            </w:r>
          </w:p>
          <w:p>
            <w:pPr>
              <w:pStyle w:val="TableContents"/>
              <w:bidi w:val="0"/>
              <w:spacing w:before="0" w:after="20"/>
              <w:jc w:val="center"/>
              <w:rPr>
                <w:rFonts w:ascii="arial" w:hAnsi="arial"/>
                <w:color w:val="FFFFFF"/>
                <w:sz w:val="18"/>
              </w:rPr>
            </w:pPr>
            <w:r>
              <w:rPr>
                <w:rFonts w:ascii="arial" w:hAnsi="arial"/>
                <w:color w:val="FFFFFF"/>
                <w:sz w:val="18"/>
              </w:rPr>
              <w:t>(%)</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vMerge w:val="restart"/>
            <w:tcBorders>
              <w:left w:val="single" w:sz="6" w:space="0" w:color="000000"/>
            </w:tcBorders>
            <w:shd w:fill="D8E9F4" w:val="clear"/>
            <w:tcMar>
              <w:left w:w="28" w:type="dxa"/>
            </w:tcMar>
            <w:vAlign w:val="center"/>
          </w:tcPr>
          <w:p>
            <w:pPr>
              <w:pStyle w:val="TableContents"/>
              <w:bidi w:val="0"/>
              <w:spacing w:before="0" w:after="283"/>
              <w:jc w:val="left"/>
              <w:rPr/>
            </w:pPr>
            <w:r>
              <w:rPr/>
              <w:t> </w:t>
            </w:r>
          </w:p>
        </w:tc>
        <w:tc>
          <w:tcPr>
            <w:tcW w:w="1040" w:type="dxa"/>
            <w:vMerge w:val="restart"/>
            <w:tcBorders>
              <w:right w:val="single" w:sz="6" w:space="0" w:color="000000"/>
            </w:tcBorders>
            <w:shd w:fill="D8E9F4" w:val="clear"/>
            <w:tcMar>
              <w:right w:w="40" w:type="dxa"/>
            </w:tcMar>
            <w:vAlign w:val="center"/>
          </w:tcPr>
          <w:p>
            <w:pPr>
              <w:pStyle w:val="TableContents"/>
              <w:bidi w:val="0"/>
              <w:spacing w:before="0" w:after="283"/>
              <w:jc w:val="center"/>
              <w:rPr>
                <w:b/>
                <w:sz w:val="18"/>
              </w:rPr>
            </w:pPr>
            <w:r>
              <w:rPr>
                <w:b/>
                <w:sz w:val="18"/>
              </w:rPr>
              <w:t>30.0%</w:t>
            </w:r>
          </w:p>
        </w:tc>
      </w:tr>
      <w:tr>
        <w:trPr/>
        <w:tc>
          <w:tcPr>
            <w:tcW w:w="860" w:type="dxa"/>
            <w:vMerge w:val="continue"/>
            <w:tcBorders>
              <w:top w:val="single" w:sz="6" w:space="0" w:color="31485D"/>
              <w:bottom w:val="single" w:sz="6" w:space="0" w:color="31485D"/>
            </w:tcBorders>
            <w:shd w:fill="31485D" w:val="clear"/>
            <w:tcMar>
              <w:top w:w="28" w:type="dxa"/>
              <w:bottom w:w="28" w:type="dxa"/>
            </w:tcMar>
            <w:vAlign w:val="center"/>
          </w:tcPr>
          <w:p>
            <w:pPr>
              <w:pStyle w:val="Normal"/>
              <w:bidi w:val="0"/>
              <w:jc w:val="left"/>
              <w:rPr/>
            </w:pPr>
            <w:r>
              <w:rPr/>
            </w:r>
          </w:p>
        </w:tc>
        <w:tc>
          <w:tcPr>
            <w:tcW w:w="60" w:type="dxa"/>
            <w:vMerge w:val="continue"/>
            <w:tcBorders>
              <w:left w:val="single" w:sz="6" w:space="0" w:color="000000"/>
              <w:bottom w:val="single" w:sz="6" w:space="0" w:color="000000"/>
            </w:tcBorders>
            <w:shd w:fill="80B8DC" w:val="clear"/>
            <w:tcMar>
              <w:left w:w="28" w:type="dxa"/>
              <w:bottom w:w="28" w:type="dxa"/>
            </w:tcMar>
            <w:vAlign w:val="center"/>
          </w:tcPr>
          <w:p>
            <w:pPr>
              <w:pStyle w:val="Normal"/>
              <w:bidi w:val="0"/>
              <w:jc w:val="left"/>
              <w:rPr/>
            </w:pPr>
            <w:r>
              <w:rPr/>
            </w:r>
          </w:p>
        </w:tc>
        <w:tc>
          <w:tcPr>
            <w:tcW w:w="1250" w:type="dxa"/>
            <w:vMerge w:val="continue"/>
            <w:tcBorders>
              <w:bottom w:val="single" w:sz="6" w:space="0" w:color="000000"/>
              <w:right w:val="single" w:sz="6" w:space="0" w:color="000000"/>
            </w:tcBorders>
            <w:shd w:fill="80B8DC" w:val="clear"/>
            <w:tcMar>
              <w:bottom w:w="28" w:type="dxa"/>
              <w:right w:w="28" w:type="dxa"/>
            </w:tcMar>
            <w:vAlign w:val="center"/>
          </w:tcPr>
          <w:p>
            <w:pPr>
              <w:pStyle w:val="Normal"/>
              <w:bidi w:val="0"/>
              <w:jc w:val="left"/>
              <w:rPr/>
            </w:pPr>
            <w:r>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top w:val="dotted" w:sz="6" w:space="0" w:color="0171B9"/>
              <w:left w:val="dotted" w:sz="6" w:space="0" w:color="0171B9"/>
              <w:bottom w:val="dotted" w:sz="6" w:space="0" w:color="0171B9"/>
            </w:tcBorders>
            <w:tcMar>
              <w:top w:w="28" w:type="dxa"/>
              <w:left w:w="28" w:type="dxa"/>
              <w:bottom w:w="28" w:type="dxa"/>
            </w:tcMar>
            <w:vAlign w:val="center"/>
          </w:tcPr>
          <w:p>
            <w:pPr>
              <w:pStyle w:val="TableContents"/>
              <w:bidi w:val="0"/>
              <w:spacing w:before="0" w:after="283"/>
              <w:jc w:val="left"/>
              <w:rPr/>
            </w:pPr>
            <w:r>
              <w:rPr/>
              <w:t> </w:t>
            </w:r>
          </w:p>
        </w:tc>
        <w:tc>
          <w:tcPr>
            <w:tcW w:w="1205" w:type="dxa"/>
            <w:tcBorders>
              <w:top w:val="dotted" w:sz="6" w:space="0" w:color="0171B9"/>
              <w:bottom w:val="dotted" w:sz="6" w:space="0" w:color="0171B9"/>
              <w:right w:val="dotted" w:sz="6" w:space="0" w:color="0171B9"/>
            </w:tcBorders>
            <w:tcMar>
              <w:top w:w="28" w:type="dxa"/>
              <w:bottom w:w="28" w:type="dxa"/>
              <w:right w:w="28" w:type="dxa"/>
            </w:tcMar>
            <w:vAlign w:val="center"/>
          </w:tcPr>
          <w:p>
            <w:pPr>
              <w:pStyle w:val="TableContents"/>
              <w:bidi w:val="0"/>
              <w:spacing w:before="0" w:after="20"/>
              <w:jc w:val="center"/>
              <w:rPr/>
            </w:pPr>
            <w:r>
              <w:rPr/>
              <w:t>≤</w:t>
            </w:r>
            <w:r>
              <w:rPr>
                <w:rFonts w:ascii="arial" w:hAnsi="arial"/>
                <w:sz w:val="18"/>
              </w:rPr>
              <w:t>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0"/>
              <w:jc w:val="center"/>
              <w:rPr>
                <w:rFonts w:ascii="arial" w:hAnsi="arial"/>
                <w:sz w:val="19"/>
              </w:rPr>
            </w:pPr>
            <w:r>
              <w:rPr>
                <w:rFonts w:ascii="arial" w:hAnsi="arial"/>
                <w:sz w:val="19"/>
              </w:rPr>
              <w:t>21%</w:t>
            </w:r>
          </w:p>
        </w:tc>
        <w:tc>
          <w:tcPr>
            <w:tcW w:w="60" w:type="dxa"/>
            <w:tcBorders/>
            <w:vAlign w:val="center"/>
          </w:tcPr>
          <w:p>
            <w:pPr>
              <w:pStyle w:val="TableContents"/>
              <w:bidi w:val="0"/>
              <w:spacing w:before="0" w:after="283"/>
              <w:jc w:val="left"/>
              <w:rPr/>
            </w:pPr>
            <w:r>
              <w:rPr/>
              <w:t>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0"/>
              <w:jc w:val="center"/>
              <w:rPr>
                <w:rFonts w:ascii="arial" w:hAnsi="arial"/>
                <w:sz w:val="19"/>
              </w:rPr>
            </w:pPr>
            <w:r>
              <w:rPr>
                <w:rFonts w:ascii="arial" w:hAnsi="arial"/>
                <w:sz w:val="19"/>
              </w:rPr>
              <w:t>25.1%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0"/>
              <w:jc w:val="center"/>
              <w:rPr>
                <w:rFonts w:ascii="arial" w:hAnsi="arial"/>
                <w:sz w:val="18"/>
              </w:rPr>
            </w:pPr>
            <w:r>
              <w:rPr>
                <w:rFonts w:ascii="arial" w:hAnsi="arial"/>
                <w:sz w:val="18"/>
              </w:rPr>
              <w:t>28%</w:t>
            </w:r>
          </w:p>
        </w:tc>
        <w:tc>
          <w:tcPr>
            <w:tcW w:w="60" w:type="dxa"/>
            <w:tcBorders/>
            <w:vAlign w:val="center"/>
          </w:tcPr>
          <w:p>
            <w:pPr>
              <w:pStyle w:val="TableContents"/>
              <w:bidi w:val="0"/>
              <w:spacing w:before="0" w:after="283"/>
              <w:jc w:val="left"/>
              <w:rPr/>
            </w:pPr>
            <w:r>
              <w:rPr/>
              <w:t>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0"/>
              <w:jc w:val="center"/>
              <w:rPr/>
            </w:pPr>
            <w:r>
              <w:rPr/>
              <w:t>≥</w:t>
            </w:r>
            <w:r>
              <w:rPr>
                <w:rFonts w:ascii="arial" w:hAnsi="arial"/>
                <w:sz w:val="19"/>
              </w:rPr>
              <w:t>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vMerge w:val="continue"/>
            <w:tcBorders>
              <w:left w:val="single" w:sz="6" w:space="0" w:color="000000"/>
            </w:tcBorders>
            <w:shd w:fill="D8E9F4" w:val="clear"/>
            <w:tcMar>
              <w:left w:w="28" w:type="dxa"/>
            </w:tcMar>
            <w:vAlign w:val="center"/>
          </w:tcPr>
          <w:p>
            <w:pPr>
              <w:pStyle w:val="Normal"/>
              <w:bidi w:val="0"/>
              <w:jc w:val="left"/>
              <w:rPr/>
            </w:pPr>
            <w:r>
              <w:rPr/>
            </w:r>
          </w:p>
        </w:tc>
        <w:tc>
          <w:tcPr>
            <w:tcW w:w="1040" w:type="dxa"/>
            <w:vMerge w:val="continue"/>
            <w:tcBorders>
              <w:right w:val="single" w:sz="6" w:space="0" w:color="000000"/>
            </w:tcBorders>
            <w:shd w:fill="D8E9F4" w:val="clear"/>
            <w:tcMar>
              <w:right w:w="40" w:type="dxa"/>
            </w:tcMar>
            <w:vAlign w:val="center"/>
          </w:tcPr>
          <w:p>
            <w:pPr>
              <w:pStyle w:val="Normal"/>
              <w:bidi w:val="0"/>
              <w:jc w:val="left"/>
              <w:rPr/>
            </w:pPr>
            <w:r>
              <w:rPr/>
            </w:r>
          </w:p>
        </w:tc>
      </w:tr>
      <w:tr>
        <w:trPr/>
        <w:tc>
          <w:tcPr>
            <w:tcW w:w="860" w:type="dxa"/>
            <w:vMerge w:val="continue"/>
            <w:tcBorders>
              <w:top w:val="single" w:sz="6" w:space="0" w:color="31485D"/>
              <w:bottom w:val="single" w:sz="6" w:space="0" w:color="31485D"/>
            </w:tcBorders>
            <w:shd w:fill="31485D" w:val="clear"/>
            <w:tcMar>
              <w:top w:w="28" w:type="dxa"/>
              <w:bottom w:w="28" w:type="dxa"/>
            </w:tcMar>
            <w:vAlign w:val="center"/>
          </w:tcPr>
          <w:p>
            <w:pPr>
              <w:pStyle w:val="Normal"/>
              <w:bidi w:val="0"/>
              <w:jc w:val="left"/>
              <w:rPr/>
            </w:pPr>
            <w:r>
              <w:rPr/>
            </w:r>
          </w:p>
        </w:tc>
        <w:tc>
          <w:tcPr>
            <w:tcW w:w="60" w:type="dxa"/>
            <w:vMerge w:val="continue"/>
            <w:tcBorders>
              <w:left w:val="single" w:sz="6" w:space="0" w:color="000000"/>
              <w:bottom w:val="single" w:sz="6" w:space="0" w:color="000000"/>
            </w:tcBorders>
            <w:shd w:fill="80B8DC" w:val="clear"/>
            <w:tcMar>
              <w:left w:w="28" w:type="dxa"/>
              <w:bottom w:w="28" w:type="dxa"/>
            </w:tcMar>
            <w:vAlign w:val="center"/>
          </w:tcPr>
          <w:p>
            <w:pPr>
              <w:pStyle w:val="Normal"/>
              <w:bidi w:val="0"/>
              <w:jc w:val="left"/>
              <w:rPr/>
            </w:pPr>
            <w:r>
              <w:rPr/>
            </w:r>
          </w:p>
        </w:tc>
        <w:tc>
          <w:tcPr>
            <w:tcW w:w="1250" w:type="dxa"/>
            <w:vMerge w:val="continue"/>
            <w:tcBorders>
              <w:bottom w:val="single" w:sz="6" w:space="0" w:color="000000"/>
              <w:right w:val="single" w:sz="6" w:space="0" w:color="000000"/>
            </w:tcBorders>
            <w:shd w:fill="80B8DC" w:val="clear"/>
            <w:tcMar>
              <w:bottom w:w="28" w:type="dxa"/>
              <w:right w:w="28" w:type="dxa"/>
            </w:tcMar>
            <w:vAlign w:val="center"/>
          </w:tcPr>
          <w:p>
            <w:pPr>
              <w:pStyle w:val="Normal"/>
              <w:bidi w:val="0"/>
              <w:jc w:val="left"/>
              <w:rPr/>
            </w:pPr>
            <w:r>
              <w:rPr/>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top w:val="dotted" w:sz="6" w:space="0" w:color="0171B9"/>
              <w:bottom w:val="single" w:sz="6" w:space="0" w:color="000000"/>
            </w:tcBorders>
            <w:tcMar>
              <w:top w:w="28" w:type="dxa"/>
              <w:bottom w:w="28" w:type="dxa"/>
            </w:tcMar>
            <w:vAlign w:val="center"/>
          </w:tcPr>
          <w:p>
            <w:pPr>
              <w:pStyle w:val="TableContents"/>
              <w:bidi w:val="0"/>
              <w:spacing w:before="0" w:after="283"/>
              <w:jc w:val="left"/>
              <w:rPr/>
            </w:pPr>
            <w:r>
              <w:rPr/>
              <w:t> </w:t>
            </w:r>
          </w:p>
        </w:tc>
        <w:tc>
          <w:tcPr>
            <w:tcW w:w="1205" w:type="dxa"/>
            <w:tcBorders>
              <w:top w:val="dotted" w:sz="6" w:space="0" w:color="0171B9"/>
              <w:bottom w:val="single" w:sz="6" w:space="0" w:color="000000"/>
            </w:tcBorders>
            <w:tcMar>
              <w:top w:w="28" w:type="dxa"/>
              <w:bottom w:w="28" w:type="dxa"/>
            </w:tcMar>
            <w:vAlign w:val="center"/>
          </w:tcPr>
          <w:p>
            <w:pPr>
              <w:pStyle w:val="TableContents"/>
              <w:bidi w:val="0"/>
              <w:spacing w:before="0" w:after="0"/>
              <w:jc w:val="center"/>
              <w:rPr>
                <w:rFonts w:ascii="arial" w:hAnsi="arial"/>
                <w:color w:val="0171B9"/>
                <w:sz w:val="18"/>
              </w:rPr>
            </w:pPr>
            <w:r>
              <w:rPr>
                <w:rFonts w:ascii="arial" w:hAnsi="arial"/>
                <w:color w:val="0171B9"/>
                <w:sz w:val="18"/>
              </w:rPr>
              <w:t>(15.2% actual)</w:t>
            </w:r>
          </w:p>
          <w:p>
            <w:pPr>
              <w:pStyle w:val="TableContents"/>
              <w:bidi w:val="0"/>
              <w:spacing w:before="0" w:after="2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90"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color w:val="0171B9"/>
              </w:rPr>
            </w:pPr>
            <w:r>
              <w:rPr>
                <w:color w:val="0171B9"/>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9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4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vMerge w:val="continue"/>
            <w:tcBorders>
              <w:left w:val="single" w:sz="6" w:space="0" w:color="000000"/>
            </w:tcBorders>
            <w:shd w:fill="D8E9F4" w:val="clear"/>
            <w:tcMar>
              <w:left w:w="28" w:type="dxa"/>
            </w:tcMar>
            <w:vAlign w:val="center"/>
          </w:tcPr>
          <w:p>
            <w:pPr>
              <w:pStyle w:val="Normal"/>
              <w:bidi w:val="0"/>
              <w:jc w:val="left"/>
              <w:rPr/>
            </w:pPr>
            <w:r>
              <w:rPr/>
            </w:r>
          </w:p>
        </w:tc>
        <w:tc>
          <w:tcPr>
            <w:tcW w:w="1040" w:type="dxa"/>
            <w:vMerge w:val="continue"/>
            <w:tcBorders>
              <w:right w:val="single" w:sz="6" w:space="0" w:color="000000"/>
            </w:tcBorders>
            <w:shd w:fill="D8E9F4" w:val="clear"/>
            <w:tcMar>
              <w:right w:w="40" w:type="dxa"/>
            </w:tcMar>
            <w:vAlign w:val="center"/>
          </w:tcPr>
          <w:p>
            <w:pPr>
              <w:pStyle w:val="Normal"/>
              <w:bidi w:val="0"/>
              <w:jc w:val="left"/>
              <w:rPr/>
            </w:pPr>
            <w:r>
              <w:rPr/>
            </w:r>
          </w:p>
        </w:tc>
      </w:tr>
      <w:tr>
        <w:trPr/>
        <w:tc>
          <w:tcPr>
            <w:tcW w:w="860" w:type="dxa"/>
            <w:vMerge w:val="restart"/>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1250" w:type="dxa"/>
            <w:vMerge w:val="restart"/>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45" w:type="dxa"/>
            <w:gridSpan w:val="21"/>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278130" cy="24765"/>
                  <wp:effectExtent l="0" t="0" r="0" b="0"/>
                  <wp:docPr id="25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127" descr=""/>
                          <pic:cNvPicPr>
                            <a:picLocks noChangeAspect="1" noChangeArrowheads="1"/>
                          </pic:cNvPicPr>
                        </pic:nvPicPr>
                        <pic:blipFill>
                          <a:blip r:embed="rId138"/>
                          <a:stretch>
                            <a:fillRect/>
                          </a:stretch>
                        </pic:blipFill>
                        <pic:spPr bwMode="auto">
                          <a:xfrm>
                            <a:off x="0" y="0"/>
                            <a:ext cx="278130" cy="24765"/>
                          </a:xfrm>
                          <a:prstGeom prst="rect">
                            <a:avLst/>
                          </a:prstGeom>
                        </pic:spPr>
                      </pic:pic>
                    </a:graphicData>
                  </a:graphic>
                </wp:inline>
              </w:drawing>
            </w:r>
            <w:r>
              <w:rPr/>
              <w:t xml:space="preserve"> </w:t>
            </w:r>
          </w:p>
        </w:tc>
        <w:tc>
          <w:tcPr>
            <w:tcW w:w="60" w:type="dxa"/>
            <w:tcBorders>
              <w:top w:val="single" w:sz="6" w:space="0" w:color="000000"/>
              <w:left w:val="single" w:sz="6" w:space="0" w:color="000000"/>
              <w:bottom w:val="single" w:sz="6" w:space="0" w:color="000000"/>
            </w:tcBorders>
            <w:shd w:fill="0171B9" w:val="clear"/>
            <w:tcMar>
              <w:top w:w="28" w:type="dxa"/>
              <w:left w:w="28" w:type="dxa"/>
              <w:bottom w:w="28" w:type="dxa"/>
            </w:tcMar>
            <w:vAlign w:val="center"/>
          </w:tcPr>
          <w:p>
            <w:pPr>
              <w:pStyle w:val="TableContents"/>
              <w:bidi w:val="0"/>
              <w:spacing w:before="0" w:after="283"/>
              <w:jc w:val="left"/>
              <w:rPr/>
            </w:pPr>
            <w:r>
              <w:rPr/>
              <w:t> </w:t>
            </w:r>
          </w:p>
        </w:tc>
        <w:tc>
          <w:tcPr>
            <w:tcW w:w="1040" w:type="dxa"/>
            <w:tcBorders>
              <w:top w:val="single" w:sz="6" w:space="0" w:color="000000"/>
              <w:bottom w:val="single" w:sz="6" w:space="0" w:color="000000"/>
              <w:right w:val="single" w:sz="6" w:space="0" w:color="000000"/>
            </w:tcBorders>
            <w:shd w:fill="0171B9" w:val="clear"/>
            <w:tcMar>
              <w:top w:w="28" w:type="dxa"/>
              <w:bottom w:w="28" w:type="dxa"/>
              <w:right w:w="40" w:type="dxa"/>
            </w:tcMar>
            <w:vAlign w:val="center"/>
          </w:tcPr>
          <w:p>
            <w:pPr>
              <w:pStyle w:val="TableContents"/>
              <w:bidi w:val="0"/>
              <w:spacing w:before="0" w:after="20"/>
              <w:jc w:val="center"/>
              <w:rPr>
                <w:rFonts w:ascii="arial" w:hAnsi="arial"/>
                <w:b/>
                <w:color w:val="FFFFFF"/>
                <w:sz w:val="18"/>
              </w:rPr>
            </w:pPr>
            <w:r>
              <w:rPr>
                <w:rFonts w:ascii="arial" w:hAnsi="arial"/>
                <w:b/>
                <w:color w:val="FFFFFF"/>
                <w:sz w:val="18"/>
              </w:rPr>
              <w:t>64.7%</w:t>
            </w:r>
          </w:p>
        </w:tc>
      </w:tr>
      <w:tr>
        <w:trPr/>
        <w:tc>
          <w:tcPr>
            <w:tcW w:w="8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5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3175000" cy="6695440"/>
                <wp:effectExtent l="0" t="0" r="0" b="0"/>
                <wp:wrapSquare wrapText="right"/>
                <wp:docPr id="258" name="Frame122"/>
                <a:graphic xmlns:a="http://schemas.openxmlformats.org/drawingml/2006/main">
                  <a:graphicData uri="http://schemas.microsoft.com/office/word/2010/wordprocessingShape">
                    <wps:wsp>
                      <wps:cNvSpPr txBox="1"/>
                      <wps:spPr>
                        <a:xfrm>
                          <a:off x="0" y="0"/>
                          <a:ext cx="3175000" cy="6695440"/>
                        </a:xfrm>
                        <a:prstGeom prst="rect"/>
                        <a:solidFill>
                          <a:srgbClr val="FFFFFF"/>
                        </a:solidFill>
                      </wps:spPr>
                      <wps:txbx>
                        <w:txbxContent>
                          <w:tbl>
                            <w:tblPr>
                              <w:tblW w:w="5915" w:type="dxa"/>
                              <w:jc w:val="left"/>
                              <w:tblInd w:w="0" w:type="dxa"/>
                              <w:tblLayout w:type="fixed"/>
                              <w:tblCellMar>
                                <w:top w:w="0" w:type="dxa"/>
                                <w:left w:w="0" w:type="dxa"/>
                                <w:bottom w:w="0" w:type="dxa"/>
                                <w:right w:w="0" w:type="dxa"/>
                              </w:tblCellMar>
                            </w:tblPr>
                            <w:tblGrid>
                              <w:gridCol w:w="5915"/>
                            </w:tblGrid>
                            <w:tr>
                              <w:trPr/>
                              <w:tc>
                                <w:tcPr>
                                  <w:tcW w:w="5915" w:type="dxa"/>
                                  <w:tcBorders/>
                                  <w:vAlign w:val="center"/>
                                </w:tcPr>
                                <w:p>
                                  <w:pPr>
                                    <w:pStyle w:val="TableContents"/>
                                    <w:bidi w:val="0"/>
                                    <w:spacing w:before="0" w:after="283"/>
                                    <w:jc w:val="left"/>
                                    <w:rPr>
                                      <w:sz w:val="4"/>
                                      <w:szCs w:val="4"/>
                                    </w:rPr>
                                  </w:pPr>
                                  <w:r>
                                    <w:rPr>
                                      <w:sz w:val="4"/>
                                      <w:szCs w:val="4"/>
                                    </w:rPr>
                                  </w:r>
                                </w:p>
                              </w:tc>
                            </w:tr>
                            <w:tr>
                              <w:trPr/>
                              <w:tc>
                                <w:tcPr>
                                  <w:tcW w:w="5915" w:type="dxa"/>
                                  <w:tcBorders>
                                    <w:top w:val="single" w:sz="6" w:space="0" w:color="000000"/>
                                    <w:left w:val="single" w:sz="6" w:space="0" w:color="000000"/>
                                    <w:bottom w:val="single" w:sz="6" w:space="0" w:color="000000"/>
                                    <w:right w:val="single" w:sz="6" w:space="0" w:color="000000"/>
                                  </w:tcBorders>
                                  <w:shd w:fill="0171B9" w:val="clear"/>
                                  <w:tcMar>
                                    <w:top w:w="28" w:type="dxa"/>
                                    <w:left w:w="160"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6"/>
                                    </w:rPr>
                                  </w:pPr>
                                  <w:r>
                                    <w:rPr>
                                      <w:rFonts w:ascii="arial" w:hAnsi="arial"/>
                                      <w:b/>
                                      <w:color w:val="FFFFFF"/>
                                      <w:sz w:val="16"/>
                                    </w:rPr>
                                    <w:t>2022-2024 S&amp;P 500 Relative TSR(5) Modifier</w:t>
                                  </w:r>
                                </w:p>
                                <w:p>
                                  <w:pPr>
                                    <w:pStyle w:val="TableContents"/>
                                    <w:bidi w:val="0"/>
                                    <w:spacing w:before="0" w:after="0"/>
                                    <w:jc w:val="left"/>
                                    <w:rPr/>
                                  </w:pPr>
                                  <w:r>
                                    <w:rPr/>
                                    <w:t> </w:t>
                                  </w:r>
                                </w:p>
                                <w:p>
                                  <w:pPr>
                                    <w:pStyle w:val="TableContents"/>
                                    <w:bidi w:val="0"/>
                                    <w:spacing w:before="0" w:after="20"/>
                                    <w:jc w:val="left"/>
                                    <w:rPr/>
                                  </w:pPr>
                                  <w:r>
                                    <w:rPr/>
                                    <w:t> </w:t>
                                  </w:r>
                                </w:p>
                              </w:tc>
                            </w:tr>
                            <w:tr>
                              <w:trPr/>
                              <w:tc>
                                <w:tcPr>
                                  <w:tcW w:w="5915" w:type="dxa"/>
                                  <w:tcBorders>
                                    <w:left w:val="single" w:sz="6" w:space="0" w:color="000000"/>
                                    <w:bottom w:val="single" w:sz="6" w:space="0" w:color="000000"/>
                                    <w:right w:val="single" w:sz="6" w:space="0" w:color="000000"/>
                                  </w:tcBorders>
                                  <w:tcMar>
                                    <w:left w:w="160" w:type="dxa"/>
                                    <w:bottom w:w="28" w:type="dxa"/>
                                    <w:right w:w="40" w:type="dxa"/>
                                  </w:tcMar>
                                  <w:vAlign w:val="center"/>
                                </w:tcPr>
                                <w:p>
                                  <w:pPr>
                                    <w:pStyle w:val="TableContents"/>
                                    <w:bidi w:val="0"/>
                                    <w:spacing w:before="0" w:after="283"/>
                                    <w:jc w:val="center"/>
                                    <w:rPr/>
                                  </w:pPr>
                                  <w:r>
                                    <w:rPr/>
                                    <w:t>Payout for Performance Relative to S&amp;P 500 TSR Percentage</w:t>
                                  </w:r>
                                </w:p>
                              </w:tc>
                            </w:tr>
                            <w:tr>
                              <w:trPr/>
                              <w:tc>
                                <w:tcPr>
                                  <w:tcW w:w="5915" w:type="dxa"/>
                                  <w:tcBorders>
                                    <w:left w:val="single" w:sz="6" w:space="0" w:color="000000"/>
                                    <w:right w:val="single" w:sz="6" w:space="0" w:color="000000"/>
                                  </w:tcBorders>
                                  <w:tcMar>
                                    <w:left w:w="160" w:type="dxa"/>
                                    <w:right w:w="40" w:type="dxa"/>
                                  </w:tcMar>
                                  <w:vAlign w:val="center"/>
                                </w:tcPr>
                                <w:p>
                                  <w:pPr>
                                    <w:pStyle w:val="TableContents"/>
                                    <w:bidi w:val="0"/>
                                    <w:spacing w:before="0" w:after="283"/>
                                    <w:jc w:val="left"/>
                                    <w:rPr/>
                                  </w:pPr>
                                  <w:r>
                                    <w:rPr/>
                                    <w:t> </w:t>
                                  </w:r>
                                </w:p>
                              </w:tc>
                            </w:tr>
                            <w:tr>
                              <w:trPr/>
                              <w:tc>
                                <w:tcPr>
                                  <w:tcW w:w="5915" w:type="dxa"/>
                                  <w:tcBorders>
                                    <w:left w:val="single" w:sz="6" w:space="0" w:color="000000"/>
                                    <w:right w:val="single" w:sz="6" w:space="0" w:color="000000"/>
                                  </w:tcBorders>
                                  <w:shd w:fill="D8E9F4" w:val="clear"/>
                                  <w:tcMar>
                                    <w:left w:w="160" w:type="dxa"/>
                                    <w:right w:w="28" w:type="dxa"/>
                                  </w:tcMar>
                                  <w:vAlign w:val="center"/>
                                </w:tcPr>
                                <w:p>
                                  <w:pPr>
                                    <w:pStyle w:val="TableContents"/>
                                    <w:bidi w:val="0"/>
                                    <w:spacing w:before="0" w:after="283"/>
                                    <w:jc w:val="left"/>
                                    <w:rPr/>
                                  </w:pPr>
                                  <w:r>
                                    <w:rPr/>
                                    <w:t> </w:t>
                                  </w:r>
                                </w:p>
                              </w:tc>
                            </w:tr>
                            <w:tr>
                              <w:trPr/>
                              <w:tc>
                                <w:tcPr>
                                  <w:tcW w:w="5915" w:type="dxa"/>
                                  <w:tcBorders>
                                    <w:left w:val="single" w:sz="6" w:space="0" w:color="000000"/>
                                    <w:right w:val="single" w:sz="6" w:space="0" w:color="000000"/>
                                  </w:tcBorders>
                                  <w:shd w:fill="D8E9F4" w:val="clear"/>
                                  <w:tcMar>
                                    <w:left w:w="160" w:type="dxa"/>
                                    <w:right w:w="40" w:type="dxa"/>
                                  </w:tcMar>
                                  <w:vAlign w:val="center"/>
                                </w:tcPr>
                                <w:p>
                                  <w:pPr>
                                    <w:pStyle w:val="TableContents"/>
                                    <w:bidi w:val="0"/>
                                    <w:spacing w:before="0" w:after="0"/>
                                    <w:jc w:val="left"/>
                                    <w:rPr>
                                      <w:rFonts w:ascii="arial" w:hAnsi="arial"/>
                                      <w:sz w:val="16"/>
                                    </w:rPr>
                                  </w:pPr>
                                  <w:r>
                                    <w:rPr>
                                      <w:rFonts w:ascii="arial" w:hAnsi="arial"/>
                                      <w:sz w:val="16"/>
                                    </w:rPr>
                                    <w:t>Amgen TSR ≥ 75th percentile = 30% (Maximum)</w:t>
                                  </w:r>
                                </w:p>
                                <w:p>
                                  <w:pPr>
                                    <w:pStyle w:val="TableContents"/>
                                    <w:bidi w:val="0"/>
                                    <w:spacing w:before="0" w:after="20"/>
                                    <w:jc w:val="left"/>
                                    <w:rPr/>
                                  </w:pPr>
                                  <w:r>
                                    <w:rPr/>
                                    <w:t> </w:t>
                                  </w:r>
                                </w:p>
                              </w:tc>
                            </w:tr>
                            <w:tr>
                              <w:trPr/>
                              <w:tc>
                                <w:tcPr>
                                  <w:tcW w:w="5915" w:type="dxa"/>
                                  <w:tcBorders>
                                    <w:left w:val="single" w:sz="6" w:space="0" w:color="000000"/>
                                    <w:right w:val="single" w:sz="6" w:space="0" w:color="000000"/>
                                  </w:tcBorders>
                                  <w:tcMar>
                                    <w:left w:w="160" w:type="dxa"/>
                                    <w:right w:w="28" w:type="dxa"/>
                                  </w:tcMar>
                                  <w:vAlign w:val="center"/>
                                </w:tcPr>
                                <w:p>
                                  <w:pPr>
                                    <w:pStyle w:val="TableContents"/>
                                    <w:bidi w:val="0"/>
                                    <w:spacing w:before="0" w:after="283"/>
                                    <w:jc w:val="left"/>
                                    <w:rPr/>
                                  </w:pPr>
                                  <w:r>
                                    <w:rPr/>
                                    <w:t> </w:t>
                                  </w:r>
                                </w:p>
                              </w:tc>
                            </w:tr>
                            <w:tr>
                              <w:trPr/>
                              <w:tc>
                                <w:tcPr>
                                  <w:tcW w:w="5915" w:type="dxa"/>
                                  <w:tcBorders>
                                    <w:left w:val="single" w:sz="6" w:space="0" w:color="000000"/>
                                    <w:right w:val="single" w:sz="6" w:space="0" w:color="000000"/>
                                  </w:tcBorders>
                                  <w:tcMar>
                                    <w:left w:w="160" w:type="dxa"/>
                                    <w:right w:w="40" w:type="dxa"/>
                                  </w:tcMar>
                                  <w:vAlign w:val="center"/>
                                </w:tcPr>
                                <w:p>
                                  <w:pPr>
                                    <w:pStyle w:val="TableContents"/>
                                    <w:bidi w:val="0"/>
                                    <w:spacing w:before="0" w:after="0"/>
                                    <w:jc w:val="left"/>
                                    <w:rPr>
                                      <w:rFonts w:ascii="arial" w:hAnsi="arial"/>
                                      <w:sz w:val="16"/>
                                    </w:rPr>
                                  </w:pPr>
                                  <w:r>
                                    <w:rPr>
                                      <w:rFonts w:ascii="arial" w:hAnsi="arial"/>
                                      <w:sz w:val="16"/>
                                    </w:rPr>
                                    <w:t>Amgen TSR = 50th percentile‡ = 0% (Target)</w:t>
                                  </w:r>
                                </w:p>
                                <w:p>
                                  <w:pPr>
                                    <w:pStyle w:val="TableContents"/>
                                    <w:bidi w:val="0"/>
                                    <w:spacing w:before="0" w:after="0"/>
                                    <w:jc w:val="left"/>
                                    <w:rPr/>
                                  </w:pPr>
                                  <w:r>
                                    <w:rPr/>
                                    <w:t> </w:t>
                                  </w:r>
                                </w:p>
                                <w:p>
                                  <w:pPr>
                                    <w:pStyle w:val="TableContents"/>
                                    <w:bidi w:val="0"/>
                                    <w:spacing w:before="0" w:after="20"/>
                                    <w:jc w:val="left"/>
                                    <w:rPr/>
                                  </w:pPr>
                                  <w:r>
                                    <w:rPr/>
                                    <w:t> </w:t>
                                  </w:r>
                                </w:p>
                              </w:tc>
                            </w:tr>
                            <w:tr>
                              <w:trPr/>
                              <w:tc>
                                <w:tcPr>
                                  <w:tcW w:w="5915" w:type="dxa"/>
                                  <w:tcBorders>
                                    <w:left w:val="single" w:sz="6" w:space="0" w:color="000000"/>
                                    <w:right w:val="single" w:sz="6" w:space="0" w:color="000000"/>
                                  </w:tcBorders>
                                  <w:shd w:fill="D8E9F4" w:val="clear"/>
                                  <w:tcMar>
                                    <w:left w:w="160" w:type="dxa"/>
                                    <w:right w:w="28" w:type="dxa"/>
                                  </w:tcMar>
                                  <w:vAlign w:val="center"/>
                                </w:tcPr>
                                <w:p>
                                  <w:pPr>
                                    <w:pStyle w:val="TableContents"/>
                                    <w:bidi w:val="0"/>
                                    <w:spacing w:before="0" w:after="283"/>
                                    <w:jc w:val="left"/>
                                    <w:rPr/>
                                  </w:pPr>
                                  <w:r>
                                    <w:rPr/>
                                    <w:t> </w:t>
                                  </w:r>
                                </w:p>
                              </w:tc>
                            </w:tr>
                            <w:tr>
                              <w:trPr/>
                              <w:tc>
                                <w:tcPr>
                                  <w:tcW w:w="5915" w:type="dxa"/>
                                  <w:tcBorders>
                                    <w:left w:val="single" w:sz="6" w:space="0" w:color="000000"/>
                                    <w:right w:val="single" w:sz="6" w:space="0" w:color="000000"/>
                                  </w:tcBorders>
                                  <w:shd w:fill="D8E9F4" w:val="clear"/>
                                  <w:tcMar>
                                    <w:left w:w="160" w:type="dxa"/>
                                    <w:right w:w="40" w:type="dxa"/>
                                  </w:tcMar>
                                  <w:vAlign w:val="center"/>
                                </w:tcPr>
                                <w:p>
                                  <w:pPr>
                                    <w:pStyle w:val="TableContents"/>
                                    <w:bidi w:val="0"/>
                                    <w:spacing w:before="0" w:after="0"/>
                                    <w:jc w:val="left"/>
                                    <w:rPr>
                                      <w:rFonts w:ascii="arial" w:hAnsi="arial"/>
                                      <w:sz w:val="16"/>
                                    </w:rPr>
                                  </w:pPr>
                                  <w:r>
                                    <w:rPr>
                                      <w:rFonts w:ascii="arial" w:hAnsi="arial"/>
                                      <w:sz w:val="16"/>
                                    </w:rPr>
                                    <w:t>Amgen TSR ≤ 25th percentile = -30% (Minimum)</w:t>
                                  </w:r>
                                </w:p>
                                <w:p>
                                  <w:pPr>
                                    <w:pStyle w:val="TableContents"/>
                                    <w:bidi w:val="0"/>
                                    <w:spacing w:before="0" w:after="0"/>
                                    <w:jc w:val="left"/>
                                    <w:rPr/>
                                  </w:pPr>
                                  <w:r>
                                    <w:rPr/>
                                    <w:t> </w:t>
                                  </w:r>
                                </w:p>
                                <w:p>
                                  <w:pPr>
                                    <w:pStyle w:val="TableContents"/>
                                    <w:bidi w:val="0"/>
                                    <w:spacing w:before="0" w:after="20"/>
                                    <w:jc w:val="left"/>
                                    <w:rPr/>
                                  </w:pPr>
                                  <w:r>
                                    <w:rPr/>
                                    <w:t> </w:t>
                                  </w:r>
                                </w:p>
                              </w:tc>
                            </w:tr>
                            <w:tr>
                              <w:trPr/>
                              <w:tc>
                                <w:tcPr>
                                  <w:tcW w:w="5915" w:type="dxa"/>
                                  <w:tcBorders>
                                    <w:left w:val="single" w:sz="6" w:space="0" w:color="000000"/>
                                    <w:bottom w:val="single" w:sz="6" w:space="0" w:color="000000"/>
                                    <w:right w:val="single" w:sz="6" w:space="0" w:color="000000"/>
                                  </w:tcBorders>
                                  <w:tcMar>
                                    <w:left w:w="160" w:type="dxa"/>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6933" w:type="dxa"/>
                              <w:jc w:val="left"/>
                              <w:tblInd w:w="0" w:type="dxa"/>
                              <w:tblLayout w:type="fixed"/>
                              <w:tblCellMar>
                                <w:top w:w="0" w:type="dxa"/>
                                <w:left w:w="0" w:type="dxa"/>
                                <w:bottom w:w="0" w:type="dxa"/>
                                <w:right w:w="0" w:type="dxa"/>
                              </w:tblCellMar>
                            </w:tblPr>
                            <w:tblGrid>
                              <w:gridCol w:w="200"/>
                              <w:gridCol w:w="23"/>
                              <w:gridCol w:w="6710"/>
                            </w:tblGrid>
                            <w:tr>
                              <w:trPr/>
                              <w:tc>
                                <w:tcPr>
                                  <w:tcW w:w="20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710" w:type="dxa"/>
                                  <w:tcBorders/>
                                  <w:vAlign w:val="center"/>
                                </w:tcPr>
                                <w:p>
                                  <w:pPr>
                                    <w:pStyle w:val="TableContents"/>
                                    <w:bidi w:val="0"/>
                                    <w:spacing w:before="0" w:after="0"/>
                                    <w:jc w:val="both"/>
                                    <w:rPr>
                                      <w:rFonts w:ascii="arial" w:hAnsi="arial"/>
                                      <w:sz w:val="16"/>
                                    </w:rPr>
                                  </w:pPr>
                                  <w:r>
                                    <w:rPr>
                                      <w:rFonts w:ascii="arial" w:hAnsi="arial"/>
                                      <w:sz w:val="16"/>
                                    </w:rPr>
                                    <w:t xml:space="preserve">If Amgen’s TSR is less than 0, the relative TSR modifier can be no greater than 0% (target).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3810000" cy="1238250"/>
                                  <wp:effectExtent l="0" t="0" r="0" b="0"/>
                                  <wp:docPr id="259"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128" descr=""/>
                                          <pic:cNvPicPr>
                                            <a:picLocks noChangeAspect="1" noChangeArrowheads="1"/>
                                          </pic:cNvPicPr>
                                        </pic:nvPicPr>
                                        <pic:blipFill>
                                          <a:blip r:embed="rId139"/>
                                          <a:stretch>
                                            <a:fillRect/>
                                          </a:stretch>
                                        </pic:blipFill>
                                        <pic:spPr bwMode="auto">
                                          <a:xfrm>
                                            <a:off x="0" y="0"/>
                                            <a:ext cx="3810000" cy="1238250"/>
                                          </a:xfrm>
                                          <a:prstGeom prst="rect">
                                            <a:avLst/>
                                          </a:prstGeom>
                                        </pic:spPr>
                                      </pic:pic>
                                    </a:graphicData>
                                  </a:graphic>
                                </wp:inline>
                              </w:drawing>
                            </w:r>
                            <w:r>
                              <w:rPr/>
                              <w:t xml:space="preserve"> </w:t>
                            </w:r>
                          </w:p>
                          <w:p>
                            <w:pPr>
                              <w:pStyle w:val="TextBody"/>
                              <w:bidi w:val="0"/>
                              <w:spacing w:before="0" w:after="0"/>
                              <w:jc w:val="left"/>
                              <w:rPr/>
                            </w:pPr>
                            <w:r>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27.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915" w:type="dxa"/>
                        <w:jc w:val="left"/>
                        <w:tblInd w:w="0" w:type="dxa"/>
                        <w:tblLayout w:type="fixed"/>
                        <w:tblCellMar>
                          <w:top w:w="0" w:type="dxa"/>
                          <w:left w:w="0" w:type="dxa"/>
                          <w:bottom w:w="0" w:type="dxa"/>
                          <w:right w:w="0" w:type="dxa"/>
                        </w:tblCellMar>
                      </w:tblPr>
                      <w:tblGrid>
                        <w:gridCol w:w="5915"/>
                      </w:tblGrid>
                      <w:tr>
                        <w:trPr/>
                        <w:tc>
                          <w:tcPr>
                            <w:tcW w:w="5915" w:type="dxa"/>
                            <w:tcBorders/>
                            <w:vAlign w:val="center"/>
                          </w:tcPr>
                          <w:p>
                            <w:pPr>
                              <w:pStyle w:val="TableContents"/>
                              <w:bidi w:val="0"/>
                              <w:spacing w:before="0" w:after="283"/>
                              <w:jc w:val="left"/>
                              <w:rPr>
                                <w:sz w:val="4"/>
                                <w:szCs w:val="4"/>
                              </w:rPr>
                            </w:pPr>
                            <w:r>
                              <w:rPr>
                                <w:sz w:val="4"/>
                                <w:szCs w:val="4"/>
                              </w:rPr>
                            </w:r>
                          </w:p>
                        </w:tc>
                      </w:tr>
                      <w:tr>
                        <w:trPr/>
                        <w:tc>
                          <w:tcPr>
                            <w:tcW w:w="5915" w:type="dxa"/>
                            <w:tcBorders>
                              <w:top w:val="single" w:sz="6" w:space="0" w:color="000000"/>
                              <w:left w:val="single" w:sz="6" w:space="0" w:color="000000"/>
                              <w:bottom w:val="single" w:sz="6" w:space="0" w:color="000000"/>
                              <w:right w:val="single" w:sz="6" w:space="0" w:color="000000"/>
                            </w:tcBorders>
                            <w:shd w:fill="0171B9" w:val="clear"/>
                            <w:tcMar>
                              <w:top w:w="28" w:type="dxa"/>
                              <w:left w:w="160"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6"/>
                              </w:rPr>
                            </w:pPr>
                            <w:r>
                              <w:rPr>
                                <w:rFonts w:ascii="arial" w:hAnsi="arial"/>
                                <w:b/>
                                <w:color w:val="FFFFFF"/>
                                <w:sz w:val="16"/>
                              </w:rPr>
                              <w:t>2022-2024 S&amp;P 500 Relative TSR(5) Modifier</w:t>
                            </w:r>
                          </w:p>
                          <w:p>
                            <w:pPr>
                              <w:pStyle w:val="TableContents"/>
                              <w:bidi w:val="0"/>
                              <w:spacing w:before="0" w:after="0"/>
                              <w:jc w:val="left"/>
                              <w:rPr/>
                            </w:pPr>
                            <w:r>
                              <w:rPr/>
                              <w:t> </w:t>
                            </w:r>
                          </w:p>
                          <w:p>
                            <w:pPr>
                              <w:pStyle w:val="TableContents"/>
                              <w:bidi w:val="0"/>
                              <w:spacing w:before="0" w:after="20"/>
                              <w:jc w:val="left"/>
                              <w:rPr/>
                            </w:pPr>
                            <w:r>
                              <w:rPr/>
                              <w:t> </w:t>
                            </w:r>
                          </w:p>
                        </w:tc>
                      </w:tr>
                      <w:tr>
                        <w:trPr/>
                        <w:tc>
                          <w:tcPr>
                            <w:tcW w:w="5915" w:type="dxa"/>
                            <w:tcBorders>
                              <w:left w:val="single" w:sz="6" w:space="0" w:color="000000"/>
                              <w:bottom w:val="single" w:sz="6" w:space="0" w:color="000000"/>
                              <w:right w:val="single" w:sz="6" w:space="0" w:color="000000"/>
                            </w:tcBorders>
                            <w:tcMar>
                              <w:left w:w="160" w:type="dxa"/>
                              <w:bottom w:w="28" w:type="dxa"/>
                              <w:right w:w="40" w:type="dxa"/>
                            </w:tcMar>
                            <w:vAlign w:val="center"/>
                          </w:tcPr>
                          <w:p>
                            <w:pPr>
                              <w:pStyle w:val="TableContents"/>
                              <w:bidi w:val="0"/>
                              <w:spacing w:before="0" w:after="283"/>
                              <w:jc w:val="center"/>
                              <w:rPr/>
                            </w:pPr>
                            <w:r>
                              <w:rPr/>
                              <w:t>Payout for Performance Relative to S&amp;P 500 TSR Percentage</w:t>
                            </w:r>
                          </w:p>
                        </w:tc>
                      </w:tr>
                      <w:tr>
                        <w:trPr/>
                        <w:tc>
                          <w:tcPr>
                            <w:tcW w:w="5915" w:type="dxa"/>
                            <w:tcBorders>
                              <w:left w:val="single" w:sz="6" w:space="0" w:color="000000"/>
                              <w:right w:val="single" w:sz="6" w:space="0" w:color="000000"/>
                            </w:tcBorders>
                            <w:tcMar>
                              <w:left w:w="160" w:type="dxa"/>
                              <w:right w:w="40" w:type="dxa"/>
                            </w:tcMar>
                            <w:vAlign w:val="center"/>
                          </w:tcPr>
                          <w:p>
                            <w:pPr>
                              <w:pStyle w:val="TableContents"/>
                              <w:bidi w:val="0"/>
                              <w:spacing w:before="0" w:after="283"/>
                              <w:jc w:val="left"/>
                              <w:rPr/>
                            </w:pPr>
                            <w:r>
                              <w:rPr/>
                              <w:t> </w:t>
                            </w:r>
                          </w:p>
                        </w:tc>
                      </w:tr>
                      <w:tr>
                        <w:trPr/>
                        <w:tc>
                          <w:tcPr>
                            <w:tcW w:w="5915" w:type="dxa"/>
                            <w:tcBorders>
                              <w:left w:val="single" w:sz="6" w:space="0" w:color="000000"/>
                              <w:right w:val="single" w:sz="6" w:space="0" w:color="000000"/>
                            </w:tcBorders>
                            <w:shd w:fill="D8E9F4" w:val="clear"/>
                            <w:tcMar>
                              <w:left w:w="160" w:type="dxa"/>
                              <w:right w:w="28" w:type="dxa"/>
                            </w:tcMar>
                            <w:vAlign w:val="center"/>
                          </w:tcPr>
                          <w:p>
                            <w:pPr>
                              <w:pStyle w:val="TableContents"/>
                              <w:bidi w:val="0"/>
                              <w:spacing w:before="0" w:after="283"/>
                              <w:jc w:val="left"/>
                              <w:rPr/>
                            </w:pPr>
                            <w:r>
                              <w:rPr/>
                              <w:t> </w:t>
                            </w:r>
                          </w:p>
                        </w:tc>
                      </w:tr>
                      <w:tr>
                        <w:trPr/>
                        <w:tc>
                          <w:tcPr>
                            <w:tcW w:w="5915" w:type="dxa"/>
                            <w:tcBorders>
                              <w:left w:val="single" w:sz="6" w:space="0" w:color="000000"/>
                              <w:right w:val="single" w:sz="6" w:space="0" w:color="000000"/>
                            </w:tcBorders>
                            <w:shd w:fill="D8E9F4" w:val="clear"/>
                            <w:tcMar>
                              <w:left w:w="160" w:type="dxa"/>
                              <w:right w:w="40" w:type="dxa"/>
                            </w:tcMar>
                            <w:vAlign w:val="center"/>
                          </w:tcPr>
                          <w:p>
                            <w:pPr>
                              <w:pStyle w:val="TableContents"/>
                              <w:bidi w:val="0"/>
                              <w:spacing w:before="0" w:after="0"/>
                              <w:jc w:val="left"/>
                              <w:rPr>
                                <w:rFonts w:ascii="arial" w:hAnsi="arial"/>
                                <w:sz w:val="16"/>
                              </w:rPr>
                            </w:pPr>
                            <w:r>
                              <w:rPr>
                                <w:rFonts w:ascii="arial" w:hAnsi="arial"/>
                                <w:sz w:val="16"/>
                              </w:rPr>
                              <w:t>Amgen TSR ≥ 75th percentile = 30% (Maximum)</w:t>
                            </w:r>
                          </w:p>
                          <w:p>
                            <w:pPr>
                              <w:pStyle w:val="TableContents"/>
                              <w:bidi w:val="0"/>
                              <w:spacing w:before="0" w:after="20"/>
                              <w:jc w:val="left"/>
                              <w:rPr/>
                            </w:pPr>
                            <w:r>
                              <w:rPr/>
                              <w:t> </w:t>
                            </w:r>
                          </w:p>
                        </w:tc>
                      </w:tr>
                      <w:tr>
                        <w:trPr/>
                        <w:tc>
                          <w:tcPr>
                            <w:tcW w:w="5915" w:type="dxa"/>
                            <w:tcBorders>
                              <w:left w:val="single" w:sz="6" w:space="0" w:color="000000"/>
                              <w:right w:val="single" w:sz="6" w:space="0" w:color="000000"/>
                            </w:tcBorders>
                            <w:tcMar>
                              <w:left w:w="160" w:type="dxa"/>
                              <w:right w:w="28" w:type="dxa"/>
                            </w:tcMar>
                            <w:vAlign w:val="center"/>
                          </w:tcPr>
                          <w:p>
                            <w:pPr>
                              <w:pStyle w:val="TableContents"/>
                              <w:bidi w:val="0"/>
                              <w:spacing w:before="0" w:after="283"/>
                              <w:jc w:val="left"/>
                              <w:rPr/>
                            </w:pPr>
                            <w:r>
                              <w:rPr/>
                              <w:t> </w:t>
                            </w:r>
                          </w:p>
                        </w:tc>
                      </w:tr>
                      <w:tr>
                        <w:trPr/>
                        <w:tc>
                          <w:tcPr>
                            <w:tcW w:w="5915" w:type="dxa"/>
                            <w:tcBorders>
                              <w:left w:val="single" w:sz="6" w:space="0" w:color="000000"/>
                              <w:right w:val="single" w:sz="6" w:space="0" w:color="000000"/>
                            </w:tcBorders>
                            <w:tcMar>
                              <w:left w:w="160" w:type="dxa"/>
                              <w:right w:w="40" w:type="dxa"/>
                            </w:tcMar>
                            <w:vAlign w:val="center"/>
                          </w:tcPr>
                          <w:p>
                            <w:pPr>
                              <w:pStyle w:val="TableContents"/>
                              <w:bidi w:val="0"/>
                              <w:spacing w:before="0" w:after="0"/>
                              <w:jc w:val="left"/>
                              <w:rPr>
                                <w:rFonts w:ascii="arial" w:hAnsi="arial"/>
                                <w:sz w:val="16"/>
                              </w:rPr>
                            </w:pPr>
                            <w:r>
                              <w:rPr>
                                <w:rFonts w:ascii="arial" w:hAnsi="arial"/>
                                <w:sz w:val="16"/>
                              </w:rPr>
                              <w:t>Amgen TSR = 50th percentile‡ = 0% (Target)</w:t>
                            </w:r>
                          </w:p>
                          <w:p>
                            <w:pPr>
                              <w:pStyle w:val="TableContents"/>
                              <w:bidi w:val="0"/>
                              <w:spacing w:before="0" w:after="0"/>
                              <w:jc w:val="left"/>
                              <w:rPr/>
                            </w:pPr>
                            <w:r>
                              <w:rPr/>
                              <w:t> </w:t>
                            </w:r>
                          </w:p>
                          <w:p>
                            <w:pPr>
                              <w:pStyle w:val="TableContents"/>
                              <w:bidi w:val="0"/>
                              <w:spacing w:before="0" w:after="20"/>
                              <w:jc w:val="left"/>
                              <w:rPr/>
                            </w:pPr>
                            <w:r>
                              <w:rPr/>
                              <w:t> </w:t>
                            </w:r>
                          </w:p>
                        </w:tc>
                      </w:tr>
                      <w:tr>
                        <w:trPr/>
                        <w:tc>
                          <w:tcPr>
                            <w:tcW w:w="5915" w:type="dxa"/>
                            <w:tcBorders>
                              <w:left w:val="single" w:sz="6" w:space="0" w:color="000000"/>
                              <w:right w:val="single" w:sz="6" w:space="0" w:color="000000"/>
                            </w:tcBorders>
                            <w:shd w:fill="D8E9F4" w:val="clear"/>
                            <w:tcMar>
                              <w:left w:w="160" w:type="dxa"/>
                              <w:right w:w="28" w:type="dxa"/>
                            </w:tcMar>
                            <w:vAlign w:val="center"/>
                          </w:tcPr>
                          <w:p>
                            <w:pPr>
                              <w:pStyle w:val="TableContents"/>
                              <w:bidi w:val="0"/>
                              <w:spacing w:before="0" w:after="283"/>
                              <w:jc w:val="left"/>
                              <w:rPr/>
                            </w:pPr>
                            <w:r>
                              <w:rPr/>
                              <w:t> </w:t>
                            </w:r>
                          </w:p>
                        </w:tc>
                      </w:tr>
                      <w:tr>
                        <w:trPr/>
                        <w:tc>
                          <w:tcPr>
                            <w:tcW w:w="5915" w:type="dxa"/>
                            <w:tcBorders>
                              <w:left w:val="single" w:sz="6" w:space="0" w:color="000000"/>
                              <w:right w:val="single" w:sz="6" w:space="0" w:color="000000"/>
                            </w:tcBorders>
                            <w:shd w:fill="D8E9F4" w:val="clear"/>
                            <w:tcMar>
                              <w:left w:w="160" w:type="dxa"/>
                              <w:right w:w="40" w:type="dxa"/>
                            </w:tcMar>
                            <w:vAlign w:val="center"/>
                          </w:tcPr>
                          <w:p>
                            <w:pPr>
                              <w:pStyle w:val="TableContents"/>
                              <w:bidi w:val="0"/>
                              <w:spacing w:before="0" w:after="0"/>
                              <w:jc w:val="left"/>
                              <w:rPr>
                                <w:rFonts w:ascii="arial" w:hAnsi="arial"/>
                                <w:sz w:val="16"/>
                              </w:rPr>
                            </w:pPr>
                            <w:r>
                              <w:rPr>
                                <w:rFonts w:ascii="arial" w:hAnsi="arial"/>
                                <w:sz w:val="16"/>
                              </w:rPr>
                              <w:t>Amgen TSR ≤ 25th percentile = -30% (Minimum)</w:t>
                            </w:r>
                          </w:p>
                          <w:p>
                            <w:pPr>
                              <w:pStyle w:val="TableContents"/>
                              <w:bidi w:val="0"/>
                              <w:spacing w:before="0" w:after="0"/>
                              <w:jc w:val="left"/>
                              <w:rPr/>
                            </w:pPr>
                            <w:r>
                              <w:rPr/>
                              <w:t> </w:t>
                            </w:r>
                          </w:p>
                          <w:p>
                            <w:pPr>
                              <w:pStyle w:val="TableContents"/>
                              <w:bidi w:val="0"/>
                              <w:spacing w:before="0" w:after="20"/>
                              <w:jc w:val="left"/>
                              <w:rPr/>
                            </w:pPr>
                            <w:r>
                              <w:rPr/>
                              <w:t> </w:t>
                            </w:r>
                          </w:p>
                        </w:tc>
                      </w:tr>
                      <w:tr>
                        <w:trPr/>
                        <w:tc>
                          <w:tcPr>
                            <w:tcW w:w="5915" w:type="dxa"/>
                            <w:tcBorders>
                              <w:left w:val="single" w:sz="6" w:space="0" w:color="000000"/>
                              <w:bottom w:val="single" w:sz="6" w:space="0" w:color="000000"/>
                              <w:right w:val="single" w:sz="6" w:space="0" w:color="000000"/>
                            </w:tcBorders>
                            <w:tcMar>
                              <w:left w:w="160" w:type="dxa"/>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6933" w:type="dxa"/>
                        <w:jc w:val="left"/>
                        <w:tblInd w:w="0" w:type="dxa"/>
                        <w:tblLayout w:type="fixed"/>
                        <w:tblCellMar>
                          <w:top w:w="0" w:type="dxa"/>
                          <w:left w:w="0" w:type="dxa"/>
                          <w:bottom w:w="0" w:type="dxa"/>
                          <w:right w:w="0" w:type="dxa"/>
                        </w:tblCellMar>
                      </w:tblPr>
                      <w:tblGrid>
                        <w:gridCol w:w="200"/>
                        <w:gridCol w:w="23"/>
                        <w:gridCol w:w="6710"/>
                      </w:tblGrid>
                      <w:tr>
                        <w:trPr/>
                        <w:tc>
                          <w:tcPr>
                            <w:tcW w:w="20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710" w:type="dxa"/>
                            <w:tcBorders/>
                            <w:vAlign w:val="center"/>
                          </w:tcPr>
                          <w:p>
                            <w:pPr>
                              <w:pStyle w:val="TableContents"/>
                              <w:bidi w:val="0"/>
                              <w:spacing w:before="0" w:after="0"/>
                              <w:jc w:val="both"/>
                              <w:rPr>
                                <w:rFonts w:ascii="arial" w:hAnsi="arial"/>
                                <w:sz w:val="16"/>
                              </w:rPr>
                            </w:pPr>
                            <w:r>
                              <w:rPr>
                                <w:rFonts w:ascii="arial" w:hAnsi="arial"/>
                                <w:sz w:val="16"/>
                              </w:rPr>
                              <w:t xml:space="preserve">If Amgen’s TSR is less than 0, the relative TSR modifier can be no greater than 0% (target).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3810000" cy="1238250"/>
                            <wp:effectExtent l="0" t="0" r="0" b="0"/>
                            <wp:docPr id="260"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128" descr=""/>
                                    <pic:cNvPicPr>
                                      <a:picLocks noChangeAspect="1" noChangeArrowheads="1"/>
                                    </pic:cNvPicPr>
                                  </pic:nvPicPr>
                                  <pic:blipFill>
                                    <a:blip r:embed="rId140"/>
                                    <a:stretch>
                                      <a:fillRect/>
                                    </a:stretch>
                                  </pic:blipFill>
                                  <pic:spPr bwMode="auto">
                                    <a:xfrm>
                                      <a:off x="0" y="0"/>
                                      <a:ext cx="3810000" cy="1238250"/>
                                    </a:xfrm>
                                    <a:prstGeom prst="rect">
                                      <a:avLst/>
                                    </a:prstGeom>
                                  </pic:spPr>
                                </pic:pic>
                              </a:graphicData>
                            </a:graphic>
                          </wp:inline>
                        </w:drawing>
                      </w:r>
                      <w:r>
                        <w:rPr/>
                        <w:t xml:space="preserve"> </w:t>
                      </w:r>
                    </w:p>
                    <w:p>
                      <w:pPr>
                        <w:pStyle w:val="TextBody"/>
                        <w:bidi w:val="0"/>
                        <w:spacing w:before="0" w:after="0"/>
                        <w:jc w:val="left"/>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360">
                <wp:simplePos x="0" y="0"/>
                <wp:positionH relativeFrom="column">
                  <wp:align>left</wp:align>
                </wp:positionH>
                <wp:positionV relativeFrom="line">
                  <wp:posOffset>635</wp:posOffset>
                </wp:positionV>
                <wp:extent cx="3110230" cy="4577715"/>
                <wp:effectExtent l="0" t="0" r="0" b="0"/>
                <wp:wrapSquare wrapText="right"/>
                <wp:docPr id="261" name="Frame121"/>
                <a:graphic xmlns:a="http://schemas.openxmlformats.org/drawingml/2006/main">
                  <a:graphicData uri="http://schemas.microsoft.com/office/word/2010/wordprocessingShape">
                    <wps:wsp>
                      <wps:cNvSpPr txBox="1"/>
                      <wps:spPr>
                        <a:xfrm>
                          <a:off x="0" y="0"/>
                          <a:ext cx="3110230" cy="4577715"/>
                        </a:xfrm>
                        <a:prstGeom prst="rect"/>
                        <a:solidFill>
                          <a:srgbClr val="FFFFFF"/>
                        </a:solidFill>
                      </wps:spPr>
                      <wps:txbx>
                        <w:txbxContent>
                          <w:tbl>
                            <w:tblPr>
                              <w:tblW w:w="5890" w:type="dxa"/>
                              <w:jc w:val="left"/>
                              <w:tblInd w:w="0" w:type="dxa"/>
                              <w:tblLayout w:type="fixed"/>
                              <w:tblCellMar>
                                <w:top w:w="0" w:type="dxa"/>
                                <w:left w:w="0" w:type="dxa"/>
                                <w:bottom w:w="0" w:type="dxa"/>
                                <w:right w:w="0" w:type="dxa"/>
                              </w:tblCellMar>
                            </w:tblPr>
                            <w:tblGrid>
                              <w:gridCol w:w="2015"/>
                              <w:gridCol w:w="60"/>
                              <w:gridCol w:w="770"/>
                              <w:gridCol w:w="60"/>
                              <w:gridCol w:w="635"/>
                              <w:gridCol w:w="60"/>
                              <w:gridCol w:w="1160"/>
                              <w:gridCol w:w="60"/>
                              <w:gridCol w:w="1070"/>
                            </w:tblGrid>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5890" w:type="dxa"/>
                                  <w:gridSpan w:val="9"/>
                                  <w:tcBorders>
                                    <w:top w:val="single" w:sz="6" w:space="0" w:color="000000"/>
                                    <w:left w:val="single" w:sz="6" w:space="0" w:color="000000"/>
                                    <w:bottom w:val="single" w:sz="6" w:space="0" w:color="000000"/>
                                    <w:right w:val="single" w:sz="6" w:space="0" w:color="000000"/>
                                  </w:tcBorders>
                                  <w:shd w:fill="0171B9" w:val="clear"/>
                                  <w:tcMar>
                                    <w:top w:w="28" w:type="dxa"/>
                                    <w:left w:w="160" w:type="dxa"/>
                                    <w:bottom w:w="28" w:type="dxa"/>
                                    <w:right w:w="40" w:type="dxa"/>
                                  </w:tcMar>
                                  <w:vAlign w:val="center"/>
                                </w:tcPr>
                                <w:p>
                                  <w:pPr>
                                    <w:pStyle w:val="TableContents"/>
                                    <w:bidi w:val="0"/>
                                    <w:spacing w:before="0" w:after="0"/>
                                    <w:jc w:val="center"/>
                                    <w:rPr>
                                      <w:rFonts w:ascii="arial" w:hAnsi="arial"/>
                                      <w:b/>
                                      <w:color w:val="FFFFFF"/>
                                      <w:sz w:val="18"/>
                                    </w:rPr>
                                  </w:pPr>
                                  <w:r>
                                    <w:rPr>
                                      <w:rFonts w:ascii="arial" w:hAnsi="arial"/>
                                      <w:b/>
                                      <w:color w:val="FFFFFF"/>
                                      <w:sz w:val="18"/>
                                    </w:rPr>
                                    <w:t>2022-2024 Operating Measures Score</w:t>
                                  </w:r>
                                </w:p>
                                <w:p>
                                  <w:pPr>
                                    <w:pStyle w:val="TableContents"/>
                                    <w:bidi w:val="0"/>
                                    <w:spacing w:before="0" w:after="0"/>
                                    <w:jc w:val="left"/>
                                    <w:rPr/>
                                  </w:pPr>
                                  <w:r>
                                    <w:rPr/>
                                    <w:t> </w:t>
                                  </w:r>
                                </w:p>
                                <w:p>
                                  <w:pPr>
                                    <w:pStyle w:val="TableContents"/>
                                    <w:bidi w:val="0"/>
                                    <w:spacing w:before="0" w:after="0"/>
                                    <w:jc w:val="center"/>
                                    <w:rPr>
                                      <w:rFonts w:ascii="arial" w:hAnsi="arial"/>
                                      <w:b/>
                                      <w:color w:val="FFFFFF"/>
                                      <w:sz w:val="16"/>
                                    </w:rPr>
                                  </w:pPr>
                                  <w:r>
                                    <w:rPr>
                                      <w:rFonts w:ascii="arial" w:hAnsi="arial"/>
                                      <w:b/>
                                      <w:color w:val="FFFFFF"/>
                                      <w:sz w:val="16"/>
                                    </w:rPr>
                                    <w:t>(Operating Measure Percentages 30 – 170% with linear</w:t>
                                  </w:r>
                                </w:p>
                                <w:p>
                                  <w:pPr>
                                    <w:pStyle w:val="TableContents"/>
                                    <w:bidi w:val="0"/>
                                    <w:spacing w:before="0" w:after="0"/>
                                    <w:jc w:val="left"/>
                                    <w:rPr/>
                                  </w:pPr>
                                  <w:r>
                                    <w:rPr/>
                                    <w:t> </w:t>
                                  </w:r>
                                </w:p>
                                <w:p>
                                  <w:pPr>
                                    <w:pStyle w:val="TableContents"/>
                                    <w:bidi w:val="0"/>
                                    <w:spacing w:before="0" w:after="0"/>
                                    <w:jc w:val="center"/>
                                    <w:rPr>
                                      <w:rFonts w:ascii="arial" w:hAnsi="arial"/>
                                      <w:b/>
                                      <w:color w:val="FFFFFF"/>
                                      <w:sz w:val="16"/>
                                    </w:rPr>
                                  </w:pPr>
                                  <w:r>
                                    <w:rPr>
                                      <w:rFonts w:ascii="arial" w:hAnsi="arial"/>
                                      <w:b/>
                                      <w:color w:val="FFFFFF"/>
                                      <w:sz w:val="16"/>
                                    </w:rPr>
                                    <w:t>interpolation along the payout curve)</w:t>
                                  </w:r>
                                </w:p>
                                <w:p>
                                  <w:pPr>
                                    <w:pStyle w:val="TableContents"/>
                                    <w:bidi w:val="0"/>
                                    <w:spacing w:before="0" w:after="20"/>
                                    <w:jc w:val="left"/>
                                    <w:rPr/>
                                  </w:pPr>
                                  <w:r>
                                    <w:rPr/>
                                    <w:t> </w:t>
                                  </w:r>
                                </w:p>
                              </w:tc>
                            </w:tr>
                            <w:tr>
                              <w:trPr/>
                              <w:tc>
                                <w:tcPr>
                                  <w:tcW w:w="5890" w:type="dxa"/>
                                  <w:gridSpan w:val="9"/>
                                  <w:tcBorders>
                                    <w:top w:val="single" w:sz="6" w:space="0" w:color="000000"/>
                                    <w:left w:val="single" w:sz="6" w:space="0" w:color="000000"/>
                                    <w:bottom w:val="single" w:sz="6" w:space="0" w:color="000000"/>
                                    <w:right w:val="single" w:sz="6" w:space="0" w:color="000000"/>
                                  </w:tcBorders>
                                  <w:tcMar>
                                    <w:top w:w="28" w:type="dxa"/>
                                    <w:left w:w="160" w:type="dxa"/>
                                    <w:bottom w:w="28" w:type="dxa"/>
                                    <w:right w:w="40" w:type="dxa"/>
                                  </w:tcMar>
                                  <w:vAlign w:val="center"/>
                                </w:tcPr>
                                <w:p>
                                  <w:pPr>
                                    <w:pStyle w:val="TableContents"/>
                                    <w:bidi w:val="0"/>
                                    <w:spacing w:before="0" w:after="283"/>
                                    <w:jc w:val="center"/>
                                    <w:rPr>
                                      <w:sz w:val="16"/>
                                    </w:rPr>
                                  </w:pPr>
                                  <w:r>
                                    <w:rPr>
                                      <w:sz w:val="16"/>
                                    </w:rPr>
                                    <w:t>Operating Measure Percentages are Equally Weighted</w:t>
                                    <w:br/>
                                    <w:t>for Each of the Three Years</w:t>
                                  </w:r>
                                </w:p>
                              </w:tc>
                            </w:tr>
                            <w:tr>
                              <w:trPr/>
                              <w:tc>
                                <w:tcPr>
                                  <w:tcW w:w="2015" w:type="dxa"/>
                                  <w:tcBorders>
                                    <w:top w:val="single" w:sz="6" w:space="0" w:color="000000"/>
                                    <w:left w:val="single" w:sz="6" w:space="0" w:color="000000"/>
                                    <w:bottom w:val="single" w:sz="6" w:space="0" w:color="000000"/>
                                    <w:right w:val="single" w:sz="6" w:space="0" w:color="000000"/>
                                  </w:tcBorders>
                                  <w:tcMar>
                                    <w:top w:w="28" w:type="dxa"/>
                                    <w:left w:w="160" w:type="dxa"/>
                                    <w:bottom w:w="28" w:type="dxa"/>
                                    <w:right w:w="28" w:type="dxa"/>
                                  </w:tcMar>
                                  <w:vAlign w:val="center"/>
                                </w:tcPr>
                                <w:p>
                                  <w:pPr>
                                    <w:pStyle w:val="TableContents"/>
                                    <w:bidi w:val="0"/>
                                    <w:spacing w:before="0" w:after="283"/>
                                    <w:jc w:val="left"/>
                                    <w:rPr>
                                      <w:b/>
                                      <w:color w:val="0171B9"/>
                                    </w:rPr>
                                  </w:pPr>
                                  <w:r>
                                    <w:rPr>
                                      <w:b/>
                                      <w:color w:val="0171B9"/>
                                    </w:rPr>
                                    <w:t>Non-GAAP(1)(2)  </w:t>
                                    <w:br/>
                                    <w:t>Operating</w:t>
                                    <w:br/>
                                    <w:t>Measures</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77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b/>
                                      <w:color w:val="0171B9"/>
                                    </w:rPr>
                                  </w:pPr>
                                  <w:r>
                                    <w:rPr>
                                      <w:b/>
                                      <w:color w:val="0171B9"/>
                                    </w:rPr>
                                    <w:t>2022(2)</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63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b/>
                                      <w:color w:val="0171B9"/>
                                    </w:rPr>
                                  </w:pPr>
                                  <w:r>
                                    <w:rPr>
                                      <w:b/>
                                      <w:color w:val="0171B9"/>
                                    </w:rPr>
                                    <w:t>2023</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16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b/>
                                      <w:color w:val="0171B9"/>
                                    </w:rPr>
                                  </w:pPr>
                                  <w:r>
                                    <w:rPr>
                                      <w:b/>
                                      <w:color w:val="0171B9"/>
                                    </w:rPr>
                                    <w:t>2024</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070"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283"/>
                                    <w:jc w:val="center"/>
                                    <w:rPr>
                                      <w:b/>
                                      <w:color w:val="0171B9"/>
                                    </w:rPr>
                                  </w:pPr>
                                  <w:r>
                                    <w:rPr>
                                      <w:b/>
                                      <w:color w:val="0171B9"/>
                                    </w:rPr>
                                    <w:t>2022-2024</w:t>
                                    <w:br/>
                                    <w:t>Average</w:t>
                                    <w:br/>
                                    <w:t>Operating</w:t>
                                    <w:br/>
                                    <w:t>Measures</w:t>
                                  </w:r>
                                </w:p>
                              </w:tc>
                            </w:tr>
                            <w:tr>
                              <w:trPr/>
                              <w:tc>
                                <w:tcPr>
                                  <w:tcW w:w="2015" w:type="dxa"/>
                                  <w:tcBorders>
                                    <w:top w:val="single" w:sz="6" w:space="0" w:color="000000"/>
                                    <w:left w:val="single" w:sz="6" w:space="0" w:color="000000"/>
                                    <w:bottom w:val="single" w:sz="6" w:space="0" w:color="000000"/>
                                    <w:right w:val="single" w:sz="6" w:space="0" w:color="000000"/>
                                  </w:tcBorders>
                                  <w:shd w:fill="0171B9" w:val="clear"/>
                                  <w:tcMar>
                                    <w:top w:w="28" w:type="dxa"/>
                                    <w:left w:w="160" w:type="dxa"/>
                                    <w:bottom w:w="28" w:type="dxa"/>
                                    <w:right w:w="28"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EPS</w:t>
                                  </w:r>
                                </w:p>
                                <w:p>
                                  <w:pPr>
                                    <w:pStyle w:val="TableContents"/>
                                    <w:bidi w:val="0"/>
                                    <w:spacing w:before="0" w:after="20"/>
                                    <w:jc w:val="center"/>
                                    <w:rPr>
                                      <w:rFonts w:ascii="arial" w:hAnsi="arial"/>
                                      <w:b/>
                                      <w:color w:val="FFFFFF"/>
                                      <w:sz w:val="16"/>
                                    </w:rPr>
                                  </w:pPr>
                                  <w:r>
                                    <w:rPr>
                                      <w:rFonts w:ascii="arial" w:hAnsi="arial"/>
                                      <w:b/>
                                      <w:color w:val="FFFFFF"/>
                                      <w:sz w:val="16"/>
                                    </w:rPr>
                                    <w:t>Growth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77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0"/>
                                    <w:jc w:val="center"/>
                                    <w:rPr>
                                      <w:rFonts w:ascii="arial" w:hAnsi="arial"/>
                                      <w:sz w:val="16"/>
                                    </w:rPr>
                                  </w:pPr>
                                  <w:r>
                                    <w:rPr>
                                      <w:rFonts w:ascii="arial" w:hAnsi="arial"/>
                                      <w:sz w:val="16"/>
                                    </w:rPr>
                                    <w:t>114.1%</w:t>
                                  </w:r>
                                </w:p>
                                <w:p>
                                  <w:pPr>
                                    <w:pStyle w:val="TableContents"/>
                                    <w:bidi w:val="0"/>
                                    <w:spacing w:before="0" w:after="20"/>
                                    <w:jc w:val="center"/>
                                    <w:rPr>
                                      <w:rFonts w:ascii="arial" w:hAnsi="arial"/>
                                      <w:sz w:val="16"/>
                                    </w:rPr>
                                  </w:pPr>
                                  <w:r>
                                    <w:rPr>
                                      <w:rFonts w:ascii="arial" w:hAnsi="arial"/>
                                      <w:sz w:val="16"/>
                                    </w:rPr>
                                    <w:t>($17.78)</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63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0"/>
                                    <w:jc w:val="center"/>
                                    <w:rPr>
                                      <w:rFonts w:ascii="arial" w:hAnsi="arial"/>
                                      <w:sz w:val="16"/>
                                    </w:rPr>
                                  </w:pPr>
                                  <w:r>
                                    <w:rPr>
                                      <w:rFonts w:ascii="arial" w:hAnsi="arial"/>
                                      <w:sz w:val="16"/>
                                    </w:rPr>
                                    <w:t>99.4%</w:t>
                                  </w:r>
                                </w:p>
                                <w:p>
                                  <w:pPr>
                                    <w:pStyle w:val="TableContents"/>
                                    <w:bidi w:val="0"/>
                                    <w:spacing w:before="0" w:after="20"/>
                                    <w:jc w:val="center"/>
                                    <w:rPr>
                                      <w:rFonts w:ascii="arial" w:hAnsi="arial"/>
                                      <w:sz w:val="16"/>
                                    </w:rPr>
                                  </w:pPr>
                                  <w:r>
                                    <w:rPr>
                                      <w:rFonts w:ascii="arial" w:hAnsi="arial"/>
                                      <w:sz w:val="16"/>
                                    </w:rPr>
                                    <w:t>($18.82)</w:t>
                                  </w:r>
                                </w:p>
                              </w:tc>
                              <w:tc>
                                <w:tcPr>
                                  <w:tcW w:w="60" w:type="dxa"/>
                                  <w:vMerge w:val="restart"/>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160" w:type="dxa"/>
                                  <w:vMerge w:val="restart"/>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0"/>
                                    <w:jc w:val="center"/>
                                    <w:rPr>
                                      <w:rFonts w:ascii="arial" w:hAnsi="arial"/>
                                      <w:color w:val="0171B9"/>
                                      <w:sz w:val="16"/>
                                    </w:rPr>
                                  </w:pPr>
                                  <w:r>
                                    <w:rPr>
                                      <w:rFonts w:ascii="arial" w:hAnsi="arial"/>
                                      <w:color w:val="0171B9"/>
                                      <w:sz w:val="16"/>
                                    </w:rPr>
                                    <w:t>Pre-established</w:t>
                                  </w:r>
                                </w:p>
                                <w:p>
                                  <w:pPr>
                                    <w:pStyle w:val="TableContents"/>
                                    <w:bidi w:val="0"/>
                                    <w:spacing w:before="0" w:after="0"/>
                                    <w:jc w:val="center"/>
                                    <w:rPr>
                                      <w:rFonts w:ascii="arial" w:hAnsi="arial"/>
                                      <w:color w:val="0171B9"/>
                                      <w:sz w:val="16"/>
                                    </w:rPr>
                                  </w:pPr>
                                  <w:r>
                                    <w:rPr>
                                      <w:rFonts w:ascii="arial" w:hAnsi="arial"/>
                                      <w:color w:val="0171B9"/>
                                      <w:sz w:val="16"/>
                                    </w:rPr>
                                    <w:t>and to be</w:t>
                                  </w:r>
                                </w:p>
                                <w:p>
                                  <w:pPr>
                                    <w:pStyle w:val="TableContents"/>
                                    <w:bidi w:val="0"/>
                                    <w:spacing w:before="0" w:after="20"/>
                                    <w:jc w:val="center"/>
                                    <w:rPr>
                                      <w:rFonts w:ascii="arial" w:hAnsi="arial"/>
                                      <w:color w:val="0171B9"/>
                                      <w:sz w:val="16"/>
                                    </w:rPr>
                                  </w:pPr>
                                  <w:r>
                                    <w:rPr>
                                      <w:rFonts w:ascii="arial" w:hAnsi="arial"/>
                                      <w:color w:val="0171B9"/>
                                      <w:sz w:val="16"/>
                                    </w:rPr>
                                    <w:t>disclosed(4)</w:t>
                                  </w:r>
                                </w:p>
                              </w:tc>
                              <w:tc>
                                <w:tcPr>
                                  <w:tcW w:w="60" w:type="dxa"/>
                                  <w:tcBorders>
                                    <w:top w:val="single" w:sz="6" w:space="0" w:color="000000"/>
                                    <w:left w:val="single" w:sz="6" w:space="0" w:color="000000"/>
                                    <w:bottom w:val="single" w:sz="6" w:space="0" w:color="000000"/>
                                  </w:tcBorders>
                                  <w:shd w:fill="D8E9F4" w:val="clear"/>
                                  <w:tcMar>
                                    <w:top w:w="28" w:type="dxa"/>
                                    <w:left w:w="28" w:type="dxa"/>
                                    <w:bottom w:w="28" w:type="dxa"/>
                                  </w:tcMar>
                                  <w:vAlign w:val="center"/>
                                </w:tcPr>
                                <w:p>
                                  <w:pPr>
                                    <w:pStyle w:val="TableContents"/>
                                    <w:bidi w:val="0"/>
                                    <w:spacing w:before="0" w:after="283"/>
                                    <w:jc w:val="left"/>
                                    <w:rPr/>
                                  </w:pPr>
                                  <w:r>
                                    <w:rPr/>
                                    <w:t> </w:t>
                                  </w:r>
                                </w:p>
                              </w:tc>
                              <w:tc>
                                <w:tcPr>
                                  <w:tcW w:w="1070" w:type="dxa"/>
                                  <w:tcBorders>
                                    <w:top w:val="single" w:sz="6" w:space="0" w:color="000000"/>
                                    <w:bottom w:val="single" w:sz="6" w:space="0" w:color="000000"/>
                                    <w:right w:val="single" w:sz="6" w:space="0" w:color="000000"/>
                                  </w:tcBorders>
                                  <w:shd w:fill="D8E9F4" w:val="clear"/>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TBD</w:t>
                                  </w:r>
                                </w:p>
                              </w:tc>
                            </w:tr>
                            <w:tr>
                              <w:trPr/>
                              <w:tc>
                                <w:tcPr>
                                  <w:tcW w:w="2015" w:type="dxa"/>
                                  <w:tcBorders>
                                    <w:top w:val="single" w:sz="6" w:space="0" w:color="000000"/>
                                    <w:left w:val="single" w:sz="6" w:space="0" w:color="000000"/>
                                    <w:bottom w:val="single" w:sz="6" w:space="0" w:color="000000"/>
                                    <w:right w:val="single" w:sz="6" w:space="0" w:color="000000"/>
                                  </w:tcBorders>
                                  <w:shd w:fill="80B8DC" w:val="clear"/>
                                  <w:tcMar>
                                    <w:top w:w="28" w:type="dxa"/>
                                    <w:left w:w="160" w:type="dxa"/>
                                    <w:bottom w:w="28" w:type="dxa"/>
                                    <w:right w:w="28" w:type="dxa"/>
                                  </w:tcMar>
                                  <w:vAlign w:val="center"/>
                                </w:tcPr>
                                <w:p>
                                  <w:pPr>
                                    <w:pStyle w:val="TableContents"/>
                                    <w:bidi w:val="0"/>
                                    <w:spacing w:before="0" w:after="283"/>
                                    <w:jc w:val="center"/>
                                    <w:rPr>
                                      <w:b/>
                                      <w:color w:val="FFFFFF"/>
                                    </w:rPr>
                                  </w:pPr>
                                  <w:r>
                                    <w:rPr>
                                      <w:b/>
                                      <w:color w:val="FFFFFF"/>
                                    </w:rPr>
                                    <w:t>ROIC(3)</w:t>
                                    <w:br/>
                                    <w:t>(%)</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77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0"/>
                                    <w:jc w:val="center"/>
                                    <w:rPr>
                                      <w:rFonts w:ascii="arial" w:hAnsi="arial"/>
                                      <w:sz w:val="16"/>
                                    </w:rPr>
                                  </w:pPr>
                                  <w:r>
                                    <w:rPr>
                                      <w:rFonts w:ascii="arial" w:hAnsi="arial"/>
                                      <w:sz w:val="16"/>
                                    </w:rPr>
                                    <w:t>105.3%</w:t>
                                  </w:r>
                                </w:p>
                                <w:p>
                                  <w:pPr>
                                    <w:pStyle w:val="TableContents"/>
                                    <w:bidi w:val="0"/>
                                    <w:spacing w:before="0" w:after="20"/>
                                    <w:jc w:val="center"/>
                                    <w:rPr>
                                      <w:rFonts w:ascii="arial" w:hAnsi="arial"/>
                                      <w:sz w:val="16"/>
                                    </w:rPr>
                                  </w:pPr>
                                  <w:r>
                                    <w:rPr>
                                      <w:rFonts w:ascii="arial" w:hAnsi="arial"/>
                                      <w:sz w:val="16"/>
                                    </w:rPr>
                                    <w:t>(23.0%)</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63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0"/>
                                    <w:jc w:val="center"/>
                                    <w:rPr>
                                      <w:rFonts w:ascii="arial" w:hAnsi="arial"/>
                                      <w:sz w:val="16"/>
                                    </w:rPr>
                                  </w:pPr>
                                  <w:r>
                                    <w:rPr>
                                      <w:rFonts w:ascii="arial" w:hAnsi="arial"/>
                                      <w:sz w:val="16"/>
                                    </w:rPr>
                                    <w:t>30.0%</w:t>
                                  </w:r>
                                </w:p>
                                <w:p>
                                  <w:pPr>
                                    <w:pStyle w:val="TableContents"/>
                                    <w:bidi w:val="0"/>
                                    <w:spacing w:before="0" w:after="20"/>
                                    <w:jc w:val="center"/>
                                    <w:rPr>
                                      <w:rFonts w:ascii="arial" w:hAnsi="arial"/>
                                      <w:sz w:val="16"/>
                                    </w:rPr>
                                  </w:pPr>
                                  <w:r>
                                    <w:rPr>
                                      <w:rFonts w:ascii="arial" w:hAnsi="arial"/>
                                      <w:sz w:val="16"/>
                                    </w:rPr>
                                    <w:t>(15.2%)</w:t>
                                  </w:r>
                                </w:p>
                              </w:tc>
                              <w:tc>
                                <w:tcPr>
                                  <w:tcW w:w="60" w:type="dxa"/>
                                  <w:vMerge w:val="continue"/>
                                  <w:tcBorders>
                                    <w:top w:val="single" w:sz="6" w:space="0" w:color="000000"/>
                                    <w:left w:val="single" w:sz="6" w:space="0" w:color="000000"/>
                                    <w:bottom w:val="single" w:sz="6" w:space="0" w:color="000000"/>
                                  </w:tcBorders>
                                  <w:tcMar>
                                    <w:top w:w="28" w:type="dxa"/>
                                    <w:left w:w="28" w:type="dxa"/>
                                    <w:bottom w:w="28" w:type="dxa"/>
                                  </w:tcMar>
                                  <w:vAlign w:val="center"/>
                                </w:tcPr>
                                <w:p>
                                  <w:pPr>
                                    <w:pStyle w:val="Normal"/>
                                    <w:bidi w:val="0"/>
                                    <w:jc w:val="left"/>
                                    <w:rPr/>
                                  </w:pPr>
                                  <w:r>
                                    <w:rPr/>
                                  </w:r>
                                </w:p>
                              </w:tc>
                              <w:tc>
                                <w:tcPr>
                                  <w:tcW w:w="1160" w:type="dxa"/>
                                  <w:vMerge w:val="continue"/>
                                  <w:tcBorders>
                                    <w:top w:val="single" w:sz="6" w:space="0" w:color="000000"/>
                                    <w:bottom w:val="single" w:sz="6" w:space="0" w:color="000000"/>
                                    <w:right w:val="single" w:sz="6" w:space="0" w:color="000000"/>
                                  </w:tcBorders>
                                  <w:tcMar>
                                    <w:top w:w="28" w:type="dxa"/>
                                    <w:bottom w:w="28" w:type="dxa"/>
                                    <w:right w:w="28" w:type="dxa"/>
                                  </w:tcMar>
                                  <w:vAlign w:val="center"/>
                                </w:tcPr>
                                <w:p>
                                  <w:pPr>
                                    <w:pStyle w:val="Normal"/>
                                    <w:bidi w:val="0"/>
                                    <w:jc w:val="left"/>
                                    <w:rPr/>
                                  </w:pPr>
                                  <w:r>
                                    <w:rPr/>
                                  </w:r>
                                </w:p>
                              </w:tc>
                              <w:tc>
                                <w:tcPr>
                                  <w:tcW w:w="60" w:type="dxa"/>
                                  <w:tcBorders>
                                    <w:left w:val="single" w:sz="6" w:space="0" w:color="000000"/>
                                    <w:bottom w:val="single" w:sz="6" w:space="0" w:color="000000"/>
                                  </w:tcBorders>
                                  <w:shd w:fill="D8E9F4" w:val="clear"/>
                                  <w:tcMar>
                                    <w:left w:w="28" w:type="dxa"/>
                                    <w:bottom w:w="28" w:type="dxa"/>
                                  </w:tcMar>
                                  <w:vAlign w:val="center"/>
                                </w:tcPr>
                                <w:p>
                                  <w:pPr>
                                    <w:pStyle w:val="TableContents"/>
                                    <w:bidi w:val="0"/>
                                    <w:spacing w:before="0" w:after="283"/>
                                    <w:jc w:val="left"/>
                                    <w:rPr/>
                                  </w:pPr>
                                  <w:r>
                                    <w:rPr/>
                                    <w:t> </w:t>
                                  </w:r>
                                </w:p>
                              </w:tc>
                              <w:tc>
                                <w:tcPr>
                                  <w:tcW w:w="1070" w:type="dxa"/>
                                  <w:tcBorders>
                                    <w:bottom w:val="single" w:sz="6" w:space="0" w:color="000000"/>
                                    <w:right w:val="single" w:sz="6" w:space="0" w:color="000000"/>
                                  </w:tcBorders>
                                  <w:shd w:fill="D8E9F4" w:val="clear"/>
                                  <w:tcMar>
                                    <w:bottom w:w="28" w:type="dxa"/>
                                    <w:right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TBD</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top w:val="single" w:sz="6" w:space="0" w:color="000000"/>
                                    <w:left w:val="single" w:sz="6" w:space="0" w:color="000000"/>
                                    <w:bottom w:val="single" w:sz="6" w:space="0" w:color="000000"/>
                                  </w:tcBorders>
                                  <w:shd w:fill="0171B9" w:val="clear"/>
                                  <w:tcMar>
                                    <w:top w:w="28" w:type="dxa"/>
                                    <w:left w:w="28" w:type="dxa"/>
                                    <w:bottom w:w="28" w:type="dxa"/>
                                  </w:tcMar>
                                  <w:vAlign w:val="center"/>
                                </w:tcPr>
                                <w:p>
                                  <w:pPr>
                                    <w:pStyle w:val="TableContents"/>
                                    <w:bidi w:val="0"/>
                                    <w:spacing w:before="0" w:after="283"/>
                                    <w:jc w:val="left"/>
                                    <w:rPr/>
                                  </w:pPr>
                                  <w:r>
                                    <w:rPr/>
                                    <w:t> </w:t>
                                  </w:r>
                                </w:p>
                              </w:tc>
                              <w:tc>
                                <w:tcPr>
                                  <w:tcW w:w="770" w:type="dxa"/>
                                  <w:tcBorders>
                                    <w:top w:val="single" w:sz="6" w:space="0" w:color="000000"/>
                                    <w:bottom w:val="single" w:sz="6" w:space="0" w:color="000000"/>
                                    <w:right w:val="single" w:sz="6" w:space="0" w:color="000000"/>
                                  </w:tcBorders>
                                  <w:shd w:fill="0171B9" w:val="clear"/>
                                  <w:tcMar>
                                    <w:top w:w="28"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color w:val="FFFFFF"/>
                                      <w:sz w:val="16"/>
                                    </w:rPr>
                                  </w:pPr>
                                  <w:r>
                                    <w:rPr>
                                      <w:rFonts w:ascii="arial" w:hAnsi="arial"/>
                                      <w:color w:val="FFFFFF"/>
                                      <w:sz w:val="16"/>
                                    </w:rPr>
                                    <w:t>109.7%</w:t>
                                  </w:r>
                                </w:p>
                                <w:p>
                                  <w:pPr>
                                    <w:pStyle w:val="TableContents"/>
                                    <w:bidi w:val="0"/>
                                    <w:spacing w:before="0" w:after="20"/>
                                    <w:jc w:val="left"/>
                                    <w:rPr/>
                                  </w:pPr>
                                  <w:r>
                                    <w:rPr/>
                                    <w:t> </w:t>
                                  </w:r>
                                </w:p>
                              </w:tc>
                              <w:tc>
                                <w:tcPr>
                                  <w:tcW w:w="60" w:type="dxa"/>
                                  <w:tcBorders>
                                    <w:top w:val="single" w:sz="6" w:space="0" w:color="000000"/>
                                    <w:left w:val="single" w:sz="6" w:space="0" w:color="000000"/>
                                    <w:bottom w:val="single" w:sz="6" w:space="0" w:color="000000"/>
                                  </w:tcBorders>
                                  <w:shd w:fill="0171B9" w:val="clear"/>
                                  <w:tcMar>
                                    <w:top w:w="28" w:type="dxa"/>
                                    <w:left w:w="28" w:type="dxa"/>
                                    <w:bottom w:w="28" w:type="dxa"/>
                                  </w:tcMar>
                                  <w:vAlign w:val="center"/>
                                </w:tcPr>
                                <w:p>
                                  <w:pPr>
                                    <w:pStyle w:val="TableContents"/>
                                    <w:bidi w:val="0"/>
                                    <w:spacing w:before="0" w:after="283"/>
                                    <w:jc w:val="left"/>
                                    <w:rPr/>
                                  </w:pPr>
                                  <w:r>
                                    <w:rPr/>
                                    <w:t> </w:t>
                                  </w:r>
                                </w:p>
                              </w:tc>
                              <w:tc>
                                <w:tcPr>
                                  <w:tcW w:w="635" w:type="dxa"/>
                                  <w:tcBorders>
                                    <w:top w:val="single" w:sz="6" w:space="0" w:color="000000"/>
                                    <w:bottom w:val="single" w:sz="6" w:space="0" w:color="000000"/>
                                    <w:right w:val="single" w:sz="6" w:space="0" w:color="000000"/>
                                  </w:tcBorders>
                                  <w:shd w:fill="0171B9" w:val="clear"/>
                                  <w:tcMar>
                                    <w:top w:w="28"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color w:val="FFFFFF"/>
                                      <w:sz w:val="16"/>
                                    </w:rPr>
                                  </w:pPr>
                                  <w:r>
                                    <w:rPr>
                                      <w:rFonts w:ascii="arial" w:hAnsi="arial"/>
                                      <w:color w:val="FFFFFF"/>
                                      <w:sz w:val="16"/>
                                    </w:rPr>
                                    <w:t>64.7%</w:t>
                                  </w:r>
                                </w:p>
                                <w:p>
                                  <w:pPr>
                                    <w:pStyle w:val="TableContents"/>
                                    <w:bidi w:val="0"/>
                                    <w:spacing w:before="0" w:after="20"/>
                                    <w:jc w:val="left"/>
                                    <w:rPr/>
                                  </w:pPr>
                                  <w:r>
                                    <w:rPr/>
                                    <w:t> </w:t>
                                  </w:r>
                                </w:p>
                              </w:tc>
                              <w:tc>
                                <w:tcPr>
                                  <w:tcW w:w="60" w:type="dxa"/>
                                  <w:tcBorders>
                                    <w:top w:val="single" w:sz="6" w:space="0" w:color="000000"/>
                                    <w:left w:val="single" w:sz="6" w:space="0" w:color="000000"/>
                                    <w:bottom w:val="single" w:sz="6" w:space="0" w:color="000000"/>
                                  </w:tcBorders>
                                  <w:shd w:fill="0171B9" w:val="clear"/>
                                  <w:tcMar>
                                    <w:top w:w="28" w:type="dxa"/>
                                    <w:left w:w="28" w:type="dxa"/>
                                    <w:bottom w:w="28" w:type="dxa"/>
                                  </w:tcMar>
                                  <w:vAlign w:val="center"/>
                                </w:tcPr>
                                <w:p>
                                  <w:pPr>
                                    <w:pStyle w:val="TableContents"/>
                                    <w:bidi w:val="0"/>
                                    <w:spacing w:before="0" w:after="283"/>
                                    <w:jc w:val="left"/>
                                    <w:rPr/>
                                  </w:pPr>
                                  <w:r>
                                    <w:rPr/>
                                    <w:t> </w:t>
                                  </w:r>
                                </w:p>
                              </w:tc>
                              <w:tc>
                                <w:tcPr>
                                  <w:tcW w:w="1160" w:type="dxa"/>
                                  <w:tcBorders>
                                    <w:top w:val="single" w:sz="6" w:space="0" w:color="000000"/>
                                    <w:bottom w:val="single" w:sz="6" w:space="0" w:color="000000"/>
                                    <w:right w:val="single" w:sz="6" w:space="0" w:color="000000"/>
                                  </w:tcBorders>
                                  <w:shd w:fill="0171B9" w:val="clear"/>
                                  <w:tcMar>
                                    <w:top w:w="28"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color w:val="FFFFFF"/>
                                      <w:sz w:val="16"/>
                                    </w:rPr>
                                  </w:pPr>
                                  <w:r>
                                    <w:rPr>
                                      <w:rFonts w:ascii="arial" w:hAnsi="arial"/>
                                      <w:color w:val="FFFFFF"/>
                                      <w:sz w:val="16"/>
                                    </w:rPr>
                                    <w:t>TBD</w:t>
                                  </w:r>
                                </w:p>
                                <w:p>
                                  <w:pPr>
                                    <w:pStyle w:val="TableContents"/>
                                    <w:bidi w:val="0"/>
                                    <w:spacing w:before="0" w:after="20"/>
                                    <w:jc w:val="left"/>
                                    <w:rPr/>
                                  </w:pPr>
                                  <w:r>
                                    <w:rPr/>
                                    <w:t> </w:t>
                                  </w:r>
                                </w:p>
                              </w:tc>
                              <w:tc>
                                <w:tcPr>
                                  <w:tcW w:w="60" w:type="dxa"/>
                                  <w:tcBorders>
                                    <w:top w:val="single" w:sz="6" w:space="0" w:color="000000"/>
                                    <w:left w:val="single" w:sz="6" w:space="0" w:color="000000"/>
                                    <w:bottom w:val="single" w:sz="6" w:space="0" w:color="000000"/>
                                  </w:tcBorders>
                                  <w:shd w:fill="0171B9" w:val="clear"/>
                                  <w:tcMar>
                                    <w:top w:w="28" w:type="dxa"/>
                                    <w:left w:w="28" w:type="dxa"/>
                                    <w:bottom w:w="28" w:type="dxa"/>
                                  </w:tcMar>
                                  <w:vAlign w:val="center"/>
                                </w:tcPr>
                                <w:p>
                                  <w:pPr>
                                    <w:pStyle w:val="TableContents"/>
                                    <w:bidi w:val="0"/>
                                    <w:spacing w:before="0" w:after="283"/>
                                    <w:jc w:val="left"/>
                                    <w:rPr/>
                                  </w:pPr>
                                  <w:r>
                                    <w:rPr/>
                                    <w:t> </w:t>
                                  </w:r>
                                </w:p>
                              </w:tc>
                              <w:tc>
                                <w:tcPr>
                                  <w:tcW w:w="1070" w:type="dxa"/>
                                  <w:tcBorders>
                                    <w:top w:val="single" w:sz="6" w:space="0" w:color="000000"/>
                                    <w:bottom w:val="single" w:sz="6" w:space="0" w:color="000000"/>
                                    <w:right w:val="single" w:sz="6" w:space="0" w:color="000000"/>
                                  </w:tcBorders>
                                  <w:shd w:fill="0171B9" w:val="clear"/>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6"/>
                                    </w:rPr>
                                  </w:pPr>
                                  <w:r>
                                    <w:rPr>
                                      <w:rFonts w:ascii="arial" w:hAnsi="arial"/>
                                      <w:b/>
                                      <w:color w:val="FFFFFF"/>
                                      <w:sz w:val="16"/>
                                    </w:rPr>
                                    <w:t>TBD</w:t>
                                  </w:r>
                                </w:p>
                                <w:p>
                                  <w:pPr>
                                    <w:pStyle w:val="TableContents"/>
                                    <w:bidi w:val="0"/>
                                    <w:spacing w:before="0" w:after="20"/>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60.45pt;mso-wrap-distance-left:0pt;mso-wrap-distance-right:0pt;mso-wrap-distance-top:0pt;mso-wrap-distance-bottom:0pt;margin-top:0pt;mso-position-vertical:top;mso-position-vertical-relative:text;margin-left:250pt;mso-position-horizontal:left;mso-position-horizontal-relative:text">
                <v:textbox inset="0in,0in,0in,0in">
                  <w:txbxContent>
                    <w:tbl>
                      <w:tblPr>
                        <w:tblW w:w="5890" w:type="dxa"/>
                        <w:jc w:val="left"/>
                        <w:tblInd w:w="0" w:type="dxa"/>
                        <w:tblLayout w:type="fixed"/>
                        <w:tblCellMar>
                          <w:top w:w="0" w:type="dxa"/>
                          <w:left w:w="0" w:type="dxa"/>
                          <w:bottom w:w="0" w:type="dxa"/>
                          <w:right w:w="0" w:type="dxa"/>
                        </w:tblCellMar>
                      </w:tblPr>
                      <w:tblGrid>
                        <w:gridCol w:w="2015"/>
                        <w:gridCol w:w="60"/>
                        <w:gridCol w:w="770"/>
                        <w:gridCol w:w="60"/>
                        <w:gridCol w:w="635"/>
                        <w:gridCol w:w="60"/>
                        <w:gridCol w:w="1160"/>
                        <w:gridCol w:w="60"/>
                        <w:gridCol w:w="1070"/>
                      </w:tblGrid>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5890" w:type="dxa"/>
                            <w:gridSpan w:val="9"/>
                            <w:tcBorders>
                              <w:top w:val="single" w:sz="6" w:space="0" w:color="000000"/>
                              <w:left w:val="single" w:sz="6" w:space="0" w:color="000000"/>
                              <w:bottom w:val="single" w:sz="6" w:space="0" w:color="000000"/>
                              <w:right w:val="single" w:sz="6" w:space="0" w:color="000000"/>
                            </w:tcBorders>
                            <w:shd w:fill="0171B9" w:val="clear"/>
                            <w:tcMar>
                              <w:top w:w="28" w:type="dxa"/>
                              <w:left w:w="160" w:type="dxa"/>
                              <w:bottom w:w="28" w:type="dxa"/>
                              <w:right w:w="40" w:type="dxa"/>
                            </w:tcMar>
                            <w:vAlign w:val="center"/>
                          </w:tcPr>
                          <w:p>
                            <w:pPr>
                              <w:pStyle w:val="TableContents"/>
                              <w:bidi w:val="0"/>
                              <w:spacing w:before="0" w:after="0"/>
                              <w:jc w:val="center"/>
                              <w:rPr>
                                <w:rFonts w:ascii="arial" w:hAnsi="arial"/>
                                <w:b/>
                                <w:color w:val="FFFFFF"/>
                                <w:sz w:val="18"/>
                              </w:rPr>
                            </w:pPr>
                            <w:r>
                              <w:rPr>
                                <w:rFonts w:ascii="arial" w:hAnsi="arial"/>
                                <w:b/>
                                <w:color w:val="FFFFFF"/>
                                <w:sz w:val="18"/>
                              </w:rPr>
                              <w:t>2022-2024 Operating Measures Score</w:t>
                            </w:r>
                          </w:p>
                          <w:p>
                            <w:pPr>
                              <w:pStyle w:val="TableContents"/>
                              <w:bidi w:val="0"/>
                              <w:spacing w:before="0" w:after="0"/>
                              <w:jc w:val="left"/>
                              <w:rPr/>
                            </w:pPr>
                            <w:r>
                              <w:rPr/>
                              <w:t> </w:t>
                            </w:r>
                          </w:p>
                          <w:p>
                            <w:pPr>
                              <w:pStyle w:val="TableContents"/>
                              <w:bidi w:val="0"/>
                              <w:spacing w:before="0" w:after="0"/>
                              <w:jc w:val="center"/>
                              <w:rPr>
                                <w:rFonts w:ascii="arial" w:hAnsi="arial"/>
                                <w:b/>
                                <w:color w:val="FFFFFF"/>
                                <w:sz w:val="16"/>
                              </w:rPr>
                            </w:pPr>
                            <w:r>
                              <w:rPr>
                                <w:rFonts w:ascii="arial" w:hAnsi="arial"/>
                                <w:b/>
                                <w:color w:val="FFFFFF"/>
                                <w:sz w:val="16"/>
                              </w:rPr>
                              <w:t>(Operating Measure Percentages 30 – 170% with linear</w:t>
                            </w:r>
                          </w:p>
                          <w:p>
                            <w:pPr>
                              <w:pStyle w:val="TableContents"/>
                              <w:bidi w:val="0"/>
                              <w:spacing w:before="0" w:after="0"/>
                              <w:jc w:val="left"/>
                              <w:rPr/>
                            </w:pPr>
                            <w:r>
                              <w:rPr/>
                              <w:t> </w:t>
                            </w:r>
                          </w:p>
                          <w:p>
                            <w:pPr>
                              <w:pStyle w:val="TableContents"/>
                              <w:bidi w:val="0"/>
                              <w:spacing w:before="0" w:after="0"/>
                              <w:jc w:val="center"/>
                              <w:rPr>
                                <w:rFonts w:ascii="arial" w:hAnsi="arial"/>
                                <w:b/>
                                <w:color w:val="FFFFFF"/>
                                <w:sz w:val="16"/>
                              </w:rPr>
                            </w:pPr>
                            <w:r>
                              <w:rPr>
                                <w:rFonts w:ascii="arial" w:hAnsi="arial"/>
                                <w:b/>
                                <w:color w:val="FFFFFF"/>
                                <w:sz w:val="16"/>
                              </w:rPr>
                              <w:t>interpolation along the payout curve)</w:t>
                            </w:r>
                          </w:p>
                          <w:p>
                            <w:pPr>
                              <w:pStyle w:val="TableContents"/>
                              <w:bidi w:val="0"/>
                              <w:spacing w:before="0" w:after="20"/>
                              <w:jc w:val="left"/>
                              <w:rPr/>
                            </w:pPr>
                            <w:r>
                              <w:rPr/>
                              <w:t> </w:t>
                            </w:r>
                          </w:p>
                        </w:tc>
                      </w:tr>
                      <w:tr>
                        <w:trPr/>
                        <w:tc>
                          <w:tcPr>
                            <w:tcW w:w="5890" w:type="dxa"/>
                            <w:gridSpan w:val="9"/>
                            <w:tcBorders>
                              <w:top w:val="single" w:sz="6" w:space="0" w:color="000000"/>
                              <w:left w:val="single" w:sz="6" w:space="0" w:color="000000"/>
                              <w:bottom w:val="single" w:sz="6" w:space="0" w:color="000000"/>
                              <w:right w:val="single" w:sz="6" w:space="0" w:color="000000"/>
                            </w:tcBorders>
                            <w:tcMar>
                              <w:top w:w="28" w:type="dxa"/>
                              <w:left w:w="160" w:type="dxa"/>
                              <w:bottom w:w="28" w:type="dxa"/>
                              <w:right w:w="40" w:type="dxa"/>
                            </w:tcMar>
                            <w:vAlign w:val="center"/>
                          </w:tcPr>
                          <w:p>
                            <w:pPr>
                              <w:pStyle w:val="TableContents"/>
                              <w:bidi w:val="0"/>
                              <w:spacing w:before="0" w:after="283"/>
                              <w:jc w:val="center"/>
                              <w:rPr>
                                <w:sz w:val="16"/>
                              </w:rPr>
                            </w:pPr>
                            <w:r>
                              <w:rPr>
                                <w:sz w:val="16"/>
                              </w:rPr>
                              <w:t>Operating Measure Percentages are Equally Weighted</w:t>
                              <w:br/>
                              <w:t>for Each of the Three Years</w:t>
                            </w:r>
                          </w:p>
                        </w:tc>
                      </w:tr>
                      <w:tr>
                        <w:trPr/>
                        <w:tc>
                          <w:tcPr>
                            <w:tcW w:w="2015" w:type="dxa"/>
                            <w:tcBorders>
                              <w:top w:val="single" w:sz="6" w:space="0" w:color="000000"/>
                              <w:left w:val="single" w:sz="6" w:space="0" w:color="000000"/>
                              <w:bottom w:val="single" w:sz="6" w:space="0" w:color="000000"/>
                              <w:right w:val="single" w:sz="6" w:space="0" w:color="000000"/>
                            </w:tcBorders>
                            <w:tcMar>
                              <w:top w:w="28" w:type="dxa"/>
                              <w:left w:w="160" w:type="dxa"/>
                              <w:bottom w:w="28" w:type="dxa"/>
                              <w:right w:w="28" w:type="dxa"/>
                            </w:tcMar>
                            <w:vAlign w:val="center"/>
                          </w:tcPr>
                          <w:p>
                            <w:pPr>
                              <w:pStyle w:val="TableContents"/>
                              <w:bidi w:val="0"/>
                              <w:spacing w:before="0" w:after="283"/>
                              <w:jc w:val="left"/>
                              <w:rPr>
                                <w:b/>
                                <w:color w:val="0171B9"/>
                              </w:rPr>
                            </w:pPr>
                            <w:r>
                              <w:rPr>
                                <w:b/>
                                <w:color w:val="0171B9"/>
                              </w:rPr>
                              <w:t>Non-GAAP(1)(2)  </w:t>
                              <w:br/>
                              <w:t>Operating</w:t>
                              <w:br/>
                              <w:t>Measures</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77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b/>
                                <w:color w:val="0171B9"/>
                              </w:rPr>
                            </w:pPr>
                            <w:r>
                              <w:rPr>
                                <w:b/>
                                <w:color w:val="0171B9"/>
                              </w:rPr>
                              <w:t>2022(2)</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63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b/>
                                <w:color w:val="0171B9"/>
                              </w:rPr>
                            </w:pPr>
                            <w:r>
                              <w:rPr>
                                <w:b/>
                                <w:color w:val="0171B9"/>
                              </w:rPr>
                              <w:t>2023</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16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b/>
                                <w:color w:val="0171B9"/>
                              </w:rPr>
                            </w:pPr>
                            <w:r>
                              <w:rPr>
                                <w:b/>
                                <w:color w:val="0171B9"/>
                              </w:rPr>
                              <w:t>2024</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070"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283"/>
                              <w:jc w:val="center"/>
                              <w:rPr>
                                <w:b/>
                                <w:color w:val="0171B9"/>
                              </w:rPr>
                            </w:pPr>
                            <w:r>
                              <w:rPr>
                                <w:b/>
                                <w:color w:val="0171B9"/>
                              </w:rPr>
                              <w:t>2022-2024</w:t>
                              <w:br/>
                              <w:t>Average</w:t>
                              <w:br/>
                              <w:t>Operating</w:t>
                              <w:br/>
                              <w:t>Measures</w:t>
                            </w:r>
                          </w:p>
                        </w:tc>
                      </w:tr>
                      <w:tr>
                        <w:trPr/>
                        <w:tc>
                          <w:tcPr>
                            <w:tcW w:w="2015" w:type="dxa"/>
                            <w:tcBorders>
                              <w:top w:val="single" w:sz="6" w:space="0" w:color="000000"/>
                              <w:left w:val="single" w:sz="6" w:space="0" w:color="000000"/>
                              <w:bottom w:val="single" w:sz="6" w:space="0" w:color="000000"/>
                              <w:right w:val="single" w:sz="6" w:space="0" w:color="000000"/>
                            </w:tcBorders>
                            <w:shd w:fill="0171B9" w:val="clear"/>
                            <w:tcMar>
                              <w:top w:w="28" w:type="dxa"/>
                              <w:left w:w="160" w:type="dxa"/>
                              <w:bottom w:w="28" w:type="dxa"/>
                              <w:right w:w="28"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EPS</w:t>
                            </w:r>
                          </w:p>
                          <w:p>
                            <w:pPr>
                              <w:pStyle w:val="TableContents"/>
                              <w:bidi w:val="0"/>
                              <w:spacing w:before="0" w:after="20"/>
                              <w:jc w:val="center"/>
                              <w:rPr>
                                <w:rFonts w:ascii="arial" w:hAnsi="arial"/>
                                <w:b/>
                                <w:color w:val="FFFFFF"/>
                                <w:sz w:val="16"/>
                              </w:rPr>
                            </w:pPr>
                            <w:r>
                              <w:rPr>
                                <w:rFonts w:ascii="arial" w:hAnsi="arial"/>
                                <w:b/>
                                <w:color w:val="FFFFFF"/>
                                <w:sz w:val="16"/>
                              </w:rPr>
                              <w:t>Growth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77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0"/>
                              <w:jc w:val="center"/>
                              <w:rPr>
                                <w:rFonts w:ascii="arial" w:hAnsi="arial"/>
                                <w:sz w:val="16"/>
                              </w:rPr>
                            </w:pPr>
                            <w:r>
                              <w:rPr>
                                <w:rFonts w:ascii="arial" w:hAnsi="arial"/>
                                <w:sz w:val="16"/>
                              </w:rPr>
                              <w:t>114.1%</w:t>
                            </w:r>
                          </w:p>
                          <w:p>
                            <w:pPr>
                              <w:pStyle w:val="TableContents"/>
                              <w:bidi w:val="0"/>
                              <w:spacing w:before="0" w:after="20"/>
                              <w:jc w:val="center"/>
                              <w:rPr>
                                <w:rFonts w:ascii="arial" w:hAnsi="arial"/>
                                <w:sz w:val="16"/>
                              </w:rPr>
                            </w:pPr>
                            <w:r>
                              <w:rPr>
                                <w:rFonts w:ascii="arial" w:hAnsi="arial"/>
                                <w:sz w:val="16"/>
                              </w:rPr>
                              <w:t>($17.78)</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63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0"/>
                              <w:jc w:val="center"/>
                              <w:rPr>
                                <w:rFonts w:ascii="arial" w:hAnsi="arial"/>
                                <w:sz w:val="16"/>
                              </w:rPr>
                            </w:pPr>
                            <w:r>
                              <w:rPr>
                                <w:rFonts w:ascii="arial" w:hAnsi="arial"/>
                                <w:sz w:val="16"/>
                              </w:rPr>
                              <w:t>99.4%</w:t>
                            </w:r>
                          </w:p>
                          <w:p>
                            <w:pPr>
                              <w:pStyle w:val="TableContents"/>
                              <w:bidi w:val="0"/>
                              <w:spacing w:before="0" w:after="20"/>
                              <w:jc w:val="center"/>
                              <w:rPr>
                                <w:rFonts w:ascii="arial" w:hAnsi="arial"/>
                                <w:sz w:val="16"/>
                              </w:rPr>
                            </w:pPr>
                            <w:r>
                              <w:rPr>
                                <w:rFonts w:ascii="arial" w:hAnsi="arial"/>
                                <w:sz w:val="16"/>
                              </w:rPr>
                              <w:t>($18.82)</w:t>
                            </w:r>
                          </w:p>
                        </w:tc>
                        <w:tc>
                          <w:tcPr>
                            <w:tcW w:w="60" w:type="dxa"/>
                            <w:vMerge w:val="restart"/>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160" w:type="dxa"/>
                            <w:vMerge w:val="restart"/>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0"/>
                              <w:jc w:val="center"/>
                              <w:rPr>
                                <w:rFonts w:ascii="arial" w:hAnsi="arial"/>
                                <w:color w:val="0171B9"/>
                                <w:sz w:val="16"/>
                              </w:rPr>
                            </w:pPr>
                            <w:r>
                              <w:rPr>
                                <w:rFonts w:ascii="arial" w:hAnsi="arial"/>
                                <w:color w:val="0171B9"/>
                                <w:sz w:val="16"/>
                              </w:rPr>
                              <w:t>Pre-established</w:t>
                            </w:r>
                          </w:p>
                          <w:p>
                            <w:pPr>
                              <w:pStyle w:val="TableContents"/>
                              <w:bidi w:val="0"/>
                              <w:spacing w:before="0" w:after="0"/>
                              <w:jc w:val="center"/>
                              <w:rPr>
                                <w:rFonts w:ascii="arial" w:hAnsi="arial"/>
                                <w:color w:val="0171B9"/>
                                <w:sz w:val="16"/>
                              </w:rPr>
                            </w:pPr>
                            <w:r>
                              <w:rPr>
                                <w:rFonts w:ascii="arial" w:hAnsi="arial"/>
                                <w:color w:val="0171B9"/>
                                <w:sz w:val="16"/>
                              </w:rPr>
                              <w:t>and to be</w:t>
                            </w:r>
                          </w:p>
                          <w:p>
                            <w:pPr>
                              <w:pStyle w:val="TableContents"/>
                              <w:bidi w:val="0"/>
                              <w:spacing w:before="0" w:after="20"/>
                              <w:jc w:val="center"/>
                              <w:rPr>
                                <w:rFonts w:ascii="arial" w:hAnsi="arial"/>
                                <w:color w:val="0171B9"/>
                                <w:sz w:val="16"/>
                              </w:rPr>
                            </w:pPr>
                            <w:r>
                              <w:rPr>
                                <w:rFonts w:ascii="arial" w:hAnsi="arial"/>
                                <w:color w:val="0171B9"/>
                                <w:sz w:val="16"/>
                              </w:rPr>
                              <w:t>disclosed(4)</w:t>
                            </w:r>
                          </w:p>
                        </w:tc>
                        <w:tc>
                          <w:tcPr>
                            <w:tcW w:w="60" w:type="dxa"/>
                            <w:tcBorders>
                              <w:top w:val="single" w:sz="6" w:space="0" w:color="000000"/>
                              <w:left w:val="single" w:sz="6" w:space="0" w:color="000000"/>
                              <w:bottom w:val="single" w:sz="6" w:space="0" w:color="000000"/>
                            </w:tcBorders>
                            <w:shd w:fill="D8E9F4" w:val="clear"/>
                            <w:tcMar>
                              <w:top w:w="28" w:type="dxa"/>
                              <w:left w:w="28" w:type="dxa"/>
                              <w:bottom w:w="28" w:type="dxa"/>
                            </w:tcMar>
                            <w:vAlign w:val="center"/>
                          </w:tcPr>
                          <w:p>
                            <w:pPr>
                              <w:pStyle w:val="TableContents"/>
                              <w:bidi w:val="0"/>
                              <w:spacing w:before="0" w:after="283"/>
                              <w:jc w:val="left"/>
                              <w:rPr/>
                            </w:pPr>
                            <w:r>
                              <w:rPr/>
                              <w:t> </w:t>
                            </w:r>
                          </w:p>
                        </w:tc>
                        <w:tc>
                          <w:tcPr>
                            <w:tcW w:w="1070" w:type="dxa"/>
                            <w:tcBorders>
                              <w:top w:val="single" w:sz="6" w:space="0" w:color="000000"/>
                              <w:bottom w:val="single" w:sz="6" w:space="0" w:color="000000"/>
                              <w:right w:val="single" w:sz="6" w:space="0" w:color="000000"/>
                            </w:tcBorders>
                            <w:shd w:fill="D8E9F4" w:val="clear"/>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TBD</w:t>
                            </w:r>
                          </w:p>
                        </w:tc>
                      </w:tr>
                      <w:tr>
                        <w:trPr/>
                        <w:tc>
                          <w:tcPr>
                            <w:tcW w:w="2015" w:type="dxa"/>
                            <w:tcBorders>
                              <w:top w:val="single" w:sz="6" w:space="0" w:color="000000"/>
                              <w:left w:val="single" w:sz="6" w:space="0" w:color="000000"/>
                              <w:bottom w:val="single" w:sz="6" w:space="0" w:color="000000"/>
                              <w:right w:val="single" w:sz="6" w:space="0" w:color="000000"/>
                            </w:tcBorders>
                            <w:shd w:fill="80B8DC" w:val="clear"/>
                            <w:tcMar>
                              <w:top w:w="28" w:type="dxa"/>
                              <w:left w:w="160" w:type="dxa"/>
                              <w:bottom w:w="28" w:type="dxa"/>
                              <w:right w:w="28" w:type="dxa"/>
                            </w:tcMar>
                            <w:vAlign w:val="center"/>
                          </w:tcPr>
                          <w:p>
                            <w:pPr>
                              <w:pStyle w:val="TableContents"/>
                              <w:bidi w:val="0"/>
                              <w:spacing w:before="0" w:after="283"/>
                              <w:jc w:val="center"/>
                              <w:rPr>
                                <w:b/>
                                <w:color w:val="FFFFFF"/>
                              </w:rPr>
                            </w:pPr>
                            <w:r>
                              <w:rPr>
                                <w:b/>
                                <w:color w:val="FFFFFF"/>
                              </w:rPr>
                              <w:t>ROIC(3)</w:t>
                              <w:br/>
                              <w:t>(%)</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77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0"/>
                              <w:jc w:val="center"/>
                              <w:rPr>
                                <w:rFonts w:ascii="arial" w:hAnsi="arial"/>
                                <w:sz w:val="16"/>
                              </w:rPr>
                            </w:pPr>
                            <w:r>
                              <w:rPr>
                                <w:rFonts w:ascii="arial" w:hAnsi="arial"/>
                                <w:sz w:val="16"/>
                              </w:rPr>
                              <w:t>105.3%</w:t>
                            </w:r>
                          </w:p>
                          <w:p>
                            <w:pPr>
                              <w:pStyle w:val="TableContents"/>
                              <w:bidi w:val="0"/>
                              <w:spacing w:before="0" w:after="20"/>
                              <w:jc w:val="center"/>
                              <w:rPr>
                                <w:rFonts w:ascii="arial" w:hAnsi="arial"/>
                                <w:sz w:val="16"/>
                              </w:rPr>
                            </w:pPr>
                            <w:r>
                              <w:rPr>
                                <w:rFonts w:ascii="arial" w:hAnsi="arial"/>
                                <w:sz w:val="16"/>
                              </w:rPr>
                              <w:t>(23.0%)</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635"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0"/>
                              <w:jc w:val="center"/>
                              <w:rPr>
                                <w:rFonts w:ascii="arial" w:hAnsi="arial"/>
                                <w:sz w:val="16"/>
                              </w:rPr>
                            </w:pPr>
                            <w:r>
                              <w:rPr>
                                <w:rFonts w:ascii="arial" w:hAnsi="arial"/>
                                <w:sz w:val="16"/>
                              </w:rPr>
                              <w:t>30.0%</w:t>
                            </w:r>
                          </w:p>
                          <w:p>
                            <w:pPr>
                              <w:pStyle w:val="TableContents"/>
                              <w:bidi w:val="0"/>
                              <w:spacing w:before="0" w:after="20"/>
                              <w:jc w:val="center"/>
                              <w:rPr>
                                <w:rFonts w:ascii="arial" w:hAnsi="arial"/>
                                <w:sz w:val="16"/>
                              </w:rPr>
                            </w:pPr>
                            <w:r>
                              <w:rPr>
                                <w:rFonts w:ascii="arial" w:hAnsi="arial"/>
                                <w:sz w:val="16"/>
                              </w:rPr>
                              <w:t>(15.2%)</w:t>
                            </w:r>
                          </w:p>
                        </w:tc>
                        <w:tc>
                          <w:tcPr>
                            <w:tcW w:w="60" w:type="dxa"/>
                            <w:vMerge w:val="continue"/>
                            <w:tcBorders>
                              <w:top w:val="single" w:sz="6" w:space="0" w:color="000000"/>
                              <w:left w:val="single" w:sz="6" w:space="0" w:color="000000"/>
                              <w:bottom w:val="single" w:sz="6" w:space="0" w:color="000000"/>
                            </w:tcBorders>
                            <w:tcMar>
                              <w:top w:w="28" w:type="dxa"/>
                              <w:left w:w="28" w:type="dxa"/>
                              <w:bottom w:w="28" w:type="dxa"/>
                            </w:tcMar>
                            <w:vAlign w:val="center"/>
                          </w:tcPr>
                          <w:p>
                            <w:pPr>
                              <w:pStyle w:val="Normal"/>
                              <w:bidi w:val="0"/>
                              <w:jc w:val="left"/>
                              <w:rPr/>
                            </w:pPr>
                            <w:r>
                              <w:rPr/>
                            </w:r>
                          </w:p>
                        </w:tc>
                        <w:tc>
                          <w:tcPr>
                            <w:tcW w:w="1160" w:type="dxa"/>
                            <w:vMerge w:val="continue"/>
                            <w:tcBorders>
                              <w:top w:val="single" w:sz="6" w:space="0" w:color="000000"/>
                              <w:bottom w:val="single" w:sz="6" w:space="0" w:color="000000"/>
                              <w:right w:val="single" w:sz="6" w:space="0" w:color="000000"/>
                            </w:tcBorders>
                            <w:tcMar>
                              <w:top w:w="28" w:type="dxa"/>
                              <w:bottom w:w="28" w:type="dxa"/>
                              <w:right w:w="28" w:type="dxa"/>
                            </w:tcMar>
                            <w:vAlign w:val="center"/>
                          </w:tcPr>
                          <w:p>
                            <w:pPr>
                              <w:pStyle w:val="Normal"/>
                              <w:bidi w:val="0"/>
                              <w:jc w:val="left"/>
                              <w:rPr/>
                            </w:pPr>
                            <w:r>
                              <w:rPr/>
                            </w:r>
                          </w:p>
                        </w:tc>
                        <w:tc>
                          <w:tcPr>
                            <w:tcW w:w="60" w:type="dxa"/>
                            <w:tcBorders>
                              <w:left w:val="single" w:sz="6" w:space="0" w:color="000000"/>
                              <w:bottom w:val="single" w:sz="6" w:space="0" w:color="000000"/>
                            </w:tcBorders>
                            <w:shd w:fill="D8E9F4" w:val="clear"/>
                            <w:tcMar>
                              <w:left w:w="28" w:type="dxa"/>
                              <w:bottom w:w="28" w:type="dxa"/>
                            </w:tcMar>
                            <w:vAlign w:val="center"/>
                          </w:tcPr>
                          <w:p>
                            <w:pPr>
                              <w:pStyle w:val="TableContents"/>
                              <w:bidi w:val="0"/>
                              <w:spacing w:before="0" w:after="283"/>
                              <w:jc w:val="left"/>
                              <w:rPr/>
                            </w:pPr>
                            <w:r>
                              <w:rPr/>
                              <w:t> </w:t>
                            </w:r>
                          </w:p>
                        </w:tc>
                        <w:tc>
                          <w:tcPr>
                            <w:tcW w:w="1070" w:type="dxa"/>
                            <w:tcBorders>
                              <w:bottom w:val="single" w:sz="6" w:space="0" w:color="000000"/>
                              <w:right w:val="single" w:sz="6" w:space="0" w:color="000000"/>
                            </w:tcBorders>
                            <w:shd w:fill="D8E9F4" w:val="clear"/>
                            <w:tcMar>
                              <w:bottom w:w="28" w:type="dxa"/>
                              <w:right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TBD</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60" w:type="dxa"/>
                            <w:tcBorders>
                              <w:top w:val="single" w:sz="6" w:space="0" w:color="000000"/>
                              <w:left w:val="single" w:sz="6" w:space="0" w:color="000000"/>
                              <w:bottom w:val="single" w:sz="6" w:space="0" w:color="000000"/>
                            </w:tcBorders>
                            <w:shd w:fill="0171B9" w:val="clear"/>
                            <w:tcMar>
                              <w:top w:w="28" w:type="dxa"/>
                              <w:left w:w="28" w:type="dxa"/>
                              <w:bottom w:w="28" w:type="dxa"/>
                            </w:tcMar>
                            <w:vAlign w:val="center"/>
                          </w:tcPr>
                          <w:p>
                            <w:pPr>
                              <w:pStyle w:val="TableContents"/>
                              <w:bidi w:val="0"/>
                              <w:spacing w:before="0" w:after="283"/>
                              <w:jc w:val="left"/>
                              <w:rPr/>
                            </w:pPr>
                            <w:r>
                              <w:rPr/>
                              <w:t> </w:t>
                            </w:r>
                          </w:p>
                        </w:tc>
                        <w:tc>
                          <w:tcPr>
                            <w:tcW w:w="770" w:type="dxa"/>
                            <w:tcBorders>
                              <w:top w:val="single" w:sz="6" w:space="0" w:color="000000"/>
                              <w:bottom w:val="single" w:sz="6" w:space="0" w:color="000000"/>
                              <w:right w:val="single" w:sz="6" w:space="0" w:color="000000"/>
                            </w:tcBorders>
                            <w:shd w:fill="0171B9" w:val="clear"/>
                            <w:tcMar>
                              <w:top w:w="28"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color w:val="FFFFFF"/>
                                <w:sz w:val="16"/>
                              </w:rPr>
                            </w:pPr>
                            <w:r>
                              <w:rPr>
                                <w:rFonts w:ascii="arial" w:hAnsi="arial"/>
                                <w:color w:val="FFFFFF"/>
                                <w:sz w:val="16"/>
                              </w:rPr>
                              <w:t>109.7%</w:t>
                            </w:r>
                          </w:p>
                          <w:p>
                            <w:pPr>
                              <w:pStyle w:val="TableContents"/>
                              <w:bidi w:val="0"/>
                              <w:spacing w:before="0" w:after="20"/>
                              <w:jc w:val="left"/>
                              <w:rPr/>
                            </w:pPr>
                            <w:r>
                              <w:rPr/>
                              <w:t> </w:t>
                            </w:r>
                          </w:p>
                        </w:tc>
                        <w:tc>
                          <w:tcPr>
                            <w:tcW w:w="60" w:type="dxa"/>
                            <w:tcBorders>
                              <w:top w:val="single" w:sz="6" w:space="0" w:color="000000"/>
                              <w:left w:val="single" w:sz="6" w:space="0" w:color="000000"/>
                              <w:bottom w:val="single" w:sz="6" w:space="0" w:color="000000"/>
                            </w:tcBorders>
                            <w:shd w:fill="0171B9" w:val="clear"/>
                            <w:tcMar>
                              <w:top w:w="28" w:type="dxa"/>
                              <w:left w:w="28" w:type="dxa"/>
                              <w:bottom w:w="28" w:type="dxa"/>
                            </w:tcMar>
                            <w:vAlign w:val="center"/>
                          </w:tcPr>
                          <w:p>
                            <w:pPr>
                              <w:pStyle w:val="TableContents"/>
                              <w:bidi w:val="0"/>
                              <w:spacing w:before="0" w:after="283"/>
                              <w:jc w:val="left"/>
                              <w:rPr/>
                            </w:pPr>
                            <w:r>
                              <w:rPr/>
                              <w:t> </w:t>
                            </w:r>
                          </w:p>
                        </w:tc>
                        <w:tc>
                          <w:tcPr>
                            <w:tcW w:w="635" w:type="dxa"/>
                            <w:tcBorders>
                              <w:top w:val="single" w:sz="6" w:space="0" w:color="000000"/>
                              <w:bottom w:val="single" w:sz="6" w:space="0" w:color="000000"/>
                              <w:right w:val="single" w:sz="6" w:space="0" w:color="000000"/>
                            </w:tcBorders>
                            <w:shd w:fill="0171B9" w:val="clear"/>
                            <w:tcMar>
                              <w:top w:w="28"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color w:val="FFFFFF"/>
                                <w:sz w:val="16"/>
                              </w:rPr>
                            </w:pPr>
                            <w:r>
                              <w:rPr>
                                <w:rFonts w:ascii="arial" w:hAnsi="arial"/>
                                <w:color w:val="FFFFFF"/>
                                <w:sz w:val="16"/>
                              </w:rPr>
                              <w:t>64.7%</w:t>
                            </w:r>
                          </w:p>
                          <w:p>
                            <w:pPr>
                              <w:pStyle w:val="TableContents"/>
                              <w:bidi w:val="0"/>
                              <w:spacing w:before="0" w:after="20"/>
                              <w:jc w:val="left"/>
                              <w:rPr/>
                            </w:pPr>
                            <w:r>
                              <w:rPr/>
                              <w:t> </w:t>
                            </w:r>
                          </w:p>
                        </w:tc>
                        <w:tc>
                          <w:tcPr>
                            <w:tcW w:w="60" w:type="dxa"/>
                            <w:tcBorders>
                              <w:top w:val="single" w:sz="6" w:space="0" w:color="000000"/>
                              <w:left w:val="single" w:sz="6" w:space="0" w:color="000000"/>
                              <w:bottom w:val="single" w:sz="6" w:space="0" w:color="000000"/>
                            </w:tcBorders>
                            <w:shd w:fill="0171B9" w:val="clear"/>
                            <w:tcMar>
                              <w:top w:w="28" w:type="dxa"/>
                              <w:left w:w="28" w:type="dxa"/>
                              <w:bottom w:w="28" w:type="dxa"/>
                            </w:tcMar>
                            <w:vAlign w:val="center"/>
                          </w:tcPr>
                          <w:p>
                            <w:pPr>
                              <w:pStyle w:val="TableContents"/>
                              <w:bidi w:val="0"/>
                              <w:spacing w:before="0" w:after="283"/>
                              <w:jc w:val="left"/>
                              <w:rPr/>
                            </w:pPr>
                            <w:r>
                              <w:rPr/>
                              <w:t> </w:t>
                            </w:r>
                          </w:p>
                        </w:tc>
                        <w:tc>
                          <w:tcPr>
                            <w:tcW w:w="1160" w:type="dxa"/>
                            <w:tcBorders>
                              <w:top w:val="single" w:sz="6" w:space="0" w:color="000000"/>
                              <w:bottom w:val="single" w:sz="6" w:space="0" w:color="000000"/>
                              <w:right w:val="single" w:sz="6" w:space="0" w:color="000000"/>
                            </w:tcBorders>
                            <w:shd w:fill="0171B9" w:val="clear"/>
                            <w:tcMar>
                              <w:top w:w="28"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color w:val="FFFFFF"/>
                                <w:sz w:val="16"/>
                              </w:rPr>
                            </w:pPr>
                            <w:r>
                              <w:rPr>
                                <w:rFonts w:ascii="arial" w:hAnsi="arial"/>
                                <w:color w:val="FFFFFF"/>
                                <w:sz w:val="16"/>
                              </w:rPr>
                              <w:t>TBD</w:t>
                            </w:r>
                          </w:p>
                          <w:p>
                            <w:pPr>
                              <w:pStyle w:val="TableContents"/>
                              <w:bidi w:val="0"/>
                              <w:spacing w:before="0" w:after="20"/>
                              <w:jc w:val="left"/>
                              <w:rPr/>
                            </w:pPr>
                            <w:r>
                              <w:rPr/>
                              <w:t> </w:t>
                            </w:r>
                          </w:p>
                        </w:tc>
                        <w:tc>
                          <w:tcPr>
                            <w:tcW w:w="60" w:type="dxa"/>
                            <w:tcBorders>
                              <w:top w:val="single" w:sz="6" w:space="0" w:color="000000"/>
                              <w:left w:val="single" w:sz="6" w:space="0" w:color="000000"/>
                              <w:bottom w:val="single" w:sz="6" w:space="0" w:color="000000"/>
                            </w:tcBorders>
                            <w:shd w:fill="0171B9" w:val="clear"/>
                            <w:tcMar>
                              <w:top w:w="28" w:type="dxa"/>
                              <w:left w:w="28" w:type="dxa"/>
                              <w:bottom w:w="28" w:type="dxa"/>
                            </w:tcMar>
                            <w:vAlign w:val="center"/>
                          </w:tcPr>
                          <w:p>
                            <w:pPr>
                              <w:pStyle w:val="TableContents"/>
                              <w:bidi w:val="0"/>
                              <w:spacing w:before="0" w:after="283"/>
                              <w:jc w:val="left"/>
                              <w:rPr/>
                            </w:pPr>
                            <w:r>
                              <w:rPr/>
                              <w:t> </w:t>
                            </w:r>
                          </w:p>
                        </w:tc>
                        <w:tc>
                          <w:tcPr>
                            <w:tcW w:w="1070" w:type="dxa"/>
                            <w:tcBorders>
                              <w:top w:val="single" w:sz="6" w:space="0" w:color="000000"/>
                              <w:bottom w:val="single" w:sz="6" w:space="0" w:color="000000"/>
                              <w:right w:val="single" w:sz="6" w:space="0" w:color="000000"/>
                            </w:tcBorders>
                            <w:shd w:fill="0171B9" w:val="clear"/>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6"/>
                              </w:rPr>
                            </w:pPr>
                            <w:r>
                              <w:rPr>
                                <w:rFonts w:ascii="arial" w:hAnsi="arial"/>
                                <w:b/>
                                <w:color w:val="FFFFFF"/>
                                <w:sz w:val="16"/>
                              </w:rPr>
                              <w:t>TBD</w:t>
                            </w:r>
                          </w:p>
                          <w:p>
                            <w:pPr>
                              <w:pStyle w:val="TableContents"/>
                              <w:bidi w:val="0"/>
                              <w:spacing w:before="0" w:after="20"/>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(1) </w:t>
            </w:r>
          </w:p>
        </w:tc>
        <w:tc>
          <w:tcPr>
            <w:tcW w:w="9951" w:type="dxa"/>
            <w:tcBorders/>
            <w:vAlign w:val="center"/>
          </w:tcPr>
          <w:p>
            <w:pPr>
              <w:pStyle w:val="TableContents"/>
              <w:bidi w:val="0"/>
              <w:spacing w:before="0" w:after="0"/>
              <w:jc w:val="both"/>
              <w:rPr>
                <w:rFonts w:ascii="arial" w:hAnsi="arial"/>
                <w:sz w:val="16"/>
              </w:rPr>
            </w:pPr>
            <w:r>
              <w:rPr>
                <w:rFonts w:ascii="arial" w:hAnsi="arial"/>
                <w:sz w:val="16"/>
              </w:rPr>
              <w:t xml:space="preserve">The 2023 non-GAAP operating measures (EPS growth and ROIC) with respect to the 2022-2024 performance period are as reported and reconciled in </w:t>
            </w:r>
            <w:r>
              <w:rPr>
                <w:rFonts w:ascii="arial" w:hAnsi="arial"/>
                <w:b/>
                <w:sz w:val="16"/>
              </w:rPr>
              <w:t>Appendix B</w:t>
            </w:r>
            <w:r>
              <w:rPr>
                <w:rFonts w:ascii="arial" w:hAnsi="arial"/>
                <w:sz w:val="16"/>
              </w:rPr>
              <w:t xml:space="preserve">, except that operating measures for 2023 performance were further adjusted to exclude the impact of direct on-going revenues and expenses, including interest expense from acquisition-related debt, from the acquisitions of ChemoCentryx, Inc. and Horizon Therapeutics plc, as prescribed by the 2022-2024 performance goals document when it was established in March 2022. For this purpose, non-GAAP net income was increased by $90 million, or $0.17 per share, and ROIC was decreased by 0.5%. </w:t>
            </w:r>
          </w:p>
        </w:tc>
      </w:tr>
    </w:tbl>
    <w:tbl>
      <w:tblPr>
        <w:tblW w:w="10205" w:type="dxa"/>
        <w:jc w:val="left"/>
        <w:tblInd w:w="0" w:type="dxa"/>
        <w:tblLayout w:type="fixed"/>
        <w:tblCellMar>
          <w:top w:w="0" w:type="dxa"/>
          <w:left w:w="0" w:type="dxa"/>
          <w:bottom w:w="0" w:type="dxa"/>
          <w:right w:w="0" w:type="dxa"/>
        </w:tblCellMar>
      </w:tblPr>
      <w:tblGrid>
        <w:gridCol w:w="345"/>
        <w:gridCol w:w="9860"/>
      </w:tblGrid>
      <w:tr>
        <w:trPr/>
        <w:tc>
          <w:tcPr>
            <w:tcW w:w="345" w:type="dxa"/>
            <w:tcBorders/>
            <w:vAlign w:val="center"/>
          </w:tcPr>
          <w:p>
            <w:pPr>
              <w:pStyle w:val="TableContents"/>
              <w:bidi w:val="0"/>
              <w:spacing w:before="0" w:after="283"/>
              <w:jc w:val="left"/>
              <w:rPr/>
            </w:pPr>
            <w:r>
              <w:rPr/>
              <w:t>(2) </w:t>
            </w:r>
          </w:p>
        </w:tc>
        <w:tc>
          <w:tcPr>
            <w:tcW w:w="9860" w:type="dxa"/>
            <w:tcBorders/>
            <w:vAlign w:val="center"/>
          </w:tcPr>
          <w:p>
            <w:pPr>
              <w:pStyle w:val="TableContents"/>
              <w:bidi w:val="0"/>
              <w:spacing w:before="0" w:after="0"/>
              <w:jc w:val="both"/>
              <w:rPr>
                <w:rFonts w:ascii="arial" w:hAnsi="arial"/>
                <w:sz w:val="16"/>
              </w:rPr>
            </w:pPr>
            <w:r>
              <w:rPr>
                <w:rFonts w:ascii="arial" w:hAnsi="arial"/>
                <w:sz w:val="16"/>
              </w:rPr>
              <w:t xml:space="preserve">Our targets for 2022 performance were disclosed under the 2022–2024 Performance Goals in our 2023 Proxy Statement filed with the SEC on April 6, 2023. </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(3) </w:t>
            </w:r>
          </w:p>
        </w:tc>
        <w:tc>
          <w:tcPr>
            <w:tcW w:w="9918" w:type="dxa"/>
            <w:tcBorders/>
            <w:vAlign w:val="center"/>
          </w:tcPr>
          <w:p>
            <w:pPr>
              <w:pStyle w:val="TableContents"/>
              <w:bidi w:val="0"/>
              <w:spacing w:before="0" w:after="0"/>
              <w:jc w:val="both"/>
              <w:rPr>
                <w:rFonts w:ascii="arial" w:hAnsi="arial"/>
                <w:sz w:val="16"/>
              </w:rPr>
            </w:pPr>
            <w:r>
              <w:rPr>
                <w:rFonts w:ascii="arial" w:hAnsi="arial"/>
                <w:sz w:val="16"/>
              </w:rPr>
              <w:t xml:space="preserve">ROIC includes cash in invested capital to better align with our strategic priority of “Innovative Medicines” (which contemplates pursuit of innovation both internally and externally) by removing certain potential disincentives for acquisitions that could yield innovative medicines and drive shareholder value. </w:t>
            </w:r>
          </w:p>
        </w:tc>
      </w:tr>
    </w:tbl>
    <w:tbl>
      <w:tblPr>
        <w:tblW w:w="8275" w:type="dxa"/>
        <w:jc w:val="left"/>
        <w:tblInd w:w="0" w:type="dxa"/>
        <w:tblLayout w:type="fixed"/>
        <w:tblCellMar>
          <w:top w:w="0" w:type="dxa"/>
          <w:left w:w="0" w:type="dxa"/>
          <w:bottom w:w="0" w:type="dxa"/>
          <w:right w:w="0" w:type="dxa"/>
        </w:tblCellMar>
      </w:tblPr>
      <w:tblGrid>
        <w:gridCol w:w="365"/>
        <w:gridCol w:w="7910"/>
      </w:tblGrid>
      <w:tr>
        <w:trPr/>
        <w:tc>
          <w:tcPr>
            <w:tcW w:w="365" w:type="dxa"/>
            <w:tcBorders/>
            <w:vAlign w:val="center"/>
          </w:tcPr>
          <w:p>
            <w:pPr>
              <w:pStyle w:val="TableContents"/>
              <w:bidi w:val="0"/>
              <w:spacing w:before="0" w:after="283"/>
              <w:jc w:val="left"/>
              <w:rPr/>
            </w:pPr>
            <w:r>
              <w:rPr/>
              <w:t>(4) </w:t>
            </w:r>
          </w:p>
        </w:tc>
        <w:tc>
          <w:tcPr>
            <w:tcW w:w="7910" w:type="dxa"/>
            <w:tcBorders/>
            <w:vAlign w:val="center"/>
          </w:tcPr>
          <w:p>
            <w:pPr>
              <w:pStyle w:val="TableContents"/>
              <w:bidi w:val="0"/>
              <w:spacing w:before="0" w:after="0"/>
              <w:jc w:val="both"/>
              <w:rPr>
                <w:rFonts w:ascii="arial" w:hAnsi="arial"/>
                <w:sz w:val="16"/>
              </w:rPr>
            </w:pPr>
            <w:r>
              <w:rPr>
                <w:rFonts w:ascii="arial" w:hAnsi="arial"/>
                <w:sz w:val="16"/>
              </w:rPr>
              <w:t xml:space="preserve">2024 targets are pre-established, but are not being disclosed at this time as they are competitively sensitive. </w:t>
            </w:r>
          </w:p>
        </w:tc>
      </w:tr>
    </w:tbl>
    <w:tbl>
      <w:tblPr>
        <w:tblW w:w="10205" w:type="dxa"/>
        <w:jc w:val="left"/>
        <w:tblInd w:w="0" w:type="dxa"/>
        <w:tblLayout w:type="fixed"/>
        <w:tblCellMar>
          <w:top w:w="0" w:type="dxa"/>
          <w:left w:w="0" w:type="dxa"/>
          <w:bottom w:w="0" w:type="dxa"/>
          <w:right w:w="0" w:type="dxa"/>
        </w:tblCellMar>
      </w:tblPr>
      <w:tblGrid>
        <w:gridCol w:w="332"/>
        <w:gridCol w:w="9873"/>
      </w:tblGrid>
      <w:tr>
        <w:trPr/>
        <w:tc>
          <w:tcPr>
            <w:tcW w:w="332" w:type="dxa"/>
            <w:tcBorders/>
            <w:vAlign w:val="center"/>
          </w:tcPr>
          <w:p>
            <w:pPr>
              <w:pStyle w:val="TableContents"/>
              <w:bidi w:val="0"/>
              <w:spacing w:before="0" w:after="283"/>
              <w:jc w:val="left"/>
              <w:rPr/>
            </w:pPr>
            <w:r>
              <w:rPr/>
              <w:t>(5) </w:t>
            </w:r>
          </w:p>
        </w:tc>
        <w:tc>
          <w:tcPr>
            <w:tcW w:w="9873" w:type="dxa"/>
            <w:tcBorders/>
            <w:vAlign w:val="center"/>
          </w:tcPr>
          <w:p>
            <w:pPr>
              <w:pStyle w:val="TableContents"/>
              <w:bidi w:val="0"/>
              <w:spacing w:before="0" w:after="0"/>
              <w:jc w:val="both"/>
              <w:rPr>
                <w:rFonts w:ascii="arial" w:hAnsi="arial"/>
                <w:sz w:val="16"/>
              </w:rPr>
            </w:pPr>
            <w:r>
              <w:rPr>
                <w:rFonts w:ascii="arial" w:hAnsi="arial"/>
                <w:sz w:val="16"/>
              </w:rPr>
              <w:t xml:space="preserve">TSR Measurement Points = average daily closing price of stock for the first 20 trading days beginning on the grant date and the last 20 trading days of the performance period. </w:t>
            </w:r>
          </w:p>
        </w:tc>
      </w:tr>
    </w:tbl>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262"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129" descr=""/>
                    <pic:cNvPicPr>
                      <a:picLocks noChangeAspect="1" noChangeArrowheads="1"/>
                    </pic:cNvPicPr>
                  </pic:nvPicPr>
                  <pic:blipFill>
                    <a:blip r:embed="rId141"/>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69</w:t>
      </w:r>
      <w:r>
        <w:rPr>
          <w:rFonts w:ascii="arial" w:hAnsi="arial"/>
          <w:b/>
          <w:sz w:val="22"/>
        </w:rPr>
        <w:t xml:space="preserve"> </w:t>
      </w:r>
      <w:r>
        <w:br w:type="page"/>
      </w:r>
    </w:p>
    <w:p>
      <w:pPr>
        <w:pStyle w:val="HorizontalLine"/>
        <w:bidi w:val="0"/>
        <w:jc w:val="left"/>
        <w:rPr/>
      </w:pPr>
      <w:r>
        <w:rPr/>
      </w:r>
    </w:p>
    <w:tbl>
      <w:tblPr>
        <w:tblW w:w="507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45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459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Compensation Discussion and Analysis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b/>
          <w:sz w:val="22"/>
        </w:rPr>
      </w:pPr>
      <w:r>
        <w:rPr>
          <w:rFonts w:ascii="arial" w:hAnsi="arial"/>
          <w:b/>
          <w:sz w:val="22"/>
        </w:rPr>
        <w:t xml:space="preserve">2023-2025 Performance Period Goal Design, Targets, and Award Calculation </w:t>
      </w:r>
    </w:p>
    <w:p>
      <w:pPr>
        <w:pStyle w:val="TextBody"/>
        <w:bidi w:val="0"/>
        <w:spacing w:before="120" w:after="0"/>
        <w:jc w:val="center"/>
        <w:rPr>
          <w:rFonts w:ascii="arial" w:hAnsi="arial"/>
          <w:b/>
          <w:color w:val="0171B9"/>
          <w:sz w:val="22"/>
        </w:rPr>
      </w:pPr>
      <w:r>
        <w:rPr>
          <w:rFonts w:ascii="arial" w:hAnsi="arial"/>
          <w:b/>
          <w:color w:val="0171B9"/>
          <w:sz w:val="22"/>
        </w:rPr>
        <w:t xml:space="preserve">All operating measures and goals were established at the beginning of the three-year performance period. </w:t>
      </w:r>
    </w:p>
    <w:p>
      <w:pPr>
        <w:pStyle w:val="TextBody"/>
        <w:bidi w:val="0"/>
        <w:spacing w:before="120" w:after="0"/>
        <w:jc w:val="both"/>
        <w:rPr>
          <w:rFonts w:ascii="arial" w:hAnsi="arial"/>
          <w:sz w:val="19"/>
        </w:rPr>
      </w:pPr>
      <w:r>
        <w:rPr>
          <w:rFonts w:ascii="arial" w:hAnsi="arial"/>
          <w:sz w:val="19"/>
        </w:rPr>
        <w:t xml:space="preserve">The Compensation Committee constructed the goal design for the 2023-2025 performance period (January 1, 2023 to December 31, 2025) with the same two operating measures as the 2021-2023 and 2022-2024 performance periods of non-GAAP EPS growth and ROIC weighted equally in each year (one-half per measure) and relative TSR modifier (+/-30 percentage points). The TSR modifier cannot exceed target (100%) regardless of our relative TSR performance if our absolute TSR over the performance period is less than zero. </w:t>
      </w:r>
    </w:p>
    <w:p>
      <w:pPr>
        <w:pStyle w:val="TextBody"/>
        <w:bidi w:val="0"/>
        <w:spacing w:before="240" w:after="0"/>
        <w:jc w:val="left"/>
        <w:rPr>
          <w:rFonts w:ascii="arial" w:hAnsi="arial"/>
          <w:b/>
          <w:sz w:val="22"/>
        </w:rPr>
      </w:pPr>
      <w:r>
        <w:rPr>
          <w:rFonts w:ascii="arial" w:hAnsi="arial"/>
          <w:b/>
          <w:sz w:val="22"/>
        </w:rPr>
        <w:t>2023 Operating Measures and Performance for the 2023-2025 Performance Period</w:t>
      </w:r>
    </w:p>
    <w:p>
      <w:pPr>
        <w:pStyle w:val="TextBody"/>
        <w:bidi w:val="0"/>
        <w:spacing w:before="0" w:after="0"/>
        <w:jc w:val="left"/>
        <w:rPr/>
      </w:pPr>
      <w:r>
        <w:rPr/>
        <w:t> </w:t>
      </w:r>
    </w:p>
    <w:tbl>
      <w:tblPr>
        <w:tblW w:w="8905" w:type="dxa"/>
        <w:jc w:val="left"/>
        <w:tblInd w:w="0" w:type="dxa"/>
        <w:tblLayout w:type="fixed"/>
        <w:tblCellMar>
          <w:top w:w="0" w:type="dxa"/>
          <w:left w:w="0" w:type="dxa"/>
          <w:bottom w:w="0" w:type="dxa"/>
          <w:right w:w="0" w:type="dxa"/>
        </w:tblCellMar>
      </w:tblPr>
      <w:tblGrid>
        <w:gridCol w:w="860"/>
        <w:gridCol w:w="60"/>
        <w:gridCol w:w="1490"/>
        <w:gridCol w:w="60"/>
        <w:gridCol w:w="60"/>
        <w:gridCol w:w="60"/>
        <w:gridCol w:w="725"/>
        <w:gridCol w:w="60"/>
        <w:gridCol w:w="60"/>
        <w:gridCol w:w="60"/>
        <w:gridCol w:w="60"/>
        <w:gridCol w:w="60"/>
        <w:gridCol w:w="590"/>
        <w:gridCol w:w="60"/>
        <w:gridCol w:w="60"/>
        <w:gridCol w:w="60"/>
        <w:gridCol w:w="60"/>
        <w:gridCol w:w="60"/>
        <w:gridCol w:w="1205"/>
        <w:gridCol w:w="60"/>
        <w:gridCol w:w="60"/>
        <w:gridCol w:w="60"/>
        <w:gridCol w:w="60"/>
        <w:gridCol w:w="60"/>
        <w:gridCol w:w="620"/>
        <w:gridCol w:w="60"/>
        <w:gridCol w:w="60"/>
        <w:gridCol w:w="60"/>
        <w:gridCol w:w="60"/>
        <w:gridCol w:w="60"/>
        <w:gridCol w:w="725"/>
        <w:gridCol w:w="60"/>
        <w:gridCol w:w="60"/>
        <w:gridCol w:w="60"/>
        <w:gridCol w:w="1070"/>
      </w:tblGrid>
      <w:tr>
        <w:trPr/>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49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b/>
              </w:rPr>
            </w:pPr>
            <w:r>
              <w:rPr>
                <w:b/>
              </w:rPr>
              <w:t>Non-GAAP(1)</w:t>
              <w:br/>
              <w:t>Operating</w:t>
              <w:br/>
              <w:t>Measures</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965" w:type="dxa"/>
            <w:gridSpan w:val="5"/>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0"/>
              <w:jc w:val="center"/>
              <w:rPr>
                <w:rFonts w:ascii="arial" w:hAnsi="arial"/>
                <w:b/>
                <w:sz w:val="16"/>
              </w:rPr>
            </w:pPr>
            <w:r>
              <w:rPr>
                <w:rFonts w:ascii="arial" w:hAnsi="arial"/>
                <w:b/>
                <w:sz w:val="16"/>
              </w:rPr>
              <w:t>Minimum</w:t>
            </w:r>
          </w:p>
          <w:p>
            <w:pPr>
              <w:pStyle w:val="TableContents"/>
              <w:bidi w:val="0"/>
              <w:spacing w:before="0" w:after="20"/>
              <w:jc w:val="center"/>
              <w:rPr>
                <w:rFonts w:ascii="arial" w:hAnsi="arial"/>
                <w:sz w:val="16"/>
              </w:rPr>
            </w:pPr>
            <w:r>
              <w:rPr>
                <w:rFonts w:ascii="arial" w:hAnsi="arial"/>
                <w:sz w:val="16"/>
              </w:rPr>
              <w:t>(30%)</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830" w:type="dxa"/>
            <w:gridSpan w:val="5"/>
            <w:tcBorders>
              <w:top w:val="single" w:sz="6" w:space="0" w:color="000000"/>
              <w:bottom w:val="single" w:sz="6" w:space="0" w:color="000000"/>
            </w:tcBorders>
            <w:tcMar>
              <w:top w:w="28" w:type="dxa"/>
              <w:bottom w:w="28" w:type="dxa"/>
            </w:tcMar>
            <w:vAlign w:val="center"/>
          </w:tcPr>
          <w:p>
            <w:pPr>
              <w:pStyle w:val="TableContents"/>
              <w:bidi w:val="0"/>
              <w:spacing w:before="0" w:after="0"/>
              <w:jc w:val="center"/>
              <w:rPr>
                <w:rFonts w:ascii="arial" w:hAnsi="arial"/>
                <w:b/>
                <w:sz w:val="16"/>
              </w:rPr>
            </w:pPr>
            <w:r>
              <w:rPr>
                <w:rFonts w:ascii="arial" w:hAnsi="arial"/>
                <w:b/>
                <w:sz w:val="16"/>
              </w:rPr>
              <w:t>Low</w:t>
            </w:r>
          </w:p>
          <w:p>
            <w:pPr>
              <w:pStyle w:val="TableContents"/>
              <w:bidi w:val="0"/>
              <w:spacing w:before="0" w:after="20"/>
              <w:jc w:val="center"/>
              <w:rPr>
                <w:rFonts w:ascii="arial" w:hAnsi="arial"/>
                <w:sz w:val="16"/>
              </w:rPr>
            </w:pPr>
            <w:r>
              <w:rPr>
                <w:rFonts w:ascii="arial" w:hAnsi="arial"/>
                <w:sz w:val="16"/>
              </w:rPr>
              <w:t>(80%)</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445" w:type="dxa"/>
            <w:gridSpan w:val="5"/>
            <w:tcBorders>
              <w:top w:val="single" w:sz="6" w:space="0" w:color="000000"/>
              <w:bottom w:val="single" w:sz="6" w:space="0" w:color="000000"/>
            </w:tcBorders>
            <w:tcMar>
              <w:top w:w="28" w:type="dxa"/>
              <w:bottom w:w="28" w:type="dxa"/>
            </w:tcMar>
            <w:vAlign w:val="center"/>
          </w:tcPr>
          <w:p>
            <w:pPr>
              <w:pStyle w:val="TableContents"/>
              <w:bidi w:val="0"/>
              <w:spacing w:before="0" w:after="0"/>
              <w:jc w:val="center"/>
              <w:rPr>
                <w:rFonts w:ascii="arial" w:hAnsi="arial"/>
                <w:b/>
                <w:sz w:val="16"/>
              </w:rPr>
            </w:pPr>
            <w:r>
              <w:rPr>
                <w:rFonts w:ascii="arial" w:hAnsi="arial"/>
                <w:b/>
                <w:sz w:val="16"/>
              </w:rPr>
              <w:t>Target</w:t>
            </w:r>
          </w:p>
          <w:p>
            <w:pPr>
              <w:pStyle w:val="TableContents"/>
              <w:bidi w:val="0"/>
              <w:spacing w:before="0" w:after="20"/>
              <w:jc w:val="center"/>
              <w:rPr>
                <w:rFonts w:ascii="arial" w:hAnsi="arial"/>
                <w:sz w:val="16"/>
              </w:rPr>
            </w:pPr>
            <w:r>
              <w:rPr>
                <w:rFonts w:ascii="arial" w:hAnsi="arial"/>
                <w:sz w:val="16"/>
              </w:rPr>
              <w:t>(100%)</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860" w:type="dxa"/>
            <w:gridSpan w:val="5"/>
            <w:tcBorders>
              <w:top w:val="single" w:sz="6" w:space="0" w:color="000000"/>
              <w:bottom w:val="single" w:sz="6" w:space="0" w:color="000000"/>
            </w:tcBorders>
            <w:tcMar>
              <w:top w:w="28" w:type="dxa"/>
              <w:bottom w:w="28" w:type="dxa"/>
            </w:tcMar>
            <w:vAlign w:val="center"/>
          </w:tcPr>
          <w:p>
            <w:pPr>
              <w:pStyle w:val="TableContents"/>
              <w:bidi w:val="0"/>
              <w:spacing w:before="0" w:after="0"/>
              <w:jc w:val="center"/>
              <w:rPr>
                <w:rFonts w:ascii="arial" w:hAnsi="arial"/>
                <w:b/>
                <w:sz w:val="16"/>
              </w:rPr>
            </w:pPr>
            <w:r>
              <w:rPr>
                <w:rFonts w:ascii="arial" w:hAnsi="arial"/>
                <w:b/>
                <w:sz w:val="16"/>
              </w:rPr>
              <w:t>High</w:t>
            </w:r>
          </w:p>
          <w:p>
            <w:pPr>
              <w:pStyle w:val="TableContents"/>
              <w:bidi w:val="0"/>
              <w:spacing w:before="0" w:after="20"/>
              <w:jc w:val="center"/>
              <w:rPr>
                <w:rFonts w:ascii="arial" w:hAnsi="arial"/>
                <w:sz w:val="16"/>
              </w:rPr>
            </w:pPr>
            <w:r>
              <w:rPr>
                <w:rFonts w:ascii="arial" w:hAnsi="arial"/>
                <w:sz w:val="16"/>
              </w:rPr>
              <w:t>(120%)</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965" w:type="dxa"/>
            <w:gridSpan w:val="5"/>
            <w:tcBorders>
              <w:top w:val="single" w:sz="6" w:space="0" w:color="000000"/>
              <w:bottom w:val="single" w:sz="6" w:space="0" w:color="000000"/>
            </w:tcBorders>
            <w:tcMar>
              <w:top w:w="28" w:type="dxa"/>
              <w:bottom w:w="28" w:type="dxa"/>
            </w:tcMar>
            <w:vAlign w:val="center"/>
          </w:tcPr>
          <w:p>
            <w:pPr>
              <w:pStyle w:val="TableContents"/>
              <w:bidi w:val="0"/>
              <w:spacing w:before="0" w:after="0"/>
              <w:jc w:val="center"/>
              <w:rPr>
                <w:rFonts w:ascii="arial" w:hAnsi="arial"/>
                <w:b/>
                <w:sz w:val="16"/>
              </w:rPr>
            </w:pPr>
            <w:r>
              <w:rPr>
                <w:rFonts w:ascii="arial" w:hAnsi="arial"/>
                <w:b/>
                <w:sz w:val="16"/>
              </w:rPr>
              <w:t>Maximum</w:t>
            </w:r>
          </w:p>
          <w:p>
            <w:pPr>
              <w:pStyle w:val="TableContents"/>
              <w:bidi w:val="0"/>
              <w:spacing w:before="0" w:after="20"/>
              <w:jc w:val="center"/>
              <w:rPr>
                <w:rFonts w:ascii="arial" w:hAnsi="arial"/>
                <w:sz w:val="16"/>
              </w:rPr>
            </w:pPr>
            <w:r>
              <w:rPr>
                <w:rFonts w:ascii="arial" w:hAnsi="arial"/>
                <w:sz w:val="16"/>
              </w:rPr>
              <w:t>(170%)</w:t>
            </w:r>
          </w:p>
        </w:tc>
        <w:tc>
          <w:tcPr>
            <w:tcW w:w="60" w:type="dxa"/>
            <w:tcBorders>
              <w:top w:val="single" w:sz="6" w:space="0" w:color="000000"/>
              <w:left w:val="single" w:sz="6" w:space="0" w:color="000000"/>
              <w:bottom w:val="single" w:sz="6" w:space="0" w:color="000000"/>
            </w:tcBorders>
            <w:shd w:fill="0171B9" w:val="clear"/>
            <w:tcMar>
              <w:top w:w="28" w:type="dxa"/>
              <w:left w:w="28" w:type="dxa"/>
              <w:bottom w:w="28" w:type="dxa"/>
            </w:tcMar>
            <w:vAlign w:val="center"/>
          </w:tcPr>
          <w:p>
            <w:pPr>
              <w:pStyle w:val="TableContents"/>
              <w:bidi w:val="0"/>
              <w:spacing w:before="0" w:after="283"/>
              <w:jc w:val="left"/>
              <w:rPr/>
            </w:pPr>
            <w:r>
              <w:rPr/>
              <w:t> </w:t>
            </w:r>
          </w:p>
        </w:tc>
        <w:tc>
          <w:tcPr>
            <w:tcW w:w="1070" w:type="dxa"/>
            <w:tcBorders>
              <w:top w:val="single" w:sz="6" w:space="0" w:color="000000"/>
              <w:bottom w:val="single" w:sz="6" w:space="0" w:color="000000"/>
              <w:right w:val="single" w:sz="6" w:space="0" w:color="000000"/>
            </w:tcBorders>
            <w:shd w:fill="0171B9" w:val="clear"/>
            <w:tcMar>
              <w:top w:w="28" w:type="dxa"/>
              <w:bottom w:w="28" w:type="dxa"/>
              <w:right w:w="40"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2023</w:t>
            </w:r>
          </w:p>
          <w:p>
            <w:pPr>
              <w:pStyle w:val="TableContents"/>
              <w:bidi w:val="0"/>
              <w:spacing w:before="0" w:after="0"/>
              <w:jc w:val="center"/>
              <w:rPr>
                <w:rFonts w:ascii="arial" w:hAnsi="arial"/>
                <w:b/>
                <w:color w:val="FFFFFF"/>
                <w:sz w:val="16"/>
              </w:rPr>
            </w:pPr>
            <w:r>
              <w:rPr>
                <w:rFonts w:ascii="arial" w:hAnsi="arial"/>
                <w:b/>
                <w:color w:val="FFFFFF"/>
                <w:sz w:val="16"/>
              </w:rPr>
              <w:t>Performance </w:t>
            </w:r>
          </w:p>
          <w:p>
            <w:pPr>
              <w:pStyle w:val="TableContents"/>
              <w:bidi w:val="0"/>
              <w:spacing w:before="0" w:after="20"/>
              <w:jc w:val="center"/>
              <w:rPr>
                <w:rFonts w:ascii="arial" w:hAnsi="arial"/>
                <w:b/>
                <w:color w:val="FFFFFF"/>
                <w:sz w:val="16"/>
              </w:rPr>
            </w:pPr>
            <w:r>
              <w:rPr>
                <w:rFonts w:ascii="arial" w:hAnsi="arial"/>
                <w:b/>
                <w:color w:val="FFFFFF"/>
                <w:sz w:val="16"/>
              </w:rPr>
              <w:t>Scores</w:t>
            </w:r>
          </w:p>
        </w:tc>
      </w:tr>
      <w:tr>
        <w:trPr/>
        <w:tc>
          <w:tcPr>
            <w:tcW w:w="860" w:type="dxa"/>
            <w:vMerge w:val="restart"/>
            <w:tcBorders>
              <w:top w:val="single" w:sz="6" w:space="0" w:color="31485D"/>
              <w:bottom w:val="single" w:sz="6" w:space="0" w:color="31485D"/>
            </w:tcBorders>
            <w:shd w:fill="31485D" w:val="clear"/>
            <w:tcMar>
              <w:top w:w="28" w:type="dxa"/>
              <w:bottom w:w="28" w:type="dxa"/>
            </w:tcMar>
            <w:vAlign w:val="center"/>
          </w:tcPr>
          <w:p>
            <w:pPr>
              <w:pStyle w:val="TableContents"/>
              <w:bidi w:val="0"/>
              <w:jc w:val="center"/>
              <w:rPr/>
            </w:pPr>
            <w:r>
              <w:rPr/>
            </w:r>
          </w:p>
          <w:p>
            <w:pPr>
              <w:pStyle w:val="TableContents"/>
              <w:bidi w:val="0"/>
              <w:spacing w:before="0" w:after="20"/>
              <w:jc w:val="center"/>
              <w:rPr/>
            </w:pPr>
            <w:r>
              <w:rPr/>
              <w:t xml:space="preserve">    </w:t>
            </w:r>
            <w:r>
              <w:rPr/>
              <w:drawing>
                <wp:inline distT="0" distB="0" distL="0" distR="0">
                  <wp:extent cx="133350" cy="571500"/>
                  <wp:effectExtent l="0" t="0" r="0" b="0"/>
                  <wp:docPr id="263"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130" descr=""/>
                          <pic:cNvPicPr>
                            <a:picLocks noChangeAspect="1" noChangeArrowheads="1"/>
                          </pic:cNvPicPr>
                        </pic:nvPicPr>
                        <pic:blipFill>
                          <a:blip r:embed="rId142"/>
                          <a:stretch>
                            <a:fillRect/>
                          </a:stretch>
                        </pic:blipFill>
                        <pic:spPr bwMode="auto">
                          <a:xfrm>
                            <a:off x="0" y="0"/>
                            <a:ext cx="133350" cy="571500"/>
                          </a:xfrm>
                          <a:prstGeom prst="rect">
                            <a:avLst/>
                          </a:prstGeom>
                        </pic:spPr>
                      </pic:pic>
                    </a:graphicData>
                  </a:graphic>
                </wp:inline>
              </w:drawing>
            </w:r>
            <w:r>
              <w:rPr/>
              <w:t xml:space="preserve"> </w:t>
            </w:r>
          </w:p>
        </w:tc>
        <w:tc>
          <w:tcPr>
            <w:tcW w:w="60" w:type="dxa"/>
            <w:vMerge w:val="restart"/>
            <w:tcBorders>
              <w:top w:val="single" w:sz="6" w:space="0" w:color="000000"/>
              <w:left w:val="single" w:sz="6" w:space="0" w:color="000000"/>
              <w:bottom w:val="single" w:sz="6" w:space="0" w:color="000000"/>
            </w:tcBorders>
            <w:shd w:fill="0171B9" w:val="clear"/>
            <w:tcMar>
              <w:top w:w="28" w:type="dxa"/>
              <w:left w:w="28" w:type="dxa"/>
              <w:bottom w:w="28" w:type="dxa"/>
            </w:tcMar>
            <w:vAlign w:val="center"/>
          </w:tcPr>
          <w:p>
            <w:pPr>
              <w:pStyle w:val="TableContents"/>
              <w:bidi w:val="0"/>
              <w:spacing w:before="0" w:after="283"/>
              <w:jc w:val="left"/>
              <w:rPr/>
            </w:pPr>
            <w:r>
              <w:rPr/>
              <w:t> </w:t>
            </w:r>
          </w:p>
        </w:tc>
        <w:tc>
          <w:tcPr>
            <w:tcW w:w="1490" w:type="dxa"/>
            <w:vMerge w:val="restart"/>
            <w:tcBorders>
              <w:top w:val="single" w:sz="6" w:space="0" w:color="000000"/>
              <w:bottom w:val="single" w:sz="6" w:space="0" w:color="000000"/>
              <w:right w:val="single" w:sz="6" w:space="0" w:color="000000"/>
            </w:tcBorders>
            <w:shd w:fill="0171B9" w:val="clear"/>
            <w:tcMar>
              <w:top w:w="28" w:type="dxa"/>
              <w:bottom w:w="28" w:type="dxa"/>
              <w:right w:w="28" w:type="dxa"/>
            </w:tcMar>
            <w:vAlign w:val="center"/>
          </w:tcPr>
          <w:p>
            <w:pPr>
              <w:pStyle w:val="TableContents"/>
              <w:bidi w:val="0"/>
              <w:spacing w:before="0" w:after="0"/>
              <w:jc w:val="center"/>
              <w:rPr>
                <w:color w:val="FFFFFF"/>
              </w:rPr>
            </w:pPr>
            <w:r>
              <w:rPr>
                <w:color w:val="FFFFFF"/>
              </w:rPr>
              <w:t> </w:t>
            </w:r>
            <w:r>
              <w:rPr>
                <w:rFonts w:ascii="arial" w:hAnsi="arial"/>
                <w:b/>
                <w:color w:val="FFFFFF"/>
                <w:sz w:val="18"/>
              </w:rPr>
              <w:t>EPS Growth  </w:t>
            </w:r>
          </w:p>
          <w:p>
            <w:pPr>
              <w:pStyle w:val="TableContents"/>
              <w:bidi w:val="0"/>
              <w:spacing w:before="0" w:after="20"/>
              <w:jc w:val="center"/>
              <w:rPr>
                <w:rFonts w:ascii="arial" w:hAnsi="arial"/>
                <w:color w:val="FFFFFF"/>
                <w:sz w:val="18"/>
              </w:rPr>
            </w:pPr>
            <w:r>
              <w:rPr>
                <w:rFonts w:ascii="arial" w:hAnsi="arial"/>
                <w:color w:val="FFFFFF"/>
                <w:sz w:val="18"/>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vMerge w:val="restart"/>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070" w:type="dxa"/>
            <w:vMerge w:val="restart"/>
            <w:tcBorders>
              <w:bottom w:val="single" w:sz="6" w:space="0" w:color="000000"/>
              <w:right w:val="single" w:sz="6" w:space="0" w:color="000000"/>
            </w:tcBorders>
            <w:tcMar>
              <w:bottom w:w="28" w:type="dxa"/>
              <w:right w:w="40" w:type="dxa"/>
            </w:tcMar>
            <w:vAlign w:val="center"/>
          </w:tcPr>
          <w:p>
            <w:pPr>
              <w:pStyle w:val="TableContents"/>
              <w:bidi w:val="0"/>
              <w:spacing w:before="0" w:after="283"/>
              <w:jc w:val="center"/>
              <w:rPr>
                <w:b/>
              </w:rPr>
            </w:pPr>
            <w:r>
              <w:rPr>
                <w:b/>
              </w:rPr>
              <w:t>127.5%</w:t>
            </w:r>
          </w:p>
        </w:tc>
      </w:tr>
      <w:tr>
        <w:trPr/>
        <w:tc>
          <w:tcPr>
            <w:tcW w:w="860" w:type="dxa"/>
            <w:vMerge w:val="continue"/>
            <w:tcBorders>
              <w:top w:val="single" w:sz="6" w:space="0" w:color="31485D"/>
              <w:bottom w:val="single" w:sz="6" w:space="0" w:color="31485D"/>
            </w:tcBorders>
            <w:shd w:fill="31485D" w:val="clear"/>
            <w:tcMar>
              <w:top w:w="28" w:type="dxa"/>
              <w:bottom w:w="28" w:type="dxa"/>
            </w:tcMar>
            <w:vAlign w:val="center"/>
          </w:tcPr>
          <w:p>
            <w:pPr>
              <w:pStyle w:val="Normal"/>
              <w:bidi w:val="0"/>
              <w:jc w:val="left"/>
              <w:rPr/>
            </w:pPr>
            <w:r>
              <w:rPr/>
            </w:r>
          </w:p>
        </w:tc>
        <w:tc>
          <w:tcPr>
            <w:tcW w:w="60" w:type="dxa"/>
            <w:vMerge w:val="continue"/>
            <w:tcBorders>
              <w:top w:val="single" w:sz="6" w:space="0" w:color="000000"/>
              <w:left w:val="single" w:sz="6" w:space="0" w:color="000000"/>
              <w:bottom w:val="single" w:sz="6" w:space="0" w:color="000000"/>
            </w:tcBorders>
            <w:shd w:fill="0171B9" w:val="clear"/>
            <w:tcMar>
              <w:top w:w="28" w:type="dxa"/>
              <w:left w:w="28" w:type="dxa"/>
              <w:bottom w:w="28" w:type="dxa"/>
            </w:tcMar>
            <w:vAlign w:val="center"/>
          </w:tcPr>
          <w:p>
            <w:pPr>
              <w:pStyle w:val="Normal"/>
              <w:bidi w:val="0"/>
              <w:jc w:val="left"/>
              <w:rPr/>
            </w:pPr>
            <w:r>
              <w:rPr/>
            </w:r>
          </w:p>
        </w:tc>
        <w:tc>
          <w:tcPr>
            <w:tcW w:w="1490" w:type="dxa"/>
            <w:vMerge w:val="continue"/>
            <w:tcBorders>
              <w:top w:val="single" w:sz="6" w:space="0" w:color="000000"/>
              <w:bottom w:val="single" w:sz="6" w:space="0" w:color="000000"/>
              <w:right w:val="single" w:sz="6" w:space="0" w:color="000000"/>
            </w:tcBorders>
            <w:shd w:fill="0171B9" w:val="clear"/>
            <w:tcMar>
              <w:top w:w="28" w:type="dxa"/>
              <w:bottom w:w="28" w:type="dxa"/>
              <w:right w:w="28" w:type="dxa"/>
            </w:tcMar>
            <w:vAlign w:val="center"/>
          </w:tcPr>
          <w:p>
            <w:pPr>
              <w:pStyle w:val="Normal"/>
              <w:bidi w:val="0"/>
              <w:jc w:val="left"/>
              <w:rPr/>
            </w:pPr>
            <w:r>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0"/>
              <w:jc w:val="center"/>
              <w:rPr/>
            </w:pPr>
            <w:r>
              <w:rPr/>
              <w:t>≤</w:t>
            </w:r>
            <w:r>
              <w:rPr>
                <w:rFonts w:ascii="arial" w:hAnsi="arial"/>
                <w:sz w:val="18"/>
              </w:rPr>
              <w:t>$15.50</w:t>
            </w:r>
          </w:p>
        </w:tc>
        <w:tc>
          <w:tcPr>
            <w:tcW w:w="60" w:type="dxa"/>
            <w:tcBorders/>
            <w:vAlign w:val="center"/>
          </w:tcPr>
          <w:p>
            <w:pPr>
              <w:pStyle w:val="TableContents"/>
              <w:bidi w:val="0"/>
              <w:spacing w:before="0" w:after="283"/>
              <w:jc w:val="left"/>
              <w:rPr/>
            </w:pPr>
            <w:r>
              <w:rPr/>
              <w:t>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0"/>
              <w:jc w:val="center"/>
              <w:rPr>
                <w:rFonts w:ascii="arial" w:hAnsi="arial"/>
                <w:sz w:val="18"/>
              </w:rPr>
            </w:pPr>
            <w:r>
              <w:rPr>
                <w:rFonts w:ascii="arial" w:hAnsi="arial"/>
                <w:sz w:val="18"/>
              </w:rPr>
              <w:t>$17.00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0"/>
              <w:jc w:val="center"/>
              <w:rPr>
                <w:rFonts w:ascii="arial" w:hAnsi="arial"/>
                <w:sz w:val="18"/>
              </w:rPr>
            </w:pPr>
            <w:r>
              <w:rPr>
                <w:rFonts w:ascii="arial" w:hAnsi="arial"/>
                <w:sz w:val="18"/>
              </w:rPr>
              <w:t>$17.70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top w:val="dotted" w:sz="6" w:space="0" w:color="0171B9"/>
              <w:left w:val="dotted" w:sz="6" w:space="0" w:color="0171B9"/>
              <w:bottom w:val="dotted" w:sz="6" w:space="0" w:color="0171B9"/>
            </w:tcBorders>
            <w:tcMar>
              <w:top w:w="28" w:type="dxa"/>
              <w:left w:w="28" w:type="dxa"/>
              <w:bottom w:w="28" w:type="dxa"/>
            </w:tcMar>
            <w:vAlign w:val="center"/>
          </w:tcPr>
          <w:p>
            <w:pPr>
              <w:pStyle w:val="TableContents"/>
              <w:bidi w:val="0"/>
              <w:spacing w:before="0" w:after="283"/>
              <w:jc w:val="left"/>
              <w:rPr/>
            </w:pPr>
            <w:r>
              <w:rPr/>
              <w:t> </w:t>
            </w:r>
          </w:p>
        </w:tc>
        <w:tc>
          <w:tcPr>
            <w:tcW w:w="620" w:type="dxa"/>
            <w:tcBorders>
              <w:top w:val="dotted" w:sz="6" w:space="0" w:color="0171B9"/>
              <w:bottom w:val="dotted" w:sz="6" w:space="0" w:color="0171B9"/>
            </w:tcBorders>
            <w:tcMar>
              <w:top w:w="28" w:type="dxa"/>
              <w:bottom w:w="28" w:type="dxa"/>
            </w:tcMar>
            <w:vAlign w:val="center"/>
          </w:tcPr>
          <w:p>
            <w:pPr>
              <w:pStyle w:val="TableContents"/>
              <w:bidi w:val="0"/>
              <w:spacing w:before="0" w:after="20"/>
              <w:jc w:val="center"/>
              <w:rPr>
                <w:rFonts w:ascii="arial" w:hAnsi="arial"/>
                <w:sz w:val="18"/>
              </w:rPr>
            </w:pPr>
            <w:r>
              <w:rPr>
                <w:rFonts w:ascii="arial" w:hAnsi="arial"/>
                <w:sz w:val="18"/>
              </w:rPr>
              <w:t>$18.50 </w:t>
            </w:r>
          </w:p>
        </w:tc>
        <w:tc>
          <w:tcPr>
            <w:tcW w:w="60" w:type="dxa"/>
            <w:tcBorders>
              <w:top w:val="dotted" w:sz="6" w:space="0" w:color="0171B9"/>
              <w:bottom w:val="dotted" w:sz="6" w:space="0" w:color="0171B9"/>
            </w:tcBorders>
            <w:tcMar>
              <w:top w:w="28" w:type="dxa"/>
              <w:bottom w:w="28" w:type="dxa"/>
            </w:tcMar>
            <w:vAlign w:val="center"/>
          </w:tcPr>
          <w:p>
            <w:pPr>
              <w:pStyle w:val="TableContents"/>
              <w:bidi w:val="0"/>
              <w:spacing w:before="0" w:after="283"/>
              <w:jc w:val="left"/>
              <w:rPr/>
            </w:pPr>
            <w:r>
              <w:rPr/>
              <w:t> </w:t>
            </w:r>
          </w:p>
        </w:tc>
        <w:tc>
          <w:tcPr>
            <w:tcW w:w="60" w:type="dxa"/>
            <w:tcBorders>
              <w:top w:val="dotted" w:sz="6" w:space="0" w:color="0171B9"/>
              <w:bottom w:val="dotted" w:sz="6" w:space="0" w:color="0171B9"/>
            </w:tcBorders>
            <w:tcMar>
              <w:top w:w="28" w:type="dxa"/>
              <w:bottom w:w="28" w:type="dxa"/>
            </w:tcMar>
            <w:vAlign w:val="center"/>
          </w:tcPr>
          <w:p>
            <w:pPr>
              <w:pStyle w:val="TableContents"/>
              <w:bidi w:val="0"/>
              <w:spacing w:before="0" w:after="283"/>
              <w:jc w:val="left"/>
              <w:rPr/>
            </w:pPr>
            <w:r>
              <w:rPr/>
              <w:t> </w:t>
            </w:r>
          </w:p>
        </w:tc>
        <w:tc>
          <w:tcPr>
            <w:tcW w:w="60" w:type="dxa"/>
            <w:tcBorders>
              <w:top w:val="dotted" w:sz="6" w:space="0" w:color="0171B9"/>
              <w:left w:val="single" w:sz="6" w:space="0" w:color="000000"/>
              <w:bottom w:val="dotted" w:sz="6" w:space="0" w:color="0171B9"/>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dotted" w:sz="6" w:space="0" w:color="0171B9"/>
              <w:bottom w:val="dotted" w:sz="6" w:space="0" w:color="0171B9"/>
            </w:tcBorders>
            <w:tcMar>
              <w:top w:w="28" w:type="dxa"/>
              <w:bottom w:w="28" w:type="dxa"/>
            </w:tcMar>
            <w:vAlign w:val="center"/>
          </w:tcPr>
          <w:p>
            <w:pPr>
              <w:pStyle w:val="TableContents"/>
              <w:bidi w:val="0"/>
              <w:spacing w:before="0" w:after="283"/>
              <w:jc w:val="left"/>
              <w:rPr/>
            </w:pPr>
            <w:r>
              <w:rPr/>
              <w:t> </w:t>
            </w:r>
          </w:p>
        </w:tc>
        <w:tc>
          <w:tcPr>
            <w:tcW w:w="60" w:type="dxa"/>
            <w:tcBorders>
              <w:top w:val="dotted" w:sz="6" w:space="0" w:color="0171B9"/>
              <w:bottom w:val="dotted" w:sz="6" w:space="0" w:color="0171B9"/>
            </w:tcBorders>
            <w:tcMar>
              <w:top w:w="28" w:type="dxa"/>
              <w:bottom w:w="28" w:type="dxa"/>
            </w:tcMar>
            <w:vAlign w:val="center"/>
          </w:tcPr>
          <w:p>
            <w:pPr>
              <w:pStyle w:val="TableContents"/>
              <w:bidi w:val="0"/>
              <w:spacing w:before="0" w:after="283"/>
              <w:jc w:val="left"/>
              <w:rPr/>
            </w:pPr>
            <w:r>
              <w:rPr/>
              <w:t> </w:t>
            </w:r>
          </w:p>
        </w:tc>
        <w:tc>
          <w:tcPr>
            <w:tcW w:w="725" w:type="dxa"/>
            <w:tcBorders>
              <w:top w:val="dotted" w:sz="6" w:space="0" w:color="0171B9"/>
              <w:bottom w:val="dotted" w:sz="6" w:space="0" w:color="0171B9"/>
              <w:right w:val="dotted" w:sz="6" w:space="0" w:color="0171B9"/>
            </w:tcBorders>
            <w:tcMar>
              <w:top w:w="28" w:type="dxa"/>
              <w:bottom w:w="28" w:type="dxa"/>
              <w:right w:w="28" w:type="dxa"/>
            </w:tcMar>
            <w:vAlign w:val="center"/>
          </w:tcPr>
          <w:p>
            <w:pPr>
              <w:pStyle w:val="TableContents"/>
              <w:bidi w:val="0"/>
              <w:spacing w:before="0" w:after="20"/>
              <w:jc w:val="center"/>
              <w:rPr/>
            </w:pPr>
            <w:r>
              <w:rPr/>
              <w:t>≥</w:t>
            </w:r>
            <w:r>
              <w:rPr>
                <w:rFonts w:ascii="arial" w:hAnsi="arial"/>
                <w:sz w:val="18"/>
              </w:rPr>
              <w:t>$19.50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vMerge w:val="continue"/>
            <w:tcBorders>
              <w:left w:val="single" w:sz="6" w:space="0" w:color="000000"/>
              <w:bottom w:val="single" w:sz="6" w:space="0" w:color="000000"/>
            </w:tcBorders>
            <w:tcMar>
              <w:left w:w="28" w:type="dxa"/>
              <w:bottom w:w="28" w:type="dxa"/>
            </w:tcMar>
            <w:vAlign w:val="center"/>
          </w:tcPr>
          <w:p>
            <w:pPr>
              <w:pStyle w:val="Normal"/>
              <w:bidi w:val="0"/>
              <w:jc w:val="left"/>
              <w:rPr/>
            </w:pPr>
            <w:r>
              <w:rPr/>
            </w:r>
          </w:p>
        </w:tc>
        <w:tc>
          <w:tcPr>
            <w:tcW w:w="1070" w:type="dxa"/>
            <w:vMerge w:val="continue"/>
            <w:tcBorders>
              <w:bottom w:val="single" w:sz="6" w:space="0" w:color="000000"/>
              <w:right w:val="single" w:sz="6" w:space="0" w:color="000000"/>
            </w:tcBorders>
            <w:tcMar>
              <w:bottom w:w="28" w:type="dxa"/>
              <w:right w:w="40" w:type="dxa"/>
            </w:tcMar>
            <w:vAlign w:val="center"/>
          </w:tcPr>
          <w:p>
            <w:pPr>
              <w:pStyle w:val="Normal"/>
              <w:bidi w:val="0"/>
              <w:jc w:val="left"/>
              <w:rPr/>
            </w:pPr>
            <w:r>
              <w:rPr/>
            </w:r>
          </w:p>
        </w:tc>
      </w:tr>
      <w:tr>
        <w:trPr/>
        <w:tc>
          <w:tcPr>
            <w:tcW w:w="860" w:type="dxa"/>
            <w:vMerge w:val="continue"/>
            <w:tcBorders>
              <w:top w:val="single" w:sz="6" w:space="0" w:color="31485D"/>
              <w:bottom w:val="single" w:sz="6" w:space="0" w:color="31485D"/>
            </w:tcBorders>
            <w:shd w:fill="31485D" w:val="clear"/>
            <w:tcMar>
              <w:top w:w="28" w:type="dxa"/>
              <w:bottom w:w="28" w:type="dxa"/>
            </w:tcMar>
            <w:vAlign w:val="center"/>
          </w:tcPr>
          <w:p>
            <w:pPr>
              <w:pStyle w:val="Normal"/>
              <w:bidi w:val="0"/>
              <w:jc w:val="left"/>
              <w:rPr/>
            </w:pPr>
            <w:r>
              <w:rPr/>
            </w:r>
          </w:p>
        </w:tc>
        <w:tc>
          <w:tcPr>
            <w:tcW w:w="60" w:type="dxa"/>
            <w:vMerge w:val="continue"/>
            <w:tcBorders>
              <w:top w:val="single" w:sz="6" w:space="0" w:color="000000"/>
              <w:left w:val="single" w:sz="6" w:space="0" w:color="000000"/>
              <w:bottom w:val="single" w:sz="6" w:space="0" w:color="000000"/>
            </w:tcBorders>
            <w:shd w:fill="0171B9" w:val="clear"/>
            <w:tcMar>
              <w:top w:w="28" w:type="dxa"/>
              <w:left w:w="28" w:type="dxa"/>
              <w:bottom w:w="28" w:type="dxa"/>
            </w:tcMar>
            <w:vAlign w:val="center"/>
          </w:tcPr>
          <w:p>
            <w:pPr>
              <w:pStyle w:val="Normal"/>
              <w:bidi w:val="0"/>
              <w:jc w:val="left"/>
              <w:rPr/>
            </w:pPr>
            <w:r>
              <w:rPr/>
            </w:r>
          </w:p>
        </w:tc>
        <w:tc>
          <w:tcPr>
            <w:tcW w:w="1490" w:type="dxa"/>
            <w:vMerge w:val="continue"/>
            <w:tcBorders>
              <w:top w:val="single" w:sz="6" w:space="0" w:color="000000"/>
              <w:bottom w:val="single" w:sz="6" w:space="0" w:color="000000"/>
              <w:right w:val="single" w:sz="6" w:space="0" w:color="000000"/>
            </w:tcBorders>
            <w:shd w:fill="0171B9" w:val="clear"/>
            <w:tcMar>
              <w:top w:w="28" w:type="dxa"/>
              <w:bottom w:w="28" w:type="dxa"/>
              <w:right w:w="28" w:type="dxa"/>
            </w:tcMar>
            <w:vAlign w:val="center"/>
          </w:tcPr>
          <w:p>
            <w:pPr>
              <w:pStyle w:val="Normal"/>
              <w:bidi w:val="0"/>
              <w:jc w:val="left"/>
              <w:rPr/>
            </w:pPr>
            <w:r>
              <w:rPr/>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2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9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645" w:type="dxa"/>
            <w:gridSpan w:val="7"/>
            <w:tcBorders>
              <w:bottom w:val="single" w:sz="6" w:space="0" w:color="000000"/>
            </w:tcBorders>
            <w:tcMar>
              <w:bottom w:w="28" w:type="dxa"/>
            </w:tcMar>
            <w:vAlign w:val="center"/>
          </w:tcPr>
          <w:p>
            <w:pPr>
              <w:pStyle w:val="TableContents"/>
              <w:bidi w:val="0"/>
              <w:spacing w:before="0" w:after="0"/>
              <w:jc w:val="center"/>
              <w:rPr>
                <w:rFonts w:ascii="arial" w:hAnsi="arial"/>
                <w:color w:val="0171B9"/>
                <w:sz w:val="18"/>
              </w:rPr>
            </w:pPr>
            <w:r>
              <w:rPr>
                <w:rFonts w:ascii="arial" w:hAnsi="arial"/>
                <w:color w:val="0171B9"/>
                <w:sz w:val="18"/>
              </w:rPr>
              <w:t>($18.65 actual)</w:t>
            </w:r>
          </w:p>
          <w:p>
            <w:pPr>
              <w:pStyle w:val="TableContents"/>
              <w:bidi w:val="0"/>
              <w:spacing w:before="0" w:after="2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vMerge w:val="continue"/>
            <w:tcBorders>
              <w:left w:val="single" w:sz="6" w:space="0" w:color="000000"/>
              <w:bottom w:val="single" w:sz="6" w:space="0" w:color="000000"/>
            </w:tcBorders>
            <w:tcMar>
              <w:left w:w="28" w:type="dxa"/>
              <w:bottom w:w="28" w:type="dxa"/>
            </w:tcMar>
            <w:vAlign w:val="center"/>
          </w:tcPr>
          <w:p>
            <w:pPr>
              <w:pStyle w:val="Normal"/>
              <w:bidi w:val="0"/>
              <w:jc w:val="left"/>
              <w:rPr/>
            </w:pPr>
            <w:r>
              <w:rPr/>
            </w:r>
          </w:p>
        </w:tc>
        <w:tc>
          <w:tcPr>
            <w:tcW w:w="1070" w:type="dxa"/>
            <w:vMerge w:val="continue"/>
            <w:tcBorders>
              <w:bottom w:val="single" w:sz="6" w:space="0" w:color="000000"/>
              <w:right w:val="single" w:sz="6" w:space="0" w:color="000000"/>
            </w:tcBorders>
            <w:tcMar>
              <w:bottom w:w="28" w:type="dxa"/>
              <w:right w:w="40" w:type="dxa"/>
            </w:tcMar>
            <w:vAlign w:val="center"/>
          </w:tcPr>
          <w:p>
            <w:pPr>
              <w:pStyle w:val="Normal"/>
              <w:bidi w:val="0"/>
              <w:jc w:val="left"/>
              <w:rPr/>
            </w:pPr>
            <w:r>
              <w:rPr/>
            </w:r>
          </w:p>
        </w:tc>
      </w:tr>
      <w:tr>
        <w:trPr/>
        <w:tc>
          <w:tcPr>
            <w:tcW w:w="860" w:type="dxa"/>
            <w:vMerge w:val="continue"/>
            <w:tcBorders>
              <w:top w:val="single" w:sz="6" w:space="0" w:color="31485D"/>
              <w:bottom w:val="single" w:sz="6" w:space="0" w:color="31485D"/>
            </w:tcBorders>
            <w:shd w:fill="31485D" w:val="clear"/>
            <w:tcMar>
              <w:top w:w="28" w:type="dxa"/>
              <w:bottom w:w="28" w:type="dxa"/>
            </w:tcMar>
            <w:vAlign w:val="center"/>
          </w:tcPr>
          <w:p>
            <w:pPr>
              <w:pStyle w:val="Normal"/>
              <w:bidi w:val="0"/>
              <w:jc w:val="left"/>
              <w:rPr/>
            </w:pPr>
            <w:r>
              <w:rPr/>
            </w:r>
          </w:p>
        </w:tc>
        <w:tc>
          <w:tcPr>
            <w:tcW w:w="60" w:type="dxa"/>
            <w:vMerge w:val="restart"/>
            <w:tcBorders>
              <w:left w:val="single" w:sz="6" w:space="0" w:color="000000"/>
              <w:bottom w:val="single" w:sz="6" w:space="0" w:color="000000"/>
            </w:tcBorders>
            <w:shd w:fill="80B8DC" w:val="clear"/>
            <w:tcMar>
              <w:left w:w="28" w:type="dxa"/>
              <w:bottom w:w="28" w:type="dxa"/>
            </w:tcMar>
            <w:vAlign w:val="center"/>
          </w:tcPr>
          <w:p>
            <w:pPr>
              <w:pStyle w:val="TableContents"/>
              <w:bidi w:val="0"/>
              <w:spacing w:before="0" w:after="283"/>
              <w:jc w:val="left"/>
              <w:rPr/>
            </w:pPr>
            <w:r>
              <w:rPr/>
              <w:t> </w:t>
            </w:r>
          </w:p>
        </w:tc>
        <w:tc>
          <w:tcPr>
            <w:tcW w:w="1490" w:type="dxa"/>
            <w:vMerge w:val="restart"/>
            <w:tcBorders>
              <w:bottom w:val="single" w:sz="6" w:space="0" w:color="000000"/>
              <w:right w:val="single" w:sz="6" w:space="0" w:color="000000"/>
            </w:tcBorders>
            <w:shd w:fill="80B8DC" w:val="clear"/>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ROIC(2) </w:t>
            </w:r>
          </w:p>
          <w:p>
            <w:pPr>
              <w:pStyle w:val="TableContents"/>
              <w:bidi w:val="0"/>
              <w:spacing w:before="0" w:after="20"/>
              <w:jc w:val="center"/>
              <w:rPr>
                <w:rFonts w:ascii="arial" w:hAnsi="arial"/>
                <w:color w:val="FFFFFF"/>
                <w:sz w:val="18"/>
              </w:rPr>
            </w:pPr>
            <w:r>
              <w:rPr>
                <w:rFonts w:ascii="arial" w:hAnsi="arial"/>
                <w:color w:val="FFFFFF"/>
                <w:sz w:val="18"/>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vMerge w:val="restart"/>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070" w:type="dxa"/>
            <w:vMerge w:val="restart"/>
            <w:tcBorders>
              <w:bottom w:val="single" w:sz="6" w:space="0" w:color="000000"/>
              <w:right w:val="single" w:sz="6" w:space="0" w:color="000000"/>
            </w:tcBorders>
            <w:tcMar>
              <w:bottom w:w="28" w:type="dxa"/>
              <w:right w:w="40" w:type="dxa"/>
            </w:tcMar>
            <w:vAlign w:val="center"/>
          </w:tcPr>
          <w:p>
            <w:pPr>
              <w:pStyle w:val="TableContents"/>
              <w:bidi w:val="0"/>
              <w:spacing w:before="0" w:after="283"/>
              <w:jc w:val="center"/>
              <w:rPr>
                <w:b/>
                <w:sz w:val="18"/>
              </w:rPr>
            </w:pPr>
            <w:r>
              <w:rPr>
                <w:b/>
                <w:sz w:val="18"/>
              </w:rPr>
              <w:t>100.0%</w:t>
            </w:r>
          </w:p>
        </w:tc>
      </w:tr>
      <w:tr>
        <w:trPr/>
        <w:tc>
          <w:tcPr>
            <w:tcW w:w="860" w:type="dxa"/>
            <w:vMerge w:val="continue"/>
            <w:tcBorders>
              <w:top w:val="single" w:sz="6" w:space="0" w:color="31485D"/>
              <w:bottom w:val="single" w:sz="6" w:space="0" w:color="31485D"/>
            </w:tcBorders>
            <w:shd w:fill="31485D" w:val="clear"/>
            <w:tcMar>
              <w:top w:w="28" w:type="dxa"/>
              <w:bottom w:w="28" w:type="dxa"/>
            </w:tcMar>
            <w:vAlign w:val="center"/>
          </w:tcPr>
          <w:p>
            <w:pPr>
              <w:pStyle w:val="Normal"/>
              <w:bidi w:val="0"/>
              <w:jc w:val="left"/>
              <w:rPr/>
            </w:pPr>
            <w:r>
              <w:rPr/>
            </w:r>
          </w:p>
        </w:tc>
        <w:tc>
          <w:tcPr>
            <w:tcW w:w="60" w:type="dxa"/>
            <w:vMerge w:val="continue"/>
            <w:tcBorders>
              <w:left w:val="single" w:sz="6" w:space="0" w:color="000000"/>
              <w:bottom w:val="single" w:sz="6" w:space="0" w:color="000000"/>
            </w:tcBorders>
            <w:shd w:fill="80B8DC" w:val="clear"/>
            <w:tcMar>
              <w:left w:w="28" w:type="dxa"/>
              <w:bottom w:w="28" w:type="dxa"/>
            </w:tcMar>
            <w:vAlign w:val="center"/>
          </w:tcPr>
          <w:p>
            <w:pPr>
              <w:pStyle w:val="Normal"/>
              <w:bidi w:val="0"/>
              <w:jc w:val="left"/>
              <w:rPr/>
            </w:pPr>
            <w:r>
              <w:rPr/>
            </w:r>
          </w:p>
        </w:tc>
        <w:tc>
          <w:tcPr>
            <w:tcW w:w="1490" w:type="dxa"/>
            <w:vMerge w:val="continue"/>
            <w:tcBorders>
              <w:bottom w:val="single" w:sz="6" w:space="0" w:color="000000"/>
              <w:right w:val="single" w:sz="6" w:space="0" w:color="000000"/>
            </w:tcBorders>
            <w:shd w:fill="80B8DC" w:val="clear"/>
            <w:tcMar>
              <w:bottom w:w="28" w:type="dxa"/>
              <w:right w:w="28" w:type="dxa"/>
            </w:tcMar>
            <w:vAlign w:val="center"/>
          </w:tcPr>
          <w:p>
            <w:pPr>
              <w:pStyle w:val="Normal"/>
              <w:bidi w:val="0"/>
              <w:jc w:val="left"/>
              <w:rPr/>
            </w:pPr>
            <w:r>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0"/>
              <w:jc w:val="center"/>
              <w:rPr/>
            </w:pPr>
            <w:r>
              <w:rPr/>
              <w:t>≤</w:t>
            </w:r>
            <w:r>
              <w:rPr>
                <w:rFonts w:ascii="arial" w:hAnsi="arial"/>
                <w:sz w:val="18"/>
              </w:rPr>
              <w:t>10%</w:t>
            </w:r>
          </w:p>
        </w:tc>
        <w:tc>
          <w:tcPr>
            <w:tcW w:w="60" w:type="dxa"/>
            <w:tcBorders/>
            <w:vAlign w:val="center"/>
          </w:tcPr>
          <w:p>
            <w:pPr>
              <w:pStyle w:val="TableContents"/>
              <w:bidi w:val="0"/>
              <w:spacing w:before="0" w:after="283"/>
              <w:jc w:val="left"/>
              <w:rPr/>
            </w:pPr>
            <w:r>
              <w:rPr/>
              <w:t>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0"/>
              <w:jc w:val="center"/>
              <w:rPr>
                <w:rFonts w:ascii="arial" w:hAnsi="arial"/>
                <w:sz w:val="18"/>
              </w:rPr>
            </w:pPr>
            <w:r>
              <w:rPr>
                <w:rFonts w:ascii="arial" w:hAnsi="arial"/>
                <w:sz w:val="18"/>
              </w:rPr>
              <w:t>12.5%</w:t>
            </w:r>
          </w:p>
        </w:tc>
        <w:tc>
          <w:tcPr>
            <w:tcW w:w="60" w:type="dxa"/>
            <w:tcBorders/>
            <w:vAlign w:val="center"/>
          </w:tcPr>
          <w:p>
            <w:pPr>
              <w:pStyle w:val="TableContents"/>
              <w:bidi w:val="0"/>
              <w:spacing w:before="0" w:after="283"/>
              <w:jc w:val="left"/>
              <w:rPr/>
            </w:pPr>
            <w:r>
              <w:rPr/>
              <w:t>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top w:val="dotted" w:sz="6" w:space="0" w:color="0171B9"/>
              <w:left w:val="dotted" w:sz="6" w:space="0" w:color="0171B9"/>
              <w:bottom w:val="dotted" w:sz="6" w:space="0" w:color="0171B9"/>
            </w:tcBorders>
            <w:tcMar>
              <w:top w:w="28" w:type="dxa"/>
              <w:left w:w="28" w:type="dxa"/>
              <w:bottom w:w="28" w:type="dxa"/>
            </w:tcMar>
            <w:vAlign w:val="center"/>
          </w:tcPr>
          <w:p>
            <w:pPr>
              <w:pStyle w:val="TableContents"/>
              <w:bidi w:val="0"/>
              <w:spacing w:before="0" w:after="283"/>
              <w:jc w:val="left"/>
              <w:rPr/>
            </w:pPr>
            <w:r>
              <w:rPr/>
              <w:t> </w:t>
            </w:r>
          </w:p>
        </w:tc>
        <w:tc>
          <w:tcPr>
            <w:tcW w:w="1205" w:type="dxa"/>
            <w:tcBorders>
              <w:top w:val="dotted" w:sz="6" w:space="0" w:color="0171B9"/>
              <w:bottom w:val="dotted" w:sz="6" w:space="0" w:color="0171B9"/>
              <w:right w:val="dotted" w:sz="6" w:space="0" w:color="0171B9"/>
            </w:tcBorders>
            <w:tcMar>
              <w:top w:w="28" w:type="dxa"/>
              <w:bottom w:w="28" w:type="dxa"/>
              <w:right w:w="28" w:type="dxa"/>
            </w:tcMar>
            <w:vAlign w:val="center"/>
          </w:tcPr>
          <w:p>
            <w:pPr>
              <w:pStyle w:val="TableContents"/>
              <w:bidi w:val="0"/>
              <w:spacing w:before="0" w:after="20"/>
              <w:jc w:val="center"/>
              <w:rPr>
                <w:rFonts w:ascii="arial" w:hAnsi="arial"/>
                <w:sz w:val="18"/>
              </w:rPr>
            </w:pPr>
            <w:r>
              <w:rPr>
                <w:rFonts w:ascii="arial" w:hAnsi="arial"/>
                <w:sz w:val="18"/>
              </w:rPr>
              <w:t>15-20%(3)</w:t>
            </w:r>
          </w:p>
        </w:tc>
        <w:tc>
          <w:tcPr>
            <w:tcW w:w="60" w:type="dxa"/>
            <w:tcBorders/>
            <w:vAlign w:val="center"/>
          </w:tcPr>
          <w:p>
            <w:pPr>
              <w:pStyle w:val="TableContents"/>
              <w:bidi w:val="0"/>
              <w:spacing w:before="0" w:after="283"/>
              <w:jc w:val="left"/>
              <w:rPr/>
            </w:pPr>
            <w:r>
              <w:rPr/>
              <w:t>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0"/>
              <w:jc w:val="center"/>
              <w:rPr>
                <w:rFonts w:ascii="arial" w:hAnsi="arial"/>
                <w:sz w:val="18"/>
              </w:rPr>
            </w:pPr>
            <w:r>
              <w:rPr>
                <w:rFonts w:ascii="arial" w:hAnsi="arial"/>
                <w:sz w:val="18"/>
              </w:rPr>
              <w:t>22.5%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0"/>
              <w:jc w:val="center"/>
              <w:rPr/>
            </w:pPr>
            <w:r>
              <w:rPr/>
              <w:t>≥</w:t>
            </w:r>
            <w:r>
              <w:rPr>
                <w:rFonts w:ascii="arial" w:hAnsi="arial"/>
                <w:sz w:val="18"/>
              </w:rPr>
              <w:t>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vMerge w:val="continue"/>
            <w:tcBorders>
              <w:left w:val="single" w:sz="6" w:space="0" w:color="000000"/>
              <w:bottom w:val="single" w:sz="6" w:space="0" w:color="000000"/>
            </w:tcBorders>
            <w:tcMar>
              <w:left w:w="28" w:type="dxa"/>
              <w:bottom w:w="28" w:type="dxa"/>
            </w:tcMar>
            <w:vAlign w:val="center"/>
          </w:tcPr>
          <w:p>
            <w:pPr>
              <w:pStyle w:val="Normal"/>
              <w:bidi w:val="0"/>
              <w:jc w:val="left"/>
              <w:rPr/>
            </w:pPr>
            <w:r>
              <w:rPr/>
            </w:r>
          </w:p>
        </w:tc>
        <w:tc>
          <w:tcPr>
            <w:tcW w:w="1070" w:type="dxa"/>
            <w:vMerge w:val="continue"/>
            <w:tcBorders>
              <w:bottom w:val="single" w:sz="6" w:space="0" w:color="000000"/>
              <w:right w:val="single" w:sz="6" w:space="0" w:color="000000"/>
            </w:tcBorders>
            <w:tcMar>
              <w:bottom w:w="28" w:type="dxa"/>
              <w:right w:w="40" w:type="dxa"/>
            </w:tcMar>
            <w:vAlign w:val="center"/>
          </w:tcPr>
          <w:p>
            <w:pPr>
              <w:pStyle w:val="Normal"/>
              <w:bidi w:val="0"/>
              <w:jc w:val="left"/>
              <w:rPr/>
            </w:pPr>
            <w:r>
              <w:rPr/>
            </w:r>
          </w:p>
        </w:tc>
      </w:tr>
      <w:tr>
        <w:trPr/>
        <w:tc>
          <w:tcPr>
            <w:tcW w:w="860" w:type="dxa"/>
            <w:vMerge w:val="continue"/>
            <w:tcBorders>
              <w:top w:val="single" w:sz="6" w:space="0" w:color="31485D"/>
              <w:bottom w:val="single" w:sz="6" w:space="0" w:color="31485D"/>
            </w:tcBorders>
            <w:shd w:fill="31485D" w:val="clear"/>
            <w:tcMar>
              <w:top w:w="28" w:type="dxa"/>
              <w:bottom w:w="28" w:type="dxa"/>
            </w:tcMar>
            <w:vAlign w:val="center"/>
          </w:tcPr>
          <w:p>
            <w:pPr>
              <w:pStyle w:val="Normal"/>
              <w:bidi w:val="0"/>
              <w:jc w:val="left"/>
              <w:rPr/>
            </w:pPr>
            <w:r>
              <w:rPr/>
            </w:r>
          </w:p>
        </w:tc>
        <w:tc>
          <w:tcPr>
            <w:tcW w:w="60" w:type="dxa"/>
            <w:vMerge w:val="continue"/>
            <w:tcBorders>
              <w:left w:val="single" w:sz="6" w:space="0" w:color="000000"/>
              <w:bottom w:val="single" w:sz="6" w:space="0" w:color="000000"/>
            </w:tcBorders>
            <w:shd w:fill="80B8DC" w:val="clear"/>
            <w:tcMar>
              <w:left w:w="28" w:type="dxa"/>
              <w:bottom w:w="28" w:type="dxa"/>
            </w:tcMar>
            <w:vAlign w:val="center"/>
          </w:tcPr>
          <w:p>
            <w:pPr>
              <w:pStyle w:val="Normal"/>
              <w:bidi w:val="0"/>
              <w:jc w:val="left"/>
              <w:rPr/>
            </w:pPr>
            <w:r>
              <w:rPr/>
            </w:r>
          </w:p>
        </w:tc>
        <w:tc>
          <w:tcPr>
            <w:tcW w:w="1490" w:type="dxa"/>
            <w:vMerge w:val="continue"/>
            <w:tcBorders>
              <w:bottom w:val="single" w:sz="6" w:space="0" w:color="000000"/>
              <w:right w:val="single" w:sz="6" w:space="0" w:color="000000"/>
            </w:tcBorders>
            <w:shd w:fill="80B8DC" w:val="clear"/>
            <w:tcMar>
              <w:bottom w:w="28" w:type="dxa"/>
              <w:right w:w="28" w:type="dxa"/>
            </w:tcMar>
            <w:vAlign w:val="center"/>
          </w:tcPr>
          <w:p>
            <w:pPr>
              <w:pStyle w:val="Normal"/>
              <w:bidi w:val="0"/>
              <w:jc w:val="left"/>
              <w:rPr/>
            </w:pPr>
            <w:r>
              <w:rPr/>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2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9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5" w:type="dxa"/>
            <w:tcBorders>
              <w:bottom w:val="single" w:sz="6" w:space="0" w:color="000000"/>
            </w:tcBorders>
            <w:tcMar>
              <w:bottom w:w="28" w:type="dxa"/>
            </w:tcMar>
            <w:vAlign w:val="center"/>
          </w:tcPr>
          <w:p>
            <w:pPr>
              <w:pStyle w:val="TableContents"/>
              <w:bidi w:val="0"/>
              <w:spacing w:before="0" w:after="0"/>
              <w:jc w:val="center"/>
              <w:rPr>
                <w:rFonts w:ascii="arial" w:hAnsi="arial"/>
                <w:color w:val="0171B9"/>
                <w:sz w:val="18"/>
              </w:rPr>
            </w:pPr>
            <w:r>
              <w:rPr>
                <w:rFonts w:ascii="arial" w:hAnsi="arial"/>
                <w:color w:val="0171B9"/>
                <w:sz w:val="18"/>
              </w:rPr>
              <w:t>(15.7% actual)</w:t>
            </w:r>
          </w:p>
          <w:p>
            <w:pPr>
              <w:pStyle w:val="TableContents"/>
              <w:bidi w:val="0"/>
              <w:spacing w:before="0" w:after="2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2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vMerge w:val="continue"/>
            <w:tcBorders>
              <w:left w:val="single" w:sz="6" w:space="0" w:color="000000"/>
              <w:bottom w:val="single" w:sz="6" w:space="0" w:color="000000"/>
            </w:tcBorders>
            <w:tcMar>
              <w:left w:w="28" w:type="dxa"/>
              <w:bottom w:w="28" w:type="dxa"/>
            </w:tcMar>
            <w:vAlign w:val="center"/>
          </w:tcPr>
          <w:p>
            <w:pPr>
              <w:pStyle w:val="Normal"/>
              <w:bidi w:val="0"/>
              <w:jc w:val="left"/>
              <w:rPr/>
            </w:pPr>
            <w:r>
              <w:rPr/>
            </w:r>
          </w:p>
        </w:tc>
        <w:tc>
          <w:tcPr>
            <w:tcW w:w="1070" w:type="dxa"/>
            <w:vMerge w:val="continue"/>
            <w:tcBorders>
              <w:bottom w:val="single" w:sz="6" w:space="0" w:color="000000"/>
              <w:right w:val="single" w:sz="6" w:space="0" w:color="000000"/>
            </w:tcBorders>
            <w:tcMar>
              <w:bottom w:w="28" w:type="dxa"/>
              <w:right w:w="40" w:type="dxa"/>
            </w:tcMar>
            <w:vAlign w:val="center"/>
          </w:tcPr>
          <w:p>
            <w:pPr>
              <w:pStyle w:val="Normal"/>
              <w:bidi w:val="0"/>
              <w:jc w:val="left"/>
              <w:rPr/>
            </w:pPr>
            <w:r>
              <w:rPr/>
            </w:r>
          </w:p>
        </w:tc>
      </w:tr>
      <w:tr>
        <w:trPr/>
        <w:tc>
          <w:tcPr>
            <w:tcW w:w="860" w:type="dxa"/>
            <w:vMerge w:val="restart"/>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1490" w:type="dxa"/>
            <w:vMerge w:val="restart"/>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305" w:type="dxa"/>
            <w:gridSpan w:val="29"/>
            <w:tcBorders/>
            <w:vAlign w:val="center"/>
          </w:tcPr>
          <w:p>
            <w:pPr>
              <w:pStyle w:val="TableContents"/>
              <w:bidi w:val="0"/>
              <w:spacing w:before="0" w:after="0"/>
              <w:jc w:val="left"/>
              <w:rPr/>
            </w:pPr>
            <w:r>
              <w:rPr/>
              <w:t> </w:t>
            </w:r>
          </w:p>
          <w:p>
            <w:pPr>
              <w:pStyle w:val="TableContents"/>
              <w:bidi w:val="0"/>
              <w:spacing w:before="0" w:after="20"/>
              <w:jc w:val="right"/>
              <w:rPr/>
            </w:pPr>
            <w:r>
              <w:rPr/>
              <w:drawing>
                <wp:inline distT="0" distB="0" distL="0" distR="0">
                  <wp:extent cx="3295650" cy="285750"/>
                  <wp:effectExtent l="0" t="0" r="0" b="0"/>
                  <wp:docPr id="264"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131" descr=""/>
                          <pic:cNvPicPr>
                            <a:picLocks noChangeAspect="1" noChangeArrowheads="1"/>
                          </pic:cNvPicPr>
                        </pic:nvPicPr>
                        <pic:blipFill>
                          <a:blip r:embed="rId143"/>
                          <a:stretch>
                            <a:fillRect/>
                          </a:stretch>
                        </pic:blipFill>
                        <pic:spPr bwMode="auto">
                          <a:xfrm>
                            <a:off x="0" y="0"/>
                            <a:ext cx="3295650" cy="285750"/>
                          </a:xfrm>
                          <a:prstGeom prst="rect">
                            <a:avLst/>
                          </a:prstGeom>
                        </pic:spPr>
                      </pic:pic>
                    </a:graphicData>
                  </a:graphic>
                </wp:inline>
              </w:drawing>
            </w:r>
            <w:r>
              <w:rPr/>
              <w:t xml:space="preserve"> </w:t>
            </w:r>
          </w:p>
        </w:tc>
        <w:tc>
          <w:tcPr>
            <w:tcW w:w="60" w:type="dxa"/>
            <w:tcBorders>
              <w:top w:val="single" w:sz="6" w:space="0" w:color="000000"/>
              <w:left w:val="single" w:sz="6" w:space="0" w:color="000000"/>
              <w:bottom w:val="single" w:sz="6" w:space="0" w:color="000000"/>
            </w:tcBorders>
            <w:shd w:fill="0171B9" w:val="clear"/>
            <w:tcMar>
              <w:top w:w="28" w:type="dxa"/>
              <w:left w:w="28" w:type="dxa"/>
              <w:bottom w:w="28" w:type="dxa"/>
            </w:tcMar>
            <w:vAlign w:val="center"/>
          </w:tcPr>
          <w:p>
            <w:pPr>
              <w:pStyle w:val="TableContents"/>
              <w:bidi w:val="0"/>
              <w:spacing w:before="0" w:after="283"/>
              <w:jc w:val="left"/>
              <w:rPr/>
            </w:pPr>
            <w:r>
              <w:rPr/>
              <w:t> </w:t>
            </w:r>
          </w:p>
        </w:tc>
        <w:tc>
          <w:tcPr>
            <w:tcW w:w="1070" w:type="dxa"/>
            <w:tcBorders>
              <w:top w:val="single" w:sz="6" w:space="0" w:color="000000"/>
              <w:bottom w:val="single" w:sz="6" w:space="0" w:color="000000"/>
              <w:right w:val="single" w:sz="6" w:space="0" w:color="000000"/>
            </w:tcBorders>
            <w:shd w:fill="0171B9" w:val="clear"/>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8"/>
              </w:rPr>
            </w:pPr>
            <w:r>
              <w:rPr>
                <w:rFonts w:ascii="arial" w:hAnsi="arial"/>
                <w:b/>
                <w:color w:val="FFFFFF"/>
                <w:sz w:val="18"/>
              </w:rPr>
              <w:t>113.8%</w:t>
            </w:r>
          </w:p>
        </w:tc>
      </w:tr>
      <w:tr>
        <w:trPr/>
        <w:tc>
          <w:tcPr>
            <w:tcW w:w="8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49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3175000" cy="6578600"/>
                <wp:effectExtent l="0" t="0" r="0" b="0"/>
                <wp:wrapSquare wrapText="right"/>
                <wp:docPr id="265" name="Frame124"/>
                <a:graphic xmlns:a="http://schemas.openxmlformats.org/drawingml/2006/main">
                  <a:graphicData uri="http://schemas.microsoft.com/office/word/2010/wordprocessingShape">
                    <wps:wsp>
                      <wps:cNvSpPr txBox="1"/>
                      <wps:spPr>
                        <a:xfrm>
                          <a:off x="0" y="0"/>
                          <a:ext cx="3175000" cy="6578600"/>
                        </a:xfrm>
                        <a:prstGeom prst="rect"/>
                        <a:solidFill>
                          <a:srgbClr val="FFFFFF"/>
                        </a:solidFill>
                      </wps:spPr>
                      <wps:txbx>
                        <w:txbxContent>
                          <w:tbl>
                            <w:tblPr>
                              <w:tblW w:w="5915" w:type="dxa"/>
                              <w:jc w:val="left"/>
                              <w:tblInd w:w="0" w:type="dxa"/>
                              <w:tblLayout w:type="fixed"/>
                              <w:tblCellMar>
                                <w:top w:w="0" w:type="dxa"/>
                                <w:left w:w="0" w:type="dxa"/>
                                <w:bottom w:w="0" w:type="dxa"/>
                                <w:right w:w="0" w:type="dxa"/>
                              </w:tblCellMar>
                            </w:tblPr>
                            <w:tblGrid>
                              <w:gridCol w:w="5915"/>
                            </w:tblGrid>
                            <w:tr>
                              <w:trPr/>
                              <w:tc>
                                <w:tcPr>
                                  <w:tcW w:w="5915" w:type="dxa"/>
                                  <w:tcBorders/>
                                  <w:vAlign w:val="center"/>
                                </w:tcPr>
                                <w:p>
                                  <w:pPr>
                                    <w:pStyle w:val="TableContents"/>
                                    <w:bidi w:val="0"/>
                                    <w:spacing w:before="0" w:after="283"/>
                                    <w:jc w:val="left"/>
                                    <w:rPr>
                                      <w:sz w:val="4"/>
                                      <w:szCs w:val="4"/>
                                    </w:rPr>
                                  </w:pPr>
                                  <w:r>
                                    <w:rPr>
                                      <w:sz w:val="4"/>
                                      <w:szCs w:val="4"/>
                                    </w:rPr>
                                  </w:r>
                                </w:p>
                              </w:tc>
                            </w:tr>
                            <w:tr>
                              <w:trPr/>
                              <w:tc>
                                <w:tcPr>
                                  <w:tcW w:w="5915" w:type="dxa"/>
                                  <w:tcBorders>
                                    <w:top w:val="single" w:sz="6" w:space="0" w:color="000000"/>
                                    <w:left w:val="single" w:sz="6" w:space="0" w:color="000000"/>
                                    <w:bottom w:val="single" w:sz="6" w:space="0" w:color="000000"/>
                                    <w:right w:val="single" w:sz="6" w:space="0" w:color="000000"/>
                                  </w:tcBorders>
                                  <w:shd w:fill="0171B9" w:val="clear"/>
                                  <w:tcMar>
                                    <w:top w:w="28" w:type="dxa"/>
                                    <w:left w:w="160"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2023-2025 S&amp;P 500 Relative TSR(5) Modifier</w:t>
                                  </w:r>
                                </w:p>
                                <w:p>
                                  <w:pPr>
                                    <w:pStyle w:val="TableContents"/>
                                    <w:bidi w:val="0"/>
                                    <w:spacing w:before="0" w:after="0"/>
                                    <w:jc w:val="left"/>
                                    <w:rPr/>
                                  </w:pPr>
                                  <w:r>
                                    <w:rPr/>
                                    <w:t> </w:t>
                                  </w:r>
                                </w:p>
                                <w:p>
                                  <w:pPr>
                                    <w:pStyle w:val="TableContents"/>
                                    <w:bidi w:val="0"/>
                                    <w:spacing w:before="0" w:after="20"/>
                                    <w:jc w:val="left"/>
                                    <w:rPr/>
                                  </w:pPr>
                                  <w:r>
                                    <w:rPr/>
                                    <w:t> </w:t>
                                  </w:r>
                                </w:p>
                              </w:tc>
                            </w:tr>
                            <w:tr>
                              <w:trPr/>
                              <w:tc>
                                <w:tcPr>
                                  <w:tcW w:w="5915" w:type="dxa"/>
                                  <w:tcBorders>
                                    <w:left w:val="single" w:sz="6" w:space="0" w:color="000000"/>
                                    <w:bottom w:val="single" w:sz="6" w:space="0" w:color="000000"/>
                                    <w:right w:val="single" w:sz="6" w:space="0" w:color="000000"/>
                                  </w:tcBorders>
                                  <w:tcMar>
                                    <w:left w:w="160" w:type="dxa"/>
                                    <w:bottom w:w="28" w:type="dxa"/>
                                    <w:right w:w="40" w:type="dxa"/>
                                  </w:tcMar>
                                  <w:vAlign w:val="center"/>
                                </w:tcPr>
                                <w:p>
                                  <w:pPr>
                                    <w:pStyle w:val="TableContents"/>
                                    <w:bidi w:val="0"/>
                                    <w:spacing w:before="0" w:after="283"/>
                                    <w:jc w:val="center"/>
                                    <w:rPr/>
                                  </w:pPr>
                                  <w:r>
                                    <w:rPr/>
                                    <w:t>Payout for Performance Relative to S&amp;P 500 TSR Percentage</w:t>
                                  </w:r>
                                </w:p>
                              </w:tc>
                            </w:tr>
                            <w:tr>
                              <w:trPr/>
                              <w:tc>
                                <w:tcPr>
                                  <w:tcW w:w="5915" w:type="dxa"/>
                                  <w:tcBorders>
                                    <w:left w:val="single" w:sz="6" w:space="0" w:color="000000"/>
                                    <w:right w:val="single" w:sz="6" w:space="0" w:color="000000"/>
                                  </w:tcBorders>
                                  <w:tcMar>
                                    <w:left w:w="160" w:type="dxa"/>
                                    <w:right w:w="40" w:type="dxa"/>
                                  </w:tcMar>
                                  <w:vAlign w:val="center"/>
                                </w:tcPr>
                                <w:p>
                                  <w:pPr>
                                    <w:pStyle w:val="TableContents"/>
                                    <w:bidi w:val="0"/>
                                    <w:spacing w:before="0" w:after="283"/>
                                    <w:jc w:val="left"/>
                                    <w:rPr/>
                                  </w:pPr>
                                  <w:r>
                                    <w:rPr/>
                                    <w:t> </w:t>
                                  </w:r>
                                </w:p>
                              </w:tc>
                            </w:tr>
                            <w:tr>
                              <w:trPr/>
                              <w:tc>
                                <w:tcPr>
                                  <w:tcW w:w="5915" w:type="dxa"/>
                                  <w:tcBorders>
                                    <w:left w:val="single" w:sz="6" w:space="0" w:color="000000"/>
                                    <w:right w:val="single" w:sz="6" w:space="0" w:color="000000"/>
                                  </w:tcBorders>
                                  <w:shd w:fill="D8E9F4" w:val="clear"/>
                                  <w:tcMar>
                                    <w:left w:w="160" w:type="dxa"/>
                                    <w:right w:w="28" w:type="dxa"/>
                                  </w:tcMar>
                                  <w:vAlign w:val="center"/>
                                </w:tcPr>
                                <w:p>
                                  <w:pPr>
                                    <w:pStyle w:val="TableContents"/>
                                    <w:bidi w:val="0"/>
                                    <w:spacing w:before="0" w:after="283"/>
                                    <w:jc w:val="left"/>
                                    <w:rPr/>
                                  </w:pPr>
                                  <w:r>
                                    <w:rPr/>
                                    <w:t> </w:t>
                                  </w:r>
                                </w:p>
                              </w:tc>
                            </w:tr>
                            <w:tr>
                              <w:trPr/>
                              <w:tc>
                                <w:tcPr>
                                  <w:tcW w:w="5915" w:type="dxa"/>
                                  <w:tcBorders>
                                    <w:left w:val="single" w:sz="6" w:space="0" w:color="000000"/>
                                    <w:right w:val="single" w:sz="6" w:space="0" w:color="000000"/>
                                  </w:tcBorders>
                                  <w:shd w:fill="D8E9F4" w:val="clear"/>
                                  <w:tcMar>
                                    <w:left w:w="160" w:type="dxa"/>
                                    <w:right w:w="40" w:type="dxa"/>
                                  </w:tcMar>
                                  <w:vAlign w:val="center"/>
                                </w:tcPr>
                                <w:p>
                                  <w:pPr>
                                    <w:pStyle w:val="TableContents"/>
                                    <w:bidi w:val="0"/>
                                    <w:spacing w:before="0" w:after="0"/>
                                    <w:jc w:val="left"/>
                                    <w:rPr>
                                      <w:rFonts w:ascii="arial" w:hAnsi="arial"/>
                                      <w:sz w:val="18"/>
                                    </w:rPr>
                                  </w:pPr>
                                  <w:r>
                                    <w:rPr>
                                      <w:rFonts w:ascii="arial" w:hAnsi="arial"/>
                                      <w:sz w:val="18"/>
                                    </w:rPr>
                                    <w:t>Amgen TSR ≥ 75th percentile = 30% (Maximum)</w:t>
                                  </w:r>
                                </w:p>
                                <w:p>
                                  <w:pPr>
                                    <w:pStyle w:val="TableContents"/>
                                    <w:bidi w:val="0"/>
                                    <w:spacing w:before="0" w:after="20"/>
                                    <w:jc w:val="left"/>
                                    <w:rPr/>
                                  </w:pPr>
                                  <w:r>
                                    <w:rPr/>
                                    <w:t> </w:t>
                                  </w:r>
                                </w:p>
                              </w:tc>
                            </w:tr>
                            <w:tr>
                              <w:trPr/>
                              <w:tc>
                                <w:tcPr>
                                  <w:tcW w:w="5915" w:type="dxa"/>
                                  <w:tcBorders>
                                    <w:left w:val="single" w:sz="6" w:space="0" w:color="000000"/>
                                    <w:right w:val="single" w:sz="6" w:space="0" w:color="000000"/>
                                  </w:tcBorders>
                                  <w:tcMar>
                                    <w:left w:w="160" w:type="dxa"/>
                                    <w:right w:w="28" w:type="dxa"/>
                                  </w:tcMar>
                                  <w:vAlign w:val="center"/>
                                </w:tcPr>
                                <w:p>
                                  <w:pPr>
                                    <w:pStyle w:val="TableContents"/>
                                    <w:bidi w:val="0"/>
                                    <w:spacing w:before="0" w:after="283"/>
                                    <w:jc w:val="left"/>
                                    <w:rPr/>
                                  </w:pPr>
                                  <w:r>
                                    <w:rPr/>
                                    <w:t> </w:t>
                                  </w:r>
                                </w:p>
                              </w:tc>
                            </w:tr>
                            <w:tr>
                              <w:trPr/>
                              <w:tc>
                                <w:tcPr>
                                  <w:tcW w:w="5915" w:type="dxa"/>
                                  <w:tcBorders>
                                    <w:left w:val="single" w:sz="6" w:space="0" w:color="000000"/>
                                    <w:right w:val="single" w:sz="6" w:space="0" w:color="000000"/>
                                  </w:tcBorders>
                                  <w:tcMar>
                                    <w:left w:w="160" w:type="dxa"/>
                                    <w:right w:w="40" w:type="dxa"/>
                                  </w:tcMar>
                                  <w:vAlign w:val="center"/>
                                </w:tcPr>
                                <w:p>
                                  <w:pPr>
                                    <w:pStyle w:val="TableContents"/>
                                    <w:bidi w:val="0"/>
                                    <w:spacing w:before="0" w:after="0"/>
                                    <w:jc w:val="left"/>
                                    <w:rPr>
                                      <w:rFonts w:ascii="arial" w:hAnsi="arial"/>
                                      <w:sz w:val="18"/>
                                    </w:rPr>
                                  </w:pPr>
                                  <w:r>
                                    <w:rPr>
                                      <w:rFonts w:ascii="arial" w:hAnsi="arial"/>
                                      <w:sz w:val="18"/>
                                    </w:rPr>
                                    <w:t>Amgen TSR = 50th percentile‡ = 0% (Target)</w:t>
                                  </w:r>
                                </w:p>
                                <w:p>
                                  <w:pPr>
                                    <w:pStyle w:val="TableContents"/>
                                    <w:bidi w:val="0"/>
                                    <w:spacing w:before="0" w:after="0"/>
                                    <w:jc w:val="left"/>
                                    <w:rPr/>
                                  </w:pPr>
                                  <w:r>
                                    <w:rPr/>
                                    <w:t> </w:t>
                                  </w:r>
                                </w:p>
                                <w:p>
                                  <w:pPr>
                                    <w:pStyle w:val="TableContents"/>
                                    <w:bidi w:val="0"/>
                                    <w:spacing w:before="0" w:after="20"/>
                                    <w:jc w:val="left"/>
                                    <w:rPr/>
                                  </w:pPr>
                                  <w:r>
                                    <w:rPr/>
                                    <w:t> </w:t>
                                  </w:r>
                                </w:p>
                              </w:tc>
                            </w:tr>
                            <w:tr>
                              <w:trPr/>
                              <w:tc>
                                <w:tcPr>
                                  <w:tcW w:w="5915" w:type="dxa"/>
                                  <w:tcBorders>
                                    <w:left w:val="single" w:sz="6" w:space="0" w:color="000000"/>
                                    <w:right w:val="single" w:sz="6" w:space="0" w:color="000000"/>
                                  </w:tcBorders>
                                  <w:shd w:fill="D8E9F4" w:val="clear"/>
                                  <w:tcMar>
                                    <w:left w:w="160" w:type="dxa"/>
                                    <w:right w:w="28" w:type="dxa"/>
                                  </w:tcMar>
                                  <w:vAlign w:val="center"/>
                                </w:tcPr>
                                <w:p>
                                  <w:pPr>
                                    <w:pStyle w:val="TableContents"/>
                                    <w:bidi w:val="0"/>
                                    <w:spacing w:before="0" w:after="283"/>
                                    <w:jc w:val="left"/>
                                    <w:rPr/>
                                  </w:pPr>
                                  <w:r>
                                    <w:rPr/>
                                    <w:t> </w:t>
                                  </w:r>
                                </w:p>
                              </w:tc>
                            </w:tr>
                            <w:tr>
                              <w:trPr/>
                              <w:tc>
                                <w:tcPr>
                                  <w:tcW w:w="5915" w:type="dxa"/>
                                  <w:tcBorders>
                                    <w:left w:val="single" w:sz="6" w:space="0" w:color="000000"/>
                                    <w:right w:val="single" w:sz="6" w:space="0" w:color="000000"/>
                                  </w:tcBorders>
                                  <w:shd w:fill="D8E9F4" w:val="clear"/>
                                  <w:tcMar>
                                    <w:left w:w="160" w:type="dxa"/>
                                    <w:right w:w="40" w:type="dxa"/>
                                  </w:tcMar>
                                  <w:vAlign w:val="center"/>
                                </w:tcPr>
                                <w:p>
                                  <w:pPr>
                                    <w:pStyle w:val="TableContents"/>
                                    <w:bidi w:val="0"/>
                                    <w:spacing w:before="0" w:after="0"/>
                                    <w:jc w:val="left"/>
                                    <w:rPr>
                                      <w:rFonts w:ascii="arial" w:hAnsi="arial"/>
                                      <w:sz w:val="18"/>
                                    </w:rPr>
                                  </w:pPr>
                                  <w:r>
                                    <w:rPr>
                                      <w:rFonts w:ascii="arial" w:hAnsi="arial"/>
                                      <w:sz w:val="18"/>
                                    </w:rPr>
                                    <w:t>Amgen TSR ≤ 25th percentile = -30% (Minimum)</w:t>
                                  </w:r>
                                </w:p>
                                <w:p>
                                  <w:pPr>
                                    <w:pStyle w:val="TableContents"/>
                                    <w:bidi w:val="0"/>
                                    <w:spacing w:before="0" w:after="0"/>
                                    <w:jc w:val="left"/>
                                    <w:rPr/>
                                  </w:pPr>
                                  <w:r>
                                    <w:rPr/>
                                    <w:t> </w:t>
                                  </w:r>
                                </w:p>
                                <w:p>
                                  <w:pPr>
                                    <w:pStyle w:val="TableContents"/>
                                    <w:bidi w:val="0"/>
                                    <w:spacing w:before="0" w:after="20"/>
                                    <w:jc w:val="left"/>
                                    <w:rPr/>
                                  </w:pPr>
                                  <w:r>
                                    <w:rPr/>
                                    <w:t> </w:t>
                                  </w:r>
                                </w:p>
                              </w:tc>
                            </w:tr>
                            <w:tr>
                              <w:trPr/>
                              <w:tc>
                                <w:tcPr>
                                  <w:tcW w:w="5915" w:type="dxa"/>
                                  <w:tcBorders>
                                    <w:left w:val="single" w:sz="6" w:space="0" w:color="000000"/>
                                    <w:bottom w:val="single" w:sz="6" w:space="0" w:color="000000"/>
                                    <w:right w:val="single" w:sz="6" w:space="0" w:color="000000"/>
                                  </w:tcBorders>
                                  <w:tcMar>
                                    <w:left w:w="160" w:type="dxa"/>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6965" w:type="dxa"/>
                              <w:jc w:val="left"/>
                              <w:tblInd w:w="0" w:type="dxa"/>
                              <w:tblLayout w:type="fixed"/>
                              <w:tblCellMar>
                                <w:top w:w="0" w:type="dxa"/>
                                <w:left w:w="0" w:type="dxa"/>
                                <w:bottom w:w="0" w:type="dxa"/>
                                <w:right w:w="0" w:type="dxa"/>
                              </w:tblCellMar>
                            </w:tblPr>
                            <w:tblGrid>
                              <w:gridCol w:w="75"/>
                              <w:gridCol w:w="6890"/>
                            </w:tblGrid>
                            <w:tr>
                              <w:trPr/>
                              <w:tc>
                                <w:tcPr>
                                  <w:tcW w:w="75"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0"/>
                                    <w:jc w:val="both"/>
                                    <w:rPr/>
                                  </w:pPr>
                                  <w:r>
                                    <w:rPr/>
                                    <w:t xml:space="preserve">‡ </w:t>
                                  </w:r>
                                  <w:r>
                                    <w:rPr>
                                      <w:rFonts w:ascii="arial" w:hAnsi="arial"/>
                                      <w:sz w:val="16"/>
                                    </w:rPr>
                                    <w:t xml:space="preserve">If Amgen’s TSR is less than 0, the relative TSR modifier can be no greater than 0% (target).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3810000" cy="1238250"/>
                                  <wp:effectExtent l="0" t="0" r="0" b="0"/>
                                  <wp:docPr id="266"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132" descr=""/>
                                          <pic:cNvPicPr>
                                            <a:picLocks noChangeAspect="1" noChangeArrowheads="1"/>
                                          </pic:cNvPicPr>
                                        </pic:nvPicPr>
                                        <pic:blipFill>
                                          <a:blip r:embed="rId144"/>
                                          <a:stretch>
                                            <a:fillRect/>
                                          </a:stretch>
                                        </pic:blipFill>
                                        <pic:spPr bwMode="auto">
                                          <a:xfrm>
                                            <a:off x="0" y="0"/>
                                            <a:ext cx="3810000" cy="1238250"/>
                                          </a:xfrm>
                                          <a:prstGeom prst="rect">
                                            <a:avLst/>
                                          </a:prstGeom>
                                        </pic:spPr>
                                      </pic:pic>
                                    </a:graphicData>
                                  </a:graphic>
                                </wp:inline>
                              </w:drawing>
                            </w:r>
                            <w:r>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18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915" w:type="dxa"/>
                        <w:jc w:val="left"/>
                        <w:tblInd w:w="0" w:type="dxa"/>
                        <w:tblLayout w:type="fixed"/>
                        <w:tblCellMar>
                          <w:top w:w="0" w:type="dxa"/>
                          <w:left w:w="0" w:type="dxa"/>
                          <w:bottom w:w="0" w:type="dxa"/>
                          <w:right w:w="0" w:type="dxa"/>
                        </w:tblCellMar>
                      </w:tblPr>
                      <w:tblGrid>
                        <w:gridCol w:w="5915"/>
                      </w:tblGrid>
                      <w:tr>
                        <w:trPr/>
                        <w:tc>
                          <w:tcPr>
                            <w:tcW w:w="5915" w:type="dxa"/>
                            <w:tcBorders/>
                            <w:vAlign w:val="center"/>
                          </w:tcPr>
                          <w:p>
                            <w:pPr>
                              <w:pStyle w:val="TableContents"/>
                              <w:bidi w:val="0"/>
                              <w:spacing w:before="0" w:after="283"/>
                              <w:jc w:val="left"/>
                              <w:rPr>
                                <w:sz w:val="4"/>
                                <w:szCs w:val="4"/>
                              </w:rPr>
                            </w:pPr>
                            <w:r>
                              <w:rPr>
                                <w:sz w:val="4"/>
                                <w:szCs w:val="4"/>
                              </w:rPr>
                            </w:r>
                          </w:p>
                        </w:tc>
                      </w:tr>
                      <w:tr>
                        <w:trPr/>
                        <w:tc>
                          <w:tcPr>
                            <w:tcW w:w="5915" w:type="dxa"/>
                            <w:tcBorders>
                              <w:top w:val="single" w:sz="6" w:space="0" w:color="000000"/>
                              <w:left w:val="single" w:sz="6" w:space="0" w:color="000000"/>
                              <w:bottom w:val="single" w:sz="6" w:space="0" w:color="000000"/>
                              <w:right w:val="single" w:sz="6" w:space="0" w:color="000000"/>
                            </w:tcBorders>
                            <w:shd w:fill="0171B9" w:val="clear"/>
                            <w:tcMar>
                              <w:top w:w="28" w:type="dxa"/>
                              <w:left w:w="160"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2023-2025 S&amp;P 500 Relative TSR(5) Modifier</w:t>
                            </w:r>
                          </w:p>
                          <w:p>
                            <w:pPr>
                              <w:pStyle w:val="TableContents"/>
                              <w:bidi w:val="0"/>
                              <w:spacing w:before="0" w:after="0"/>
                              <w:jc w:val="left"/>
                              <w:rPr/>
                            </w:pPr>
                            <w:r>
                              <w:rPr/>
                              <w:t> </w:t>
                            </w:r>
                          </w:p>
                          <w:p>
                            <w:pPr>
                              <w:pStyle w:val="TableContents"/>
                              <w:bidi w:val="0"/>
                              <w:spacing w:before="0" w:after="20"/>
                              <w:jc w:val="left"/>
                              <w:rPr/>
                            </w:pPr>
                            <w:r>
                              <w:rPr/>
                              <w:t> </w:t>
                            </w:r>
                          </w:p>
                        </w:tc>
                      </w:tr>
                      <w:tr>
                        <w:trPr/>
                        <w:tc>
                          <w:tcPr>
                            <w:tcW w:w="5915" w:type="dxa"/>
                            <w:tcBorders>
                              <w:left w:val="single" w:sz="6" w:space="0" w:color="000000"/>
                              <w:bottom w:val="single" w:sz="6" w:space="0" w:color="000000"/>
                              <w:right w:val="single" w:sz="6" w:space="0" w:color="000000"/>
                            </w:tcBorders>
                            <w:tcMar>
                              <w:left w:w="160" w:type="dxa"/>
                              <w:bottom w:w="28" w:type="dxa"/>
                              <w:right w:w="40" w:type="dxa"/>
                            </w:tcMar>
                            <w:vAlign w:val="center"/>
                          </w:tcPr>
                          <w:p>
                            <w:pPr>
                              <w:pStyle w:val="TableContents"/>
                              <w:bidi w:val="0"/>
                              <w:spacing w:before="0" w:after="283"/>
                              <w:jc w:val="center"/>
                              <w:rPr/>
                            </w:pPr>
                            <w:r>
                              <w:rPr/>
                              <w:t>Payout for Performance Relative to S&amp;P 500 TSR Percentage</w:t>
                            </w:r>
                          </w:p>
                        </w:tc>
                      </w:tr>
                      <w:tr>
                        <w:trPr/>
                        <w:tc>
                          <w:tcPr>
                            <w:tcW w:w="5915" w:type="dxa"/>
                            <w:tcBorders>
                              <w:left w:val="single" w:sz="6" w:space="0" w:color="000000"/>
                              <w:right w:val="single" w:sz="6" w:space="0" w:color="000000"/>
                            </w:tcBorders>
                            <w:tcMar>
                              <w:left w:w="160" w:type="dxa"/>
                              <w:right w:w="40" w:type="dxa"/>
                            </w:tcMar>
                            <w:vAlign w:val="center"/>
                          </w:tcPr>
                          <w:p>
                            <w:pPr>
                              <w:pStyle w:val="TableContents"/>
                              <w:bidi w:val="0"/>
                              <w:spacing w:before="0" w:after="283"/>
                              <w:jc w:val="left"/>
                              <w:rPr/>
                            </w:pPr>
                            <w:r>
                              <w:rPr/>
                              <w:t> </w:t>
                            </w:r>
                          </w:p>
                        </w:tc>
                      </w:tr>
                      <w:tr>
                        <w:trPr/>
                        <w:tc>
                          <w:tcPr>
                            <w:tcW w:w="5915" w:type="dxa"/>
                            <w:tcBorders>
                              <w:left w:val="single" w:sz="6" w:space="0" w:color="000000"/>
                              <w:right w:val="single" w:sz="6" w:space="0" w:color="000000"/>
                            </w:tcBorders>
                            <w:shd w:fill="D8E9F4" w:val="clear"/>
                            <w:tcMar>
                              <w:left w:w="160" w:type="dxa"/>
                              <w:right w:w="28" w:type="dxa"/>
                            </w:tcMar>
                            <w:vAlign w:val="center"/>
                          </w:tcPr>
                          <w:p>
                            <w:pPr>
                              <w:pStyle w:val="TableContents"/>
                              <w:bidi w:val="0"/>
                              <w:spacing w:before="0" w:after="283"/>
                              <w:jc w:val="left"/>
                              <w:rPr/>
                            </w:pPr>
                            <w:r>
                              <w:rPr/>
                              <w:t> </w:t>
                            </w:r>
                          </w:p>
                        </w:tc>
                      </w:tr>
                      <w:tr>
                        <w:trPr/>
                        <w:tc>
                          <w:tcPr>
                            <w:tcW w:w="5915" w:type="dxa"/>
                            <w:tcBorders>
                              <w:left w:val="single" w:sz="6" w:space="0" w:color="000000"/>
                              <w:right w:val="single" w:sz="6" w:space="0" w:color="000000"/>
                            </w:tcBorders>
                            <w:shd w:fill="D8E9F4" w:val="clear"/>
                            <w:tcMar>
                              <w:left w:w="160" w:type="dxa"/>
                              <w:right w:w="40" w:type="dxa"/>
                            </w:tcMar>
                            <w:vAlign w:val="center"/>
                          </w:tcPr>
                          <w:p>
                            <w:pPr>
                              <w:pStyle w:val="TableContents"/>
                              <w:bidi w:val="0"/>
                              <w:spacing w:before="0" w:after="0"/>
                              <w:jc w:val="left"/>
                              <w:rPr>
                                <w:rFonts w:ascii="arial" w:hAnsi="arial"/>
                                <w:sz w:val="18"/>
                              </w:rPr>
                            </w:pPr>
                            <w:r>
                              <w:rPr>
                                <w:rFonts w:ascii="arial" w:hAnsi="arial"/>
                                <w:sz w:val="18"/>
                              </w:rPr>
                              <w:t>Amgen TSR ≥ 75th percentile = 30% (Maximum)</w:t>
                            </w:r>
                          </w:p>
                          <w:p>
                            <w:pPr>
                              <w:pStyle w:val="TableContents"/>
                              <w:bidi w:val="0"/>
                              <w:spacing w:before="0" w:after="20"/>
                              <w:jc w:val="left"/>
                              <w:rPr/>
                            </w:pPr>
                            <w:r>
                              <w:rPr/>
                              <w:t> </w:t>
                            </w:r>
                          </w:p>
                        </w:tc>
                      </w:tr>
                      <w:tr>
                        <w:trPr/>
                        <w:tc>
                          <w:tcPr>
                            <w:tcW w:w="5915" w:type="dxa"/>
                            <w:tcBorders>
                              <w:left w:val="single" w:sz="6" w:space="0" w:color="000000"/>
                              <w:right w:val="single" w:sz="6" w:space="0" w:color="000000"/>
                            </w:tcBorders>
                            <w:tcMar>
                              <w:left w:w="160" w:type="dxa"/>
                              <w:right w:w="28" w:type="dxa"/>
                            </w:tcMar>
                            <w:vAlign w:val="center"/>
                          </w:tcPr>
                          <w:p>
                            <w:pPr>
                              <w:pStyle w:val="TableContents"/>
                              <w:bidi w:val="0"/>
                              <w:spacing w:before="0" w:after="283"/>
                              <w:jc w:val="left"/>
                              <w:rPr/>
                            </w:pPr>
                            <w:r>
                              <w:rPr/>
                              <w:t> </w:t>
                            </w:r>
                          </w:p>
                        </w:tc>
                      </w:tr>
                      <w:tr>
                        <w:trPr/>
                        <w:tc>
                          <w:tcPr>
                            <w:tcW w:w="5915" w:type="dxa"/>
                            <w:tcBorders>
                              <w:left w:val="single" w:sz="6" w:space="0" w:color="000000"/>
                              <w:right w:val="single" w:sz="6" w:space="0" w:color="000000"/>
                            </w:tcBorders>
                            <w:tcMar>
                              <w:left w:w="160" w:type="dxa"/>
                              <w:right w:w="40" w:type="dxa"/>
                            </w:tcMar>
                            <w:vAlign w:val="center"/>
                          </w:tcPr>
                          <w:p>
                            <w:pPr>
                              <w:pStyle w:val="TableContents"/>
                              <w:bidi w:val="0"/>
                              <w:spacing w:before="0" w:after="0"/>
                              <w:jc w:val="left"/>
                              <w:rPr>
                                <w:rFonts w:ascii="arial" w:hAnsi="arial"/>
                                <w:sz w:val="18"/>
                              </w:rPr>
                            </w:pPr>
                            <w:r>
                              <w:rPr>
                                <w:rFonts w:ascii="arial" w:hAnsi="arial"/>
                                <w:sz w:val="18"/>
                              </w:rPr>
                              <w:t>Amgen TSR = 50th percentile‡ = 0% (Target)</w:t>
                            </w:r>
                          </w:p>
                          <w:p>
                            <w:pPr>
                              <w:pStyle w:val="TableContents"/>
                              <w:bidi w:val="0"/>
                              <w:spacing w:before="0" w:after="0"/>
                              <w:jc w:val="left"/>
                              <w:rPr/>
                            </w:pPr>
                            <w:r>
                              <w:rPr/>
                              <w:t> </w:t>
                            </w:r>
                          </w:p>
                          <w:p>
                            <w:pPr>
                              <w:pStyle w:val="TableContents"/>
                              <w:bidi w:val="0"/>
                              <w:spacing w:before="0" w:after="20"/>
                              <w:jc w:val="left"/>
                              <w:rPr/>
                            </w:pPr>
                            <w:r>
                              <w:rPr/>
                              <w:t> </w:t>
                            </w:r>
                          </w:p>
                        </w:tc>
                      </w:tr>
                      <w:tr>
                        <w:trPr/>
                        <w:tc>
                          <w:tcPr>
                            <w:tcW w:w="5915" w:type="dxa"/>
                            <w:tcBorders>
                              <w:left w:val="single" w:sz="6" w:space="0" w:color="000000"/>
                              <w:right w:val="single" w:sz="6" w:space="0" w:color="000000"/>
                            </w:tcBorders>
                            <w:shd w:fill="D8E9F4" w:val="clear"/>
                            <w:tcMar>
                              <w:left w:w="160" w:type="dxa"/>
                              <w:right w:w="28" w:type="dxa"/>
                            </w:tcMar>
                            <w:vAlign w:val="center"/>
                          </w:tcPr>
                          <w:p>
                            <w:pPr>
                              <w:pStyle w:val="TableContents"/>
                              <w:bidi w:val="0"/>
                              <w:spacing w:before="0" w:after="283"/>
                              <w:jc w:val="left"/>
                              <w:rPr/>
                            </w:pPr>
                            <w:r>
                              <w:rPr/>
                              <w:t> </w:t>
                            </w:r>
                          </w:p>
                        </w:tc>
                      </w:tr>
                      <w:tr>
                        <w:trPr/>
                        <w:tc>
                          <w:tcPr>
                            <w:tcW w:w="5915" w:type="dxa"/>
                            <w:tcBorders>
                              <w:left w:val="single" w:sz="6" w:space="0" w:color="000000"/>
                              <w:right w:val="single" w:sz="6" w:space="0" w:color="000000"/>
                            </w:tcBorders>
                            <w:shd w:fill="D8E9F4" w:val="clear"/>
                            <w:tcMar>
                              <w:left w:w="160" w:type="dxa"/>
                              <w:right w:w="40" w:type="dxa"/>
                            </w:tcMar>
                            <w:vAlign w:val="center"/>
                          </w:tcPr>
                          <w:p>
                            <w:pPr>
                              <w:pStyle w:val="TableContents"/>
                              <w:bidi w:val="0"/>
                              <w:spacing w:before="0" w:after="0"/>
                              <w:jc w:val="left"/>
                              <w:rPr>
                                <w:rFonts w:ascii="arial" w:hAnsi="arial"/>
                                <w:sz w:val="18"/>
                              </w:rPr>
                            </w:pPr>
                            <w:r>
                              <w:rPr>
                                <w:rFonts w:ascii="arial" w:hAnsi="arial"/>
                                <w:sz w:val="18"/>
                              </w:rPr>
                              <w:t>Amgen TSR ≤ 25th percentile = -30% (Minimum)</w:t>
                            </w:r>
                          </w:p>
                          <w:p>
                            <w:pPr>
                              <w:pStyle w:val="TableContents"/>
                              <w:bidi w:val="0"/>
                              <w:spacing w:before="0" w:after="0"/>
                              <w:jc w:val="left"/>
                              <w:rPr/>
                            </w:pPr>
                            <w:r>
                              <w:rPr/>
                              <w:t> </w:t>
                            </w:r>
                          </w:p>
                          <w:p>
                            <w:pPr>
                              <w:pStyle w:val="TableContents"/>
                              <w:bidi w:val="0"/>
                              <w:spacing w:before="0" w:after="20"/>
                              <w:jc w:val="left"/>
                              <w:rPr/>
                            </w:pPr>
                            <w:r>
                              <w:rPr/>
                              <w:t> </w:t>
                            </w:r>
                          </w:p>
                        </w:tc>
                      </w:tr>
                      <w:tr>
                        <w:trPr/>
                        <w:tc>
                          <w:tcPr>
                            <w:tcW w:w="5915" w:type="dxa"/>
                            <w:tcBorders>
                              <w:left w:val="single" w:sz="6" w:space="0" w:color="000000"/>
                              <w:bottom w:val="single" w:sz="6" w:space="0" w:color="000000"/>
                              <w:right w:val="single" w:sz="6" w:space="0" w:color="000000"/>
                            </w:tcBorders>
                            <w:tcMar>
                              <w:left w:w="160" w:type="dxa"/>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6965" w:type="dxa"/>
                        <w:jc w:val="left"/>
                        <w:tblInd w:w="0" w:type="dxa"/>
                        <w:tblLayout w:type="fixed"/>
                        <w:tblCellMar>
                          <w:top w:w="0" w:type="dxa"/>
                          <w:left w:w="0" w:type="dxa"/>
                          <w:bottom w:w="0" w:type="dxa"/>
                          <w:right w:w="0" w:type="dxa"/>
                        </w:tblCellMar>
                      </w:tblPr>
                      <w:tblGrid>
                        <w:gridCol w:w="75"/>
                        <w:gridCol w:w="6890"/>
                      </w:tblGrid>
                      <w:tr>
                        <w:trPr/>
                        <w:tc>
                          <w:tcPr>
                            <w:tcW w:w="75"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0"/>
                              <w:jc w:val="both"/>
                              <w:rPr/>
                            </w:pPr>
                            <w:r>
                              <w:rPr/>
                              <w:t xml:space="preserve">‡ </w:t>
                            </w:r>
                            <w:r>
                              <w:rPr>
                                <w:rFonts w:ascii="arial" w:hAnsi="arial"/>
                                <w:sz w:val="16"/>
                              </w:rPr>
                              <w:t xml:space="preserve">If Amgen’s TSR is less than 0, the relative TSR modifier can be no greater than 0% (target).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3810000" cy="1238250"/>
                            <wp:effectExtent l="0" t="0" r="0" b="0"/>
                            <wp:docPr id="267"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132" descr=""/>
                                    <pic:cNvPicPr>
                                      <a:picLocks noChangeAspect="1" noChangeArrowheads="1"/>
                                    </pic:cNvPicPr>
                                  </pic:nvPicPr>
                                  <pic:blipFill>
                                    <a:blip r:embed="rId145"/>
                                    <a:stretch>
                                      <a:fillRect/>
                                    </a:stretch>
                                  </pic:blipFill>
                                  <pic:spPr bwMode="auto">
                                    <a:xfrm>
                                      <a:off x="0" y="0"/>
                                      <a:ext cx="3810000" cy="1238250"/>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361">
                <wp:simplePos x="0" y="0"/>
                <wp:positionH relativeFrom="column">
                  <wp:align>left</wp:align>
                </wp:positionH>
                <wp:positionV relativeFrom="line">
                  <wp:posOffset>635</wp:posOffset>
                </wp:positionV>
                <wp:extent cx="3110230" cy="4024630"/>
                <wp:effectExtent l="0" t="0" r="0" b="0"/>
                <wp:wrapSquare wrapText="right"/>
                <wp:docPr id="268" name="Frame123"/>
                <a:graphic xmlns:a="http://schemas.openxmlformats.org/drawingml/2006/main">
                  <a:graphicData uri="http://schemas.microsoft.com/office/word/2010/wordprocessingShape">
                    <wps:wsp>
                      <wps:cNvSpPr txBox="1"/>
                      <wps:spPr>
                        <a:xfrm>
                          <a:off x="0" y="0"/>
                          <a:ext cx="3110230" cy="4024630"/>
                        </a:xfrm>
                        <a:prstGeom prst="rect"/>
                        <a:solidFill>
                          <a:srgbClr val="FFFFFF"/>
                        </a:solidFill>
                      </wps:spPr>
                      <wps:txbx>
                        <w:txbxContent>
                          <w:tbl>
                            <w:tblPr>
                              <w:tblW w:w="5385" w:type="dxa"/>
                              <w:jc w:val="left"/>
                              <w:tblInd w:w="0" w:type="dxa"/>
                              <w:tblLayout w:type="fixed"/>
                              <w:tblCellMar>
                                <w:top w:w="0" w:type="dxa"/>
                                <w:left w:w="0" w:type="dxa"/>
                                <w:bottom w:w="0" w:type="dxa"/>
                                <w:right w:w="0" w:type="dxa"/>
                              </w:tblCellMar>
                            </w:tblPr>
                            <w:tblGrid>
                              <w:gridCol w:w="2067"/>
                              <w:gridCol w:w="61"/>
                              <w:gridCol w:w="728"/>
                              <w:gridCol w:w="61"/>
                              <w:gridCol w:w="617"/>
                              <w:gridCol w:w="74"/>
                              <w:gridCol w:w="619"/>
                              <w:gridCol w:w="61"/>
                              <w:gridCol w:w="1097"/>
                            </w:tblGrid>
                            <w:tr>
                              <w:trPr/>
                              <w:tc>
                                <w:tcPr>
                                  <w:tcW w:w="2067"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r>
                            <w:tr>
                              <w:trPr/>
                              <w:tc>
                                <w:tcPr>
                                  <w:tcW w:w="5385" w:type="dxa"/>
                                  <w:gridSpan w:val="9"/>
                                  <w:tcBorders>
                                    <w:top w:val="single" w:sz="6" w:space="0" w:color="000000"/>
                                    <w:left w:val="single" w:sz="6" w:space="0" w:color="000000"/>
                                    <w:bottom w:val="single" w:sz="6" w:space="0" w:color="000000"/>
                                    <w:right w:val="single" w:sz="6" w:space="0" w:color="000000"/>
                                  </w:tcBorders>
                                  <w:shd w:fill="0171B9" w:val="clear"/>
                                  <w:tcMar>
                                    <w:top w:w="28" w:type="dxa"/>
                                    <w:left w:w="160" w:type="dxa"/>
                                    <w:bottom w:w="28" w:type="dxa"/>
                                    <w:right w:w="40" w:type="dxa"/>
                                  </w:tcMar>
                                  <w:vAlign w:val="center"/>
                                </w:tcPr>
                                <w:p>
                                  <w:pPr>
                                    <w:pStyle w:val="TableContents"/>
                                    <w:bidi w:val="0"/>
                                    <w:spacing w:before="0" w:after="0"/>
                                    <w:jc w:val="center"/>
                                    <w:rPr>
                                      <w:rFonts w:ascii="arial" w:hAnsi="arial"/>
                                      <w:b/>
                                      <w:color w:val="FFFFFF"/>
                                      <w:sz w:val="18"/>
                                    </w:rPr>
                                  </w:pPr>
                                  <w:r>
                                    <w:rPr>
                                      <w:rFonts w:ascii="arial" w:hAnsi="arial"/>
                                      <w:b/>
                                      <w:color w:val="FFFFFF"/>
                                      <w:sz w:val="18"/>
                                    </w:rPr>
                                    <w:t>2023-2025 Operating Measures Score</w:t>
                                  </w:r>
                                </w:p>
                                <w:p>
                                  <w:pPr>
                                    <w:pStyle w:val="TableContents"/>
                                    <w:bidi w:val="0"/>
                                    <w:spacing w:before="0" w:after="0"/>
                                    <w:jc w:val="left"/>
                                    <w:rPr>
                                      <w:rFonts w:ascii="arial" w:hAnsi="arial"/>
                                      <w:b/>
                                      <w:color w:val="FFFFFF"/>
                                      <w:sz w:val="18"/>
                                    </w:rPr>
                                  </w:pPr>
                                  <w:r>
                                    <w:rPr>
                                      <w:rFonts w:ascii="arial" w:hAnsi="arial"/>
                                      <w:b/>
                                      <w:color w:val="FFFFFF"/>
                                      <w:sz w:val="18"/>
                                    </w:rPr>
                                    <w:t xml:space="preserve">(Operating Measure Percentages 30 – 170% with linear </w:t>
                                    <w:br/>
                                    <w:t>interpolation along the payout curve)</w:t>
                                  </w:r>
                                </w:p>
                              </w:tc>
                            </w:tr>
                            <w:tr>
                              <w:trPr/>
                              <w:tc>
                                <w:tcPr>
                                  <w:tcW w:w="5385" w:type="dxa"/>
                                  <w:gridSpan w:val="9"/>
                                  <w:tcBorders>
                                    <w:top w:val="single" w:sz="6" w:space="0" w:color="000000"/>
                                    <w:left w:val="single" w:sz="6" w:space="0" w:color="000000"/>
                                    <w:bottom w:val="single" w:sz="6" w:space="0" w:color="000000"/>
                                    <w:right w:val="single" w:sz="6" w:space="0" w:color="000000"/>
                                  </w:tcBorders>
                                  <w:tcMar>
                                    <w:top w:w="28" w:type="dxa"/>
                                    <w:left w:w="160" w:type="dxa"/>
                                    <w:bottom w:w="28" w:type="dxa"/>
                                    <w:right w:w="40" w:type="dxa"/>
                                  </w:tcMar>
                                  <w:vAlign w:val="center"/>
                                </w:tcPr>
                                <w:p>
                                  <w:pPr>
                                    <w:pStyle w:val="TableContents"/>
                                    <w:bidi w:val="0"/>
                                    <w:spacing w:before="0" w:after="283"/>
                                    <w:jc w:val="center"/>
                                    <w:rPr/>
                                  </w:pPr>
                                  <w:r>
                                    <w:rPr/>
                                    <w:t>Operating Measure Percentages are Equally Weighted</w:t>
                                    <w:br/>
                                    <w:t>for Each of the Three Years</w:t>
                                  </w:r>
                                </w:p>
                              </w:tc>
                            </w:tr>
                            <w:tr>
                              <w:trPr/>
                              <w:tc>
                                <w:tcPr>
                                  <w:tcW w:w="2067" w:type="dxa"/>
                                  <w:tcBorders>
                                    <w:top w:val="single" w:sz="6" w:space="0" w:color="000000"/>
                                    <w:left w:val="single" w:sz="6" w:space="0" w:color="000000"/>
                                    <w:bottom w:val="single" w:sz="6" w:space="0" w:color="000000"/>
                                    <w:right w:val="single" w:sz="6" w:space="0" w:color="000000"/>
                                  </w:tcBorders>
                                  <w:tcMar>
                                    <w:top w:w="28" w:type="dxa"/>
                                    <w:left w:w="160" w:type="dxa"/>
                                    <w:bottom w:w="28" w:type="dxa"/>
                                    <w:right w:w="28" w:type="dxa"/>
                                  </w:tcMar>
                                  <w:vAlign w:val="center"/>
                                </w:tcPr>
                                <w:p>
                                  <w:pPr>
                                    <w:pStyle w:val="TableContents"/>
                                    <w:bidi w:val="0"/>
                                    <w:spacing w:before="0" w:after="283"/>
                                    <w:jc w:val="left"/>
                                    <w:rPr>
                                      <w:b/>
                                      <w:color w:val="0171B9"/>
                                    </w:rPr>
                                  </w:pPr>
                                  <w:r>
                                    <w:rPr>
                                      <w:b/>
                                      <w:color w:val="0171B9"/>
                                    </w:rPr>
                                    <w:t>Non-GAAP(1)(2)  </w:t>
                                    <w:br/>
                                    <w:t>Operating</w:t>
                                    <w:br/>
                                    <w:t>Measures</w:t>
                                  </w:r>
                                </w:p>
                              </w:tc>
                              <w:tc>
                                <w:tcPr>
                                  <w:tcW w:w="61"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728"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b/>
                                      <w:color w:val="0171B9"/>
                                    </w:rPr>
                                  </w:pPr>
                                  <w:r>
                                    <w:rPr>
                                      <w:b/>
                                      <w:color w:val="0171B9"/>
                                    </w:rPr>
                                    <w:t>2023</w:t>
                                  </w:r>
                                </w:p>
                              </w:tc>
                              <w:tc>
                                <w:tcPr>
                                  <w:tcW w:w="61"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617"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b/>
                                      <w:color w:val="0171B9"/>
                                    </w:rPr>
                                  </w:pPr>
                                  <w:r>
                                    <w:rPr>
                                      <w:b/>
                                      <w:color w:val="0171B9"/>
                                    </w:rPr>
                                    <w:t>2024</w:t>
                                  </w:r>
                                </w:p>
                              </w:tc>
                              <w:tc>
                                <w:tcPr>
                                  <w:tcW w:w="74"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619"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b/>
                                      <w:color w:val="0171B9"/>
                                    </w:rPr>
                                  </w:pPr>
                                  <w:r>
                                    <w:rPr>
                                      <w:b/>
                                      <w:color w:val="0171B9"/>
                                    </w:rPr>
                                    <w:t>2025</w:t>
                                  </w:r>
                                </w:p>
                              </w:tc>
                              <w:tc>
                                <w:tcPr>
                                  <w:tcW w:w="61"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097"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283"/>
                                    <w:jc w:val="center"/>
                                    <w:rPr>
                                      <w:b/>
                                      <w:color w:val="0171B9"/>
                                    </w:rPr>
                                  </w:pPr>
                                  <w:r>
                                    <w:rPr>
                                      <w:b/>
                                      <w:color w:val="0171B9"/>
                                    </w:rPr>
                                    <w:t>2023-2025</w:t>
                                    <w:br/>
                                    <w:t>Average</w:t>
                                    <w:br/>
                                    <w:t>Operating</w:t>
                                    <w:br/>
                                    <w:t>Measures</w:t>
                                  </w:r>
                                </w:p>
                              </w:tc>
                            </w:tr>
                            <w:tr>
                              <w:trPr/>
                              <w:tc>
                                <w:tcPr>
                                  <w:tcW w:w="2067" w:type="dxa"/>
                                  <w:tcBorders>
                                    <w:top w:val="single" w:sz="6" w:space="0" w:color="000000"/>
                                    <w:left w:val="single" w:sz="6" w:space="0" w:color="000000"/>
                                    <w:bottom w:val="single" w:sz="6" w:space="0" w:color="000000"/>
                                    <w:right w:val="single" w:sz="6" w:space="0" w:color="000000"/>
                                  </w:tcBorders>
                                  <w:shd w:fill="0171B9" w:val="clear"/>
                                  <w:tcMar>
                                    <w:top w:w="28" w:type="dxa"/>
                                    <w:left w:w="160" w:type="dxa"/>
                                    <w:bottom w:w="28" w:type="dxa"/>
                                    <w:right w:w="28" w:type="dxa"/>
                                  </w:tcMar>
                                  <w:vAlign w:val="center"/>
                                </w:tcPr>
                                <w:p>
                                  <w:pPr>
                                    <w:pStyle w:val="TableContents"/>
                                    <w:bidi w:val="0"/>
                                    <w:spacing w:before="0" w:after="0"/>
                                    <w:jc w:val="center"/>
                                    <w:rPr>
                                      <w:rFonts w:ascii="arial" w:hAnsi="arial"/>
                                      <w:b/>
                                      <w:color w:val="FFFFFF"/>
                                      <w:sz w:val="18"/>
                                    </w:rPr>
                                  </w:pPr>
                                  <w:r>
                                    <w:rPr>
                                      <w:rFonts w:ascii="arial" w:hAnsi="arial"/>
                                      <w:b/>
                                      <w:color w:val="FFFFFF"/>
                                      <w:sz w:val="18"/>
                                    </w:rPr>
                                    <w:t>EPS</w:t>
                                  </w:r>
                                </w:p>
                                <w:p>
                                  <w:pPr>
                                    <w:pStyle w:val="TableContents"/>
                                    <w:bidi w:val="0"/>
                                    <w:spacing w:before="0" w:after="20"/>
                                    <w:jc w:val="center"/>
                                    <w:rPr>
                                      <w:rFonts w:ascii="arial" w:hAnsi="arial"/>
                                      <w:b/>
                                      <w:color w:val="FFFFFF"/>
                                      <w:sz w:val="18"/>
                                    </w:rPr>
                                  </w:pPr>
                                  <w:r>
                                    <w:rPr>
                                      <w:rFonts w:ascii="arial" w:hAnsi="arial"/>
                                      <w:b/>
                                      <w:color w:val="FFFFFF"/>
                                      <w:sz w:val="18"/>
                                    </w:rPr>
                                    <w:t>Growth ($)</w:t>
                                  </w:r>
                                </w:p>
                              </w:tc>
                              <w:tc>
                                <w:tcPr>
                                  <w:tcW w:w="61"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728"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0"/>
                                    <w:jc w:val="center"/>
                                    <w:rPr>
                                      <w:rFonts w:ascii="arial" w:hAnsi="arial"/>
                                      <w:sz w:val="18"/>
                                    </w:rPr>
                                  </w:pPr>
                                  <w:r>
                                    <w:rPr>
                                      <w:rFonts w:ascii="arial" w:hAnsi="arial"/>
                                      <w:sz w:val="18"/>
                                    </w:rPr>
                                    <w:t>127.5%</w:t>
                                  </w:r>
                                </w:p>
                                <w:p>
                                  <w:pPr>
                                    <w:pStyle w:val="TableContents"/>
                                    <w:bidi w:val="0"/>
                                    <w:spacing w:before="0" w:after="20"/>
                                    <w:jc w:val="center"/>
                                    <w:rPr>
                                      <w:rFonts w:ascii="arial" w:hAnsi="arial"/>
                                      <w:sz w:val="18"/>
                                    </w:rPr>
                                  </w:pPr>
                                  <w:r>
                                    <w:rPr>
                                      <w:rFonts w:ascii="arial" w:hAnsi="arial"/>
                                      <w:sz w:val="18"/>
                                    </w:rPr>
                                    <w:t>($18.65)</w:t>
                                  </w:r>
                                </w:p>
                              </w:tc>
                              <w:tc>
                                <w:tcPr>
                                  <w:tcW w:w="61" w:type="dxa"/>
                                  <w:vMerge w:val="restart"/>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310" w:type="dxa"/>
                                  <w:gridSpan w:val="3"/>
                                  <w:vMerge w:val="restart"/>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0"/>
                                    <w:jc w:val="center"/>
                                    <w:rPr>
                                      <w:rFonts w:ascii="arial" w:hAnsi="arial"/>
                                      <w:color w:val="0171B9"/>
                                      <w:sz w:val="18"/>
                                    </w:rPr>
                                  </w:pPr>
                                  <w:r>
                                    <w:rPr>
                                      <w:rFonts w:ascii="arial" w:hAnsi="arial"/>
                                      <w:color w:val="0171B9"/>
                                      <w:sz w:val="18"/>
                                    </w:rPr>
                                    <w:t>Pre-established</w:t>
                                  </w:r>
                                </w:p>
                                <w:p>
                                  <w:pPr>
                                    <w:pStyle w:val="TableContents"/>
                                    <w:bidi w:val="0"/>
                                    <w:spacing w:before="0" w:after="0"/>
                                    <w:jc w:val="center"/>
                                    <w:rPr>
                                      <w:rFonts w:ascii="arial" w:hAnsi="arial"/>
                                      <w:color w:val="0171B9"/>
                                      <w:sz w:val="18"/>
                                    </w:rPr>
                                  </w:pPr>
                                  <w:r>
                                    <w:rPr>
                                      <w:rFonts w:ascii="arial" w:hAnsi="arial"/>
                                      <w:color w:val="0171B9"/>
                                      <w:sz w:val="18"/>
                                    </w:rPr>
                                    <w:t>and to be</w:t>
                                  </w:r>
                                </w:p>
                                <w:p>
                                  <w:pPr>
                                    <w:pStyle w:val="TableContents"/>
                                    <w:bidi w:val="0"/>
                                    <w:spacing w:before="0" w:after="20"/>
                                    <w:jc w:val="center"/>
                                    <w:rPr>
                                      <w:rFonts w:ascii="arial" w:hAnsi="arial"/>
                                      <w:color w:val="0171B9"/>
                                      <w:sz w:val="18"/>
                                    </w:rPr>
                                  </w:pPr>
                                  <w:r>
                                    <w:rPr>
                                      <w:rFonts w:ascii="arial" w:hAnsi="arial"/>
                                      <w:color w:val="0171B9"/>
                                      <w:sz w:val="18"/>
                                    </w:rPr>
                                    <w:t>disclosed(4)</w:t>
                                  </w:r>
                                </w:p>
                              </w:tc>
                              <w:tc>
                                <w:tcPr>
                                  <w:tcW w:w="61" w:type="dxa"/>
                                  <w:tcBorders>
                                    <w:top w:val="single" w:sz="6" w:space="0" w:color="000000"/>
                                    <w:left w:val="single" w:sz="6" w:space="0" w:color="000000"/>
                                    <w:bottom w:val="single" w:sz="6" w:space="0" w:color="000000"/>
                                  </w:tcBorders>
                                  <w:shd w:fill="D8E9F4" w:val="clear"/>
                                  <w:tcMar>
                                    <w:top w:w="28" w:type="dxa"/>
                                    <w:left w:w="28" w:type="dxa"/>
                                    <w:bottom w:w="28" w:type="dxa"/>
                                  </w:tcMar>
                                  <w:vAlign w:val="center"/>
                                </w:tcPr>
                                <w:p>
                                  <w:pPr>
                                    <w:pStyle w:val="TableContents"/>
                                    <w:bidi w:val="0"/>
                                    <w:spacing w:before="0" w:after="283"/>
                                    <w:jc w:val="left"/>
                                    <w:rPr/>
                                  </w:pPr>
                                  <w:r>
                                    <w:rPr/>
                                    <w:t> </w:t>
                                  </w:r>
                                </w:p>
                              </w:tc>
                              <w:tc>
                                <w:tcPr>
                                  <w:tcW w:w="1097" w:type="dxa"/>
                                  <w:tcBorders>
                                    <w:top w:val="single" w:sz="6" w:space="0" w:color="000000"/>
                                    <w:bottom w:val="single" w:sz="6" w:space="0" w:color="000000"/>
                                    <w:right w:val="single" w:sz="6" w:space="0" w:color="000000"/>
                                  </w:tcBorders>
                                  <w:shd w:fill="D8E9F4" w:val="clear"/>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TBD</w:t>
                                  </w:r>
                                </w:p>
                              </w:tc>
                            </w:tr>
                            <w:tr>
                              <w:trPr/>
                              <w:tc>
                                <w:tcPr>
                                  <w:tcW w:w="2067" w:type="dxa"/>
                                  <w:tcBorders>
                                    <w:top w:val="single" w:sz="6" w:space="0" w:color="000000"/>
                                    <w:left w:val="single" w:sz="6" w:space="0" w:color="000000"/>
                                    <w:bottom w:val="single" w:sz="6" w:space="0" w:color="000000"/>
                                    <w:right w:val="single" w:sz="6" w:space="0" w:color="000000"/>
                                  </w:tcBorders>
                                  <w:shd w:fill="80B8DC" w:val="clear"/>
                                  <w:tcMar>
                                    <w:top w:w="28" w:type="dxa"/>
                                    <w:left w:w="160" w:type="dxa"/>
                                    <w:bottom w:w="28" w:type="dxa"/>
                                    <w:right w:w="28" w:type="dxa"/>
                                  </w:tcMar>
                                  <w:vAlign w:val="center"/>
                                </w:tcPr>
                                <w:p>
                                  <w:pPr>
                                    <w:pStyle w:val="TableContents"/>
                                    <w:bidi w:val="0"/>
                                    <w:spacing w:before="0" w:after="283"/>
                                    <w:jc w:val="center"/>
                                    <w:rPr>
                                      <w:b/>
                                      <w:color w:val="FFFFFF"/>
                                    </w:rPr>
                                  </w:pPr>
                                  <w:r>
                                    <w:rPr>
                                      <w:b/>
                                      <w:color w:val="FFFFFF"/>
                                    </w:rPr>
                                    <w:t>ROIC(2)</w:t>
                                    <w:br/>
                                    <w:t>(%)</w:t>
                                  </w:r>
                                </w:p>
                              </w:tc>
                              <w:tc>
                                <w:tcPr>
                                  <w:tcW w:w="61"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728"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0"/>
                                    <w:jc w:val="center"/>
                                    <w:rPr>
                                      <w:rFonts w:ascii="arial" w:hAnsi="arial"/>
                                      <w:sz w:val="18"/>
                                    </w:rPr>
                                  </w:pPr>
                                  <w:r>
                                    <w:rPr>
                                      <w:rFonts w:ascii="arial" w:hAnsi="arial"/>
                                      <w:sz w:val="18"/>
                                    </w:rPr>
                                    <w:t>100.0%</w:t>
                                  </w:r>
                                </w:p>
                                <w:p>
                                  <w:pPr>
                                    <w:pStyle w:val="TableContents"/>
                                    <w:bidi w:val="0"/>
                                    <w:spacing w:before="0" w:after="20"/>
                                    <w:jc w:val="center"/>
                                    <w:rPr>
                                      <w:rFonts w:ascii="arial" w:hAnsi="arial"/>
                                      <w:sz w:val="18"/>
                                    </w:rPr>
                                  </w:pPr>
                                  <w:r>
                                    <w:rPr>
                                      <w:rFonts w:ascii="arial" w:hAnsi="arial"/>
                                      <w:sz w:val="18"/>
                                    </w:rPr>
                                    <w:t>(15.7%)</w:t>
                                  </w:r>
                                </w:p>
                              </w:tc>
                              <w:tc>
                                <w:tcPr>
                                  <w:tcW w:w="61" w:type="dxa"/>
                                  <w:vMerge w:val="continue"/>
                                  <w:tcBorders>
                                    <w:top w:val="single" w:sz="6" w:space="0" w:color="000000"/>
                                    <w:left w:val="single" w:sz="6" w:space="0" w:color="000000"/>
                                    <w:bottom w:val="single" w:sz="6" w:space="0" w:color="000000"/>
                                  </w:tcBorders>
                                  <w:tcMar>
                                    <w:top w:w="28" w:type="dxa"/>
                                    <w:left w:w="28" w:type="dxa"/>
                                    <w:bottom w:w="28" w:type="dxa"/>
                                  </w:tcMar>
                                  <w:vAlign w:val="center"/>
                                </w:tcPr>
                                <w:p>
                                  <w:pPr>
                                    <w:pStyle w:val="Normal"/>
                                    <w:bidi w:val="0"/>
                                    <w:jc w:val="left"/>
                                    <w:rPr/>
                                  </w:pPr>
                                  <w:r>
                                    <w:rPr/>
                                  </w:r>
                                </w:p>
                              </w:tc>
                              <w:tc>
                                <w:tcPr>
                                  <w:tcW w:w="1310" w:type="dxa"/>
                                  <w:gridSpan w:val="3"/>
                                  <w:vMerge w:val="continue"/>
                                  <w:tcBorders>
                                    <w:top w:val="single" w:sz="6" w:space="0" w:color="000000"/>
                                    <w:bottom w:val="single" w:sz="6" w:space="0" w:color="000000"/>
                                    <w:right w:val="single" w:sz="6" w:space="0" w:color="000000"/>
                                  </w:tcBorders>
                                  <w:tcMar>
                                    <w:top w:w="28" w:type="dxa"/>
                                    <w:bottom w:w="28" w:type="dxa"/>
                                    <w:right w:w="28" w:type="dxa"/>
                                  </w:tcMar>
                                  <w:vAlign w:val="center"/>
                                </w:tcPr>
                                <w:p>
                                  <w:pPr>
                                    <w:pStyle w:val="Normal"/>
                                    <w:bidi w:val="0"/>
                                    <w:jc w:val="left"/>
                                    <w:rPr/>
                                  </w:pPr>
                                  <w:r>
                                    <w:rPr/>
                                  </w:r>
                                </w:p>
                              </w:tc>
                              <w:tc>
                                <w:tcPr>
                                  <w:tcW w:w="61" w:type="dxa"/>
                                  <w:tcBorders>
                                    <w:left w:val="single" w:sz="6" w:space="0" w:color="000000"/>
                                    <w:bottom w:val="single" w:sz="6" w:space="0" w:color="000000"/>
                                  </w:tcBorders>
                                  <w:shd w:fill="D8E9F4" w:val="clear"/>
                                  <w:tcMar>
                                    <w:left w:w="28" w:type="dxa"/>
                                    <w:bottom w:w="28" w:type="dxa"/>
                                  </w:tcMar>
                                  <w:vAlign w:val="center"/>
                                </w:tcPr>
                                <w:p>
                                  <w:pPr>
                                    <w:pStyle w:val="TableContents"/>
                                    <w:bidi w:val="0"/>
                                    <w:spacing w:before="0" w:after="283"/>
                                    <w:jc w:val="left"/>
                                    <w:rPr/>
                                  </w:pPr>
                                  <w:r>
                                    <w:rPr/>
                                    <w:t> </w:t>
                                  </w:r>
                                </w:p>
                              </w:tc>
                              <w:tc>
                                <w:tcPr>
                                  <w:tcW w:w="1097" w:type="dxa"/>
                                  <w:tcBorders>
                                    <w:bottom w:val="single" w:sz="6" w:space="0" w:color="000000"/>
                                    <w:right w:val="single" w:sz="6" w:space="0" w:color="000000"/>
                                  </w:tcBorders>
                                  <w:shd w:fill="D8E9F4" w:val="clear"/>
                                  <w:tcMar>
                                    <w:bottom w:w="28" w:type="dxa"/>
                                    <w:right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TBD</w:t>
                                  </w:r>
                                </w:p>
                              </w:tc>
                            </w:tr>
                            <w:tr>
                              <w:trPr/>
                              <w:tc>
                                <w:tcPr>
                                  <w:tcW w:w="2067" w:type="dxa"/>
                                  <w:tcBorders/>
                                  <w:vAlign w:val="center"/>
                                </w:tcPr>
                                <w:p>
                                  <w:pPr>
                                    <w:pStyle w:val="TableContents"/>
                                    <w:bidi w:val="0"/>
                                    <w:spacing w:before="0" w:after="283"/>
                                    <w:jc w:val="left"/>
                                    <w:rPr>
                                      <w:sz w:val="4"/>
                                      <w:szCs w:val="4"/>
                                    </w:rPr>
                                  </w:pPr>
                                  <w:r>
                                    <w:rPr>
                                      <w:sz w:val="4"/>
                                      <w:szCs w:val="4"/>
                                    </w:rPr>
                                  </w:r>
                                </w:p>
                              </w:tc>
                              <w:tc>
                                <w:tcPr>
                                  <w:tcW w:w="61" w:type="dxa"/>
                                  <w:tcBorders>
                                    <w:top w:val="single" w:sz="6" w:space="0" w:color="000000"/>
                                    <w:left w:val="single" w:sz="6" w:space="0" w:color="000000"/>
                                    <w:bottom w:val="single" w:sz="6" w:space="0" w:color="000000"/>
                                  </w:tcBorders>
                                  <w:shd w:fill="0171B9" w:val="clear"/>
                                  <w:tcMar>
                                    <w:top w:w="28" w:type="dxa"/>
                                    <w:left w:w="28" w:type="dxa"/>
                                    <w:bottom w:w="28" w:type="dxa"/>
                                  </w:tcMar>
                                  <w:vAlign w:val="center"/>
                                </w:tcPr>
                                <w:p>
                                  <w:pPr>
                                    <w:pStyle w:val="TableContents"/>
                                    <w:bidi w:val="0"/>
                                    <w:spacing w:before="0" w:after="283"/>
                                    <w:jc w:val="left"/>
                                    <w:rPr/>
                                  </w:pPr>
                                  <w:r>
                                    <w:rPr/>
                                    <w:t> </w:t>
                                  </w:r>
                                </w:p>
                              </w:tc>
                              <w:tc>
                                <w:tcPr>
                                  <w:tcW w:w="728" w:type="dxa"/>
                                  <w:tcBorders>
                                    <w:top w:val="single" w:sz="6" w:space="0" w:color="000000"/>
                                    <w:bottom w:val="single" w:sz="6" w:space="0" w:color="000000"/>
                                    <w:right w:val="single" w:sz="6" w:space="0" w:color="000000"/>
                                  </w:tcBorders>
                                  <w:shd w:fill="0171B9" w:val="clear"/>
                                  <w:tcMar>
                                    <w:top w:w="28"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color w:val="FFFFFF"/>
                                      <w:sz w:val="18"/>
                                    </w:rPr>
                                  </w:pPr>
                                  <w:r>
                                    <w:rPr>
                                      <w:rFonts w:ascii="arial" w:hAnsi="arial"/>
                                      <w:color w:val="FFFFFF"/>
                                      <w:sz w:val="18"/>
                                    </w:rPr>
                                    <w:t>113.8%</w:t>
                                  </w:r>
                                </w:p>
                                <w:p>
                                  <w:pPr>
                                    <w:pStyle w:val="TableContents"/>
                                    <w:bidi w:val="0"/>
                                    <w:spacing w:before="0" w:after="20"/>
                                    <w:jc w:val="left"/>
                                    <w:rPr/>
                                  </w:pPr>
                                  <w:r>
                                    <w:rPr/>
                                    <w:t> </w:t>
                                  </w:r>
                                </w:p>
                              </w:tc>
                              <w:tc>
                                <w:tcPr>
                                  <w:tcW w:w="61" w:type="dxa"/>
                                  <w:tcBorders>
                                    <w:top w:val="single" w:sz="6" w:space="0" w:color="000000"/>
                                    <w:left w:val="single" w:sz="6" w:space="0" w:color="000000"/>
                                    <w:bottom w:val="single" w:sz="6" w:space="0" w:color="000000"/>
                                  </w:tcBorders>
                                  <w:shd w:fill="0171B9" w:val="clear"/>
                                  <w:tcMar>
                                    <w:top w:w="28" w:type="dxa"/>
                                    <w:left w:w="28" w:type="dxa"/>
                                    <w:bottom w:w="28" w:type="dxa"/>
                                  </w:tcMar>
                                  <w:vAlign w:val="center"/>
                                </w:tcPr>
                                <w:p>
                                  <w:pPr>
                                    <w:pStyle w:val="TableContents"/>
                                    <w:bidi w:val="0"/>
                                    <w:spacing w:before="0" w:after="283"/>
                                    <w:jc w:val="left"/>
                                    <w:rPr/>
                                  </w:pPr>
                                  <w:r>
                                    <w:rPr/>
                                    <w:t> </w:t>
                                  </w:r>
                                </w:p>
                              </w:tc>
                              <w:tc>
                                <w:tcPr>
                                  <w:tcW w:w="617" w:type="dxa"/>
                                  <w:tcBorders>
                                    <w:top w:val="single" w:sz="6" w:space="0" w:color="000000"/>
                                    <w:bottom w:val="single" w:sz="6" w:space="0" w:color="000000"/>
                                    <w:right w:val="single" w:sz="6" w:space="0" w:color="000000"/>
                                  </w:tcBorders>
                                  <w:shd w:fill="0171B9" w:val="clear"/>
                                  <w:tcMar>
                                    <w:top w:w="28"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color w:val="FFFFFF"/>
                                      <w:sz w:val="18"/>
                                    </w:rPr>
                                  </w:pPr>
                                  <w:r>
                                    <w:rPr>
                                      <w:rFonts w:ascii="arial" w:hAnsi="arial"/>
                                      <w:color w:val="FFFFFF"/>
                                      <w:sz w:val="18"/>
                                    </w:rPr>
                                    <w:t>TBD</w:t>
                                  </w:r>
                                </w:p>
                                <w:p>
                                  <w:pPr>
                                    <w:pStyle w:val="TableContents"/>
                                    <w:bidi w:val="0"/>
                                    <w:spacing w:before="0" w:after="20"/>
                                    <w:jc w:val="left"/>
                                    <w:rPr/>
                                  </w:pPr>
                                  <w:r>
                                    <w:rPr/>
                                    <w:t> </w:t>
                                  </w:r>
                                </w:p>
                              </w:tc>
                              <w:tc>
                                <w:tcPr>
                                  <w:tcW w:w="74" w:type="dxa"/>
                                  <w:tcBorders>
                                    <w:top w:val="single" w:sz="6" w:space="0" w:color="000000"/>
                                    <w:left w:val="single" w:sz="6" w:space="0" w:color="000000"/>
                                    <w:bottom w:val="single" w:sz="6" w:space="0" w:color="000000"/>
                                  </w:tcBorders>
                                  <w:shd w:fill="0171B9" w:val="clear"/>
                                  <w:tcMar>
                                    <w:top w:w="28" w:type="dxa"/>
                                    <w:left w:w="28" w:type="dxa"/>
                                    <w:bottom w:w="28" w:type="dxa"/>
                                  </w:tcMar>
                                  <w:vAlign w:val="center"/>
                                </w:tcPr>
                                <w:p>
                                  <w:pPr>
                                    <w:pStyle w:val="TableContents"/>
                                    <w:bidi w:val="0"/>
                                    <w:spacing w:before="0" w:after="283"/>
                                    <w:jc w:val="left"/>
                                    <w:rPr/>
                                  </w:pPr>
                                  <w:r>
                                    <w:rPr/>
                                    <w:t> </w:t>
                                  </w:r>
                                </w:p>
                              </w:tc>
                              <w:tc>
                                <w:tcPr>
                                  <w:tcW w:w="619" w:type="dxa"/>
                                  <w:tcBorders>
                                    <w:top w:val="single" w:sz="6" w:space="0" w:color="000000"/>
                                    <w:bottom w:val="single" w:sz="6" w:space="0" w:color="000000"/>
                                    <w:right w:val="single" w:sz="6" w:space="0" w:color="000000"/>
                                  </w:tcBorders>
                                  <w:shd w:fill="0171B9" w:val="clear"/>
                                  <w:tcMar>
                                    <w:top w:w="28"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color w:val="FFFFFF"/>
                                      <w:sz w:val="18"/>
                                    </w:rPr>
                                  </w:pPr>
                                  <w:r>
                                    <w:rPr>
                                      <w:rFonts w:ascii="arial" w:hAnsi="arial"/>
                                      <w:color w:val="FFFFFF"/>
                                      <w:sz w:val="18"/>
                                    </w:rPr>
                                    <w:t>TBD</w:t>
                                  </w:r>
                                </w:p>
                                <w:p>
                                  <w:pPr>
                                    <w:pStyle w:val="TableContents"/>
                                    <w:bidi w:val="0"/>
                                    <w:spacing w:before="0" w:after="20"/>
                                    <w:jc w:val="left"/>
                                    <w:rPr/>
                                  </w:pPr>
                                  <w:r>
                                    <w:rPr/>
                                    <w:t> </w:t>
                                  </w:r>
                                </w:p>
                              </w:tc>
                              <w:tc>
                                <w:tcPr>
                                  <w:tcW w:w="61" w:type="dxa"/>
                                  <w:tcBorders>
                                    <w:top w:val="single" w:sz="6" w:space="0" w:color="000000"/>
                                    <w:left w:val="single" w:sz="6" w:space="0" w:color="000000"/>
                                    <w:bottom w:val="single" w:sz="6" w:space="0" w:color="000000"/>
                                  </w:tcBorders>
                                  <w:shd w:fill="0171B9" w:val="clear"/>
                                  <w:tcMar>
                                    <w:top w:w="28" w:type="dxa"/>
                                    <w:left w:w="28" w:type="dxa"/>
                                    <w:bottom w:w="28" w:type="dxa"/>
                                  </w:tcMar>
                                  <w:vAlign w:val="center"/>
                                </w:tcPr>
                                <w:p>
                                  <w:pPr>
                                    <w:pStyle w:val="TableContents"/>
                                    <w:bidi w:val="0"/>
                                    <w:spacing w:before="0" w:after="283"/>
                                    <w:jc w:val="left"/>
                                    <w:rPr/>
                                  </w:pPr>
                                  <w:r>
                                    <w:rPr/>
                                    <w:t> </w:t>
                                  </w:r>
                                </w:p>
                              </w:tc>
                              <w:tc>
                                <w:tcPr>
                                  <w:tcW w:w="1097" w:type="dxa"/>
                                  <w:tcBorders>
                                    <w:top w:val="single" w:sz="6" w:space="0" w:color="000000"/>
                                    <w:bottom w:val="single" w:sz="6" w:space="0" w:color="000000"/>
                                    <w:right w:val="single" w:sz="6" w:space="0" w:color="000000"/>
                                  </w:tcBorders>
                                  <w:shd w:fill="0171B9" w:val="clear"/>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TBD</w:t>
                                  </w:r>
                                </w:p>
                                <w:p>
                                  <w:pPr>
                                    <w:pStyle w:val="TableContents"/>
                                    <w:bidi w:val="0"/>
                                    <w:spacing w:before="0" w:after="20"/>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16.9pt;mso-wrap-distance-left:0pt;mso-wrap-distance-right:0pt;mso-wrap-distance-top:0pt;mso-wrap-distance-bottom:0pt;margin-top:0pt;mso-position-vertical:top;mso-position-vertical-relative:text;margin-left:250pt;mso-position-horizontal:left;mso-position-horizontal-relative:text">
                <v:textbox inset="0in,0in,0in,0in">
                  <w:txbxContent>
                    <w:tbl>
                      <w:tblPr>
                        <w:tblW w:w="5385" w:type="dxa"/>
                        <w:jc w:val="left"/>
                        <w:tblInd w:w="0" w:type="dxa"/>
                        <w:tblLayout w:type="fixed"/>
                        <w:tblCellMar>
                          <w:top w:w="0" w:type="dxa"/>
                          <w:left w:w="0" w:type="dxa"/>
                          <w:bottom w:w="0" w:type="dxa"/>
                          <w:right w:w="0" w:type="dxa"/>
                        </w:tblCellMar>
                      </w:tblPr>
                      <w:tblGrid>
                        <w:gridCol w:w="2067"/>
                        <w:gridCol w:w="61"/>
                        <w:gridCol w:w="728"/>
                        <w:gridCol w:w="61"/>
                        <w:gridCol w:w="617"/>
                        <w:gridCol w:w="74"/>
                        <w:gridCol w:w="619"/>
                        <w:gridCol w:w="61"/>
                        <w:gridCol w:w="1097"/>
                      </w:tblGrid>
                      <w:tr>
                        <w:trPr/>
                        <w:tc>
                          <w:tcPr>
                            <w:tcW w:w="2067"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r>
                      <w:tr>
                        <w:trPr/>
                        <w:tc>
                          <w:tcPr>
                            <w:tcW w:w="5385" w:type="dxa"/>
                            <w:gridSpan w:val="9"/>
                            <w:tcBorders>
                              <w:top w:val="single" w:sz="6" w:space="0" w:color="000000"/>
                              <w:left w:val="single" w:sz="6" w:space="0" w:color="000000"/>
                              <w:bottom w:val="single" w:sz="6" w:space="0" w:color="000000"/>
                              <w:right w:val="single" w:sz="6" w:space="0" w:color="000000"/>
                            </w:tcBorders>
                            <w:shd w:fill="0171B9" w:val="clear"/>
                            <w:tcMar>
                              <w:top w:w="28" w:type="dxa"/>
                              <w:left w:w="160" w:type="dxa"/>
                              <w:bottom w:w="28" w:type="dxa"/>
                              <w:right w:w="40" w:type="dxa"/>
                            </w:tcMar>
                            <w:vAlign w:val="center"/>
                          </w:tcPr>
                          <w:p>
                            <w:pPr>
                              <w:pStyle w:val="TableContents"/>
                              <w:bidi w:val="0"/>
                              <w:spacing w:before="0" w:after="0"/>
                              <w:jc w:val="center"/>
                              <w:rPr>
                                <w:rFonts w:ascii="arial" w:hAnsi="arial"/>
                                <w:b/>
                                <w:color w:val="FFFFFF"/>
                                <w:sz w:val="18"/>
                              </w:rPr>
                            </w:pPr>
                            <w:r>
                              <w:rPr>
                                <w:rFonts w:ascii="arial" w:hAnsi="arial"/>
                                <w:b/>
                                <w:color w:val="FFFFFF"/>
                                <w:sz w:val="18"/>
                              </w:rPr>
                              <w:t>2023-2025 Operating Measures Score</w:t>
                            </w:r>
                          </w:p>
                          <w:p>
                            <w:pPr>
                              <w:pStyle w:val="TableContents"/>
                              <w:bidi w:val="0"/>
                              <w:spacing w:before="0" w:after="0"/>
                              <w:jc w:val="left"/>
                              <w:rPr>
                                <w:rFonts w:ascii="arial" w:hAnsi="arial"/>
                                <w:b/>
                                <w:color w:val="FFFFFF"/>
                                <w:sz w:val="18"/>
                              </w:rPr>
                            </w:pPr>
                            <w:r>
                              <w:rPr>
                                <w:rFonts w:ascii="arial" w:hAnsi="arial"/>
                                <w:b/>
                                <w:color w:val="FFFFFF"/>
                                <w:sz w:val="18"/>
                              </w:rPr>
                              <w:t xml:space="preserve">(Operating Measure Percentages 30 – 170% with linear </w:t>
                              <w:br/>
                              <w:t>interpolation along the payout curve)</w:t>
                            </w:r>
                          </w:p>
                        </w:tc>
                      </w:tr>
                      <w:tr>
                        <w:trPr/>
                        <w:tc>
                          <w:tcPr>
                            <w:tcW w:w="5385" w:type="dxa"/>
                            <w:gridSpan w:val="9"/>
                            <w:tcBorders>
                              <w:top w:val="single" w:sz="6" w:space="0" w:color="000000"/>
                              <w:left w:val="single" w:sz="6" w:space="0" w:color="000000"/>
                              <w:bottom w:val="single" w:sz="6" w:space="0" w:color="000000"/>
                              <w:right w:val="single" w:sz="6" w:space="0" w:color="000000"/>
                            </w:tcBorders>
                            <w:tcMar>
                              <w:top w:w="28" w:type="dxa"/>
                              <w:left w:w="160" w:type="dxa"/>
                              <w:bottom w:w="28" w:type="dxa"/>
                              <w:right w:w="40" w:type="dxa"/>
                            </w:tcMar>
                            <w:vAlign w:val="center"/>
                          </w:tcPr>
                          <w:p>
                            <w:pPr>
                              <w:pStyle w:val="TableContents"/>
                              <w:bidi w:val="0"/>
                              <w:spacing w:before="0" w:after="283"/>
                              <w:jc w:val="center"/>
                              <w:rPr/>
                            </w:pPr>
                            <w:r>
                              <w:rPr/>
                              <w:t>Operating Measure Percentages are Equally Weighted</w:t>
                              <w:br/>
                              <w:t>for Each of the Three Years</w:t>
                            </w:r>
                          </w:p>
                        </w:tc>
                      </w:tr>
                      <w:tr>
                        <w:trPr/>
                        <w:tc>
                          <w:tcPr>
                            <w:tcW w:w="2067" w:type="dxa"/>
                            <w:tcBorders>
                              <w:top w:val="single" w:sz="6" w:space="0" w:color="000000"/>
                              <w:left w:val="single" w:sz="6" w:space="0" w:color="000000"/>
                              <w:bottom w:val="single" w:sz="6" w:space="0" w:color="000000"/>
                              <w:right w:val="single" w:sz="6" w:space="0" w:color="000000"/>
                            </w:tcBorders>
                            <w:tcMar>
                              <w:top w:w="28" w:type="dxa"/>
                              <w:left w:w="160" w:type="dxa"/>
                              <w:bottom w:w="28" w:type="dxa"/>
                              <w:right w:w="28" w:type="dxa"/>
                            </w:tcMar>
                            <w:vAlign w:val="center"/>
                          </w:tcPr>
                          <w:p>
                            <w:pPr>
                              <w:pStyle w:val="TableContents"/>
                              <w:bidi w:val="0"/>
                              <w:spacing w:before="0" w:after="283"/>
                              <w:jc w:val="left"/>
                              <w:rPr>
                                <w:b/>
                                <w:color w:val="0171B9"/>
                              </w:rPr>
                            </w:pPr>
                            <w:r>
                              <w:rPr>
                                <w:b/>
                                <w:color w:val="0171B9"/>
                              </w:rPr>
                              <w:t>Non-GAAP(1)(2)  </w:t>
                              <w:br/>
                              <w:t>Operating</w:t>
                              <w:br/>
                              <w:t>Measures</w:t>
                            </w:r>
                          </w:p>
                        </w:tc>
                        <w:tc>
                          <w:tcPr>
                            <w:tcW w:w="61"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728"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b/>
                                <w:color w:val="0171B9"/>
                              </w:rPr>
                            </w:pPr>
                            <w:r>
                              <w:rPr>
                                <w:b/>
                                <w:color w:val="0171B9"/>
                              </w:rPr>
                              <w:t>2023</w:t>
                            </w:r>
                          </w:p>
                        </w:tc>
                        <w:tc>
                          <w:tcPr>
                            <w:tcW w:w="61"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617"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b/>
                                <w:color w:val="0171B9"/>
                              </w:rPr>
                            </w:pPr>
                            <w:r>
                              <w:rPr>
                                <w:b/>
                                <w:color w:val="0171B9"/>
                              </w:rPr>
                              <w:t>2024</w:t>
                            </w:r>
                          </w:p>
                        </w:tc>
                        <w:tc>
                          <w:tcPr>
                            <w:tcW w:w="74"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619"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center"/>
                              <w:rPr>
                                <w:b/>
                                <w:color w:val="0171B9"/>
                              </w:rPr>
                            </w:pPr>
                            <w:r>
                              <w:rPr>
                                <w:b/>
                                <w:color w:val="0171B9"/>
                              </w:rPr>
                              <w:t>2025</w:t>
                            </w:r>
                          </w:p>
                        </w:tc>
                        <w:tc>
                          <w:tcPr>
                            <w:tcW w:w="61"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097"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283"/>
                              <w:jc w:val="center"/>
                              <w:rPr>
                                <w:b/>
                                <w:color w:val="0171B9"/>
                              </w:rPr>
                            </w:pPr>
                            <w:r>
                              <w:rPr>
                                <w:b/>
                                <w:color w:val="0171B9"/>
                              </w:rPr>
                              <w:t>2023-2025</w:t>
                              <w:br/>
                              <w:t>Average</w:t>
                              <w:br/>
                              <w:t>Operating</w:t>
                              <w:br/>
                              <w:t>Measures</w:t>
                            </w:r>
                          </w:p>
                        </w:tc>
                      </w:tr>
                      <w:tr>
                        <w:trPr/>
                        <w:tc>
                          <w:tcPr>
                            <w:tcW w:w="2067" w:type="dxa"/>
                            <w:tcBorders>
                              <w:top w:val="single" w:sz="6" w:space="0" w:color="000000"/>
                              <w:left w:val="single" w:sz="6" w:space="0" w:color="000000"/>
                              <w:bottom w:val="single" w:sz="6" w:space="0" w:color="000000"/>
                              <w:right w:val="single" w:sz="6" w:space="0" w:color="000000"/>
                            </w:tcBorders>
                            <w:shd w:fill="0171B9" w:val="clear"/>
                            <w:tcMar>
                              <w:top w:w="28" w:type="dxa"/>
                              <w:left w:w="160" w:type="dxa"/>
                              <w:bottom w:w="28" w:type="dxa"/>
                              <w:right w:w="28" w:type="dxa"/>
                            </w:tcMar>
                            <w:vAlign w:val="center"/>
                          </w:tcPr>
                          <w:p>
                            <w:pPr>
                              <w:pStyle w:val="TableContents"/>
                              <w:bidi w:val="0"/>
                              <w:spacing w:before="0" w:after="0"/>
                              <w:jc w:val="center"/>
                              <w:rPr>
                                <w:rFonts w:ascii="arial" w:hAnsi="arial"/>
                                <w:b/>
                                <w:color w:val="FFFFFF"/>
                                <w:sz w:val="18"/>
                              </w:rPr>
                            </w:pPr>
                            <w:r>
                              <w:rPr>
                                <w:rFonts w:ascii="arial" w:hAnsi="arial"/>
                                <w:b/>
                                <w:color w:val="FFFFFF"/>
                                <w:sz w:val="18"/>
                              </w:rPr>
                              <w:t>EPS</w:t>
                            </w:r>
                          </w:p>
                          <w:p>
                            <w:pPr>
                              <w:pStyle w:val="TableContents"/>
                              <w:bidi w:val="0"/>
                              <w:spacing w:before="0" w:after="20"/>
                              <w:jc w:val="center"/>
                              <w:rPr>
                                <w:rFonts w:ascii="arial" w:hAnsi="arial"/>
                                <w:b/>
                                <w:color w:val="FFFFFF"/>
                                <w:sz w:val="18"/>
                              </w:rPr>
                            </w:pPr>
                            <w:r>
                              <w:rPr>
                                <w:rFonts w:ascii="arial" w:hAnsi="arial"/>
                                <w:b/>
                                <w:color w:val="FFFFFF"/>
                                <w:sz w:val="18"/>
                              </w:rPr>
                              <w:t>Growth ($)</w:t>
                            </w:r>
                          </w:p>
                        </w:tc>
                        <w:tc>
                          <w:tcPr>
                            <w:tcW w:w="61"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728"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0"/>
                              <w:jc w:val="center"/>
                              <w:rPr>
                                <w:rFonts w:ascii="arial" w:hAnsi="arial"/>
                                <w:sz w:val="18"/>
                              </w:rPr>
                            </w:pPr>
                            <w:r>
                              <w:rPr>
                                <w:rFonts w:ascii="arial" w:hAnsi="arial"/>
                                <w:sz w:val="18"/>
                              </w:rPr>
                              <w:t>127.5%</w:t>
                            </w:r>
                          </w:p>
                          <w:p>
                            <w:pPr>
                              <w:pStyle w:val="TableContents"/>
                              <w:bidi w:val="0"/>
                              <w:spacing w:before="0" w:after="20"/>
                              <w:jc w:val="center"/>
                              <w:rPr>
                                <w:rFonts w:ascii="arial" w:hAnsi="arial"/>
                                <w:sz w:val="18"/>
                              </w:rPr>
                            </w:pPr>
                            <w:r>
                              <w:rPr>
                                <w:rFonts w:ascii="arial" w:hAnsi="arial"/>
                                <w:sz w:val="18"/>
                              </w:rPr>
                              <w:t>($18.65)</w:t>
                            </w:r>
                          </w:p>
                        </w:tc>
                        <w:tc>
                          <w:tcPr>
                            <w:tcW w:w="61" w:type="dxa"/>
                            <w:vMerge w:val="restart"/>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310" w:type="dxa"/>
                            <w:gridSpan w:val="3"/>
                            <w:vMerge w:val="restart"/>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0"/>
                              <w:jc w:val="center"/>
                              <w:rPr>
                                <w:rFonts w:ascii="arial" w:hAnsi="arial"/>
                                <w:color w:val="0171B9"/>
                                <w:sz w:val="18"/>
                              </w:rPr>
                            </w:pPr>
                            <w:r>
                              <w:rPr>
                                <w:rFonts w:ascii="arial" w:hAnsi="arial"/>
                                <w:color w:val="0171B9"/>
                                <w:sz w:val="18"/>
                              </w:rPr>
                              <w:t>Pre-established</w:t>
                            </w:r>
                          </w:p>
                          <w:p>
                            <w:pPr>
                              <w:pStyle w:val="TableContents"/>
                              <w:bidi w:val="0"/>
                              <w:spacing w:before="0" w:after="0"/>
                              <w:jc w:val="center"/>
                              <w:rPr>
                                <w:rFonts w:ascii="arial" w:hAnsi="arial"/>
                                <w:color w:val="0171B9"/>
                                <w:sz w:val="18"/>
                              </w:rPr>
                            </w:pPr>
                            <w:r>
                              <w:rPr>
                                <w:rFonts w:ascii="arial" w:hAnsi="arial"/>
                                <w:color w:val="0171B9"/>
                                <w:sz w:val="18"/>
                              </w:rPr>
                              <w:t>and to be</w:t>
                            </w:r>
                          </w:p>
                          <w:p>
                            <w:pPr>
                              <w:pStyle w:val="TableContents"/>
                              <w:bidi w:val="0"/>
                              <w:spacing w:before="0" w:after="20"/>
                              <w:jc w:val="center"/>
                              <w:rPr>
                                <w:rFonts w:ascii="arial" w:hAnsi="arial"/>
                                <w:color w:val="0171B9"/>
                                <w:sz w:val="18"/>
                              </w:rPr>
                            </w:pPr>
                            <w:r>
                              <w:rPr>
                                <w:rFonts w:ascii="arial" w:hAnsi="arial"/>
                                <w:color w:val="0171B9"/>
                                <w:sz w:val="18"/>
                              </w:rPr>
                              <w:t>disclosed(4)</w:t>
                            </w:r>
                          </w:p>
                        </w:tc>
                        <w:tc>
                          <w:tcPr>
                            <w:tcW w:w="61" w:type="dxa"/>
                            <w:tcBorders>
                              <w:top w:val="single" w:sz="6" w:space="0" w:color="000000"/>
                              <w:left w:val="single" w:sz="6" w:space="0" w:color="000000"/>
                              <w:bottom w:val="single" w:sz="6" w:space="0" w:color="000000"/>
                            </w:tcBorders>
                            <w:shd w:fill="D8E9F4" w:val="clear"/>
                            <w:tcMar>
                              <w:top w:w="28" w:type="dxa"/>
                              <w:left w:w="28" w:type="dxa"/>
                              <w:bottom w:w="28" w:type="dxa"/>
                            </w:tcMar>
                            <w:vAlign w:val="center"/>
                          </w:tcPr>
                          <w:p>
                            <w:pPr>
                              <w:pStyle w:val="TableContents"/>
                              <w:bidi w:val="0"/>
                              <w:spacing w:before="0" w:after="283"/>
                              <w:jc w:val="left"/>
                              <w:rPr/>
                            </w:pPr>
                            <w:r>
                              <w:rPr/>
                              <w:t> </w:t>
                            </w:r>
                          </w:p>
                        </w:tc>
                        <w:tc>
                          <w:tcPr>
                            <w:tcW w:w="1097" w:type="dxa"/>
                            <w:tcBorders>
                              <w:top w:val="single" w:sz="6" w:space="0" w:color="000000"/>
                              <w:bottom w:val="single" w:sz="6" w:space="0" w:color="000000"/>
                              <w:right w:val="single" w:sz="6" w:space="0" w:color="000000"/>
                            </w:tcBorders>
                            <w:shd w:fill="D8E9F4" w:val="clear"/>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TBD</w:t>
                            </w:r>
                          </w:p>
                        </w:tc>
                      </w:tr>
                      <w:tr>
                        <w:trPr/>
                        <w:tc>
                          <w:tcPr>
                            <w:tcW w:w="2067" w:type="dxa"/>
                            <w:tcBorders>
                              <w:top w:val="single" w:sz="6" w:space="0" w:color="000000"/>
                              <w:left w:val="single" w:sz="6" w:space="0" w:color="000000"/>
                              <w:bottom w:val="single" w:sz="6" w:space="0" w:color="000000"/>
                              <w:right w:val="single" w:sz="6" w:space="0" w:color="000000"/>
                            </w:tcBorders>
                            <w:shd w:fill="80B8DC" w:val="clear"/>
                            <w:tcMar>
                              <w:top w:w="28" w:type="dxa"/>
                              <w:left w:w="160" w:type="dxa"/>
                              <w:bottom w:w="28" w:type="dxa"/>
                              <w:right w:w="28" w:type="dxa"/>
                            </w:tcMar>
                            <w:vAlign w:val="center"/>
                          </w:tcPr>
                          <w:p>
                            <w:pPr>
                              <w:pStyle w:val="TableContents"/>
                              <w:bidi w:val="0"/>
                              <w:spacing w:before="0" w:after="283"/>
                              <w:jc w:val="center"/>
                              <w:rPr>
                                <w:b/>
                                <w:color w:val="FFFFFF"/>
                              </w:rPr>
                            </w:pPr>
                            <w:r>
                              <w:rPr>
                                <w:b/>
                                <w:color w:val="FFFFFF"/>
                              </w:rPr>
                              <w:t>ROIC(2)</w:t>
                              <w:br/>
                              <w:t>(%)</w:t>
                            </w:r>
                          </w:p>
                        </w:tc>
                        <w:tc>
                          <w:tcPr>
                            <w:tcW w:w="61"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728"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0"/>
                              <w:jc w:val="center"/>
                              <w:rPr>
                                <w:rFonts w:ascii="arial" w:hAnsi="arial"/>
                                <w:sz w:val="18"/>
                              </w:rPr>
                            </w:pPr>
                            <w:r>
                              <w:rPr>
                                <w:rFonts w:ascii="arial" w:hAnsi="arial"/>
                                <w:sz w:val="18"/>
                              </w:rPr>
                              <w:t>100.0%</w:t>
                            </w:r>
                          </w:p>
                          <w:p>
                            <w:pPr>
                              <w:pStyle w:val="TableContents"/>
                              <w:bidi w:val="0"/>
                              <w:spacing w:before="0" w:after="20"/>
                              <w:jc w:val="center"/>
                              <w:rPr>
                                <w:rFonts w:ascii="arial" w:hAnsi="arial"/>
                                <w:sz w:val="18"/>
                              </w:rPr>
                            </w:pPr>
                            <w:r>
                              <w:rPr>
                                <w:rFonts w:ascii="arial" w:hAnsi="arial"/>
                                <w:sz w:val="18"/>
                              </w:rPr>
                              <w:t>(15.7%)</w:t>
                            </w:r>
                          </w:p>
                        </w:tc>
                        <w:tc>
                          <w:tcPr>
                            <w:tcW w:w="61" w:type="dxa"/>
                            <w:vMerge w:val="continue"/>
                            <w:tcBorders>
                              <w:top w:val="single" w:sz="6" w:space="0" w:color="000000"/>
                              <w:left w:val="single" w:sz="6" w:space="0" w:color="000000"/>
                              <w:bottom w:val="single" w:sz="6" w:space="0" w:color="000000"/>
                            </w:tcBorders>
                            <w:tcMar>
                              <w:top w:w="28" w:type="dxa"/>
                              <w:left w:w="28" w:type="dxa"/>
                              <w:bottom w:w="28" w:type="dxa"/>
                            </w:tcMar>
                            <w:vAlign w:val="center"/>
                          </w:tcPr>
                          <w:p>
                            <w:pPr>
                              <w:pStyle w:val="Normal"/>
                              <w:bidi w:val="0"/>
                              <w:jc w:val="left"/>
                              <w:rPr/>
                            </w:pPr>
                            <w:r>
                              <w:rPr/>
                            </w:r>
                          </w:p>
                        </w:tc>
                        <w:tc>
                          <w:tcPr>
                            <w:tcW w:w="1310" w:type="dxa"/>
                            <w:gridSpan w:val="3"/>
                            <w:vMerge w:val="continue"/>
                            <w:tcBorders>
                              <w:top w:val="single" w:sz="6" w:space="0" w:color="000000"/>
                              <w:bottom w:val="single" w:sz="6" w:space="0" w:color="000000"/>
                              <w:right w:val="single" w:sz="6" w:space="0" w:color="000000"/>
                            </w:tcBorders>
                            <w:tcMar>
                              <w:top w:w="28" w:type="dxa"/>
                              <w:bottom w:w="28" w:type="dxa"/>
                              <w:right w:w="28" w:type="dxa"/>
                            </w:tcMar>
                            <w:vAlign w:val="center"/>
                          </w:tcPr>
                          <w:p>
                            <w:pPr>
                              <w:pStyle w:val="Normal"/>
                              <w:bidi w:val="0"/>
                              <w:jc w:val="left"/>
                              <w:rPr/>
                            </w:pPr>
                            <w:r>
                              <w:rPr/>
                            </w:r>
                          </w:p>
                        </w:tc>
                        <w:tc>
                          <w:tcPr>
                            <w:tcW w:w="61" w:type="dxa"/>
                            <w:tcBorders>
                              <w:left w:val="single" w:sz="6" w:space="0" w:color="000000"/>
                              <w:bottom w:val="single" w:sz="6" w:space="0" w:color="000000"/>
                            </w:tcBorders>
                            <w:shd w:fill="D8E9F4" w:val="clear"/>
                            <w:tcMar>
                              <w:left w:w="28" w:type="dxa"/>
                              <w:bottom w:w="28" w:type="dxa"/>
                            </w:tcMar>
                            <w:vAlign w:val="center"/>
                          </w:tcPr>
                          <w:p>
                            <w:pPr>
                              <w:pStyle w:val="TableContents"/>
                              <w:bidi w:val="0"/>
                              <w:spacing w:before="0" w:after="283"/>
                              <w:jc w:val="left"/>
                              <w:rPr/>
                            </w:pPr>
                            <w:r>
                              <w:rPr/>
                              <w:t> </w:t>
                            </w:r>
                          </w:p>
                        </w:tc>
                        <w:tc>
                          <w:tcPr>
                            <w:tcW w:w="1097" w:type="dxa"/>
                            <w:tcBorders>
                              <w:bottom w:val="single" w:sz="6" w:space="0" w:color="000000"/>
                              <w:right w:val="single" w:sz="6" w:space="0" w:color="000000"/>
                            </w:tcBorders>
                            <w:shd w:fill="D8E9F4" w:val="clear"/>
                            <w:tcMar>
                              <w:bottom w:w="28" w:type="dxa"/>
                              <w:right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TBD</w:t>
                            </w:r>
                          </w:p>
                        </w:tc>
                      </w:tr>
                      <w:tr>
                        <w:trPr/>
                        <w:tc>
                          <w:tcPr>
                            <w:tcW w:w="2067" w:type="dxa"/>
                            <w:tcBorders/>
                            <w:vAlign w:val="center"/>
                          </w:tcPr>
                          <w:p>
                            <w:pPr>
                              <w:pStyle w:val="TableContents"/>
                              <w:bidi w:val="0"/>
                              <w:spacing w:before="0" w:after="283"/>
                              <w:jc w:val="left"/>
                              <w:rPr>
                                <w:sz w:val="4"/>
                                <w:szCs w:val="4"/>
                              </w:rPr>
                            </w:pPr>
                            <w:r>
                              <w:rPr>
                                <w:sz w:val="4"/>
                                <w:szCs w:val="4"/>
                              </w:rPr>
                            </w:r>
                          </w:p>
                        </w:tc>
                        <w:tc>
                          <w:tcPr>
                            <w:tcW w:w="61" w:type="dxa"/>
                            <w:tcBorders>
                              <w:top w:val="single" w:sz="6" w:space="0" w:color="000000"/>
                              <w:left w:val="single" w:sz="6" w:space="0" w:color="000000"/>
                              <w:bottom w:val="single" w:sz="6" w:space="0" w:color="000000"/>
                            </w:tcBorders>
                            <w:shd w:fill="0171B9" w:val="clear"/>
                            <w:tcMar>
                              <w:top w:w="28" w:type="dxa"/>
                              <w:left w:w="28" w:type="dxa"/>
                              <w:bottom w:w="28" w:type="dxa"/>
                            </w:tcMar>
                            <w:vAlign w:val="center"/>
                          </w:tcPr>
                          <w:p>
                            <w:pPr>
                              <w:pStyle w:val="TableContents"/>
                              <w:bidi w:val="0"/>
                              <w:spacing w:before="0" w:after="283"/>
                              <w:jc w:val="left"/>
                              <w:rPr/>
                            </w:pPr>
                            <w:r>
                              <w:rPr/>
                              <w:t> </w:t>
                            </w:r>
                          </w:p>
                        </w:tc>
                        <w:tc>
                          <w:tcPr>
                            <w:tcW w:w="728" w:type="dxa"/>
                            <w:tcBorders>
                              <w:top w:val="single" w:sz="6" w:space="0" w:color="000000"/>
                              <w:bottom w:val="single" w:sz="6" w:space="0" w:color="000000"/>
                              <w:right w:val="single" w:sz="6" w:space="0" w:color="000000"/>
                            </w:tcBorders>
                            <w:shd w:fill="0171B9" w:val="clear"/>
                            <w:tcMar>
                              <w:top w:w="28"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color w:val="FFFFFF"/>
                                <w:sz w:val="18"/>
                              </w:rPr>
                            </w:pPr>
                            <w:r>
                              <w:rPr>
                                <w:rFonts w:ascii="arial" w:hAnsi="arial"/>
                                <w:color w:val="FFFFFF"/>
                                <w:sz w:val="18"/>
                              </w:rPr>
                              <w:t>113.8%</w:t>
                            </w:r>
                          </w:p>
                          <w:p>
                            <w:pPr>
                              <w:pStyle w:val="TableContents"/>
                              <w:bidi w:val="0"/>
                              <w:spacing w:before="0" w:after="20"/>
                              <w:jc w:val="left"/>
                              <w:rPr/>
                            </w:pPr>
                            <w:r>
                              <w:rPr/>
                              <w:t> </w:t>
                            </w:r>
                          </w:p>
                        </w:tc>
                        <w:tc>
                          <w:tcPr>
                            <w:tcW w:w="61" w:type="dxa"/>
                            <w:tcBorders>
                              <w:top w:val="single" w:sz="6" w:space="0" w:color="000000"/>
                              <w:left w:val="single" w:sz="6" w:space="0" w:color="000000"/>
                              <w:bottom w:val="single" w:sz="6" w:space="0" w:color="000000"/>
                            </w:tcBorders>
                            <w:shd w:fill="0171B9" w:val="clear"/>
                            <w:tcMar>
                              <w:top w:w="28" w:type="dxa"/>
                              <w:left w:w="28" w:type="dxa"/>
                              <w:bottom w:w="28" w:type="dxa"/>
                            </w:tcMar>
                            <w:vAlign w:val="center"/>
                          </w:tcPr>
                          <w:p>
                            <w:pPr>
                              <w:pStyle w:val="TableContents"/>
                              <w:bidi w:val="0"/>
                              <w:spacing w:before="0" w:after="283"/>
                              <w:jc w:val="left"/>
                              <w:rPr/>
                            </w:pPr>
                            <w:r>
                              <w:rPr/>
                              <w:t> </w:t>
                            </w:r>
                          </w:p>
                        </w:tc>
                        <w:tc>
                          <w:tcPr>
                            <w:tcW w:w="617" w:type="dxa"/>
                            <w:tcBorders>
                              <w:top w:val="single" w:sz="6" w:space="0" w:color="000000"/>
                              <w:bottom w:val="single" w:sz="6" w:space="0" w:color="000000"/>
                              <w:right w:val="single" w:sz="6" w:space="0" w:color="000000"/>
                            </w:tcBorders>
                            <w:shd w:fill="0171B9" w:val="clear"/>
                            <w:tcMar>
                              <w:top w:w="28"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color w:val="FFFFFF"/>
                                <w:sz w:val="18"/>
                              </w:rPr>
                            </w:pPr>
                            <w:r>
                              <w:rPr>
                                <w:rFonts w:ascii="arial" w:hAnsi="arial"/>
                                <w:color w:val="FFFFFF"/>
                                <w:sz w:val="18"/>
                              </w:rPr>
                              <w:t>TBD</w:t>
                            </w:r>
                          </w:p>
                          <w:p>
                            <w:pPr>
                              <w:pStyle w:val="TableContents"/>
                              <w:bidi w:val="0"/>
                              <w:spacing w:before="0" w:after="20"/>
                              <w:jc w:val="left"/>
                              <w:rPr/>
                            </w:pPr>
                            <w:r>
                              <w:rPr/>
                              <w:t> </w:t>
                            </w:r>
                          </w:p>
                        </w:tc>
                        <w:tc>
                          <w:tcPr>
                            <w:tcW w:w="74" w:type="dxa"/>
                            <w:tcBorders>
                              <w:top w:val="single" w:sz="6" w:space="0" w:color="000000"/>
                              <w:left w:val="single" w:sz="6" w:space="0" w:color="000000"/>
                              <w:bottom w:val="single" w:sz="6" w:space="0" w:color="000000"/>
                            </w:tcBorders>
                            <w:shd w:fill="0171B9" w:val="clear"/>
                            <w:tcMar>
                              <w:top w:w="28" w:type="dxa"/>
                              <w:left w:w="28" w:type="dxa"/>
                              <w:bottom w:w="28" w:type="dxa"/>
                            </w:tcMar>
                            <w:vAlign w:val="center"/>
                          </w:tcPr>
                          <w:p>
                            <w:pPr>
                              <w:pStyle w:val="TableContents"/>
                              <w:bidi w:val="0"/>
                              <w:spacing w:before="0" w:after="283"/>
                              <w:jc w:val="left"/>
                              <w:rPr/>
                            </w:pPr>
                            <w:r>
                              <w:rPr/>
                              <w:t> </w:t>
                            </w:r>
                          </w:p>
                        </w:tc>
                        <w:tc>
                          <w:tcPr>
                            <w:tcW w:w="619" w:type="dxa"/>
                            <w:tcBorders>
                              <w:top w:val="single" w:sz="6" w:space="0" w:color="000000"/>
                              <w:bottom w:val="single" w:sz="6" w:space="0" w:color="000000"/>
                              <w:right w:val="single" w:sz="6" w:space="0" w:color="000000"/>
                            </w:tcBorders>
                            <w:shd w:fill="0171B9" w:val="clear"/>
                            <w:tcMar>
                              <w:top w:w="28"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color w:val="FFFFFF"/>
                                <w:sz w:val="18"/>
                              </w:rPr>
                            </w:pPr>
                            <w:r>
                              <w:rPr>
                                <w:rFonts w:ascii="arial" w:hAnsi="arial"/>
                                <w:color w:val="FFFFFF"/>
                                <w:sz w:val="18"/>
                              </w:rPr>
                              <w:t>TBD</w:t>
                            </w:r>
                          </w:p>
                          <w:p>
                            <w:pPr>
                              <w:pStyle w:val="TableContents"/>
                              <w:bidi w:val="0"/>
                              <w:spacing w:before="0" w:after="20"/>
                              <w:jc w:val="left"/>
                              <w:rPr/>
                            </w:pPr>
                            <w:r>
                              <w:rPr/>
                              <w:t> </w:t>
                            </w:r>
                          </w:p>
                        </w:tc>
                        <w:tc>
                          <w:tcPr>
                            <w:tcW w:w="61" w:type="dxa"/>
                            <w:tcBorders>
                              <w:top w:val="single" w:sz="6" w:space="0" w:color="000000"/>
                              <w:left w:val="single" w:sz="6" w:space="0" w:color="000000"/>
                              <w:bottom w:val="single" w:sz="6" w:space="0" w:color="000000"/>
                            </w:tcBorders>
                            <w:shd w:fill="0171B9" w:val="clear"/>
                            <w:tcMar>
                              <w:top w:w="28" w:type="dxa"/>
                              <w:left w:w="28" w:type="dxa"/>
                              <w:bottom w:w="28" w:type="dxa"/>
                            </w:tcMar>
                            <w:vAlign w:val="center"/>
                          </w:tcPr>
                          <w:p>
                            <w:pPr>
                              <w:pStyle w:val="TableContents"/>
                              <w:bidi w:val="0"/>
                              <w:spacing w:before="0" w:after="283"/>
                              <w:jc w:val="left"/>
                              <w:rPr/>
                            </w:pPr>
                            <w:r>
                              <w:rPr/>
                              <w:t> </w:t>
                            </w:r>
                          </w:p>
                        </w:tc>
                        <w:tc>
                          <w:tcPr>
                            <w:tcW w:w="1097" w:type="dxa"/>
                            <w:tcBorders>
                              <w:top w:val="single" w:sz="6" w:space="0" w:color="000000"/>
                              <w:bottom w:val="single" w:sz="6" w:space="0" w:color="000000"/>
                              <w:right w:val="single" w:sz="6" w:space="0" w:color="000000"/>
                            </w:tcBorders>
                            <w:shd w:fill="0171B9" w:val="clear"/>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TBD</w:t>
                            </w:r>
                          </w:p>
                          <w:p>
                            <w:pPr>
                              <w:pStyle w:val="TableContents"/>
                              <w:bidi w:val="0"/>
                              <w:spacing w:before="0" w:after="20"/>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283"/>
              <w:jc w:val="left"/>
              <w:rPr/>
            </w:pPr>
            <w:r>
              <w:rPr/>
              <w:t>(1) </w:t>
            </w:r>
          </w:p>
        </w:tc>
        <w:tc>
          <w:tcPr>
            <w:tcW w:w="9867" w:type="dxa"/>
            <w:tcBorders/>
            <w:vAlign w:val="center"/>
          </w:tcPr>
          <w:p>
            <w:pPr>
              <w:pStyle w:val="TableContents"/>
              <w:bidi w:val="0"/>
              <w:spacing w:before="0" w:after="0"/>
              <w:jc w:val="both"/>
              <w:rPr>
                <w:rFonts w:ascii="arial" w:hAnsi="arial"/>
                <w:sz w:val="16"/>
              </w:rPr>
            </w:pPr>
            <w:r>
              <w:rPr>
                <w:rFonts w:ascii="arial" w:hAnsi="arial"/>
                <w:sz w:val="16"/>
              </w:rPr>
              <w:t xml:space="preserve">The 2023 non-GAAP operating measures (EPS growth and ROIC) with respect to the 2023-2025 performance period are as reported and reconciled in </w:t>
            </w:r>
            <w:r>
              <w:rPr>
                <w:rFonts w:ascii="arial" w:hAnsi="arial"/>
                <w:b/>
                <w:sz w:val="16"/>
              </w:rPr>
              <w:t>Appendix B</w:t>
            </w:r>
            <w:r>
              <w:rPr>
                <w:rFonts w:ascii="arial" w:hAnsi="arial"/>
                <w:sz w:val="16"/>
              </w:rPr>
              <w:t xml:space="preserve">. </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(2) </w:t>
            </w:r>
          </w:p>
        </w:tc>
        <w:tc>
          <w:tcPr>
            <w:tcW w:w="9918" w:type="dxa"/>
            <w:tcBorders/>
            <w:vAlign w:val="center"/>
          </w:tcPr>
          <w:p>
            <w:pPr>
              <w:pStyle w:val="TableContents"/>
              <w:bidi w:val="0"/>
              <w:spacing w:before="0" w:after="0"/>
              <w:jc w:val="both"/>
              <w:rPr>
                <w:rFonts w:ascii="arial" w:hAnsi="arial"/>
                <w:sz w:val="16"/>
              </w:rPr>
            </w:pPr>
            <w:r>
              <w:rPr>
                <w:rFonts w:ascii="arial" w:hAnsi="arial"/>
                <w:sz w:val="16"/>
              </w:rPr>
              <w:t xml:space="preserve">ROIC includes cash in invested capital to better align with our strategic priority of “Innovative Medicines” (which contemplates pursuit of innovation both internally and externally) by removing certain potential disincentives for acquisitions that could yield innovative medicines and drive shareholder value. </w:t>
            </w:r>
          </w:p>
        </w:tc>
      </w:tr>
    </w:tbl>
    <w:tbl>
      <w:tblPr>
        <w:tblW w:w="5470" w:type="dxa"/>
        <w:jc w:val="left"/>
        <w:tblInd w:w="0" w:type="dxa"/>
        <w:tblLayout w:type="fixed"/>
        <w:tblCellMar>
          <w:top w:w="0" w:type="dxa"/>
          <w:left w:w="0" w:type="dxa"/>
          <w:bottom w:w="0" w:type="dxa"/>
          <w:right w:w="0" w:type="dxa"/>
        </w:tblCellMar>
      </w:tblPr>
      <w:tblGrid>
        <w:gridCol w:w="365"/>
        <w:gridCol w:w="5105"/>
      </w:tblGrid>
      <w:tr>
        <w:trPr/>
        <w:tc>
          <w:tcPr>
            <w:tcW w:w="365" w:type="dxa"/>
            <w:tcBorders/>
            <w:vAlign w:val="center"/>
          </w:tcPr>
          <w:p>
            <w:pPr>
              <w:pStyle w:val="TableContents"/>
              <w:bidi w:val="0"/>
              <w:spacing w:before="0" w:after="283"/>
              <w:jc w:val="left"/>
              <w:rPr/>
            </w:pPr>
            <w:r>
              <w:rPr/>
              <w:t>(3) </w:t>
            </w:r>
          </w:p>
        </w:tc>
        <w:tc>
          <w:tcPr>
            <w:tcW w:w="5105" w:type="dxa"/>
            <w:tcBorders/>
            <w:vAlign w:val="center"/>
          </w:tcPr>
          <w:p>
            <w:pPr>
              <w:pStyle w:val="TableContents"/>
              <w:bidi w:val="0"/>
              <w:spacing w:before="0" w:after="0"/>
              <w:jc w:val="both"/>
              <w:rPr>
                <w:rFonts w:ascii="arial" w:hAnsi="arial"/>
                <w:sz w:val="16"/>
              </w:rPr>
            </w:pPr>
            <w:r>
              <w:rPr>
                <w:rFonts w:ascii="arial" w:hAnsi="arial"/>
                <w:sz w:val="16"/>
              </w:rPr>
              <w:t xml:space="preserve">We introduced a “flat zone” within which a target score is appropriate. </w:t>
            </w:r>
          </w:p>
        </w:tc>
      </w:tr>
    </w:tbl>
    <w:tbl>
      <w:tblPr>
        <w:tblW w:w="8995" w:type="dxa"/>
        <w:jc w:val="left"/>
        <w:tblInd w:w="0" w:type="dxa"/>
        <w:tblLayout w:type="fixed"/>
        <w:tblCellMar>
          <w:top w:w="0" w:type="dxa"/>
          <w:left w:w="0" w:type="dxa"/>
          <w:bottom w:w="0" w:type="dxa"/>
          <w:right w:w="0" w:type="dxa"/>
        </w:tblCellMar>
      </w:tblPr>
      <w:tblGrid>
        <w:gridCol w:w="365"/>
        <w:gridCol w:w="8630"/>
      </w:tblGrid>
      <w:tr>
        <w:trPr/>
        <w:tc>
          <w:tcPr>
            <w:tcW w:w="365" w:type="dxa"/>
            <w:tcBorders/>
            <w:vAlign w:val="center"/>
          </w:tcPr>
          <w:p>
            <w:pPr>
              <w:pStyle w:val="TableContents"/>
              <w:bidi w:val="0"/>
              <w:spacing w:before="0" w:after="283"/>
              <w:jc w:val="left"/>
              <w:rPr/>
            </w:pPr>
            <w:r>
              <w:rPr/>
              <w:t>(4) </w:t>
            </w:r>
          </w:p>
        </w:tc>
        <w:tc>
          <w:tcPr>
            <w:tcW w:w="8630" w:type="dxa"/>
            <w:tcBorders/>
            <w:vAlign w:val="center"/>
          </w:tcPr>
          <w:p>
            <w:pPr>
              <w:pStyle w:val="TableContents"/>
              <w:bidi w:val="0"/>
              <w:spacing w:before="0" w:after="0"/>
              <w:jc w:val="both"/>
              <w:rPr>
                <w:rFonts w:ascii="arial" w:hAnsi="arial"/>
                <w:sz w:val="16"/>
              </w:rPr>
            </w:pPr>
            <w:r>
              <w:rPr>
                <w:rFonts w:ascii="arial" w:hAnsi="arial"/>
                <w:sz w:val="16"/>
              </w:rPr>
              <w:t xml:space="preserve">2024 and 2025 targets are pre-established, but are not being disclosed at this time as they are competitively sensitive. </w:t>
            </w:r>
          </w:p>
        </w:tc>
      </w:tr>
    </w:tbl>
    <w:tbl>
      <w:tblPr>
        <w:tblW w:w="10205" w:type="dxa"/>
        <w:jc w:val="left"/>
        <w:tblInd w:w="0" w:type="dxa"/>
        <w:tblLayout w:type="fixed"/>
        <w:tblCellMar>
          <w:top w:w="0" w:type="dxa"/>
          <w:left w:w="0" w:type="dxa"/>
          <w:bottom w:w="0" w:type="dxa"/>
          <w:right w:w="0" w:type="dxa"/>
        </w:tblCellMar>
      </w:tblPr>
      <w:tblGrid>
        <w:gridCol w:w="332"/>
        <w:gridCol w:w="9873"/>
      </w:tblGrid>
      <w:tr>
        <w:trPr/>
        <w:tc>
          <w:tcPr>
            <w:tcW w:w="332" w:type="dxa"/>
            <w:tcBorders/>
            <w:vAlign w:val="center"/>
          </w:tcPr>
          <w:p>
            <w:pPr>
              <w:pStyle w:val="TableContents"/>
              <w:bidi w:val="0"/>
              <w:spacing w:before="0" w:after="283"/>
              <w:jc w:val="left"/>
              <w:rPr/>
            </w:pPr>
            <w:r>
              <w:rPr/>
              <w:t>(5) </w:t>
            </w:r>
          </w:p>
        </w:tc>
        <w:tc>
          <w:tcPr>
            <w:tcW w:w="9873" w:type="dxa"/>
            <w:tcBorders/>
            <w:vAlign w:val="center"/>
          </w:tcPr>
          <w:p>
            <w:pPr>
              <w:pStyle w:val="TableContents"/>
              <w:bidi w:val="0"/>
              <w:spacing w:before="0" w:after="0"/>
              <w:jc w:val="both"/>
              <w:rPr>
                <w:rFonts w:ascii="arial" w:hAnsi="arial"/>
                <w:sz w:val="16"/>
              </w:rPr>
            </w:pPr>
            <w:r>
              <w:rPr>
                <w:rFonts w:ascii="arial" w:hAnsi="arial"/>
                <w:sz w:val="16"/>
              </w:rPr>
              <w:t xml:space="preserve">TSR Measurement Points = average daily closing price of stock for the first 20 trading days beginning on the grant date and the last 20 trading days of the performance period. </w:t>
            </w:r>
          </w:p>
        </w:tc>
      </w:tr>
    </w:tbl>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70  </w:t>
      </w:r>
      <w:r>
        <w:rPr>
          <w:rFonts w:ascii="arial" w:hAnsi="arial"/>
          <w:b/>
          <w:color w:val="474747"/>
          <w:sz w:val="22"/>
        </w:rPr>
        <w:drawing>
          <wp:inline distT="0" distB="0" distL="0" distR="0">
            <wp:extent cx="64770" cy="15240"/>
            <wp:effectExtent l="0" t="0" r="0" b="0"/>
            <wp:docPr id="269"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133" descr=""/>
                    <pic:cNvPicPr>
                      <a:picLocks noChangeAspect="1" noChangeArrowheads="1"/>
                    </pic:cNvPicPr>
                  </pic:nvPicPr>
                  <pic:blipFill>
                    <a:blip r:embed="rId146"/>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507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45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459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Compensation Discussion and Analysis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62">
                <wp:simplePos x="0" y="0"/>
                <wp:positionH relativeFrom="column">
                  <wp:align>left</wp:align>
                </wp:positionH>
                <wp:positionV relativeFrom="line">
                  <wp:posOffset>635</wp:posOffset>
                </wp:positionV>
                <wp:extent cx="3110230" cy="5132705"/>
                <wp:effectExtent l="0" t="0" r="0" b="0"/>
                <wp:wrapSquare wrapText="right"/>
                <wp:docPr id="270" name="Frame125"/>
                <a:graphic xmlns:a="http://schemas.openxmlformats.org/drawingml/2006/main">
                  <a:graphicData uri="http://schemas.microsoft.com/office/word/2010/wordprocessingShape">
                    <wps:wsp>
                      <wps:cNvSpPr txBox="1"/>
                      <wps:spPr>
                        <a:xfrm>
                          <a:off x="0" y="0"/>
                          <a:ext cx="3110230" cy="5132705"/>
                        </a:xfrm>
                        <a:prstGeom prst="rect"/>
                        <a:solidFill>
                          <a:srgbClr val="FFFFFF"/>
                        </a:solidFill>
                      </wps:spPr>
                      <wps:txbx>
                        <w:txbxContent>
                          <w:p>
                            <w:pPr>
                              <w:pStyle w:val="TextBody"/>
                              <w:bidi w:val="0"/>
                              <w:spacing w:before="0" w:after="0"/>
                              <w:jc w:val="left"/>
                              <w:rPr>
                                <w:rFonts w:ascii="arial" w:hAnsi="arial"/>
                                <w:b/>
                                <w:sz w:val="24"/>
                              </w:rPr>
                            </w:pPr>
                            <w:r>
                              <w:rPr>
                                <w:rFonts w:ascii="arial" w:hAnsi="arial"/>
                                <w:b/>
                                <w:sz w:val="24"/>
                              </w:rPr>
                              <w:t xml:space="preserve">Performance Award Goal Design for the 2024–2026 Performance Period </w:t>
                            </w:r>
                          </w:p>
                          <w:p>
                            <w:pPr>
                              <w:pStyle w:val="TextBody"/>
                              <w:bidi w:val="0"/>
                              <w:spacing w:before="120" w:after="0"/>
                              <w:jc w:val="both"/>
                              <w:rPr>
                                <w:rFonts w:ascii="arial" w:hAnsi="arial"/>
                                <w:sz w:val="19"/>
                              </w:rPr>
                            </w:pPr>
                            <w:r>
                              <w:rPr>
                                <w:rFonts w:ascii="arial" w:hAnsi="arial"/>
                                <w:sz w:val="19"/>
                              </w:rPr>
                              <w:t xml:space="preserve">As part of its regular review and consideration of the performance award program, the Compensation Committee evaluated potential performance award goal designs for the 2024-2026 performance period (January 1, 2024 to December 31, 2026) with input from management and FW Cook at its December 2023 and February 2024 meetings. Based on such evaluations, the Compensation Committee retained the 2023-2025 performance period goal design for the 2024-2026 performance period, including the requirement that the TSR modifier could not effect a payout greater than target if our absolute TSR over the performance period was less than zero. </w:t>
                            </w:r>
                          </w:p>
                          <w:p>
                            <w:pPr>
                              <w:pStyle w:val="TextBody"/>
                              <w:bidi w:val="0"/>
                              <w:spacing w:before="240" w:after="0"/>
                              <w:jc w:val="left"/>
                              <w:rPr>
                                <w:rFonts w:ascii="arial" w:hAnsi="arial"/>
                                <w:b/>
                                <w:sz w:val="22"/>
                              </w:rPr>
                            </w:pPr>
                            <w:r>
                              <w:rPr>
                                <w:rFonts w:ascii="arial" w:hAnsi="arial"/>
                                <w:b/>
                                <w:sz w:val="22"/>
                              </w:rPr>
                              <w:t xml:space="preserve">Dividend Equivalents </w:t>
                            </w:r>
                          </w:p>
                          <w:p>
                            <w:pPr>
                              <w:pStyle w:val="TextBody"/>
                              <w:bidi w:val="0"/>
                              <w:spacing w:before="120" w:after="0"/>
                              <w:jc w:val="both"/>
                              <w:rPr>
                                <w:rFonts w:ascii="arial" w:hAnsi="arial"/>
                                <w:sz w:val="19"/>
                              </w:rPr>
                            </w:pPr>
                            <w:r>
                              <w:rPr>
                                <w:rFonts w:ascii="arial" w:hAnsi="arial"/>
                                <w:sz w:val="19"/>
                              </w:rPr>
                              <w:t xml:space="preserve">RSUs and performance units have dividend equivalent rights. Such dividend equivalents are payable only when, and to the extent that, the underlying RSUs and performance units are vested, earned, and converted to shares of Common Stock. The dividend equivalents may be paid in stock (with cash paid for fractional shares) or in cash at the Compensation Committee’s election. Stock options do not have dividend equivalent rights. </w:t>
                            </w:r>
                          </w:p>
                          <w:p>
                            <w:pPr>
                              <w:pStyle w:val="TextBody"/>
                              <w:bidi w:val="0"/>
                              <w:spacing w:before="240" w:after="0"/>
                              <w:jc w:val="left"/>
                              <w:rPr>
                                <w:rFonts w:ascii="arial" w:hAnsi="arial"/>
                                <w:b/>
                                <w:sz w:val="24"/>
                              </w:rPr>
                            </w:pPr>
                            <w:r>
                              <w:rPr>
                                <w:rFonts w:ascii="arial" w:hAnsi="arial"/>
                                <w:b/>
                                <w:sz w:val="24"/>
                              </w:rPr>
                              <w:t xml:space="preserve">Plan Minimum Vesting Period of One Year; Actual Minimum Generally Two Years </w:t>
                            </w:r>
                          </w:p>
                          <w:p>
                            <w:pPr>
                              <w:pStyle w:val="TextBody"/>
                              <w:bidi w:val="0"/>
                              <w:spacing w:before="120" w:after="0"/>
                              <w:jc w:val="both"/>
                              <w:rPr>
                                <w:rFonts w:ascii="arial" w:hAnsi="arial"/>
                                <w:sz w:val="19"/>
                              </w:rPr>
                            </w:pPr>
                            <w:r>
                              <w:rPr>
                                <w:rFonts w:ascii="arial" w:hAnsi="arial"/>
                                <w:sz w:val="19"/>
                              </w:rPr>
                              <w:t xml:space="preserve">Mindful of stockholder concerns and best practices, our equity incentive plan, and our proposed Second Amended and Restated 2009 Equity Incentive Plan, requires that at least 95% of all equity awards, including RSUs, restricted stock, stock options, performance awards, and dividend equivalents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04.1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sz w:val="24"/>
                        </w:rPr>
                      </w:pPr>
                      <w:r>
                        <w:rPr>
                          <w:rFonts w:ascii="arial" w:hAnsi="arial"/>
                          <w:b/>
                          <w:sz w:val="24"/>
                        </w:rPr>
                        <w:t xml:space="preserve">Performance Award Goal Design for the 2024–2026 Performance Period </w:t>
                      </w:r>
                    </w:p>
                    <w:p>
                      <w:pPr>
                        <w:pStyle w:val="TextBody"/>
                        <w:bidi w:val="0"/>
                        <w:spacing w:before="120" w:after="0"/>
                        <w:jc w:val="both"/>
                        <w:rPr>
                          <w:rFonts w:ascii="arial" w:hAnsi="arial"/>
                          <w:sz w:val="19"/>
                        </w:rPr>
                      </w:pPr>
                      <w:r>
                        <w:rPr>
                          <w:rFonts w:ascii="arial" w:hAnsi="arial"/>
                          <w:sz w:val="19"/>
                        </w:rPr>
                        <w:t xml:space="preserve">As part of its regular review and consideration of the performance award program, the Compensation Committee evaluated potential performance award goal designs for the 2024-2026 performance period (January 1, 2024 to December 31, 2026) with input from management and FW Cook at its December 2023 and February 2024 meetings. Based on such evaluations, the Compensation Committee retained the 2023-2025 performance period goal design for the 2024-2026 performance period, including the requirement that the TSR modifier could not effect a payout greater than target if our absolute TSR over the performance period was less than zero. </w:t>
                      </w:r>
                    </w:p>
                    <w:p>
                      <w:pPr>
                        <w:pStyle w:val="TextBody"/>
                        <w:bidi w:val="0"/>
                        <w:spacing w:before="240" w:after="0"/>
                        <w:jc w:val="left"/>
                        <w:rPr>
                          <w:rFonts w:ascii="arial" w:hAnsi="arial"/>
                          <w:b/>
                          <w:sz w:val="22"/>
                        </w:rPr>
                      </w:pPr>
                      <w:r>
                        <w:rPr>
                          <w:rFonts w:ascii="arial" w:hAnsi="arial"/>
                          <w:b/>
                          <w:sz w:val="22"/>
                        </w:rPr>
                        <w:t xml:space="preserve">Dividend Equivalents </w:t>
                      </w:r>
                    </w:p>
                    <w:p>
                      <w:pPr>
                        <w:pStyle w:val="TextBody"/>
                        <w:bidi w:val="0"/>
                        <w:spacing w:before="120" w:after="0"/>
                        <w:jc w:val="both"/>
                        <w:rPr>
                          <w:rFonts w:ascii="arial" w:hAnsi="arial"/>
                          <w:sz w:val="19"/>
                        </w:rPr>
                      </w:pPr>
                      <w:r>
                        <w:rPr>
                          <w:rFonts w:ascii="arial" w:hAnsi="arial"/>
                          <w:sz w:val="19"/>
                        </w:rPr>
                        <w:t xml:space="preserve">RSUs and performance units have dividend equivalent rights. Such dividend equivalents are payable only when, and to the extent that, the underlying RSUs and performance units are vested, earned, and converted to shares of Common Stock. The dividend equivalents may be paid in stock (with cash paid for fractional shares) or in cash at the Compensation Committee’s election. Stock options do not have dividend equivalent rights. </w:t>
                      </w:r>
                    </w:p>
                    <w:p>
                      <w:pPr>
                        <w:pStyle w:val="TextBody"/>
                        <w:bidi w:val="0"/>
                        <w:spacing w:before="240" w:after="0"/>
                        <w:jc w:val="left"/>
                        <w:rPr>
                          <w:rFonts w:ascii="arial" w:hAnsi="arial"/>
                          <w:b/>
                          <w:sz w:val="24"/>
                        </w:rPr>
                      </w:pPr>
                      <w:r>
                        <w:rPr>
                          <w:rFonts w:ascii="arial" w:hAnsi="arial"/>
                          <w:b/>
                          <w:sz w:val="24"/>
                        </w:rPr>
                        <w:t xml:space="preserve">Plan Minimum Vesting Period of One Year; Actual Minimum Generally Two Years </w:t>
                      </w:r>
                    </w:p>
                    <w:p>
                      <w:pPr>
                        <w:pStyle w:val="TextBody"/>
                        <w:bidi w:val="0"/>
                        <w:spacing w:before="120" w:after="0"/>
                        <w:jc w:val="both"/>
                        <w:rPr>
                          <w:rFonts w:ascii="arial" w:hAnsi="arial"/>
                          <w:sz w:val="19"/>
                        </w:rPr>
                      </w:pPr>
                      <w:r>
                        <w:rPr>
                          <w:rFonts w:ascii="arial" w:hAnsi="arial"/>
                          <w:sz w:val="19"/>
                        </w:rPr>
                        <w:t xml:space="preserve">Mindful of stockholder concerns and best practices, our equity incentive plan, and our proposed Second Amended and Restated 2009 Equity Incentive Plan, requires that at least 95% of all equity awards, including RSUs, restricted stock, stock options, performance awards, and dividend equivalents </w:t>
                      </w:r>
                    </w:p>
                  </w:txbxContent>
                </v:textbox>
                <w10:wrap type="square" side="right"/>
              </v:rect>
            </w:pict>
          </mc:Fallback>
        </mc:AlternateContent>
      </w:r>
      <w:r>
        <mc:AlternateContent>
          <mc:Choice Requires="wps">
            <w:drawing>
              <wp:anchor behindDoc="0" distT="0" distB="0" distL="0" distR="0" simplePos="0" locked="0" layoutInCell="1" allowOverlap="1" relativeHeight="363">
                <wp:simplePos x="0" y="0"/>
                <wp:positionH relativeFrom="column">
                  <wp:align>left</wp:align>
                </wp:positionH>
                <wp:positionV relativeFrom="line">
                  <wp:posOffset>635</wp:posOffset>
                </wp:positionV>
                <wp:extent cx="3175000" cy="4768850"/>
                <wp:effectExtent l="0" t="0" r="0" b="0"/>
                <wp:wrapSquare wrapText="right"/>
                <wp:docPr id="271" name="Frame126"/>
                <a:graphic xmlns:a="http://schemas.openxmlformats.org/drawingml/2006/main">
                  <a:graphicData uri="http://schemas.microsoft.com/office/word/2010/wordprocessingShape">
                    <wps:wsp>
                      <wps:cNvSpPr txBox="1"/>
                      <wps:spPr>
                        <a:xfrm>
                          <a:off x="0" y="0"/>
                          <a:ext cx="3175000" cy="476885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granted to staff members (including NEOs) will be subject to a minimum vesting period of no less than one year. Our annual stock option and RSU grants generally vest over four years in three approximately equal annual installments on the second, third, and fourth anniversaries of the grant date. This delayed vesting schedule further underscores the long-term focus of our LTI equity award program and enhances retention of staff members. </w:t>
                            </w:r>
                          </w:p>
                          <w:p>
                            <w:pPr>
                              <w:pStyle w:val="TextBody"/>
                              <w:bidi w:val="0"/>
                              <w:spacing w:before="240" w:after="0"/>
                              <w:jc w:val="left"/>
                              <w:rPr>
                                <w:rFonts w:ascii="arial" w:hAnsi="arial"/>
                                <w:b/>
                                <w:sz w:val="24"/>
                              </w:rPr>
                            </w:pPr>
                            <w:r>
                              <w:rPr>
                                <w:rFonts w:ascii="arial" w:hAnsi="arial"/>
                                <w:b/>
                                <w:sz w:val="24"/>
                              </w:rPr>
                              <w:t xml:space="preserve">Long-Term Incentive Equity Awards Granted to Named Executive Officers in 2024 </w:t>
                            </w:r>
                          </w:p>
                          <w:p>
                            <w:pPr>
                              <w:pStyle w:val="TextBody"/>
                              <w:bidi w:val="0"/>
                              <w:spacing w:before="120" w:after="0"/>
                              <w:jc w:val="both"/>
                              <w:rPr>
                                <w:rFonts w:ascii="arial" w:hAnsi="arial"/>
                                <w:sz w:val="19"/>
                              </w:rPr>
                            </w:pPr>
                            <w:r>
                              <w:rPr>
                                <w:rFonts w:ascii="arial" w:hAnsi="arial"/>
                                <w:sz w:val="19"/>
                              </w:rPr>
                              <w:t xml:space="preserve">The Compensation Committee reviewed the LTI equity award grant values proposed to be granted to NEOs in 2024. The Compensation Committee approved an increase in Mr. Bradway’s LTI equity award value in March 2024 from $15.9 million to $18 million to recognize his successful leadership of the Company, tenure in the CEO role, and successful execution of the Horizon acquisition and other activities in support of the long-term growth of the Company. In recognition of the successful leadership of their respective functions, scope of responsibilities across roles, and execution of activities in support of the long-term growth of the Company, including the Horizon acquisition, the Compensation Committee approved an increase of $300,000 in LTI equity award value for Mr. Gordon (from $5 to $5.3 million), Mr. Griffith and Dr. Reese (from $4.5 to $4.8 million), and Mr. Santos (from $4.2 to $4.5 million). The Compensation Committee concluded that the LTI equity award values granted were appropriate because they recognize and reward strong execution by our executives with compensation that is substantially at risk, performance-based, and focused on the longer-term.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75.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granted to staff members (including NEOs) will be subject to a minimum vesting period of no less than one year. Our annual stock option and RSU grants generally vest over four years in three approximately equal annual installments on the second, third, and fourth anniversaries of the grant date. This delayed vesting schedule further underscores the long-term focus of our LTI equity award program and enhances retention of staff members. </w:t>
                      </w:r>
                    </w:p>
                    <w:p>
                      <w:pPr>
                        <w:pStyle w:val="TextBody"/>
                        <w:bidi w:val="0"/>
                        <w:spacing w:before="240" w:after="0"/>
                        <w:jc w:val="left"/>
                        <w:rPr>
                          <w:rFonts w:ascii="arial" w:hAnsi="arial"/>
                          <w:b/>
                          <w:sz w:val="24"/>
                        </w:rPr>
                      </w:pPr>
                      <w:r>
                        <w:rPr>
                          <w:rFonts w:ascii="arial" w:hAnsi="arial"/>
                          <w:b/>
                          <w:sz w:val="24"/>
                        </w:rPr>
                        <w:t xml:space="preserve">Long-Term Incentive Equity Awards Granted to Named Executive Officers in 2024 </w:t>
                      </w:r>
                    </w:p>
                    <w:p>
                      <w:pPr>
                        <w:pStyle w:val="TextBody"/>
                        <w:bidi w:val="0"/>
                        <w:spacing w:before="120" w:after="0"/>
                        <w:jc w:val="both"/>
                        <w:rPr>
                          <w:rFonts w:ascii="arial" w:hAnsi="arial"/>
                          <w:sz w:val="19"/>
                        </w:rPr>
                      </w:pPr>
                      <w:r>
                        <w:rPr>
                          <w:rFonts w:ascii="arial" w:hAnsi="arial"/>
                          <w:sz w:val="19"/>
                        </w:rPr>
                        <w:t xml:space="preserve">The Compensation Committee reviewed the LTI equity award grant values proposed to be granted to NEOs in 2024. The Compensation Committee approved an increase in Mr. Bradway’s LTI equity award value in March 2024 from $15.9 million to $18 million to recognize his successful leadership of the Company, tenure in the CEO role, and successful execution of the Horizon acquisition and other activities in support of the long-term growth of the Company. In recognition of the successful leadership of their respective functions, scope of responsibilities across roles, and execution of activities in support of the long-term growth of the Company, including the Horizon acquisition, the Compensation Committee approved an increase of $300,000 in LTI equity award value for Mr. Gordon (from $5 to $5.3 million), Mr. Griffith and Dr. Reese (from $4.5 to $4.8 million), and Mr. Santos (from $4.2 to $4.5 million). The Compensation Committee concluded that the LTI equity award values granted were appropriate because they recognize and reward strong execution by our executives with compensation that is substantially at risk, performance-based, and focused on the longer-term.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272"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134" descr=""/>
                    <pic:cNvPicPr>
                      <a:picLocks noChangeAspect="1" noChangeArrowheads="1"/>
                    </pic:cNvPicPr>
                  </pic:nvPicPr>
                  <pic:blipFill>
                    <a:blip r:embed="rId147"/>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71</w:t>
      </w:r>
      <w:r>
        <w:rPr>
          <w:rFonts w:ascii="arial" w:hAnsi="arial"/>
          <w:b/>
          <w:sz w:val="22"/>
        </w:rPr>
        <w:t xml:space="preserve"> </w:t>
      </w:r>
      <w:r>
        <w:br w:type="page"/>
      </w:r>
    </w:p>
    <w:p>
      <w:pPr>
        <w:pStyle w:val="HorizontalLine"/>
        <w:bidi w:val="0"/>
        <w:jc w:val="left"/>
        <w:rPr/>
      </w:pPr>
      <w:r>
        <w:rPr/>
      </w:r>
    </w:p>
    <w:tbl>
      <w:tblPr>
        <w:tblW w:w="507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45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459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Compensation Discussion and Analysis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64">
                <wp:simplePos x="0" y="0"/>
                <wp:positionH relativeFrom="column">
                  <wp:align>left</wp:align>
                </wp:positionH>
                <wp:positionV relativeFrom="line">
                  <wp:posOffset>635</wp:posOffset>
                </wp:positionV>
                <wp:extent cx="3110230" cy="5923280"/>
                <wp:effectExtent l="0" t="0" r="0" b="0"/>
                <wp:wrapSquare wrapText="right"/>
                <wp:docPr id="273" name="Frame127"/>
                <a:graphic xmlns:a="http://schemas.openxmlformats.org/drawingml/2006/main">
                  <a:graphicData uri="http://schemas.microsoft.com/office/word/2010/wordprocessingShape">
                    <wps:wsp>
                      <wps:cNvSpPr txBox="1"/>
                      <wps:spPr>
                        <a:xfrm>
                          <a:off x="0" y="0"/>
                          <a:ext cx="3110230" cy="5923280"/>
                        </a:xfrm>
                        <a:prstGeom prst="rect"/>
                        <a:solidFill>
                          <a:srgbClr val="FFFFFF"/>
                        </a:solidFill>
                      </wps:spPr>
                      <wps:txbx>
                        <w:txbxContent>
                          <w:p>
                            <w:pPr>
                              <w:pStyle w:val="TextBody"/>
                              <w:bidi w:val="0"/>
                              <w:spacing w:before="0" w:after="0"/>
                              <w:jc w:val="left"/>
                              <w:rPr>
                                <w:rFonts w:ascii="arial" w:hAnsi="arial"/>
                                <w:b/>
                                <w:sz w:val="24"/>
                              </w:rPr>
                            </w:pPr>
                            <w:r>
                              <w:rPr>
                                <w:rFonts w:ascii="arial" w:hAnsi="arial"/>
                                <w:b/>
                                <w:sz w:val="24"/>
                              </w:rPr>
                              <w:t xml:space="preserve">Annual Cash Incentive Awards </w:t>
                            </w:r>
                          </w:p>
                          <w:p>
                            <w:pPr>
                              <w:pStyle w:val="TextBody"/>
                              <w:bidi w:val="0"/>
                              <w:spacing w:before="120" w:after="0"/>
                              <w:jc w:val="left"/>
                              <w:rPr>
                                <w:rFonts w:ascii="arial" w:hAnsi="arial"/>
                                <w:b/>
                                <w:sz w:val="20"/>
                              </w:rPr>
                            </w:pPr>
                            <w:r>
                              <w:rPr>
                                <w:rFonts w:ascii="arial" w:hAnsi="arial"/>
                                <w:b/>
                                <w:sz w:val="20"/>
                              </w:rPr>
                              <w:t xml:space="preserve">Executive Incentive Plan </w:t>
                            </w:r>
                          </w:p>
                          <w:p>
                            <w:pPr>
                              <w:pStyle w:val="TextBody"/>
                              <w:bidi w:val="0"/>
                              <w:spacing w:before="120" w:after="0"/>
                              <w:jc w:val="both"/>
                              <w:rPr>
                                <w:rFonts w:ascii="arial" w:hAnsi="arial"/>
                                <w:sz w:val="19"/>
                              </w:rPr>
                            </w:pPr>
                            <w:r>
                              <w:rPr>
                                <w:rFonts w:ascii="arial" w:hAnsi="arial"/>
                                <w:sz w:val="19"/>
                              </w:rPr>
                              <w:t xml:space="preserve">Annual cash incentive awards to our NEOs are generally made under our stockholder-approved Executive Incentive Plan, or EIP, which employs a formula that establishes a maximum award possible for each participant based on our non-GAAP net income.(1) For 2023, each of our NEOs was a participant in the EIP. This year, as in the past, actual awards under the EIP are determined by the Compensation Committee using its negative discretion under the EIP, with award determinations based on Company performance against the composite final score of the pre-established 2023 Company performance goals. In evaluating and confirming this approach, the Compensation Committee also considers the contributions of each participant’s role to our success during the year. </w:t>
                            </w:r>
                          </w:p>
                          <w:p>
                            <w:pPr>
                              <w:pStyle w:val="TextBody"/>
                              <w:bidi w:val="0"/>
                              <w:spacing w:before="120" w:after="0"/>
                              <w:jc w:val="both"/>
                              <w:rPr>
                                <w:rFonts w:ascii="arial" w:hAnsi="arial"/>
                                <w:sz w:val="19"/>
                              </w:rPr>
                            </w:pPr>
                            <w:r>
                              <w:rPr>
                                <w:rFonts w:ascii="arial" w:hAnsi="arial"/>
                                <w:sz w:val="19"/>
                              </w:rPr>
                              <w:t xml:space="preserve">In March 2023, the Compensation Committee determined for the EIP participants, the definition of non-GAAP net income,(1) the maximum award payable for each participant, and the target annual cash incentive award opportunities. In addition, the Compensation Committee determined the plan design for the Global Management Incentive Plan, or GMIP, and Global Performance Incentive Plan, or GPIP, and the 2023 Company performance goals and weightings, and the percentages payable for threshold, target, and maximum performance. </w:t>
                            </w:r>
                          </w:p>
                          <w:p>
                            <w:pPr>
                              <w:pStyle w:val="TextBody"/>
                              <w:bidi w:val="0"/>
                              <w:spacing w:before="120" w:after="0"/>
                              <w:jc w:val="both"/>
                              <w:rPr>
                                <w:rFonts w:ascii="arial" w:hAnsi="arial"/>
                                <w:sz w:val="19"/>
                              </w:rPr>
                            </w:pPr>
                            <w:r>
                              <w:rPr>
                                <w:rFonts w:ascii="arial" w:hAnsi="arial"/>
                                <w:sz w:val="19"/>
                              </w:rPr>
                              <w:t xml:space="preserve">The maximum award under the EIP continued to be expressed as the EIP non-GAAP net income(1) definition and, consistent with past years, was 0.125% for our CEO and 0.075% for each of the other NEOs. As discussed previously, both historically and in 2023, the Compensation Committee has paid well below the maximum award permitted under the EIP based on a practice of exercising negative discretion by using the Company performance goals composite final score under our GMIP as applied to the participant’s target annual cash incentive award opportunity to determine actual awards. </w:t>
                            </w:r>
                          </w:p>
                          <w:p>
                            <w:pPr>
                              <w:pStyle w:val="TextBody"/>
                              <w:bidi w:val="0"/>
                              <w:spacing w:before="0" w:after="0"/>
                              <w:jc w:val="left"/>
                              <w:rPr/>
                            </w:pPr>
                            <w:r>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66.4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sz w:val="24"/>
                        </w:rPr>
                      </w:pPr>
                      <w:r>
                        <w:rPr>
                          <w:rFonts w:ascii="arial" w:hAnsi="arial"/>
                          <w:b/>
                          <w:sz w:val="24"/>
                        </w:rPr>
                        <w:t xml:space="preserve">Annual Cash Incentive Awards </w:t>
                      </w:r>
                    </w:p>
                    <w:p>
                      <w:pPr>
                        <w:pStyle w:val="TextBody"/>
                        <w:bidi w:val="0"/>
                        <w:spacing w:before="120" w:after="0"/>
                        <w:jc w:val="left"/>
                        <w:rPr>
                          <w:rFonts w:ascii="arial" w:hAnsi="arial"/>
                          <w:b/>
                          <w:sz w:val="20"/>
                        </w:rPr>
                      </w:pPr>
                      <w:r>
                        <w:rPr>
                          <w:rFonts w:ascii="arial" w:hAnsi="arial"/>
                          <w:b/>
                          <w:sz w:val="20"/>
                        </w:rPr>
                        <w:t xml:space="preserve">Executive Incentive Plan </w:t>
                      </w:r>
                    </w:p>
                    <w:p>
                      <w:pPr>
                        <w:pStyle w:val="TextBody"/>
                        <w:bidi w:val="0"/>
                        <w:spacing w:before="120" w:after="0"/>
                        <w:jc w:val="both"/>
                        <w:rPr>
                          <w:rFonts w:ascii="arial" w:hAnsi="arial"/>
                          <w:sz w:val="19"/>
                        </w:rPr>
                      </w:pPr>
                      <w:r>
                        <w:rPr>
                          <w:rFonts w:ascii="arial" w:hAnsi="arial"/>
                          <w:sz w:val="19"/>
                        </w:rPr>
                        <w:t xml:space="preserve">Annual cash incentive awards to our NEOs are generally made under our stockholder-approved Executive Incentive Plan, or EIP, which employs a formula that establishes a maximum award possible for each participant based on our non-GAAP net income.(1) For 2023, each of our NEOs was a participant in the EIP. This year, as in the past, actual awards under the EIP are determined by the Compensation Committee using its negative discretion under the EIP, with award determinations based on Company performance against the composite final score of the pre-established 2023 Company performance goals. In evaluating and confirming this approach, the Compensation Committee also considers the contributions of each participant’s role to our success during the year. </w:t>
                      </w:r>
                    </w:p>
                    <w:p>
                      <w:pPr>
                        <w:pStyle w:val="TextBody"/>
                        <w:bidi w:val="0"/>
                        <w:spacing w:before="120" w:after="0"/>
                        <w:jc w:val="both"/>
                        <w:rPr>
                          <w:rFonts w:ascii="arial" w:hAnsi="arial"/>
                          <w:sz w:val="19"/>
                        </w:rPr>
                      </w:pPr>
                      <w:r>
                        <w:rPr>
                          <w:rFonts w:ascii="arial" w:hAnsi="arial"/>
                          <w:sz w:val="19"/>
                        </w:rPr>
                        <w:t xml:space="preserve">In March 2023, the Compensation Committee determined for the EIP participants, the definition of non-GAAP net income,(1) the maximum award payable for each participant, and the target annual cash incentive award opportunities. In addition, the Compensation Committee determined the plan design for the Global Management Incentive Plan, or GMIP, and Global Performance Incentive Plan, or GPIP, and the 2023 Company performance goals and weightings, and the percentages payable for threshold, target, and maximum performance. </w:t>
                      </w:r>
                    </w:p>
                    <w:p>
                      <w:pPr>
                        <w:pStyle w:val="TextBody"/>
                        <w:bidi w:val="0"/>
                        <w:spacing w:before="120" w:after="0"/>
                        <w:jc w:val="both"/>
                        <w:rPr>
                          <w:rFonts w:ascii="arial" w:hAnsi="arial"/>
                          <w:sz w:val="19"/>
                        </w:rPr>
                      </w:pPr>
                      <w:r>
                        <w:rPr>
                          <w:rFonts w:ascii="arial" w:hAnsi="arial"/>
                          <w:sz w:val="19"/>
                        </w:rPr>
                        <w:t xml:space="preserve">The maximum award under the EIP continued to be expressed as the EIP non-GAAP net income(1) definition and, consistent with past years, was 0.125% for our CEO and 0.075% for each of the other NEOs. As discussed previously, both historically and in 2023, the Compensation Committee has paid well below the maximum award permitted under the EIP based on a practice of exercising negative discretion by using the Company performance goals composite final score under our GMIP as applied to the participant’s target annual cash incentive award opportunity to determine actual awards. </w:t>
                      </w:r>
                    </w:p>
                    <w:p>
                      <w:pPr>
                        <w:pStyle w:val="TextBody"/>
                        <w:bidi w:val="0"/>
                        <w:spacing w:before="0" w:after="0"/>
                        <w:jc w:val="left"/>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365">
                <wp:simplePos x="0" y="0"/>
                <wp:positionH relativeFrom="column">
                  <wp:align>left</wp:align>
                </wp:positionH>
                <wp:positionV relativeFrom="line">
                  <wp:posOffset>635</wp:posOffset>
                </wp:positionV>
                <wp:extent cx="3175000" cy="5730240"/>
                <wp:effectExtent l="0" t="0" r="0" b="0"/>
                <wp:wrapSquare wrapText="right"/>
                <wp:docPr id="274" name="Frame128"/>
                <a:graphic xmlns:a="http://schemas.openxmlformats.org/drawingml/2006/main">
                  <a:graphicData uri="http://schemas.microsoft.com/office/word/2010/wordprocessingShape">
                    <wps:wsp>
                      <wps:cNvSpPr txBox="1"/>
                      <wps:spPr>
                        <a:xfrm>
                          <a:off x="0" y="0"/>
                          <a:ext cx="3175000" cy="5730240"/>
                        </a:xfrm>
                        <a:prstGeom prst="rect"/>
                        <a:solidFill>
                          <a:srgbClr val="FFFFFF"/>
                        </a:solidFill>
                      </wps:spPr>
                      <wps:txbx>
                        <w:txbxContent>
                          <w:p>
                            <w:pPr>
                              <w:pStyle w:val="TextBody"/>
                              <w:bidi w:val="0"/>
                              <w:spacing w:before="0" w:after="0"/>
                              <w:jc w:val="left"/>
                              <w:rPr>
                                <w:rFonts w:ascii="arial" w:hAnsi="arial"/>
                                <w:b/>
                                <w:color w:val="0171B9"/>
                                <w:sz w:val="22"/>
                              </w:rPr>
                            </w:pPr>
                            <w:r>
                              <w:rPr>
                                <w:rFonts w:ascii="arial" w:hAnsi="arial"/>
                                <w:b/>
                                <w:color w:val="0171B9"/>
                                <w:sz w:val="22"/>
                              </w:rPr>
                              <w:t xml:space="preserve">Target Annual Cash Incentive Award Opportunity </w:t>
                            </w:r>
                          </w:p>
                          <w:p>
                            <w:pPr>
                              <w:pStyle w:val="TextBody"/>
                              <w:bidi w:val="0"/>
                              <w:spacing w:before="120" w:after="0"/>
                              <w:jc w:val="both"/>
                              <w:rPr>
                                <w:rFonts w:ascii="arial" w:hAnsi="arial"/>
                                <w:sz w:val="19"/>
                              </w:rPr>
                            </w:pPr>
                            <w:r>
                              <w:rPr>
                                <w:rFonts w:ascii="arial" w:hAnsi="arial"/>
                                <w:sz w:val="19"/>
                              </w:rPr>
                              <w:t xml:space="preserve">After review of market data and consultation with FW Cook, the Compensation Committee determined that the target annual cash incentive award opportunities for our NEOs would remain the same as those of 2022 (150% of base salary for our CEO and 100% for each of the other NEOs). </w:t>
                            </w:r>
                          </w:p>
                          <w:p>
                            <w:pPr>
                              <w:pStyle w:val="TextBody"/>
                              <w:bidi w:val="0"/>
                              <w:spacing w:before="240" w:after="0"/>
                              <w:jc w:val="left"/>
                              <w:rPr>
                                <w:rFonts w:ascii="arial" w:hAnsi="arial"/>
                                <w:b/>
                                <w:sz w:val="20"/>
                              </w:rPr>
                            </w:pPr>
                            <w:r>
                              <w:rPr>
                                <w:rFonts w:ascii="arial" w:hAnsi="arial"/>
                                <w:b/>
                                <w:sz w:val="20"/>
                              </w:rPr>
                              <w:t xml:space="preserve">2023 Company Performance Goals </w:t>
                            </w:r>
                          </w:p>
                          <w:p>
                            <w:pPr>
                              <w:pStyle w:val="TextBody"/>
                              <w:bidi w:val="0"/>
                              <w:spacing w:before="120" w:after="0"/>
                              <w:jc w:val="both"/>
                              <w:rPr>
                                <w:rFonts w:ascii="arial" w:hAnsi="arial"/>
                                <w:sz w:val="19"/>
                              </w:rPr>
                            </w:pPr>
                            <w:r>
                              <w:rPr>
                                <w:rFonts w:ascii="arial" w:hAnsi="arial"/>
                                <w:sz w:val="19"/>
                              </w:rPr>
                              <w:t xml:space="preserve">While all of the goals measure single-year performance, taken as a whole, they are intended to positively position us for both near- and long-term success, support our strategic priorities, and create stockholder value. The 2023 Company performance goals approved by the Compensation Committee were based on our 2023 budget and forecast at the time of such approval and are discussed on the following page. </w:t>
                            </w:r>
                          </w:p>
                          <w:p>
                            <w:pPr>
                              <w:pStyle w:val="TextBody"/>
                              <w:bidi w:val="0"/>
                              <w:spacing w:before="120" w:after="0"/>
                              <w:jc w:val="both"/>
                              <w:rPr>
                                <w:rFonts w:ascii="arial" w:hAnsi="arial"/>
                                <w:sz w:val="19"/>
                              </w:rPr>
                            </w:pPr>
                            <w:r>
                              <w:rPr>
                                <w:rFonts w:ascii="arial" w:hAnsi="arial"/>
                                <w:sz w:val="19"/>
                              </w:rPr>
                              <w:t xml:space="preserve">For the 2023 Company performance goals, in March 2023, management recommended, and the Compensation Committee reviewed and concurred with, replacing the “Process Simplification and Automation” goal with the new annual priority of “Successful Integrations and Collaborations” to focus our entire Company on maximizing opportunities from acquisitions, including integrating and advancing products. Additionally, after the successful adoption and delivery of our 2022 ESG goals, our Compensation Committee approved an expanded ESG goal for our 2023 Company performance goals designed to continue to hold ourselves accountable for, and systematically advance towards, our 2027 environmental sustainability goals, to drive measurable achievement of our Representation in Clinical Research (RISE) objectives (in support of our strategic priority of innovation), and to drive ownership and accountability for our culture of inclusion by increasing the number of leaders accountable for action (in support of our strategic priority of continuous improvement) and of our diversity, inclusion, and belonging program. </w:t>
                            </w:r>
                          </w:p>
                          <w:p>
                            <w:pPr>
                              <w:pStyle w:val="TextBody"/>
                              <w:bidi w:val="0"/>
                              <w:spacing w:before="0" w:after="0"/>
                              <w:jc w:val="left"/>
                              <w:rPr/>
                            </w:pPr>
                            <w:r>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51.2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color w:val="0171B9"/>
                          <w:sz w:val="22"/>
                        </w:rPr>
                      </w:pPr>
                      <w:r>
                        <w:rPr>
                          <w:rFonts w:ascii="arial" w:hAnsi="arial"/>
                          <w:b/>
                          <w:color w:val="0171B9"/>
                          <w:sz w:val="22"/>
                        </w:rPr>
                        <w:t xml:space="preserve">Target Annual Cash Incentive Award Opportunity </w:t>
                      </w:r>
                    </w:p>
                    <w:p>
                      <w:pPr>
                        <w:pStyle w:val="TextBody"/>
                        <w:bidi w:val="0"/>
                        <w:spacing w:before="120" w:after="0"/>
                        <w:jc w:val="both"/>
                        <w:rPr>
                          <w:rFonts w:ascii="arial" w:hAnsi="arial"/>
                          <w:sz w:val="19"/>
                        </w:rPr>
                      </w:pPr>
                      <w:r>
                        <w:rPr>
                          <w:rFonts w:ascii="arial" w:hAnsi="arial"/>
                          <w:sz w:val="19"/>
                        </w:rPr>
                        <w:t xml:space="preserve">After review of market data and consultation with FW Cook, the Compensation Committee determined that the target annual cash incentive award opportunities for our NEOs would remain the same as those of 2022 (150% of base salary for our CEO and 100% for each of the other NEOs). </w:t>
                      </w:r>
                    </w:p>
                    <w:p>
                      <w:pPr>
                        <w:pStyle w:val="TextBody"/>
                        <w:bidi w:val="0"/>
                        <w:spacing w:before="240" w:after="0"/>
                        <w:jc w:val="left"/>
                        <w:rPr>
                          <w:rFonts w:ascii="arial" w:hAnsi="arial"/>
                          <w:b/>
                          <w:sz w:val="20"/>
                        </w:rPr>
                      </w:pPr>
                      <w:r>
                        <w:rPr>
                          <w:rFonts w:ascii="arial" w:hAnsi="arial"/>
                          <w:b/>
                          <w:sz w:val="20"/>
                        </w:rPr>
                        <w:t xml:space="preserve">2023 Company Performance Goals </w:t>
                      </w:r>
                    </w:p>
                    <w:p>
                      <w:pPr>
                        <w:pStyle w:val="TextBody"/>
                        <w:bidi w:val="0"/>
                        <w:spacing w:before="120" w:after="0"/>
                        <w:jc w:val="both"/>
                        <w:rPr>
                          <w:rFonts w:ascii="arial" w:hAnsi="arial"/>
                          <w:sz w:val="19"/>
                        </w:rPr>
                      </w:pPr>
                      <w:r>
                        <w:rPr>
                          <w:rFonts w:ascii="arial" w:hAnsi="arial"/>
                          <w:sz w:val="19"/>
                        </w:rPr>
                        <w:t xml:space="preserve">While all of the goals measure single-year performance, taken as a whole, they are intended to positively position us for both near- and long-term success, support our strategic priorities, and create stockholder value. The 2023 Company performance goals approved by the Compensation Committee were based on our 2023 budget and forecast at the time of such approval and are discussed on the following page. </w:t>
                      </w:r>
                    </w:p>
                    <w:p>
                      <w:pPr>
                        <w:pStyle w:val="TextBody"/>
                        <w:bidi w:val="0"/>
                        <w:spacing w:before="120" w:after="0"/>
                        <w:jc w:val="both"/>
                        <w:rPr>
                          <w:rFonts w:ascii="arial" w:hAnsi="arial"/>
                          <w:sz w:val="19"/>
                        </w:rPr>
                      </w:pPr>
                      <w:r>
                        <w:rPr>
                          <w:rFonts w:ascii="arial" w:hAnsi="arial"/>
                          <w:sz w:val="19"/>
                        </w:rPr>
                        <w:t xml:space="preserve">For the 2023 Company performance goals, in March 2023, management recommended, and the Compensation Committee reviewed and concurred with, replacing the “Process Simplification and Automation” goal with the new annual priority of “Successful Integrations and Collaborations” to focus our entire Company on maximizing opportunities from acquisitions, including integrating and advancing products. Additionally, after the successful adoption and delivery of our 2022 ESG goals, our Compensation Committee approved an expanded ESG goal for our 2023 Company performance goals designed to continue to hold ourselves accountable for, and systematically advance towards, our 2027 environmental sustainability goals, to drive measurable achievement of our Representation in Clinical Research (RISE) objectives (in support of our strategic priority of innovation), and to drive ownership and accountability for our culture of inclusion by increasing the number of leaders accountable for action (in support of our strategic priority of continuous improvement) and of our diversity, inclusion, and belonging program. </w:t>
                      </w:r>
                    </w:p>
                    <w:p>
                      <w:pPr>
                        <w:pStyle w:val="TextBody"/>
                        <w:bidi w:val="0"/>
                        <w:spacing w:before="0" w:after="0"/>
                        <w:jc w:val="left"/>
                        <w:rPr/>
                      </w:pPr>
                      <w:r>
                        <w:rPr/>
                        <w:t> </w:t>
                      </w:r>
                    </w:p>
                  </w:txbxContent>
                </v:textbox>
                <w10:wrap type="square" side="right"/>
              </v:rect>
            </w:pict>
          </mc:Fallback>
        </mc:AlternateContent>
      </w:r>
    </w:p>
    <w:p>
      <w:pPr>
        <w:pStyle w:val="TextBody"/>
        <w:pBdr>
          <w:bottom w:val="single" w:sz="2" w:space="1" w:color="000000"/>
        </w:pBdr>
        <w:bidi w:val="0"/>
        <w:spacing w:lineRule="atLeast" w:line="160" w:before="0" w:after="40"/>
        <w:jc w:val="left"/>
        <w:rPr/>
      </w:pPr>
      <w:r>
        <w:rPr/>
        <w:t> </w:t>
      </w:r>
    </w:p>
    <w:tbl>
      <w:tblPr>
        <w:tblW w:w="7165" w:type="dxa"/>
        <w:jc w:val="left"/>
        <w:tblInd w:w="0" w:type="dxa"/>
        <w:tblLayout w:type="fixed"/>
        <w:tblCellMar>
          <w:top w:w="0" w:type="dxa"/>
          <w:left w:w="0" w:type="dxa"/>
          <w:bottom w:w="0" w:type="dxa"/>
          <w:right w:w="0" w:type="dxa"/>
        </w:tblCellMar>
      </w:tblPr>
      <w:tblGrid>
        <w:gridCol w:w="365"/>
        <w:gridCol w:w="6800"/>
      </w:tblGrid>
      <w:tr>
        <w:trPr/>
        <w:tc>
          <w:tcPr>
            <w:tcW w:w="365" w:type="dxa"/>
            <w:tcBorders/>
            <w:vAlign w:val="center"/>
          </w:tcPr>
          <w:p>
            <w:pPr>
              <w:pStyle w:val="TableContents"/>
              <w:bidi w:val="0"/>
              <w:spacing w:before="0" w:after="283"/>
              <w:jc w:val="left"/>
              <w:rPr/>
            </w:pPr>
            <w:r>
              <w:rPr/>
              <w:t>(1) </w:t>
            </w:r>
          </w:p>
        </w:tc>
        <w:tc>
          <w:tcPr>
            <w:tcW w:w="6800" w:type="dxa"/>
            <w:tcBorders/>
            <w:vAlign w:val="center"/>
          </w:tcPr>
          <w:p>
            <w:pPr>
              <w:pStyle w:val="TableContents"/>
              <w:bidi w:val="0"/>
              <w:spacing w:before="0" w:after="0"/>
              <w:jc w:val="both"/>
              <w:rPr>
                <w:rFonts w:ascii="arial" w:hAnsi="arial"/>
                <w:sz w:val="16"/>
              </w:rPr>
            </w:pPr>
            <w:r>
              <w:rPr>
                <w:rFonts w:ascii="arial" w:hAnsi="arial"/>
                <w:sz w:val="16"/>
              </w:rPr>
              <w:t xml:space="preserve">Non-GAAP net income for purposes of the EIP is as reported and reconciled in </w:t>
            </w:r>
            <w:r>
              <w:rPr>
                <w:rFonts w:ascii="arial" w:hAnsi="arial"/>
                <w:b/>
                <w:sz w:val="16"/>
              </w:rPr>
              <w:t>Appendix B</w:t>
            </w:r>
            <w:r>
              <w:rPr>
                <w:rFonts w:ascii="arial" w:hAnsi="arial"/>
                <w:sz w:val="16"/>
              </w:rPr>
              <w:t xml:space="preserve">. </w:t>
            </w:r>
          </w:p>
        </w:tc>
      </w:tr>
    </w:tbl>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72  </w:t>
      </w:r>
      <w:r>
        <w:rPr>
          <w:rFonts w:ascii="arial" w:hAnsi="arial"/>
          <w:b/>
          <w:color w:val="474747"/>
          <w:sz w:val="22"/>
        </w:rPr>
        <w:drawing>
          <wp:inline distT="0" distB="0" distL="0" distR="0">
            <wp:extent cx="64770" cy="15240"/>
            <wp:effectExtent l="0" t="0" r="0" b="0"/>
            <wp:docPr id="27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135" descr=""/>
                    <pic:cNvPicPr>
                      <a:picLocks noChangeAspect="1" noChangeArrowheads="1"/>
                    </pic:cNvPicPr>
                  </pic:nvPicPr>
                  <pic:blipFill>
                    <a:blip r:embed="rId148"/>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507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45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459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Compensation Discussion and Analysis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171B9"/>
          <w:sz w:val="22"/>
        </w:rPr>
      </w:pPr>
      <w:r>
        <w:rPr>
          <w:rFonts w:ascii="arial" w:hAnsi="arial"/>
          <w:b/>
          <w:color w:val="0171B9"/>
          <w:sz w:val="22"/>
        </w:rPr>
        <w:t xml:space="preserve">2023 Company Performance Goals and Results </w:t>
      </w:r>
    </w:p>
    <w:p>
      <w:pPr>
        <w:pStyle w:val="TextBody"/>
        <w:bidi w:val="0"/>
        <w:spacing w:before="240" w:after="0"/>
        <w:jc w:val="both"/>
        <w:rPr>
          <w:rFonts w:ascii="arial" w:hAnsi="arial"/>
          <w:sz w:val="19"/>
        </w:rPr>
      </w:pPr>
      <w:r>
        <w:rPr>
          <w:rFonts w:ascii="arial" w:hAnsi="arial"/>
          <w:sz w:val="19"/>
        </w:rPr>
        <w:t xml:space="preserve">The table below sets forth the goals established, the weighting of each goal, and our actual performance for 2023. Payouts can range from 0% to a maximum of 225% of target annual cash incentive award opportunity for each metric and the final Company Performance Goals Score cannot exceed 225%. For additional discussion regarding our performance, please see “Aligning Pay With Performance” and “Implementation of Our Strategic Priorities.”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36"/>
        <w:gridCol w:w="174"/>
        <w:gridCol w:w="1995"/>
        <w:gridCol w:w="174"/>
        <w:gridCol w:w="1270"/>
        <w:gridCol w:w="174"/>
        <w:gridCol w:w="1030"/>
        <w:gridCol w:w="174"/>
        <w:gridCol w:w="1248"/>
        <w:gridCol w:w="174"/>
        <w:gridCol w:w="87"/>
        <w:gridCol w:w="1488"/>
        <w:gridCol w:w="81"/>
      </w:tblGrid>
      <w:tr>
        <w:trPr/>
        <w:tc>
          <w:tcPr>
            <w:tcW w:w="213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op w:val="single" w:sz="8" w:space="0" w:color="000000"/>
              <w:bottom w:val="single" w:sz="8" w:space="0" w:color="000000"/>
            </w:tcBorders>
            <w:shd w:fill="0171B9" w:val="clear"/>
            <w:tcMar>
              <w:top w:w="28" w:type="dxa"/>
              <w:bottom w:w="28" w:type="dxa"/>
            </w:tcMar>
            <w:vAlign w:val="center"/>
          </w:tcPr>
          <w:p>
            <w:pPr>
              <w:pStyle w:val="TableContents"/>
              <w:bidi w:val="0"/>
              <w:spacing w:lineRule="atLeast" w:line="240" w:before="0" w:after="0"/>
              <w:jc w:val="left"/>
              <w:rPr>
                <w:rFonts w:ascii="arial" w:hAnsi="arial"/>
                <w:b/>
                <w:color w:val="FFFFFF"/>
                <w:sz w:val="18"/>
              </w:rPr>
            </w:pPr>
            <w:r>
              <w:rPr>
                <w:rFonts w:ascii="arial" w:hAnsi="arial"/>
                <w:b/>
                <w:color w:val="FFFFFF"/>
                <w:sz w:val="18"/>
              </w:rPr>
              <w:t>Deliver Results (60% weighting)</w:t>
            </w:r>
          </w:p>
          <w:p>
            <w:pPr>
              <w:pStyle w:val="TableContents"/>
              <w:bidi w:val="0"/>
              <w:spacing w:before="0" w:after="20"/>
              <w:jc w:val="left"/>
              <w:rPr/>
            </w:pPr>
            <w:r>
              <w:rPr/>
              <w:t> </w:t>
            </w:r>
          </w:p>
        </w:tc>
        <w:tc>
          <w:tcPr>
            <w:tcW w:w="174" w:type="dxa"/>
            <w:tcBorders>
              <w:top w:val="single" w:sz="8" w:space="0" w:color="000000"/>
              <w:bottom w:val="single" w:sz="8" w:space="0" w:color="000000"/>
            </w:tcBorders>
            <w:shd w:fill="0171B9" w:val="clear"/>
            <w:tcMar>
              <w:top w:w="28" w:type="dxa"/>
              <w:bottom w:w="28" w:type="dxa"/>
            </w:tcMar>
            <w:vAlign w:val="center"/>
          </w:tcPr>
          <w:p>
            <w:pPr>
              <w:pStyle w:val="TableContents"/>
              <w:bidi w:val="0"/>
              <w:spacing w:before="0" w:after="283"/>
              <w:jc w:val="left"/>
              <w:rPr/>
            </w:pPr>
            <w:r>
              <w:rPr/>
              <w:t>  </w:t>
            </w:r>
          </w:p>
        </w:tc>
        <w:tc>
          <w:tcPr>
            <w:tcW w:w="5645" w:type="dxa"/>
            <w:gridSpan w:val="8"/>
            <w:tcBorders>
              <w:top w:val="single" w:sz="8" w:space="0" w:color="000000"/>
              <w:bottom w:val="single" w:sz="8" w:space="0" w:color="000000"/>
            </w:tcBorders>
            <w:shd w:fill="0171B9" w:val="clear"/>
            <w:tcMar>
              <w:top w:w="28" w:type="dxa"/>
              <w:bottom w:w="28" w:type="dxa"/>
            </w:tcMar>
            <w:vAlign w:val="center"/>
          </w:tcPr>
          <w:p>
            <w:pPr>
              <w:pStyle w:val="TableContents"/>
              <w:bidi w:val="0"/>
              <w:spacing w:before="0" w:after="0"/>
              <w:jc w:val="right"/>
              <w:rPr>
                <w:rFonts w:ascii="arial" w:hAnsi="arial"/>
                <w:b/>
                <w:color w:val="FFFFFF"/>
                <w:sz w:val="18"/>
              </w:rPr>
            </w:pPr>
            <w:r>
              <w:rPr>
                <w:rFonts w:ascii="arial" w:hAnsi="arial"/>
                <w:b/>
                <w:color w:val="FFFFFF"/>
                <w:sz w:val="18"/>
              </w:rPr>
              <w:t>Weighted Score Achieved 109.8%</w:t>
            </w:r>
          </w:p>
          <w:p>
            <w:pPr>
              <w:pStyle w:val="TableContents"/>
              <w:bidi w:val="0"/>
              <w:spacing w:before="0" w:after="20"/>
              <w:jc w:val="left"/>
              <w:rPr/>
            </w:pPr>
            <w:r>
              <w:rPr/>
              <w:t> </w:t>
            </w:r>
          </w:p>
        </w:tc>
        <w:tc>
          <w:tcPr>
            <w:tcW w:w="81" w:type="dxa"/>
            <w:tcBorders>
              <w:top w:val="single" w:sz="8" w:space="0" w:color="000000"/>
              <w:bottom w:val="single" w:sz="8" w:space="0" w:color="000000"/>
            </w:tcBorders>
            <w:shd w:fill="0171B9" w:val="clear"/>
            <w:tcMar>
              <w:top w:w="28" w:type="dxa"/>
              <w:bottom w:w="28" w:type="dxa"/>
            </w:tcMar>
            <w:vAlign w:val="center"/>
          </w:tcPr>
          <w:p>
            <w:pPr>
              <w:pStyle w:val="TableContents"/>
              <w:bidi w:val="0"/>
              <w:spacing w:before="0" w:after="0"/>
              <w:jc w:val="left"/>
              <w:rPr>
                <w:color w:val="FFFFFF"/>
              </w:rPr>
            </w:pPr>
            <w:r>
              <w:rPr>
                <w:color w:val="FFFFFF"/>
              </w:rPr>
              <w:t> </w:t>
            </w:r>
          </w:p>
        </w:tc>
      </w:tr>
      <w:tr>
        <w:trPr/>
        <w:tc>
          <w:tcPr>
            <w:tcW w:w="10124" w:type="dxa"/>
            <w:gridSpan w:val="12"/>
            <w:tcBorders>
              <w:bottom w:val="single" w:sz="8" w:space="0" w:color="000000"/>
            </w:tcBorders>
            <w:shd w:fill="CCE2F1" w:val="clear"/>
            <w:tcMar>
              <w:bottom w:w="40" w:type="dxa"/>
            </w:tcMar>
            <w:vAlign w:val="center"/>
          </w:tcPr>
          <w:p>
            <w:pPr>
              <w:pStyle w:val="TableContents"/>
              <w:bidi w:val="0"/>
              <w:spacing w:before="0" w:after="0"/>
              <w:jc w:val="left"/>
              <w:rPr>
                <w:rFonts w:ascii="arial" w:hAnsi="arial"/>
                <w:b/>
                <w:sz w:val="19"/>
              </w:rPr>
            </w:pPr>
            <w:r>
              <w:rPr>
                <w:rFonts w:ascii="arial" w:hAnsi="arial"/>
                <w:b/>
                <w:sz w:val="19"/>
              </w:rPr>
              <w:t>($ In Millions)</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both"/>
              <w:rPr>
                <w:rFonts w:ascii="arial" w:hAnsi="arial"/>
                <w:sz w:val="19"/>
              </w:rPr>
            </w:pPr>
            <w:r>
              <w:rPr>
                <w:rFonts w:ascii="arial" w:hAnsi="arial"/>
                <w:sz w:val="19"/>
              </w:rPr>
              <w:t>These goals are consistent with the fundamental importance of financial performance to us and our stockholders in both the near- and long-term, equally focused on top- and bottom-line growth, and assigned the largest percentage. No amounts can be earned for below-threshold performance for our financial metrics.</w:t>
            </w:r>
          </w:p>
          <w:p>
            <w:pPr>
              <w:pStyle w:val="TableContents"/>
              <w:bidi w:val="0"/>
              <w:spacing w:before="0" w:after="20"/>
              <w:jc w:val="left"/>
              <w:rPr/>
            </w:pPr>
            <w:r>
              <w:rPr/>
              <w:t> </w:t>
            </w:r>
          </w:p>
        </w:tc>
        <w:tc>
          <w:tcPr>
            <w:tcW w:w="81" w:type="dxa"/>
            <w:tcBorders>
              <w:bottom w:val="single" w:sz="8" w:space="0" w:color="000000"/>
            </w:tcBorders>
            <w:shd w:fill="CCE2F1" w:val="clear"/>
            <w:tcMar>
              <w:bottom w:w="40" w:type="dxa"/>
            </w:tcMar>
            <w:vAlign w:val="center"/>
          </w:tcPr>
          <w:p>
            <w:pPr>
              <w:pStyle w:val="TableContents"/>
              <w:bidi w:val="0"/>
              <w:spacing w:before="0" w:after="0"/>
              <w:jc w:val="left"/>
              <w:rPr/>
            </w:pPr>
            <w:r>
              <w:rPr/>
              <w:t> </w:t>
            </w:r>
          </w:p>
          <w:p>
            <w:pPr>
              <w:pStyle w:val="TableContents"/>
              <w:bidi w:val="0"/>
              <w:spacing w:before="0" w:after="0"/>
              <w:jc w:val="left"/>
              <w:rPr/>
            </w:pPr>
            <w:r>
              <w:rPr/>
              <w:t> </w:t>
            </w:r>
          </w:p>
        </w:tc>
      </w:tr>
      <w:tr>
        <w:trPr/>
        <w:tc>
          <w:tcPr>
            <w:tcW w:w="2136" w:type="dxa"/>
            <w:tcBorders/>
            <w:shd w:fill="CCE2F1" w:val="clear"/>
            <w:vAlign w:val="center"/>
          </w:tcPr>
          <w:p>
            <w:pPr>
              <w:pStyle w:val="TableContents"/>
              <w:bidi w:val="0"/>
              <w:spacing w:before="0" w:after="283"/>
              <w:jc w:val="left"/>
              <w:rPr>
                <w:sz w:val="4"/>
                <w:szCs w:val="4"/>
              </w:rPr>
            </w:pPr>
            <w:r>
              <w:rPr>
                <w:sz w:val="4"/>
                <w:szCs w:val="4"/>
              </w:rPr>
            </w:r>
          </w:p>
        </w:tc>
        <w:tc>
          <w:tcPr>
            <w:tcW w:w="2169" w:type="dxa"/>
            <w:gridSpan w:val="2"/>
            <w:tcBorders/>
            <w:shd w:fill="CCE2F1" w:val="clear"/>
            <w:vAlign w:val="center"/>
          </w:tcPr>
          <w:p>
            <w:pPr>
              <w:pStyle w:val="TableContents"/>
              <w:bidi w:val="0"/>
              <w:spacing w:before="0" w:after="283"/>
              <w:jc w:val="left"/>
              <w:rPr>
                <w:sz w:val="4"/>
                <w:szCs w:val="4"/>
              </w:rPr>
            </w:pPr>
            <w:r>
              <w:rPr>
                <w:sz w:val="4"/>
                <w:szCs w:val="4"/>
              </w:rPr>
            </w:r>
          </w:p>
        </w:tc>
        <w:tc>
          <w:tcPr>
            <w:tcW w:w="1444" w:type="dxa"/>
            <w:gridSpan w:val="2"/>
            <w:tcBorders/>
            <w:shd w:fill="CCE2F1" w:val="clear"/>
            <w:vAlign w:val="center"/>
          </w:tcPr>
          <w:p>
            <w:pPr>
              <w:pStyle w:val="TableContents"/>
              <w:bidi w:val="0"/>
              <w:spacing w:before="0" w:after="283"/>
              <w:jc w:val="left"/>
              <w:rPr>
                <w:sz w:val="4"/>
                <w:szCs w:val="4"/>
              </w:rPr>
            </w:pPr>
            <w:r>
              <w:rPr>
                <w:sz w:val="4"/>
                <w:szCs w:val="4"/>
              </w:rPr>
            </w:r>
          </w:p>
        </w:tc>
        <w:tc>
          <w:tcPr>
            <w:tcW w:w="1204" w:type="dxa"/>
            <w:gridSpan w:val="2"/>
            <w:tcBorders/>
            <w:shd w:fill="CCE2F1" w:val="clear"/>
            <w:vAlign w:val="center"/>
          </w:tcPr>
          <w:p>
            <w:pPr>
              <w:pStyle w:val="TableContents"/>
              <w:bidi w:val="0"/>
              <w:spacing w:before="0" w:after="283"/>
              <w:jc w:val="left"/>
              <w:rPr>
                <w:sz w:val="4"/>
                <w:szCs w:val="4"/>
              </w:rPr>
            </w:pPr>
            <w:r>
              <w:rPr>
                <w:sz w:val="4"/>
                <w:szCs w:val="4"/>
              </w:rPr>
            </w:r>
          </w:p>
        </w:tc>
        <w:tc>
          <w:tcPr>
            <w:tcW w:w="1422" w:type="dxa"/>
            <w:gridSpan w:val="2"/>
            <w:tcBorders/>
            <w:shd w:fill="CCE2F1" w:val="clear"/>
            <w:vAlign w:val="center"/>
          </w:tcPr>
          <w:p>
            <w:pPr>
              <w:pStyle w:val="TableContents"/>
              <w:bidi w:val="0"/>
              <w:spacing w:before="0" w:after="283"/>
              <w:jc w:val="left"/>
              <w:rPr>
                <w:sz w:val="4"/>
                <w:szCs w:val="4"/>
              </w:rPr>
            </w:pPr>
            <w:r>
              <w:rPr>
                <w:sz w:val="4"/>
                <w:szCs w:val="4"/>
              </w:rPr>
            </w:r>
          </w:p>
        </w:tc>
        <w:tc>
          <w:tcPr>
            <w:tcW w:w="1830"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2136" w:type="dxa"/>
            <w:tcBorders>
              <w:bottom w:val="single" w:sz="8" w:space="0" w:color="000000"/>
            </w:tcBorders>
            <w:shd w:fill="CCE2F1" w:val="clear"/>
            <w:tcMar>
              <w:bottom w:w="28" w:type="dxa"/>
            </w:tcMar>
            <w:vAlign w:val="center"/>
          </w:tcPr>
          <w:p>
            <w:pPr>
              <w:pStyle w:val="TableContents"/>
              <w:bidi w:val="0"/>
              <w:spacing w:lineRule="atLeast" w:line="240" w:before="0" w:after="0"/>
              <w:jc w:val="left"/>
              <w:rPr>
                <w:rFonts w:ascii="arial" w:hAnsi="arial"/>
                <w:b/>
                <w:sz w:val="18"/>
              </w:rPr>
            </w:pPr>
            <w:r>
              <w:rPr>
                <w:rFonts w:ascii="arial" w:hAnsi="arial"/>
                <w:b/>
                <w:sz w:val="18"/>
              </w:rPr>
              <w:t>Goals</w:t>
            </w:r>
          </w:p>
          <w:p>
            <w:pPr>
              <w:pStyle w:val="TableContents"/>
              <w:bidi w:val="0"/>
              <w:spacing w:before="0" w:after="20"/>
              <w:jc w:val="left"/>
              <w:rPr/>
            </w:pPr>
            <w:r>
              <w:rPr/>
              <w:t> </w:t>
            </w:r>
          </w:p>
        </w:tc>
        <w:tc>
          <w:tcPr>
            <w:tcW w:w="174" w:type="dxa"/>
            <w:tcBorders>
              <w:bottom w:val="single" w:sz="8" w:space="0" w:color="000000"/>
            </w:tcBorders>
            <w:shd w:fill="CCE2F1" w:val="clear"/>
            <w:tcMar>
              <w:bottom w:w="28" w:type="dxa"/>
            </w:tcMar>
            <w:vAlign w:val="center"/>
          </w:tcPr>
          <w:p>
            <w:pPr>
              <w:pStyle w:val="TableContents"/>
              <w:bidi w:val="0"/>
              <w:spacing w:before="0" w:after="283"/>
              <w:jc w:val="left"/>
              <w:rPr/>
            </w:pPr>
            <w:r>
              <w:rPr/>
              <w:t>  </w:t>
            </w:r>
          </w:p>
        </w:tc>
        <w:tc>
          <w:tcPr>
            <w:tcW w:w="1995" w:type="dxa"/>
            <w:tcBorders>
              <w:bottom w:val="single" w:sz="8" w:space="0" w:color="000000"/>
            </w:tcBorders>
            <w:shd w:fill="CCE2F1" w:val="clear"/>
            <w:tcMar>
              <w:bottom w:w="28" w:type="dxa"/>
            </w:tcMar>
            <w:vAlign w:val="center"/>
          </w:tcPr>
          <w:p>
            <w:pPr>
              <w:pStyle w:val="TableContents"/>
              <w:bidi w:val="0"/>
              <w:spacing w:lineRule="atLeast" w:line="240" w:before="0" w:after="0"/>
              <w:jc w:val="right"/>
              <w:rPr>
                <w:rFonts w:ascii="arial" w:hAnsi="arial"/>
                <w:b/>
                <w:sz w:val="18"/>
              </w:rPr>
            </w:pPr>
            <w:r>
              <w:rPr>
                <w:rFonts w:ascii="arial" w:hAnsi="arial"/>
                <w:b/>
                <w:sz w:val="18"/>
              </w:rPr>
              <w:t>Weighting</w:t>
            </w:r>
          </w:p>
        </w:tc>
        <w:tc>
          <w:tcPr>
            <w:tcW w:w="174" w:type="dxa"/>
            <w:tcBorders>
              <w:bottom w:val="single" w:sz="8" w:space="0" w:color="000000"/>
            </w:tcBorders>
            <w:shd w:fill="CCE2F1" w:val="clear"/>
            <w:tcMar>
              <w:bottom w:w="28" w:type="dxa"/>
            </w:tcMar>
            <w:vAlign w:val="center"/>
          </w:tcPr>
          <w:p>
            <w:pPr>
              <w:pStyle w:val="TableContents"/>
              <w:bidi w:val="0"/>
              <w:spacing w:before="0" w:after="283"/>
              <w:jc w:val="left"/>
              <w:rPr/>
            </w:pPr>
            <w:r>
              <w:rPr/>
              <w:t>  </w:t>
            </w:r>
          </w:p>
        </w:tc>
        <w:tc>
          <w:tcPr>
            <w:tcW w:w="1270" w:type="dxa"/>
            <w:tcBorders>
              <w:bottom w:val="single" w:sz="8" w:space="0" w:color="000000"/>
            </w:tcBorders>
            <w:shd w:fill="CCE2F1" w:val="clear"/>
            <w:tcMar>
              <w:bottom w:w="28" w:type="dxa"/>
            </w:tcMar>
            <w:vAlign w:val="center"/>
          </w:tcPr>
          <w:p>
            <w:pPr>
              <w:pStyle w:val="TableContents"/>
              <w:bidi w:val="0"/>
              <w:spacing w:lineRule="atLeast" w:line="240" w:before="0" w:after="0"/>
              <w:jc w:val="right"/>
              <w:rPr>
                <w:rFonts w:ascii="arial" w:hAnsi="arial"/>
                <w:b/>
                <w:sz w:val="18"/>
              </w:rPr>
            </w:pPr>
            <w:r>
              <w:rPr>
                <w:rFonts w:ascii="arial" w:hAnsi="arial"/>
                <w:b/>
                <w:sz w:val="18"/>
              </w:rPr>
              <w:t>Threshold</w:t>
            </w:r>
          </w:p>
          <w:p>
            <w:pPr>
              <w:pStyle w:val="TableContents"/>
              <w:bidi w:val="0"/>
              <w:spacing w:before="0" w:after="0"/>
              <w:jc w:val="left"/>
              <w:rPr/>
            </w:pPr>
            <w:r>
              <w:rPr/>
              <w:t> </w:t>
            </w:r>
          </w:p>
          <w:p>
            <w:pPr>
              <w:pStyle w:val="TableContents"/>
              <w:bidi w:val="0"/>
              <w:spacing w:lineRule="atLeast" w:line="240" w:before="0" w:after="20"/>
              <w:jc w:val="right"/>
              <w:rPr>
                <w:rFonts w:ascii="arial" w:hAnsi="arial"/>
                <w:b/>
                <w:sz w:val="18"/>
              </w:rPr>
            </w:pPr>
            <w:r>
              <w:rPr>
                <w:rFonts w:ascii="arial" w:hAnsi="arial"/>
                <w:b/>
                <w:sz w:val="18"/>
              </w:rPr>
              <w:t>(0%)</w:t>
            </w:r>
          </w:p>
        </w:tc>
        <w:tc>
          <w:tcPr>
            <w:tcW w:w="174" w:type="dxa"/>
            <w:tcBorders>
              <w:bottom w:val="single" w:sz="8" w:space="0" w:color="000000"/>
            </w:tcBorders>
            <w:shd w:fill="CCE2F1" w:val="clear"/>
            <w:tcMar>
              <w:bottom w:w="28" w:type="dxa"/>
            </w:tcMar>
            <w:vAlign w:val="center"/>
          </w:tcPr>
          <w:p>
            <w:pPr>
              <w:pStyle w:val="TableContents"/>
              <w:bidi w:val="0"/>
              <w:spacing w:before="0" w:after="283"/>
              <w:jc w:val="left"/>
              <w:rPr/>
            </w:pPr>
            <w:r>
              <w:rPr/>
              <w:t>  </w:t>
            </w:r>
          </w:p>
        </w:tc>
        <w:tc>
          <w:tcPr>
            <w:tcW w:w="1030" w:type="dxa"/>
            <w:tcBorders>
              <w:bottom w:val="single" w:sz="8" w:space="0" w:color="000000"/>
            </w:tcBorders>
            <w:shd w:fill="CCE2F1" w:val="clear"/>
            <w:tcMar>
              <w:bottom w:w="28" w:type="dxa"/>
            </w:tcMar>
            <w:vAlign w:val="center"/>
          </w:tcPr>
          <w:p>
            <w:pPr>
              <w:pStyle w:val="TableContents"/>
              <w:bidi w:val="0"/>
              <w:spacing w:lineRule="atLeast" w:line="240" w:before="0" w:after="0"/>
              <w:jc w:val="right"/>
              <w:rPr>
                <w:rFonts w:ascii="arial" w:hAnsi="arial"/>
                <w:b/>
                <w:sz w:val="18"/>
              </w:rPr>
            </w:pPr>
            <w:r>
              <w:rPr>
                <w:rFonts w:ascii="arial" w:hAnsi="arial"/>
                <w:b/>
                <w:sz w:val="18"/>
              </w:rPr>
              <w:t>Target</w:t>
            </w:r>
          </w:p>
          <w:p>
            <w:pPr>
              <w:pStyle w:val="TableContents"/>
              <w:bidi w:val="0"/>
              <w:spacing w:before="0" w:after="0"/>
              <w:jc w:val="left"/>
              <w:rPr/>
            </w:pPr>
            <w:r>
              <w:rPr/>
              <w:t> </w:t>
            </w:r>
          </w:p>
          <w:p>
            <w:pPr>
              <w:pStyle w:val="TableContents"/>
              <w:bidi w:val="0"/>
              <w:spacing w:lineRule="atLeast" w:line="240" w:before="0" w:after="20"/>
              <w:jc w:val="right"/>
              <w:rPr>
                <w:rFonts w:ascii="arial" w:hAnsi="arial"/>
                <w:b/>
                <w:sz w:val="18"/>
              </w:rPr>
            </w:pPr>
            <w:r>
              <w:rPr>
                <w:rFonts w:ascii="arial" w:hAnsi="arial"/>
                <w:b/>
                <w:sz w:val="18"/>
              </w:rPr>
              <w:t>(100%)</w:t>
            </w:r>
          </w:p>
        </w:tc>
        <w:tc>
          <w:tcPr>
            <w:tcW w:w="174" w:type="dxa"/>
            <w:tcBorders>
              <w:bottom w:val="single" w:sz="8" w:space="0" w:color="000000"/>
            </w:tcBorders>
            <w:shd w:fill="CCE2F1" w:val="clear"/>
            <w:tcMar>
              <w:bottom w:w="28" w:type="dxa"/>
            </w:tcMar>
            <w:vAlign w:val="center"/>
          </w:tcPr>
          <w:p>
            <w:pPr>
              <w:pStyle w:val="TableContents"/>
              <w:bidi w:val="0"/>
              <w:spacing w:before="0" w:after="283"/>
              <w:jc w:val="left"/>
              <w:rPr/>
            </w:pPr>
            <w:r>
              <w:rPr/>
              <w:t>  </w:t>
            </w:r>
          </w:p>
        </w:tc>
        <w:tc>
          <w:tcPr>
            <w:tcW w:w="1248" w:type="dxa"/>
            <w:tcBorders>
              <w:bottom w:val="single" w:sz="8" w:space="0" w:color="000000"/>
            </w:tcBorders>
            <w:shd w:fill="CCE2F1" w:val="clear"/>
            <w:tcMar>
              <w:bottom w:w="28" w:type="dxa"/>
            </w:tcMar>
            <w:vAlign w:val="center"/>
          </w:tcPr>
          <w:p>
            <w:pPr>
              <w:pStyle w:val="TableContents"/>
              <w:bidi w:val="0"/>
              <w:spacing w:lineRule="atLeast" w:line="240" w:before="0" w:after="0"/>
              <w:jc w:val="right"/>
              <w:rPr>
                <w:rFonts w:ascii="arial" w:hAnsi="arial"/>
                <w:b/>
                <w:sz w:val="18"/>
              </w:rPr>
            </w:pPr>
            <w:r>
              <w:rPr>
                <w:rFonts w:ascii="arial" w:hAnsi="arial"/>
                <w:b/>
                <w:sz w:val="18"/>
              </w:rPr>
              <w:t>Maximum</w:t>
            </w:r>
          </w:p>
          <w:p>
            <w:pPr>
              <w:pStyle w:val="TableContents"/>
              <w:bidi w:val="0"/>
              <w:spacing w:before="0" w:after="0"/>
              <w:jc w:val="left"/>
              <w:rPr/>
            </w:pPr>
            <w:r>
              <w:rPr/>
              <w:t> </w:t>
            </w:r>
          </w:p>
          <w:p>
            <w:pPr>
              <w:pStyle w:val="TableContents"/>
              <w:bidi w:val="0"/>
              <w:spacing w:lineRule="atLeast" w:line="240" w:before="0" w:after="20"/>
              <w:jc w:val="right"/>
              <w:rPr>
                <w:rFonts w:ascii="arial" w:hAnsi="arial"/>
                <w:b/>
                <w:sz w:val="18"/>
              </w:rPr>
            </w:pPr>
            <w:r>
              <w:rPr>
                <w:rFonts w:ascii="arial" w:hAnsi="arial"/>
                <w:b/>
                <w:sz w:val="18"/>
              </w:rPr>
              <w:t>(225%)</w:t>
            </w:r>
          </w:p>
        </w:tc>
        <w:tc>
          <w:tcPr>
            <w:tcW w:w="174" w:type="dxa"/>
            <w:tcBorders>
              <w:bottom w:val="single" w:sz="8" w:space="0" w:color="000000"/>
            </w:tcBorders>
            <w:shd w:fill="CCE2F1" w:val="clear"/>
            <w:tcMar>
              <w:bottom w:w="28" w:type="dxa"/>
            </w:tcMar>
            <w:vAlign w:val="center"/>
          </w:tcPr>
          <w:p>
            <w:pPr>
              <w:pStyle w:val="TableContents"/>
              <w:bidi w:val="0"/>
              <w:spacing w:before="0" w:after="283"/>
              <w:jc w:val="left"/>
              <w:rPr/>
            </w:pPr>
            <w:r>
              <w:rPr/>
              <w:t>  </w:t>
            </w:r>
          </w:p>
        </w:tc>
        <w:tc>
          <w:tcPr>
            <w:tcW w:w="87" w:type="dxa"/>
            <w:tcBorders>
              <w:bottom w:val="single" w:sz="8" w:space="0" w:color="000000"/>
            </w:tcBorders>
            <w:shd w:fill="CCE2F1" w:val="clear"/>
            <w:tcMar>
              <w:bottom w:w="28" w:type="dxa"/>
            </w:tcMar>
            <w:vAlign w:val="center"/>
          </w:tcPr>
          <w:p>
            <w:pPr>
              <w:pStyle w:val="TableContents"/>
              <w:bidi w:val="0"/>
              <w:spacing w:lineRule="atLeast" w:line="240" w:before="0" w:after="0"/>
              <w:jc w:val="left"/>
              <w:rPr/>
            </w:pPr>
            <w:r>
              <w:rPr/>
              <w:t> </w:t>
            </w:r>
          </w:p>
        </w:tc>
        <w:tc>
          <w:tcPr>
            <w:tcW w:w="1488" w:type="dxa"/>
            <w:tcBorders>
              <w:bottom w:val="single" w:sz="8" w:space="0" w:color="000000"/>
            </w:tcBorders>
            <w:shd w:fill="CCE2F1" w:val="clear"/>
            <w:tcMar>
              <w:bottom w:w="28" w:type="dxa"/>
            </w:tcMar>
            <w:vAlign w:val="center"/>
          </w:tcPr>
          <w:p>
            <w:pPr>
              <w:pStyle w:val="TableContents"/>
              <w:bidi w:val="0"/>
              <w:spacing w:lineRule="atLeast" w:line="240" w:before="0" w:after="0"/>
              <w:jc w:val="right"/>
              <w:rPr/>
            </w:pPr>
            <w:r>
              <w:rPr/>
              <w:t>  </w:t>
            </w:r>
            <w:r>
              <w:rPr>
                <w:rFonts w:ascii="arial" w:hAnsi="arial"/>
                <w:b/>
                <w:sz w:val="18"/>
              </w:rPr>
              <w:t>Achieved</w:t>
            </w:r>
          </w:p>
        </w:tc>
        <w:tc>
          <w:tcPr>
            <w:tcW w:w="81" w:type="dxa"/>
            <w:tcBorders>
              <w:bottom w:val="single" w:sz="8" w:space="0" w:color="000000"/>
            </w:tcBorders>
            <w:shd w:fill="CCE2F1" w:val="clear"/>
            <w:tcMar>
              <w:bottom w:w="28" w:type="dxa"/>
            </w:tcMar>
            <w:vAlign w:val="center"/>
          </w:tcPr>
          <w:p>
            <w:pPr>
              <w:pStyle w:val="TableContents"/>
              <w:bidi w:val="0"/>
              <w:spacing w:lineRule="atLeast" w:line="240" w:before="0" w:after="0"/>
              <w:jc w:val="left"/>
              <w:rPr/>
            </w:pPr>
            <w:r>
              <w:rPr/>
              <w:t> </w:t>
            </w:r>
          </w:p>
        </w:tc>
      </w:tr>
      <w:tr>
        <w:trPr/>
        <w:tc>
          <w:tcPr>
            <w:tcW w:w="2136" w:type="dxa"/>
            <w:tcBorders/>
            <w:vAlign w:val="center"/>
          </w:tcPr>
          <w:p>
            <w:pPr>
              <w:pStyle w:val="TableContents"/>
              <w:bidi w:val="0"/>
              <w:spacing w:before="0" w:after="0"/>
              <w:jc w:val="left"/>
              <w:rPr>
                <w:rFonts w:ascii="arial" w:hAnsi="arial"/>
                <w:b/>
                <w:i/>
                <w:color w:val="0171B9"/>
                <w:sz w:val="18"/>
              </w:rPr>
            </w:pPr>
            <w:r>
              <w:rPr>
                <w:rFonts w:ascii="arial" w:hAnsi="arial"/>
                <w:b/>
                <w:i/>
                <w:color w:val="0171B9"/>
                <w:sz w:val="18"/>
              </w:rPr>
              <w:t>Revenues</w:t>
            </w:r>
          </w:p>
        </w:tc>
        <w:tc>
          <w:tcPr>
            <w:tcW w:w="174" w:type="dxa"/>
            <w:tcBorders/>
            <w:vAlign w:val="center"/>
          </w:tcPr>
          <w:p>
            <w:pPr>
              <w:pStyle w:val="TableContents"/>
              <w:bidi w:val="0"/>
              <w:spacing w:before="0" w:after="283"/>
              <w:jc w:val="left"/>
              <w:rPr/>
            </w:pPr>
            <w:r>
              <w:rPr/>
              <w:t>  </w:t>
            </w:r>
          </w:p>
        </w:tc>
        <w:tc>
          <w:tcPr>
            <w:tcW w:w="1995"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sz w:val="19"/>
              </w:rPr>
            </w:pPr>
            <w:r>
              <w:rPr>
                <w:rFonts w:ascii="arial" w:hAnsi="arial"/>
                <w:sz w:val="19"/>
              </w:rPr>
              <w:t>30%</w:t>
            </w:r>
          </w:p>
        </w:tc>
        <w:tc>
          <w:tcPr>
            <w:tcW w:w="174" w:type="dxa"/>
            <w:tcBorders/>
            <w:vAlign w:val="center"/>
          </w:tcPr>
          <w:p>
            <w:pPr>
              <w:pStyle w:val="TableContents"/>
              <w:bidi w:val="0"/>
              <w:spacing w:before="0" w:after="283"/>
              <w:jc w:val="left"/>
              <w:rPr/>
            </w:pPr>
            <w:r>
              <w:rPr/>
              <w:t>  </w:t>
            </w:r>
          </w:p>
        </w:tc>
        <w:tc>
          <w:tcPr>
            <w:tcW w:w="1270"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sz w:val="19"/>
              </w:rPr>
            </w:pPr>
            <w:r>
              <w:rPr>
                <w:rFonts w:ascii="arial" w:hAnsi="arial"/>
                <w:sz w:val="19"/>
              </w:rPr>
              <w:t>$24,629</w:t>
            </w:r>
          </w:p>
        </w:tc>
        <w:tc>
          <w:tcPr>
            <w:tcW w:w="174"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sz w:val="19"/>
              </w:rPr>
            </w:pPr>
            <w:r>
              <w:rPr>
                <w:rFonts w:ascii="arial" w:hAnsi="arial"/>
                <w:sz w:val="19"/>
              </w:rPr>
              <w:t>$26,483</w:t>
            </w:r>
          </w:p>
        </w:tc>
        <w:tc>
          <w:tcPr>
            <w:tcW w:w="174" w:type="dxa"/>
            <w:tcBorders/>
            <w:vAlign w:val="center"/>
          </w:tcPr>
          <w:p>
            <w:pPr>
              <w:pStyle w:val="TableContents"/>
              <w:bidi w:val="0"/>
              <w:spacing w:before="0" w:after="283"/>
              <w:jc w:val="left"/>
              <w:rPr/>
            </w:pPr>
            <w:r>
              <w:rPr/>
              <w:t>  </w:t>
            </w:r>
          </w:p>
        </w:tc>
        <w:tc>
          <w:tcPr>
            <w:tcW w:w="1248"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sz w:val="19"/>
              </w:rPr>
            </w:pPr>
            <w:r>
              <w:rPr>
                <w:rFonts w:ascii="arial" w:hAnsi="arial"/>
                <w:sz w:val="19"/>
              </w:rPr>
              <w:t>$28,337</w:t>
            </w:r>
          </w:p>
        </w:tc>
        <w:tc>
          <w:tcPr>
            <w:tcW w:w="174"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tc>
        <w:tc>
          <w:tcPr>
            <w:tcW w:w="1488" w:type="dxa"/>
            <w:tcBorders/>
            <w:vAlign w:val="center"/>
          </w:tcPr>
          <w:p>
            <w:pPr>
              <w:pStyle w:val="TableContents"/>
              <w:bidi w:val="0"/>
              <w:spacing w:before="0" w:after="0"/>
              <w:jc w:val="left"/>
              <w:rPr/>
            </w:pPr>
            <w:r>
              <w:rPr/>
              <w:t> </w:t>
            </w:r>
          </w:p>
          <w:p>
            <w:pPr>
              <w:pStyle w:val="TableContents"/>
              <w:bidi w:val="0"/>
              <w:spacing w:before="0" w:after="0"/>
              <w:jc w:val="right"/>
              <w:rPr>
                <w:rFonts w:ascii="arial" w:hAnsi="arial"/>
                <w:sz w:val="19"/>
              </w:rPr>
            </w:pPr>
            <w:r>
              <w:rPr>
                <w:rFonts w:ascii="arial" w:hAnsi="arial"/>
                <w:sz w:val="19"/>
              </w:rPr>
              <w:t>$28,190</w:t>
            </w:r>
          </w:p>
          <w:p>
            <w:pPr>
              <w:pStyle w:val="TableContents"/>
              <w:bidi w:val="0"/>
              <w:spacing w:before="0" w:after="0"/>
              <w:jc w:val="left"/>
              <w:rPr/>
            </w:pPr>
            <w:r>
              <w:rPr/>
              <w:t> </w:t>
            </w:r>
          </w:p>
          <w:p>
            <w:pPr>
              <w:pStyle w:val="TableContents"/>
              <w:bidi w:val="0"/>
              <w:spacing w:before="0" w:after="20"/>
              <w:jc w:val="right"/>
              <w:rPr>
                <w:rFonts w:ascii="arial" w:hAnsi="arial"/>
                <w:color w:val="0171B9"/>
                <w:sz w:val="19"/>
              </w:rPr>
            </w:pPr>
            <w:r>
              <w:rPr>
                <w:rFonts w:ascii="arial" w:hAnsi="arial"/>
                <w:color w:val="0171B9"/>
                <w:sz w:val="19"/>
              </w:rPr>
              <w:t>213.7%</w:t>
            </w:r>
          </w:p>
        </w:tc>
        <w:tc>
          <w:tcPr>
            <w:tcW w:w="81"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color w:val="0171B9"/>
              </w:rPr>
            </w:pPr>
            <w:r>
              <w:rPr>
                <w:color w:val="0171B9"/>
              </w:rPr>
              <w:t> </w:t>
            </w:r>
          </w:p>
        </w:tc>
      </w:tr>
      <w:tr>
        <w:trPr/>
        <w:tc>
          <w:tcPr>
            <w:tcW w:w="10124" w:type="dxa"/>
            <w:gridSpan w:val="12"/>
            <w:tcBorders/>
            <w:vAlign w:val="center"/>
          </w:tcPr>
          <w:p>
            <w:pPr>
              <w:pStyle w:val="TableContents"/>
              <w:bidi w:val="0"/>
              <w:spacing w:before="0" w:after="0"/>
              <w:jc w:val="left"/>
              <w:rPr/>
            </w:pPr>
            <w:r>
              <w:rPr/>
              <w:t> </w:t>
            </w:r>
          </w:p>
          <w:p>
            <w:pPr>
              <w:pStyle w:val="TableContents"/>
              <w:bidi w:val="0"/>
              <w:spacing w:before="0" w:after="0"/>
              <w:jc w:val="both"/>
              <w:rPr>
                <w:rFonts w:ascii="arial" w:hAnsi="arial"/>
                <w:sz w:val="19"/>
              </w:rPr>
            </w:pPr>
            <w:r>
              <w:rPr>
                <w:rFonts w:ascii="arial" w:hAnsi="arial"/>
                <w:sz w:val="19"/>
              </w:rPr>
              <w:t>Our revenue goal target was derived from the midpoint of our initial January 2023 revenue guidance (between $26.0 and $27.2 billion) and above our 2022 revenues ($26.3 billion). As a result of the focus of and execution by our executive leaders and the efforts of our entire Company, including the contributions from our new rare disease therapeutic area, our financial performance exceeded targets.</w:t>
            </w:r>
          </w:p>
          <w:p>
            <w:pPr>
              <w:pStyle w:val="TableContents"/>
              <w:bidi w:val="0"/>
              <w:spacing w:before="0" w:after="20"/>
              <w:jc w:val="left"/>
              <w:rPr/>
            </w:pPr>
            <w:r>
              <w:rPr/>
              <w:t> </w:t>
            </w:r>
          </w:p>
        </w:tc>
        <w:tc>
          <w:tcPr>
            <w:tcW w:w="81" w:type="dxa"/>
            <w:tcBorders/>
            <w:vAlign w:val="center"/>
          </w:tcPr>
          <w:p>
            <w:pPr>
              <w:pStyle w:val="TableContents"/>
              <w:bidi w:val="0"/>
              <w:spacing w:before="0" w:after="283"/>
              <w:jc w:val="left"/>
              <w:rPr>
                <w:sz w:val="4"/>
                <w:szCs w:val="4"/>
              </w:rPr>
            </w:pPr>
            <w:r>
              <w:rPr>
                <w:sz w:val="4"/>
                <w:szCs w:val="4"/>
              </w:rPr>
            </w:r>
          </w:p>
        </w:tc>
      </w:tr>
      <w:tr>
        <w:trPr/>
        <w:tc>
          <w:tcPr>
            <w:tcW w:w="2136" w:type="dxa"/>
            <w:tcBorders>
              <w:top w:val="single" w:sz="8" w:space="0" w:color="000000"/>
            </w:tcBorders>
            <w:tcMar>
              <w:top w:w="28" w:type="dxa"/>
            </w:tcMar>
            <w:vAlign w:val="center"/>
          </w:tcPr>
          <w:p>
            <w:pPr>
              <w:pStyle w:val="TableContents"/>
              <w:bidi w:val="0"/>
              <w:spacing w:before="0" w:after="283"/>
              <w:jc w:val="left"/>
              <w:rPr/>
            </w:pPr>
            <w:r>
              <w:rPr/>
              <w:t> </w:t>
            </w:r>
          </w:p>
        </w:tc>
        <w:tc>
          <w:tcPr>
            <w:tcW w:w="2169" w:type="dxa"/>
            <w:gridSpan w:val="2"/>
            <w:tcBorders>
              <w:top w:val="single" w:sz="8" w:space="0" w:color="000000"/>
            </w:tcBorders>
            <w:tcMar>
              <w:top w:w="28" w:type="dxa"/>
            </w:tcMar>
            <w:vAlign w:val="center"/>
          </w:tcPr>
          <w:p>
            <w:pPr>
              <w:pStyle w:val="TableContents"/>
              <w:bidi w:val="0"/>
              <w:spacing w:before="0" w:after="283"/>
              <w:jc w:val="left"/>
              <w:rPr/>
            </w:pPr>
            <w:r>
              <w:rPr/>
              <w:t> </w:t>
            </w:r>
          </w:p>
        </w:tc>
        <w:tc>
          <w:tcPr>
            <w:tcW w:w="1444" w:type="dxa"/>
            <w:gridSpan w:val="2"/>
            <w:tcBorders>
              <w:top w:val="single" w:sz="8" w:space="0" w:color="000000"/>
            </w:tcBorders>
            <w:tcMar>
              <w:top w:w="28" w:type="dxa"/>
            </w:tcMar>
            <w:vAlign w:val="center"/>
          </w:tcPr>
          <w:p>
            <w:pPr>
              <w:pStyle w:val="TableContents"/>
              <w:bidi w:val="0"/>
              <w:spacing w:before="0" w:after="283"/>
              <w:jc w:val="left"/>
              <w:rPr/>
            </w:pPr>
            <w:r>
              <w:rPr/>
              <w:t> </w:t>
            </w:r>
          </w:p>
        </w:tc>
        <w:tc>
          <w:tcPr>
            <w:tcW w:w="1204" w:type="dxa"/>
            <w:gridSpan w:val="2"/>
            <w:tcBorders>
              <w:top w:val="single" w:sz="8" w:space="0" w:color="000000"/>
            </w:tcBorders>
            <w:tcMar>
              <w:top w:w="28" w:type="dxa"/>
            </w:tcMar>
            <w:vAlign w:val="center"/>
          </w:tcPr>
          <w:p>
            <w:pPr>
              <w:pStyle w:val="TableContents"/>
              <w:bidi w:val="0"/>
              <w:spacing w:before="0" w:after="283"/>
              <w:jc w:val="left"/>
              <w:rPr/>
            </w:pPr>
            <w:r>
              <w:rPr/>
              <w:t> </w:t>
            </w:r>
          </w:p>
        </w:tc>
        <w:tc>
          <w:tcPr>
            <w:tcW w:w="1422" w:type="dxa"/>
            <w:gridSpan w:val="2"/>
            <w:tcBorders>
              <w:top w:val="single" w:sz="8" w:space="0" w:color="000000"/>
            </w:tcBorders>
            <w:tcMar>
              <w:top w:w="28" w:type="dxa"/>
            </w:tcMar>
            <w:vAlign w:val="center"/>
          </w:tcPr>
          <w:p>
            <w:pPr>
              <w:pStyle w:val="TableContents"/>
              <w:bidi w:val="0"/>
              <w:spacing w:before="0" w:after="283"/>
              <w:jc w:val="left"/>
              <w:rPr/>
            </w:pPr>
            <w:r>
              <w:rPr/>
              <w:t> </w:t>
            </w:r>
          </w:p>
        </w:tc>
        <w:tc>
          <w:tcPr>
            <w:tcW w:w="1830" w:type="dxa"/>
            <w:gridSpan w:val="4"/>
            <w:tcBorders>
              <w:top w:val="single" w:sz="8" w:space="0" w:color="000000"/>
            </w:tcBorders>
            <w:tcMar>
              <w:top w:w="28" w:type="dxa"/>
            </w:tcMar>
            <w:vAlign w:val="center"/>
          </w:tcPr>
          <w:p>
            <w:pPr>
              <w:pStyle w:val="TableContents"/>
              <w:bidi w:val="0"/>
              <w:spacing w:before="0" w:after="283"/>
              <w:jc w:val="left"/>
              <w:rPr/>
            </w:pPr>
            <w:r>
              <w:rPr/>
              <w:t> </w:t>
            </w:r>
          </w:p>
        </w:tc>
      </w:tr>
      <w:tr>
        <w:trPr/>
        <w:tc>
          <w:tcPr>
            <w:tcW w:w="2136" w:type="dxa"/>
            <w:tcBorders/>
            <w:vAlign w:val="center"/>
          </w:tcPr>
          <w:p>
            <w:pPr>
              <w:pStyle w:val="TableContents"/>
              <w:bidi w:val="0"/>
              <w:spacing w:before="0" w:after="0"/>
              <w:jc w:val="left"/>
              <w:rPr>
                <w:rFonts w:ascii="arial" w:hAnsi="arial"/>
                <w:b/>
                <w:i/>
                <w:color w:val="0171B9"/>
                <w:sz w:val="18"/>
              </w:rPr>
            </w:pPr>
            <w:r>
              <w:rPr>
                <w:rFonts w:ascii="arial" w:hAnsi="arial"/>
                <w:b/>
                <w:i/>
                <w:color w:val="0171B9"/>
                <w:sz w:val="18"/>
              </w:rPr>
              <w:t>Non-GAAP Net Income(1)</w:t>
            </w:r>
          </w:p>
        </w:tc>
        <w:tc>
          <w:tcPr>
            <w:tcW w:w="174" w:type="dxa"/>
            <w:tcBorders/>
            <w:vAlign w:val="center"/>
          </w:tcPr>
          <w:p>
            <w:pPr>
              <w:pStyle w:val="TableContents"/>
              <w:bidi w:val="0"/>
              <w:spacing w:before="0" w:after="283"/>
              <w:jc w:val="left"/>
              <w:rPr/>
            </w:pPr>
            <w:r>
              <w:rPr/>
              <w:t>  </w:t>
            </w:r>
          </w:p>
        </w:tc>
        <w:tc>
          <w:tcPr>
            <w:tcW w:w="1995" w:type="dxa"/>
            <w:tcBorders/>
            <w:vAlign w:val="center"/>
          </w:tcPr>
          <w:p>
            <w:pPr>
              <w:pStyle w:val="TableContents"/>
              <w:bidi w:val="0"/>
              <w:spacing w:before="0" w:after="283"/>
              <w:jc w:val="right"/>
              <w:rPr/>
            </w:pPr>
            <w:r>
              <w:rPr/>
              <w:t>      </w:t>
            </w:r>
            <w:r>
              <w:rPr/>
              <w:t>30%</w:t>
            </w:r>
          </w:p>
        </w:tc>
        <w:tc>
          <w:tcPr>
            <w:tcW w:w="174" w:type="dxa"/>
            <w:tcBorders/>
            <w:vAlign w:val="center"/>
          </w:tcPr>
          <w:p>
            <w:pPr>
              <w:pStyle w:val="TableContents"/>
              <w:bidi w:val="0"/>
              <w:spacing w:before="0" w:after="283"/>
              <w:jc w:val="left"/>
              <w:rPr/>
            </w:pPr>
            <w:r>
              <w:rPr/>
              <w:t>  </w:t>
            </w:r>
          </w:p>
        </w:tc>
        <w:tc>
          <w:tcPr>
            <w:tcW w:w="1270" w:type="dxa"/>
            <w:tcBorders/>
            <w:vAlign w:val="center"/>
          </w:tcPr>
          <w:p>
            <w:pPr>
              <w:pStyle w:val="TableContents"/>
              <w:bidi w:val="0"/>
              <w:spacing w:before="0" w:after="283"/>
              <w:jc w:val="right"/>
              <w:rPr/>
            </w:pPr>
            <w:r>
              <w:rPr/>
              <w:t>$8,154</w:t>
            </w:r>
          </w:p>
        </w:tc>
        <w:tc>
          <w:tcPr>
            <w:tcW w:w="174"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right"/>
              <w:rPr/>
            </w:pPr>
            <w:r>
              <w:rPr/>
              <w:t>$9,570</w:t>
            </w:r>
          </w:p>
        </w:tc>
        <w:tc>
          <w:tcPr>
            <w:tcW w:w="174" w:type="dxa"/>
            <w:tcBorders/>
            <w:vAlign w:val="center"/>
          </w:tcPr>
          <w:p>
            <w:pPr>
              <w:pStyle w:val="TableContents"/>
              <w:bidi w:val="0"/>
              <w:spacing w:before="0" w:after="283"/>
              <w:jc w:val="left"/>
              <w:rPr/>
            </w:pPr>
            <w:r>
              <w:rPr/>
              <w:t>  </w:t>
            </w:r>
          </w:p>
        </w:tc>
        <w:tc>
          <w:tcPr>
            <w:tcW w:w="1248" w:type="dxa"/>
            <w:tcBorders/>
            <w:vAlign w:val="center"/>
          </w:tcPr>
          <w:p>
            <w:pPr>
              <w:pStyle w:val="TableContents"/>
              <w:bidi w:val="0"/>
              <w:spacing w:before="0" w:after="283"/>
              <w:jc w:val="right"/>
              <w:rPr/>
            </w:pPr>
            <w:r>
              <w:rPr/>
              <w:t>$10,678</w:t>
            </w:r>
          </w:p>
        </w:tc>
        <w:tc>
          <w:tcPr>
            <w:tcW w:w="174" w:type="dxa"/>
            <w:tcBorders/>
            <w:vAlign w:val="center"/>
          </w:tcPr>
          <w:p>
            <w:pPr>
              <w:pStyle w:val="TableContents"/>
              <w:bidi w:val="0"/>
              <w:spacing w:before="0" w:after="283"/>
              <w:jc w:val="left"/>
              <w:rPr/>
            </w:pPr>
            <w:r>
              <w:rPr/>
              <w:t>  </w:t>
            </w:r>
          </w:p>
        </w:tc>
        <w:tc>
          <w:tcPr>
            <w:tcW w:w="87" w:type="dxa"/>
            <w:tcBorders/>
            <w:vAlign w:val="center"/>
          </w:tcPr>
          <w:p>
            <w:pPr>
              <w:pStyle w:val="TableContents"/>
              <w:bidi w:val="0"/>
              <w:jc w:val="left"/>
              <w:rPr/>
            </w:pPr>
            <w:r>
              <w:rPr/>
              <w:t> </w:t>
            </w:r>
          </w:p>
          <w:p>
            <w:pPr>
              <w:pStyle w:val="TableContents"/>
              <w:bidi w:val="0"/>
              <w:spacing w:before="0" w:after="0"/>
              <w:jc w:val="left"/>
              <w:rPr/>
            </w:pPr>
            <w:r>
              <w:rPr/>
              <w:t> </w:t>
            </w:r>
          </w:p>
        </w:tc>
        <w:tc>
          <w:tcPr>
            <w:tcW w:w="1488" w:type="dxa"/>
            <w:tcBorders/>
            <w:vAlign w:val="center"/>
          </w:tcPr>
          <w:p>
            <w:pPr>
              <w:pStyle w:val="TableContents"/>
              <w:bidi w:val="0"/>
              <w:jc w:val="right"/>
              <w:rPr/>
            </w:pPr>
            <w:r>
              <w:rPr/>
              <w:t>$10,034</w:t>
            </w:r>
          </w:p>
          <w:p>
            <w:pPr>
              <w:pStyle w:val="TableContents"/>
              <w:bidi w:val="0"/>
              <w:spacing w:before="0" w:after="0"/>
              <w:jc w:val="left"/>
              <w:rPr/>
            </w:pPr>
            <w:r>
              <w:rPr/>
              <w:t> </w:t>
            </w:r>
          </w:p>
          <w:p>
            <w:pPr>
              <w:pStyle w:val="TableContents"/>
              <w:bidi w:val="0"/>
              <w:spacing w:before="0" w:after="20"/>
              <w:jc w:val="right"/>
              <w:rPr>
                <w:rFonts w:ascii="arial" w:hAnsi="arial"/>
                <w:color w:val="0171B9"/>
                <w:sz w:val="19"/>
              </w:rPr>
            </w:pPr>
            <w:r>
              <w:rPr>
                <w:rFonts w:ascii="arial" w:hAnsi="arial"/>
                <w:color w:val="0171B9"/>
                <w:sz w:val="19"/>
              </w:rPr>
              <w:t>152.4%</w:t>
            </w:r>
          </w:p>
        </w:tc>
        <w:tc>
          <w:tcPr>
            <w:tcW w:w="81" w:type="dxa"/>
            <w:tcBorders/>
            <w:vAlign w:val="center"/>
          </w:tcPr>
          <w:p>
            <w:pPr>
              <w:pStyle w:val="TableContents"/>
              <w:bidi w:val="0"/>
              <w:jc w:val="left"/>
              <w:rPr/>
            </w:pPr>
            <w:r>
              <w:rPr/>
              <w:t> </w:t>
            </w:r>
          </w:p>
          <w:p>
            <w:pPr>
              <w:pStyle w:val="TableContents"/>
              <w:bidi w:val="0"/>
              <w:spacing w:before="0" w:after="0"/>
              <w:jc w:val="left"/>
              <w:rPr/>
            </w:pPr>
            <w:r>
              <w:rPr/>
              <w:t> </w:t>
            </w:r>
          </w:p>
          <w:p>
            <w:pPr>
              <w:pStyle w:val="TableContents"/>
              <w:bidi w:val="0"/>
              <w:spacing w:before="0" w:after="20"/>
              <w:jc w:val="left"/>
              <w:rPr>
                <w:color w:val="0171B9"/>
              </w:rPr>
            </w:pPr>
            <w:r>
              <w:rPr>
                <w:color w:val="0171B9"/>
              </w:rPr>
              <w:t> </w:t>
            </w:r>
          </w:p>
        </w:tc>
      </w:tr>
    </w:tbl>
    <w:p>
      <w:pPr>
        <w:pStyle w:val="TextBody"/>
        <w:bidi w:val="0"/>
        <w:spacing w:before="120" w:after="0"/>
        <w:jc w:val="both"/>
        <w:rPr>
          <w:rFonts w:ascii="arial" w:hAnsi="arial"/>
          <w:sz w:val="19"/>
        </w:rPr>
      </w:pPr>
      <w:r>
        <w:rPr>
          <w:rFonts w:ascii="arial" w:hAnsi="arial"/>
          <w:sz w:val="19"/>
        </w:rPr>
        <w:t xml:space="preserve">Our non-GAAP net income target was correlated to the midpoint of our initial January 2023 non-GAAP EPS guidance (between $17.40 and $18.60) and equal to our 2022 non-GAAP net income ($9.57 billion). </w:t>
      </w:r>
    </w:p>
    <w:p>
      <w:pPr>
        <w:pStyle w:val="TextBody"/>
        <w:bidi w:val="0"/>
        <w:spacing w:before="120" w:after="0"/>
        <w:jc w:val="both"/>
        <w:rPr>
          <w:rFonts w:ascii="arial" w:hAnsi="arial"/>
          <w:sz w:val="19"/>
        </w:rPr>
      </w:pPr>
      <w:r>
        <w:rPr>
          <w:rFonts w:ascii="arial" w:hAnsi="arial"/>
          <w:sz w:val="19"/>
        </w:rPr>
        <w:t xml:space="preserve">Due to the focus of and execution by our executive leaders and the efforts of our entire Company, our financial performance exceeded targets, resulting in performance above target for revenues and non-GAAP net income.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18"/>
        <w:gridCol w:w="60"/>
        <w:gridCol w:w="191"/>
        <w:gridCol w:w="639"/>
        <w:gridCol w:w="60"/>
        <w:gridCol w:w="60"/>
        <w:gridCol w:w="4179"/>
        <w:gridCol w:w="60"/>
        <w:gridCol w:w="60"/>
        <w:gridCol w:w="701"/>
        <w:gridCol w:w="77"/>
      </w:tblGrid>
      <w:tr>
        <w:trPr/>
        <w:tc>
          <w:tcPr>
            <w:tcW w:w="41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5008" w:type="dxa"/>
            <w:gridSpan w:val="4"/>
            <w:tcBorders>
              <w:top w:val="single" w:sz="8" w:space="0" w:color="000000"/>
              <w:bottom w:val="single" w:sz="8" w:space="0" w:color="000000"/>
            </w:tcBorders>
            <w:shd w:fill="0171B9" w:val="clear"/>
            <w:tcMar>
              <w:top w:w="28" w:type="dxa"/>
              <w:bottom w:w="28" w:type="dxa"/>
            </w:tcMar>
            <w:vAlign w:val="center"/>
          </w:tcPr>
          <w:p>
            <w:pPr>
              <w:pStyle w:val="TableContents"/>
              <w:bidi w:val="0"/>
              <w:spacing w:lineRule="atLeast" w:line="240" w:before="0" w:after="0"/>
              <w:jc w:val="left"/>
              <w:rPr>
                <w:color w:val="FFFFFF"/>
              </w:rPr>
            </w:pPr>
            <w:r>
              <w:rPr>
                <w:color w:val="FFFFFF"/>
              </w:rPr>
              <w:t> </w:t>
            </w:r>
            <w:r>
              <w:rPr>
                <w:rFonts w:ascii="arial" w:hAnsi="arial"/>
                <w:b/>
                <w:color w:val="FFFFFF"/>
                <w:sz w:val="18"/>
              </w:rPr>
              <w:t>Progress Innovative Pipeline (30% weighting)</w:t>
            </w:r>
          </w:p>
        </w:tc>
        <w:tc>
          <w:tcPr>
            <w:tcW w:w="60" w:type="dxa"/>
            <w:tcBorders>
              <w:top w:val="single" w:sz="8" w:space="0" w:color="000000"/>
              <w:bottom w:val="single" w:sz="8" w:space="0" w:color="000000"/>
            </w:tcBorders>
            <w:shd w:fill="0171B9" w:val="clear"/>
            <w:tcMar>
              <w:top w:w="28" w:type="dxa"/>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shd w:fill="0171B9" w:val="clear"/>
            <w:tcMar>
              <w:top w:w="28" w:type="dxa"/>
              <w:bottom w:w="28" w:type="dxa"/>
            </w:tcMar>
            <w:vAlign w:val="center"/>
          </w:tcPr>
          <w:p>
            <w:pPr>
              <w:pStyle w:val="TableContents"/>
              <w:bidi w:val="0"/>
              <w:spacing w:before="0" w:after="283"/>
              <w:jc w:val="left"/>
              <w:rPr/>
            </w:pPr>
            <w:r>
              <w:rPr/>
              <w:t> </w:t>
            </w:r>
          </w:p>
        </w:tc>
        <w:tc>
          <w:tcPr>
            <w:tcW w:w="5000" w:type="dxa"/>
            <w:gridSpan w:val="4"/>
            <w:tcBorders>
              <w:top w:val="single" w:sz="8" w:space="0" w:color="000000"/>
              <w:bottom w:val="single" w:sz="8" w:space="0" w:color="000000"/>
            </w:tcBorders>
            <w:shd w:fill="0171B9" w:val="clear"/>
            <w:tcMar>
              <w:top w:w="28" w:type="dxa"/>
              <w:bottom w:w="28" w:type="dxa"/>
            </w:tcMar>
            <w:vAlign w:val="center"/>
          </w:tcPr>
          <w:p>
            <w:pPr>
              <w:pStyle w:val="TableContents"/>
              <w:bidi w:val="0"/>
              <w:spacing w:lineRule="atLeast" w:line="240" w:before="0" w:after="20"/>
              <w:jc w:val="right"/>
              <w:rPr>
                <w:rFonts w:ascii="arial" w:hAnsi="arial"/>
                <w:b/>
                <w:color w:val="FFFFFF"/>
                <w:sz w:val="18"/>
              </w:rPr>
            </w:pPr>
            <w:r>
              <w:rPr>
                <w:rFonts w:ascii="arial" w:hAnsi="arial"/>
                <w:b/>
                <w:color w:val="FFFFFF"/>
                <w:sz w:val="18"/>
              </w:rPr>
              <w:t>Weighted Score Achieved 28.3% </w:t>
            </w:r>
          </w:p>
        </w:tc>
        <w:tc>
          <w:tcPr>
            <w:tcW w:w="77" w:type="dxa"/>
            <w:tcBorders>
              <w:top w:val="single" w:sz="8" w:space="0" w:color="000000"/>
              <w:bottom w:val="single" w:sz="8" w:space="0" w:color="000000"/>
            </w:tcBorders>
            <w:shd w:fill="0171B9" w:val="clear"/>
            <w:tcMar>
              <w:top w:w="28" w:type="dxa"/>
              <w:bottom w:w="28" w:type="dxa"/>
            </w:tcMar>
            <w:vAlign w:val="center"/>
          </w:tcPr>
          <w:p>
            <w:pPr>
              <w:pStyle w:val="TableContents"/>
              <w:bidi w:val="0"/>
              <w:spacing w:before="0" w:after="283"/>
              <w:jc w:val="left"/>
              <w:rPr/>
            </w:pPr>
            <w:r>
              <w:rPr/>
              <w:t> </w:t>
            </w:r>
          </w:p>
        </w:tc>
      </w:tr>
      <w:tr>
        <w:trPr/>
        <w:tc>
          <w:tcPr>
            <w:tcW w:w="10128" w:type="dxa"/>
            <w:gridSpan w:val="10"/>
            <w:tcBorders>
              <w:bottom w:val="single" w:sz="8" w:space="0" w:color="000000"/>
            </w:tcBorders>
            <w:shd w:fill="CCE2F1" w:val="clear"/>
            <w:tcMar>
              <w:bottom w:w="40" w:type="dxa"/>
            </w:tcMar>
            <w:vAlign w:val="center"/>
          </w:tcPr>
          <w:p>
            <w:pPr>
              <w:pStyle w:val="TableContents"/>
              <w:bidi w:val="0"/>
              <w:spacing w:before="0" w:after="0"/>
              <w:jc w:val="left"/>
              <w:rPr/>
            </w:pPr>
            <w:r>
              <w:rPr/>
              <w:t> </w:t>
            </w:r>
          </w:p>
          <w:p>
            <w:pPr>
              <w:pStyle w:val="TableContents"/>
              <w:bidi w:val="0"/>
              <w:spacing w:before="0" w:after="20"/>
              <w:jc w:val="both"/>
              <w:rPr>
                <w:rFonts w:ascii="arial" w:hAnsi="arial"/>
                <w:sz w:val="19"/>
              </w:rPr>
            </w:pPr>
            <w:r>
              <w:rPr>
                <w:rFonts w:ascii="arial" w:hAnsi="arial"/>
                <w:sz w:val="19"/>
              </w:rPr>
              <w:t>Measures progress on both early- and later-stage programs and product candidates to focus us on executing key clinical studies and delivering a robust product pipeline at all stages of the development continuum, which we believe is critical to our continued success over both the near- and long-term.</w:t>
            </w:r>
          </w:p>
        </w:tc>
        <w:tc>
          <w:tcPr>
            <w:tcW w:w="77" w:type="dxa"/>
            <w:tcBorders>
              <w:bottom w:val="single" w:sz="8" w:space="0" w:color="000000"/>
            </w:tcBorders>
            <w:shd w:fill="CCE2F1" w:val="clear"/>
            <w:tcMar>
              <w:bottom w:w="40" w:type="dxa"/>
            </w:tcMar>
            <w:vAlign w:val="center"/>
          </w:tcPr>
          <w:p>
            <w:pPr>
              <w:pStyle w:val="TableContents"/>
              <w:bidi w:val="0"/>
              <w:spacing w:before="0" w:after="0"/>
              <w:jc w:val="left"/>
              <w:rPr/>
            </w:pPr>
            <w:r>
              <w:rPr/>
              <w:t> </w:t>
            </w:r>
          </w:p>
        </w:tc>
      </w:tr>
      <w:tr>
        <w:trPr/>
        <w:tc>
          <w:tcPr>
            <w:tcW w:w="4118" w:type="dxa"/>
            <w:tcBorders>
              <w:bottom w:val="single" w:sz="8" w:space="0" w:color="000000"/>
            </w:tcBorders>
            <w:shd w:fill="CCE2F1" w:val="clear"/>
            <w:tcMar>
              <w:bottom w:w="28" w:type="dxa"/>
            </w:tcMar>
            <w:vAlign w:val="center"/>
          </w:tcPr>
          <w:p>
            <w:pPr>
              <w:pStyle w:val="TableContents"/>
              <w:bidi w:val="0"/>
              <w:spacing w:lineRule="atLeast" w:line="240" w:before="0" w:after="0"/>
              <w:jc w:val="left"/>
              <w:rPr>
                <w:rFonts w:ascii="arial" w:hAnsi="arial"/>
                <w:b/>
                <w:sz w:val="16"/>
              </w:rPr>
            </w:pPr>
            <w:r>
              <w:rPr>
                <w:rFonts w:ascii="arial" w:hAnsi="arial"/>
                <w:b/>
                <w:sz w:val="16"/>
              </w:rPr>
              <w:t>Goals</w:t>
            </w:r>
          </w:p>
        </w:tc>
        <w:tc>
          <w:tcPr>
            <w:tcW w:w="60" w:type="dxa"/>
            <w:tcBorders>
              <w:bottom w:val="single" w:sz="8" w:space="0" w:color="000000"/>
            </w:tcBorders>
            <w:shd w:fill="CCE2F1" w:val="clear"/>
            <w:tcMar>
              <w:bottom w:w="28" w:type="dxa"/>
            </w:tcMar>
            <w:vAlign w:val="center"/>
          </w:tcPr>
          <w:p>
            <w:pPr>
              <w:pStyle w:val="TableContents"/>
              <w:bidi w:val="0"/>
              <w:spacing w:before="0" w:after="283"/>
              <w:jc w:val="left"/>
              <w:rPr/>
            </w:pPr>
            <w:r>
              <w:rPr/>
              <w:t> </w:t>
            </w:r>
          </w:p>
        </w:tc>
        <w:tc>
          <w:tcPr>
            <w:tcW w:w="830" w:type="dxa"/>
            <w:gridSpan w:val="2"/>
            <w:tcBorders>
              <w:bottom w:val="single" w:sz="8" w:space="0" w:color="000000"/>
            </w:tcBorders>
            <w:shd w:fill="CCE2F1" w:val="clear"/>
            <w:tcMar>
              <w:bottom w:w="28" w:type="dxa"/>
            </w:tcMar>
            <w:vAlign w:val="center"/>
          </w:tcPr>
          <w:p>
            <w:pPr>
              <w:pStyle w:val="TableContents"/>
              <w:bidi w:val="0"/>
              <w:spacing w:lineRule="atLeast" w:line="240" w:before="0" w:after="0"/>
              <w:jc w:val="right"/>
              <w:rPr>
                <w:rFonts w:ascii="arial" w:hAnsi="arial"/>
                <w:b/>
                <w:sz w:val="16"/>
              </w:rPr>
            </w:pPr>
            <w:r>
              <w:rPr>
                <w:rFonts w:ascii="arial" w:hAnsi="arial"/>
                <w:b/>
                <w:sz w:val="16"/>
              </w:rPr>
              <w:t>Weighting</w:t>
            </w:r>
          </w:p>
        </w:tc>
        <w:tc>
          <w:tcPr>
            <w:tcW w:w="60" w:type="dxa"/>
            <w:tcBorders>
              <w:bottom w:val="single" w:sz="8" w:space="0" w:color="000000"/>
            </w:tcBorders>
            <w:shd w:fill="CCE2F1"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2F1" w:val="clear"/>
            <w:tcMar>
              <w:bottom w:w="28" w:type="dxa"/>
            </w:tcMar>
            <w:vAlign w:val="center"/>
          </w:tcPr>
          <w:p>
            <w:pPr>
              <w:pStyle w:val="TableContents"/>
              <w:bidi w:val="0"/>
              <w:spacing w:before="0" w:after="283"/>
              <w:jc w:val="left"/>
              <w:rPr/>
            </w:pPr>
            <w:r>
              <w:rPr/>
              <w:t> </w:t>
            </w:r>
          </w:p>
        </w:tc>
        <w:tc>
          <w:tcPr>
            <w:tcW w:w="4179" w:type="dxa"/>
            <w:tcBorders>
              <w:bottom w:val="single" w:sz="8" w:space="0" w:color="000000"/>
            </w:tcBorders>
            <w:shd w:fill="CCE2F1" w:val="clear"/>
            <w:tcMar>
              <w:bottom w:w="28" w:type="dxa"/>
            </w:tcMar>
            <w:vAlign w:val="center"/>
          </w:tcPr>
          <w:p>
            <w:pPr>
              <w:pStyle w:val="TableContents"/>
              <w:bidi w:val="0"/>
              <w:spacing w:lineRule="atLeast" w:line="240" w:before="0" w:after="0"/>
              <w:jc w:val="left"/>
              <w:rPr>
                <w:rFonts w:ascii="arial" w:hAnsi="arial"/>
                <w:b/>
                <w:sz w:val="16"/>
              </w:rPr>
            </w:pPr>
            <w:r>
              <w:rPr>
                <w:rFonts w:ascii="arial" w:hAnsi="arial"/>
                <w:b/>
                <w:sz w:val="16"/>
              </w:rPr>
              <w:t>Results</w:t>
            </w:r>
          </w:p>
        </w:tc>
        <w:tc>
          <w:tcPr>
            <w:tcW w:w="60" w:type="dxa"/>
            <w:tcBorders>
              <w:bottom w:val="single" w:sz="8" w:space="0" w:color="000000"/>
            </w:tcBorders>
            <w:shd w:fill="CCE2F1" w:val="clear"/>
            <w:tcMar>
              <w:bottom w:w="28" w:type="dxa"/>
            </w:tcMar>
            <w:vAlign w:val="center"/>
          </w:tcPr>
          <w:p>
            <w:pPr>
              <w:pStyle w:val="TableContents"/>
              <w:bidi w:val="0"/>
              <w:spacing w:before="0" w:after="283"/>
              <w:jc w:val="left"/>
              <w:rPr/>
            </w:pPr>
            <w:r>
              <w:rPr/>
              <w:t> </w:t>
            </w:r>
          </w:p>
        </w:tc>
        <w:tc>
          <w:tcPr>
            <w:tcW w:w="761" w:type="dxa"/>
            <w:gridSpan w:val="2"/>
            <w:tcBorders>
              <w:bottom w:val="single" w:sz="8" w:space="0" w:color="000000"/>
            </w:tcBorders>
            <w:shd w:fill="CCE2F1" w:val="clear"/>
            <w:tcMar>
              <w:bottom w:w="28" w:type="dxa"/>
            </w:tcMar>
            <w:vAlign w:val="center"/>
          </w:tcPr>
          <w:p>
            <w:pPr>
              <w:pStyle w:val="TableContents"/>
              <w:bidi w:val="0"/>
              <w:spacing w:lineRule="atLeast" w:line="240" w:before="0" w:after="0"/>
              <w:jc w:val="right"/>
              <w:rPr>
                <w:rFonts w:ascii="arial" w:hAnsi="arial"/>
                <w:b/>
                <w:sz w:val="16"/>
              </w:rPr>
            </w:pPr>
            <w:r>
              <w:rPr>
                <w:rFonts w:ascii="arial" w:hAnsi="arial"/>
                <w:b/>
                <w:sz w:val="16"/>
              </w:rPr>
              <w:t>Achieved</w:t>
            </w:r>
          </w:p>
        </w:tc>
        <w:tc>
          <w:tcPr>
            <w:tcW w:w="77" w:type="dxa"/>
            <w:tcBorders>
              <w:bottom w:val="single" w:sz="8" w:space="0" w:color="000000"/>
            </w:tcBorders>
            <w:shd w:fill="CCE2F1" w:val="clear"/>
            <w:tcMar>
              <w:bottom w:w="28" w:type="dxa"/>
            </w:tcMar>
            <w:vAlign w:val="center"/>
          </w:tcPr>
          <w:p>
            <w:pPr>
              <w:pStyle w:val="TableContents"/>
              <w:bidi w:val="0"/>
              <w:spacing w:before="0" w:after="283"/>
              <w:jc w:val="left"/>
              <w:rPr/>
            </w:pPr>
            <w:r>
              <w:rPr/>
              <w:t> </w:t>
            </w:r>
          </w:p>
        </w:tc>
      </w:tr>
      <w:tr>
        <w:trPr/>
        <w:tc>
          <w:tcPr>
            <w:tcW w:w="4118" w:type="dxa"/>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4239" w:type="dxa"/>
            <w:gridSpan w:val="2"/>
            <w:tcBorders/>
            <w:vAlign w:val="center"/>
          </w:tcPr>
          <w:p>
            <w:pPr>
              <w:pStyle w:val="TableContents"/>
              <w:bidi w:val="0"/>
              <w:spacing w:before="0" w:after="283"/>
              <w:jc w:val="left"/>
              <w:rPr>
                <w:sz w:val="4"/>
                <w:szCs w:val="4"/>
              </w:rPr>
            </w:pPr>
            <w:r>
              <w:rPr>
                <w:sz w:val="4"/>
                <w:szCs w:val="4"/>
              </w:rPr>
            </w:r>
          </w:p>
        </w:tc>
        <w:tc>
          <w:tcPr>
            <w:tcW w:w="898" w:type="dxa"/>
            <w:gridSpan w:val="4"/>
            <w:tcBorders/>
            <w:vAlign w:val="center"/>
          </w:tcPr>
          <w:p>
            <w:pPr>
              <w:pStyle w:val="TableContents"/>
              <w:bidi w:val="0"/>
              <w:spacing w:before="0" w:after="283"/>
              <w:jc w:val="left"/>
              <w:rPr>
                <w:sz w:val="4"/>
                <w:szCs w:val="4"/>
              </w:rPr>
            </w:pPr>
            <w:r>
              <w:rPr>
                <w:sz w:val="4"/>
                <w:szCs w:val="4"/>
              </w:rPr>
            </w:r>
          </w:p>
        </w:tc>
      </w:tr>
      <w:tr>
        <w:trPr/>
        <w:tc>
          <w:tcPr>
            <w:tcW w:w="4118" w:type="dxa"/>
            <w:tcBorders>
              <w:bottom w:val="single" w:sz="8" w:space="0" w:color="000000"/>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i/>
                <w:color w:val="0171B9"/>
                <w:sz w:val="16"/>
              </w:rPr>
            </w:pPr>
            <w:r>
              <w:rPr>
                <w:rFonts w:ascii="arial" w:hAnsi="arial"/>
                <w:b/>
                <w:i/>
                <w:color w:val="0171B9"/>
                <w:sz w:val="16"/>
              </w:rPr>
              <w:t>Advance Early Pipeline—</w:t>
            </w:r>
          </w:p>
          <w:p>
            <w:pPr>
              <w:pStyle w:val="TableContents"/>
              <w:bidi w:val="0"/>
              <w:spacing w:before="0" w:after="20"/>
              <w:jc w:val="left"/>
              <w:rPr>
                <w:rFonts w:ascii="arial" w:hAnsi="arial"/>
                <w:i/>
                <w:sz w:val="16"/>
              </w:rPr>
            </w:pPr>
            <w:r>
              <w:rPr>
                <w:rFonts w:ascii="arial" w:hAnsi="arial"/>
                <w:i/>
                <w:sz w:val="16"/>
              </w:rPr>
              <w:t>Focused on incentivizing early-stage innovation discovery activities important to our long-term success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91" w:type="dxa"/>
            <w:tcBorders>
              <w:bottom w:val="single" w:sz="8"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639" w:type="dxa"/>
            <w:tcBorders>
              <w:bottom w:val="single" w:sz="8"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right"/>
              <w:rPr>
                <w:rFonts w:ascii="arial" w:hAnsi="arial"/>
                <w:sz w:val="16"/>
              </w:rPr>
            </w:pPr>
            <w:r>
              <w:rPr>
                <w:rFonts w:ascii="arial" w:hAnsi="arial"/>
                <w:sz w:val="16"/>
              </w:rPr>
              <w:t>10%</w:t>
            </w:r>
          </w:p>
        </w:tc>
        <w:tc>
          <w:tcPr>
            <w:tcW w:w="60" w:type="dxa"/>
            <w:tcBorders>
              <w:bottom w:val="single" w:sz="8"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4179" w:type="dxa"/>
            <w:tcBorders>
              <w:bottom w:val="single" w:sz="8" w:space="0" w:color="000000"/>
            </w:tcBorders>
            <w:tcMar>
              <w:bottom w:w="28" w:type="dxa"/>
            </w:tcMar>
            <w:vAlign w:val="center"/>
          </w:tcPr>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6"/>
              </w:rPr>
              <w:t>We generated four new product teams (formed when a molecule has been judged to possess many of the attributes of a clinical candidate), including in oncology (for the treatment of solid tumors) and in inflammation (for the treatment of irritable bowel disease (IBD)), and two investigational new drug (IND) approvals for product candidates being studied in oncology (for the treatment of solid tumors).</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6"/>
              </w:rPr>
              <w:t>We initiated five first-in-human studies in unique indications, including for product candidates being studied in oncology (including for the treatment of solid tumors, prostate cancer, small cell lung cancer, and colorectal cancer) and rare disease (for the treatment of idiopathic inflammatory myositis).</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6"/>
              </w:rPr>
              <w:t>We determined to advance five programs into the clinic – xaluritamig (for prostate cancer), tarlatamab (in both first line and late-stage for small cell lung cancer), AMG 193 (for solid tumors), and rocatinlimab (for prurigo nodularis).</w:t>
            </w:r>
          </w:p>
          <w:p>
            <w:pPr>
              <w:pStyle w:val="TableContents"/>
              <w:bidi w:val="0"/>
              <w:spacing w:before="0" w:after="20"/>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color w:val="0171B9"/>
              </w:rPr>
            </w:pPr>
            <w:r>
              <w:rPr>
                <w:color w:val="0171B9"/>
              </w:rPr>
              <w:t> </w:t>
            </w:r>
          </w:p>
        </w:tc>
        <w:tc>
          <w:tcPr>
            <w:tcW w:w="701" w:type="dxa"/>
            <w:tcBorders>
              <w:bottom w:val="single" w:sz="8" w:space="0" w:color="000000"/>
            </w:tcBorders>
            <w:tcMar>
              <w:bottom w:w="28" w:type="dxa"/>
            </w:tcMar>
            <w:vAlign w:val="center"/>
          </w:tcPr>
          <w:p>
            <w:pPr>
              <w:pStyle w:val="TableContents"/>
              <w:bidi w:val="0"/>
              <w:spacing w:before="0" w:after="283"/>
              <w:jc w:val="right"/>
              <w:rPr>
                <w:color w:val="0171B9"/>
              </w:rPr>
            </w:pPr>
            <w:r>
              <w:rPr>
                <w:color w:val="0171B9"/>
              </w:rPr>
              <w:t>100.0%</w:t>
            </w:r>
          </w:p>
        </w:tc>
        <w:tc>
          <w:tcPr>
            <w:tcW w:w="77" w:type="dxa"/>
            <w:tcBorders>
              <w:bottom w:val="single" w:sz="8" w:space="0" w:color="000000"/>
            </w:tcBorders>
            <w:tcMar>
              <w:bottom w:w="28" w:type="dxa"/>
            </w:tcMar>
            <w:vAlign w:val="center"/>
          </w:tcPr>
          <w:p>
            <w:pPr>
              <w:pStyle w:val="TableContents"/>
              <w:bidi w:val="0"/>
              <w:spacing w:before="0" w:after="283"/>
              <w:jc w:val="left"/>
              <w:rPr>
                <w:color w:val="0171B9"/>
              </w:rPr>
            </w:pPr>
            <w:r>
              <w:rPr>
                <w:color w:val="0171B9"/>
              </w:rPr>
              <w:t> </w:t>
            </w:r>
          </w:p>
        </w:tc>
      </w:tr>
      <w:tr>
        <w:trPr/>
        <w:tc>
          <w:tcPr>
            <w:tcW w:w="4118" w:type="dxa"/>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4239" w:type="dxa"/>
            <w:gridSpan w:val="2"/>
            <w:tcBorders/>
            <w:vAlign w:val="center"/>
          </w:tcPr>
          <w:p>
            <w:pPr>
              <w:pStyle w:val="TableContents"/>
              <w:bidi w:val="0"/>
              <w:spacing w:before="0" w:after="283"/>
              <w:jc w:val="left"/>
              <w:rPr>
                <w:sz w:val="4"/>
                <w:szCs w:val="4"/>
              </w:rPr>
            </w:pPr>
            <w:r>
              <w:rPr>
                <w:sz w:val="4"/>
                <w:szCs w:val="4"/>
              </w:rPr>
            </w:r>
          </w:p>
        </w:tc>
        <w:tc>
          <w:tcPr>
            <w:tcW w:w="898" w:type="dxa"/>
            <w:gridSpan w:val="4"/>
            <w:tcBorders/>
            <w:vAlign w:val="center"/>
          </w:tcPr>
          <w:p>
            <w:pPr>
              <w:pStyle w:val="TableContents"/>
              <w:bidi w:val="0"/>
              <w:spacing w:before="0" w:after="283"/>
              <w:jc w:val="left"/>
              <w:rPr>
                <w:sz w:val="4"/>
                <w:szCs w:val="4"/>
              </w:rPr>
            </w:pPr>
            <w:r>
              <w:rPr>
                <w:sz w:val="4"/>
                <w:szCs w:val="4"/>
              </w:rPr>
            </w:r>
          </w:p>
        </w:tc>
      </w:tr>
      <w:tr>
        <w:trPr/>
        <w:tc>
          <w:tcPr>
            <w:tcW w:w="4118" w:type="dxa"/>
            <w:tcBorders>
              <w:bottom w:val="single" w:sz="8" w:space="0" w:color="000000"/>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i/>
                <w:color w:val="0171B9"/>
                <w:sz w:val="16"/>
              </w:rPr>
            </w:pPr>
            <w:r>
              <w:rPr>
                <w:rFonts w:ascii="arial" w:hAnsi="arial"/>
                <w:b/>
                <w:i/>
                <w:color w:val="0171B9"/>
                <w:sz w:val="16"/>
              </w:rPr>
              <w:t>Execute Key Clinical Studies and Regulatory Filings—</w:t>
            </w:r>
          </w:p>
          <w:p>
            <w:pPr>
              <w:pStyle w:val="TableContents"/>
              <w:bidi w:val="0"/>
              <w:spacing w:before="0" w:after="0"/>
              <w:jc w:val="left"/>
              <w:rPr>
                <w:rFonts w:ascii="arial" w:hAnsi="arial"/>
                <w:i/>
                <w:sz w:val="16"/>
              </w:rPr>
            </w:pPr>
            <w:r>
              <w:rPr>
                <w:rFonts w:ascii="arial" w:hAnsi="arial"/>
                <w:i/>
                <w:sz w:val="16"/>
              </w:rPr>
              <w:t>Designed to reward speed and effectiveness to maximize the value of our assets and deliver on our mission to serve patients</w:t>
            </w:r>
          </w:p>
          <w:p>
            <w:pPr>
              <w:pStyle w:val="TableContents"/>
              <w:bidi w:val="0"/>
              <w:spacing w:before="0" w:after="20"/>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91" w:type="dxa"/>
            <w:tcBorders>
              <w:bottom w:val="single" w:sz="8"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639" w:type="dxa"/>
            <w:tcBorders>
              <w:bottom w:val="single" w:sz="8"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right"/>
              <w:rPr>
                <w:rFonts w:ascii="arial" w:hAnsi="arial"/>
                <w:sz w:val="16"/>
              </w:rPr>
            </w:pPr>
            <w:r>
              <w:rPr>
                <w:rFonts w:ascii="arial" w:hAnsi="arial"/>
                <w:sz w:val="16"/>
              </w:rPr>
              <w:t>20%</w:t>
            </w:r>
          </w:p>
        </w:tc>
        <w:tc>
          <w:tcPr>
            <w:tcW w:w="60" w:type="dxa"/>
            <w:tcBorders>
              <w:bottom w:val="single" w:sz="8"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4179" w:type="dxa"/>
            <w:tcBorders>
              <w:bottom w:val="single" w:sz="8" w:space="0" w:color="000000"/>
            </w:tcBorders>
            <w:tcMar>
              <w:bottom w:w="28" w:type="dxa"/>
            </w:tcMar>
            <w:vAlign w:val="center"/>
          </w:tcPr>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6"/>
              </w:rPr>
              <w:t>We executed on key clinical study milestones for tarlatamab (small cell lung cancer), olpasiran (ASCVD), maridebart cafraglutide (obesity), and rocatinlimab (atopic dermatitis).</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6"/>
              </w:rPr>
              <w:t>We completed key regulatory milestones, including:</w:t>
            </w:r>
          </w:p>
          <w:p>
            <w:pPr>
              <w:pStyle w:val="TableContents"/>
              <w:bidi w:val="0"/>
              <w:spacing w:before="0" w:after="0"/>
              <w:jc w:val="left"/>
              <w:rPr/>
            </w:pPr>
            <w:r>
              <w:rPr/>
              <w:t> </w:t>
            </w:r>
          </w:p>
          <w:p>
            <w:pPr>
              <w:pStyle w:val="TableContents"/>
              <w:bidi w:val="0"/>
              <w:spacing w:before="0" w:after="0"/>
              <w:jc w:val="both"/>
              <w:rPr>
                <w:rFonts w:ascii="arial" w:hAnsi="arial"/>
                <w:sz w:val="16"/>
              </w:rPr>
            </w:pPr>
            <w:r>
              <w:rPr>
                <w:rFonts w:ascii="SYMBOL" w:hAnsi="SYMBOL"/>
                <w:sz w:val="16"/>
              </w:rPr>
              <w:t>-</w:t>
            </w:r>
            <w:r>
              <w:rPr>
                <w:rFonts w:ascii="arial" w:hAnsi="arial"/>
                <w:sz w:val="16"/>
              </w:rPr>
              <w:t>  LUMAKRAS/LUMYKRAS™ U.S. and EU submissions;</w:t>
            </w:r>
          </w:p>
          <w:p>
            <w:pPr>
              <w:pStyle w:val="TableContents"/>
              <w:bidi w:val="0"/>
              <w:spacing w:before="0" w:after="0"/>
              <w:jc w:val="left"/>
              <w:rPr/>
            </w:pPr>
            <w:r>
              <w:rPr/>
              <w:t> </w:t>
            </w:r>
          </w:p>
          <w:p>
            <w:pPr>
              <w:pStyle w:val="TableContents"/>
              <w:bidi w:val="0"/>
              <w:spacing w:before="0" w:after="0"/>
              <w:jc w:val="both"/>
              <w:rPr>
                <w:rFonts w:ascii="arial" w:hAnsi="arial"/>
                <w:sz w:val="16"/>
              </w:rPr>
            </w:pPr>
            <w:r>
              <w:rPr>
                <w:rFonts w:ascii="SYMBOL" w:hAnsi="SYMBOL"/>
                <w:sz w:val="16"/>
              </w:rPr>
              <w:t>-</w:t>
            </w:r>
            <w:r>
              <w:rPr>
                <w:rFonts w:ascii="arial" w:hAnsi="arial"/>
                <w:sz w:val="16"/>
              </w:rPr>
              <w:t>  Otezla pediatric Supplemental New Drug Application (SNDA) submission;</w:t>
            </w:r>
          </w:p>
          <w:p>
            <w:pPr>
              <w:pStyle w:val="TableContents"/>
              <w:bidi w:val="0"/>
              <w:spacing w:before="0" w:after="0"/>
              <w:jc w:val="left"/>
              <w:rPr/>
            </w:pPr>
            <w:r>
              <w:rPr/>
              <w:t> </w:t>
            </w:r>
          </w:p>
          <w:p>
            <w:pPr>
              <w:pStyle w:val="TableContents"/>
              <w:bidi w:val="0"/>
              <w:spacing w:before="0" w:after="0"/>
              <w:jc w:val="both"/>
              <w:rPr>
                <w:rFonts w:ascii="arial" w:hAnsi="arial"/>
                <w:sz w:val="16"/>
              </w:rPr>
            </w:pPr>
            <w:r>
              <w:rPr>
                <w:rFonts w:ascii="SYMBOL" w:hAnsi="SYMBOL"/>
                <w:sz w:val="16"/>
              </w:rPr>
              <w:t>-</w:t>
            </w:r>
            <w:r>
              <w:rPr>
                <w:rFonts w:ascii="arial" w:hAnsi="arial"/>
                <w:sz w:val="16"/>
              </w:rPr>
              <w:t>  Tarlatamab Biologics License Application (BLA) submission;</w:t>
            </w:r>
          </w:p>
          <w:p>
            <w:pPr>
              <w:pStyle w:val="TableContents"/>
              <w:bidi w:val="0"/>
              <w:spacing w:before="0" w:after="0"/>
              <w:jc w:val="left"/>
              <w:rPr/>
            </w:pPr>
            <w:r>
              <w:rPr/>
              <w:t> </w:t>
            </w:r>
          </w:p>
          <w:p>
            <w:pPr>
              <w:pStyle w:val="TableContents"/>
              <w:bidi w:val="0"/>
              <w:spacing w:before="0" w:after="0"/>
              <w:jc w:val="both"/>
              <w:rPr>
                <w:rFonts w:ascii="arial" w:hAnsi="arial"/>
                <w:sz w:val="16"/>
              </w:rPr>
            </w:pPr>
            <w:r>
              <w:rPr>
                <w:rFonts w:ascii="SYMBOL" w:hAnsi="SYMBOL"/>
                <w:sz w:val="16"/>
              </w:rPr>
              <w:t>-</w:t>
            </w:r>
            <w:r>
              <w:rPr>
                <w:rFonts w:ascii="arial" w:hAnsi="arial"/>
                <w:sz w:val="16"/>
              </w:rPr>
              <w:t>  ABP 938 (biosimilar candidate to EYLEA (aflibercept)) BLA submission;</w:t>
            </w:r>
          </w:p>
          <w:p>
            <w:pPr>
              <w:pStyle w:val="TableContents"/>
              <w:bidi w:val="0"/>
              <w:spacing w:before="0" w:after="0"/>
              <w:jc w:val="left"/>
              <w:rPr/>
            </w:pPr>
            <w:r>
              <w:rPr/>
              <w:t> </w:t>
            </w:r>
          </w:p>
          <w:p>
            <w:pPr>
              <w:pStyle w:val="TableContents"/>
              <w:bidi w:val="0"/>
              <w:spacing w:before="0" w:after="0"/>
              <w:jc w:val="both"/>
              <w:rPr>
                <w:rFonts w:ascii="arial" w:hAnsi="arial"/>
                <w:sz w:val="16"/>
              </w:rPr>
            </w:pPr>
            <w:r>
              <w:rPr>
                <w:rFonts w:ascii="SYMBOL" w:hAnsi="SYMBOL"/>
                <w:sz w:val="16"/>
              </w:rPr>
              <w:t>-</w:t>
            </w:r>
            <w:r>
              <w:rPr>
                <w:rFonts w:ascii="arial" w:hAnsi="arial"/>
                <w:sz w:val="16"/>
              </w:rPr>
              <w:t>  WEZLANA (biosimilar candidate to STELARA (ustekinumab)) EU original application submission and U.S. approval; and</w:t>
            </w:r>
          </w:p>
          <w:p>
            <w:pPr>
              <w:pStyle w:val="TableContents"/>
              <w:bidi w:val="0"/>
              <w:spacing w:before="0" w:after="0"/>
              <w:jc w:val="left"/>
              <w:rPr/>
            </w:pPr>
            <w:r>
              <w:rPr/>
              <w:t> </w:t>
            </w:r>
          </w:p>
          <w:p>
            <w:pPr>
              <w:pStyle w:val="TableContents"/>
              <w:bidi w:val="0"/>
              <w:spacing w:before="0" w:after="0"/>
              <w:jc w:val="both"/>
              <w:rPr>
                <w:rFonts w:ascii="arial" w:hAnsi="arial"/>
                <w:sz w:val="16"/>
              </w:rPr>
            </w:pPr>
            <w:r>
              <w:rPr>
                <w:rFonts w:ascii="SYMBOL" w:hAnsi="SYMBOL"/>
                <w:sz w:val="16"/>
              </w:rPr>
              <w:t>-</w:t>
            </w:r>
            <w:r>
              <w:rPr>
                <w:rFonts w:ascii="arial" w:hAnsi="arial"/>
                <w:sz w:val="16"/>
              </w:rPr>
              <w:t>  ABP 959 (biosimilar candidate to SOLIRIS (eculizumab) EU approval.</w:t>
            </w:r>
          </w:p>
          <w:p>
            <w:pPr>
              <w:pStyle w:val="TableContents"/>
              <w:bidi w:val="0"/>
              <w:spacing w:before="0" w:after="20"/>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color w:val="0171B9"/>
              </w:rPr>
            </w:pPr>
            <w:r>
              <w:rPr>
                <w:color w:val="0171B9"/>
              </w:rPr>
              <w:t> </w:t>
            </w:r>
          </w:p>
        </w:tc>
        <w:tc>
          <w:tcPr>
            <w:tcW w:w="701" w:type="dxa"/>
            <w:tcBorders>
              <w:bottom w:val="single" w:sz="8" w:space="0" w:color="000000"/>
            </w:tcBorders>
            <w:tcMar>
              <w:bottom w:w="28" w:type="dxa"/>
            </w:tcMar>
            <w:vAlign w:val="center"/>
          </w:tcPr>
          <w:p>
            <w:pPr>
              <w:pStyle w:val="TableContents"/>
              <w:bidi w:val="0"/>
              <w:spacing w:before="0" w:after="283"/>
              <w:jc w:val="right"/>
              <w:rPr>
                <w:color w:val="0171B9"/>
              </w:rPr>
            </w:pPr>
            <w:r>
              <w:rPr>
                <w:color w:val="0171B9"/>
              </w:rPr>
              <w:t>91.6%</w:t>
            </w:r>
          </w:p>
        </w:tc>
        <w:tc>
          <w:tcPr>
            <w:tcW w:w="77" w:type="dxa"/>
            <w:tcBorders>
              <w:bottom w:val="single" w:sz="8" w:space="0" w:color="000000"/>
            </w:tcBorders>
            <w:tcMar>
              <w:bottom w:w="28" w:type="dxa"/>
            </w:tcMar>
            <w:vAlign w:val="center"/>
          </w:tcPr>
          <w:p>
            <w:pPr>
              <w:pStyle w:val="TableContents"/>
              <w:bidi w:val="0"/>
              <w:spacing w:before="0" w:after="283"/>
              <w:jc w:val="left"/>
              <w:rPr>
                <w:color w:val="0171B9"/>
              </w:rPr>
            </w:pPr>
            <w:r>
              <w:rPr>
                <w:color w:val="0171B9"/>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330"/>
        <w:gridCol w:w="9875"/>
      </w:tblGrid>
      <w:tr>
        <w:trPr/>
        <w:tc>
          <w:tcPr>
            <w:tcW w:w="330" w:type="dxa"/>
            <w:tcBorders/>
            <w:vAlign w:val="center"/>
          </w:tcPr>
          <w:p>
            <w:pPr>
              <w:pStyle w:val="TableContents"/>
              <w:bidi w:val="0"/>
              <w:spacing w:before="0" w:after="283"/>
              <w:jc w:val="left"/>
              <w:rPr/>
            </w:pPr>
            <w:r>
              <w:rPr/>
              <w:t>(1) </w:t>
            </w:r>
          </w:p>
        </w:tc>
        <w:tc>
          <w:tcPr>
            <w:tcW w:w="9875" w:type="dxa"/>
            <w:tcBorders/>
            <w:vAlign w:val="center"/>
          </w:tcPr>
          <w:p>
            <w:pPr>
              <w:pStyle w:val="TableContents"/>
              <w:bidi w:val="0"/>
              <w:spacing w:before="0" w:after="0"/>
              <w:jc w:val="both"/>
              <w:rPr>
                <w:rFonts w:ascii="arial" w:hAnsi="arial"/>
                <w:sz w:val="16"/>
              </w:rPr>
            </w:pPr>
            <w:r>
              <w:rPr>
                <w:rFonts w:ascii="arial" w:hAnsi="arial"/>
                <w:sz w:val="16"/>
              </w:rPr>
              <w:t xml:space="preserve">Non-GAAP net income for purposes of the 2023 Company performance goals of our annual cash incentive plan and non-GAAP EPS are reported and reconciled in </w:t>
            </w:r>
            <w:r>
              <w:rPr>
                <w:rFonts w:ascii="arial" w:hAnsi="arial"/>
                <w:b/>
                <w:sz w:val="16"/>
              </w:rPr>
              <w:t>Appendix B</w:t>
            </w:r>
            <w:r>
              <w:rPr>
                <w:rFonts w:ascii="arial" w:hAnsi="arial"/>
                <w:sz w:val="16"/>
              </w:rPr>
              <w:t xml:space="preserve">. </w:t>
            </w:r>
          </w:p>
        </w:tc>
      </w:tr>
    </w:tbl>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27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136" descr=""/>
                    <pic:cNvPicPr>
                      <a:picLocks noChangeAspect="1" noChangeArrowheads="1"/>
                    </pic:cNvPicPr>
                  </pic:nvPicPr>
                  <pic:blipFill>
                    <a:blip r:embed="rId149"/>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73</w:t>
      </w:r>
      <w:r>
        <w:rPr>
          <w:rFonts w:ascii="arial" w:hAnsi="arial"/>
          <w:b/>
          <w:sz w:val="22"/>
        </w:rPr>
        <w:t xml:space="preserve"> </w:t>
      </w:r>
      <w:r>
        <w:br w:type="page"/>
      </w:r>
    </w:p>
    <w:p>
      <w:pPr>
        <w:pStyle w:val="HorizontalLine"/>
        <w:bidi w:val="0"/>
        <w:jc w:val="left"/>
        <w:rPr/>
      </w:pPr>
      <w:r>
        <w:rPr/>
      </w:r>
    </w:p>
    <w:tbl>
      <w:tblPr>
        <w:tblW w:w="507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45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459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Compensation Discussion and Analysis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661"/>
        <w:gridCol w:w="60"/>
        <w:gridCol w:w="181"/>
        <w:gridCol w:w="649"/>
        <w:gridCol w:w="60"/>
        <w:gridCol w:w="120"/>
        <w:gridCol w:w="4577"/>
        <w:gridCol w:w="60"/>
        <w:gridCol w:w="60"/>
        <w:gridCol w:w="700"/>
        <w:gridCol w:w="77"/>
      </w:tblGrid>
      <w:tr>
        <w:trPr/>
        <w:tc>
          <w:tcPr>
            <w:tcW w:w="36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4551" w:type="dxa"/>
            <w:gridSpan w:val="4"/>
            <w:tcBorders>
              <w:top w:val="single" w:sz="8" w:space="0" w:color="000000"/>
              <w:bottom w:val="single" w:sz="8" w:space="0" w:color="000000"/>
            </w:tcBorders>
            <w:shd w:fill="0171B9" w:val="clear"/>
            <w:tcMar>
              <w:top w:w="28" w:type="dxa"/>
              <w:bottom w:w="28" w:type="dxa"/>
            </w:tcMar>
            <w:vAlign w:val="center"/>
          </w:tcPr>
          <w:p>
            <w:pPr>
              <w:pStyle w:val="TableContents"/>
              <w:bidi w:val="0"/>
              <w:spacing w:lineRule="atLeast" w:line="240" w:before="0" w:after="0"/>
              <w:jc w:val="left"/>
              <w:rPr>
                <w:rFonts w:ascii="arial" w:hAnsi="arial"/>
                <w:b/>
                <w:color w:val="FFFFFF"/>
                <w:sz w:val="18"/>
              </w:rPr>
            </w:pPr>
            <w:r>
              <w:rPr>
                <w:rFonts w:ascii="arial" w:hAnsi="arial"/>
                <w:b/>
                <w:color w:val="FFFFFF"/>
                <w:sz w:val="18"/>
              </w:rPr>
              <w:t>Deliver Annual Priorities (10% weighting)</w:t>
            </w:r>
          </w:p>
        </w:tc>
        <w:tc>
          <w:tcPr>
            <w:tcW w:w="60" w:type="dxa"/>
            <w:tcBorders>
              <w:top w:val="single" w:sz="8" w:space="0" w:color="000000"/>
              <w:bottom w:val="single" w:sz="8" w:space="0" w:color="000000"/>
            </w:tcBorders>
            <w:shd w:fill="0171B9" w:val="clear"/>
            <w:tcMar>
              <w:top w:w="28" w:type="dxa"/>
              <w:bottom w:w="28" w:type="dxa"/>
            </w:tcMar>
            <w:vAlign w:val="center"/>
          </w:tcPr>
          <w:p>
            <w:pPr>
              <w:pStyle w:val="TableContents"/>
              <w:bidi w:val="0"/>
              <w:spacing w:before="0" w:after="283"/>
              <w:jc w:val="left"/>
              <w:rPr/>
            </w:pPr>
            <w:r>
              <w:rPr/>
              <w:t> </w:t>
            </w:r>
          </w:p>
        </w:tc>
        <w:tc>
          <w:tcPr>
            <w:tcW w:w="120" w:type="dxa"/>
            <w:tcBorders>
              <w:top w:val="single" w:sz="8" w:space="0" w:color="000000"/>
              <w:bottom w:val="single" w:sz="8" w:space="0" w:color="000000"/>
            </w:tcBorders>
            <w:shd w:fill="0171B9" w:val="clear"/>
            <w:tcMar>
              <w:top w:w="28" w:type="dxa"/>
              <w:bottom w:w="28" w:type="dxa"/>
            </w:tcMar>
            <w:vAlign w:val="center"/>
          </w:tcPr>
          <w:p>
            <w:pPr>
              <w:pStyle w:val="TableContents"/>
              <w:bidi w:val="0"/>
              <w:spacing w:before="0" w:after="283"/>
              <w:jc w:val="left"/>
              <w:rPr/>
            </w:pPr>
            <w:r>
              <w:rPr/>
              <w:t>  </w:t>
            </w:r>
          </w:p>
        </w:tc>
        <w:tc>
          <w:tcPr>
            <w:tcW w:w="5397" w:type="dxa"/>
            <w:gridSpan w:val="4"/>
            <w:tcBorders>
              <w:top w:val="single" w:sz="8" w:space="0" w:color="000000"/>
              <w:bottom w:val="single" w:sz="8" w:space="0" w:color="000000"/>
            </w:tcBorders>
            <w:shd w:fill="0171B9" w:val="clear"/>
            <w:tcMar>
              <w:top w:w="28" w:type="dxa"/>
              <w:bottom w:w="28" w:type="dxa"/>
            </w:tcMar>
            <w:vAlign w:val="center"/>
          </w:tcPr>
          <w:p>
            <w:pPr>
              <w:pStyle w:val="TableContents"/>
              <w:bidi w:val="0"/>
              <w:spacing w:before="0" w:after="283"/>
              <w:jc w:val="right"/>
              <w:rPr>
                <w:b/>
                <w:color w:val="FFFFFF"/>
              </w:rPr>
            </w:pPr>
            <w:r>
              <w:rPr>
                <w:b/>
                <w:color w:val="FFFFFF"/>
              </w:rPr>
              <w:t>Weighted Score Achieved 21.2%</w:t>
            </w:r>
          </w:p>
        </w:tc>
        <w:tc>
          <w:tcPr>
            <w:tcW w:w="77" w:type="dxa"/>
            <w:tcBorders>
              <w:top w:val="single" w:sz="8" w:space="0" w:color="000000"/>
              <w:bottom w:val="single" w:sz="8" w:space="0" w:color="000000"/>
            </w:tcBorders>
            <w:shd w:fill="0171B9" w:val="clear"/>
            <w:tcMar>
              <w:top w:w="28" w:type="dxa"/>
              <w:bottom w:w="28" w:type="dxa"/>
            </w:tcMar>
            <w:vAlign w:val="center"/>
          </w:tcPr>
          <w:p>
            <w:pPr>
              <w:pStyle w:val="TableContents"/>
              <w:bidi w:val="0"/>
              <w:spacing w:before="0" w:after="283"/>
              <w:jc w:val="left"/>
              <w:rPr/>
            </w:pPr>
            <w:r>
              <w:rPr/>
              <w:t> </w:t>
            </w:r>
          </w:p>
        </w:tc>
      </w:tr>
      <w:tr>
        <w:trPr/>
        <w:tc>
          <w:tcPr>
            <w:tcW w:w="3661" w:type="dxa"/>
            <w:tcBorders>
              <w:bottom w:val="single" w:sz="8" w:space="0" w:color="000000"/>
            </w:tcBorders>
            <w:shd w:fill="CCE2F1" w:val="clear"/>
            <w:tcMar>
              <w:bottom w:w="28" w:type="dxa"/>
            </w:tcMar>
            <w:vAlign w:val="center"/>
          </w:tcPr>
          <w:p>
            <w:pPr>
              <w:pStyle w:val="TableContents"/>
              <w:bidi w:val="0"/>
              <w:spacing w:lineRule="atLeast" w:line="240" w:before="0" w:after="0"/>
              <w:jc w:val="left"/>
              <w:rPr>
                <w:rFonts w:ascii="arial" w:hAnsi="arial"/>
                <w:b/>
                <w:sz w:val="16"/>
              </w:rPr>
            </w:pPr>
            <w:r>
              <w:rPr>
                <w:rFonts w:ascii="arial" w:hAnsi="arial"/>
                <w:b/>
                <w:sz w:val="16"/>
              </w:rPr>
              <w:t>Goals</w:t>
            </w:r>
          </w:p>
        </w:tc>
        <w:tc>
          <w:tcPr>
            <w:tcW w:w="60" w:type="dxa"/>
            <w:tcBorders>
              <w:bottom w:val="single" w:sz="8" w:space="0" w:color="000000"/>
            </w:tcBorders>
            <w:shd w:fill="CCE2F1" w:val="clear"/>
            <w:tcMar>
              <w:bottom w:w="28" w:type="dxa"/>
            </w:tcMar>
            <w:vAlign w:val="center"/>
          </w:tcPr>
          <w:p>
            <w:pPr>
              <w:pStyle w:val="TableContents"/>
              <w:bidi w:val="0"/>
              <w:spacing w:before="0" w:after="283"/>
              <w:jc w:val="left"/>
              <w:rPr/>
            </w:pPr>
            <w:r>
              <w:rPr/>
              <w:t> </w:t>
            </w:r>
          </w:p>
        </w:tc>
        <w:tc>
          <w:tcPr>
            <w:tcW w:w="830" w:type="dxa"/>
            <w:gridSpan w:val="2"/>
            <w:tcBorders>
              <w:bottom w:val="single" w:sz="8" w:space="0" w:color="000000"/>
            </w:tcBorders>
            <w:shd w:fill="CCE2F1" w:val="clear"/>
            <w:tcMar>
              <w:bottom w:w="28" w:type="dxa"/>
            </w:tcMar>
            <w:vAlign w:val="center"/>
          </w:tcPr>
          <w:p>
            <w:pPr>
              <w:pStyle w:val="TableContents"/>
              <w:bidi w:val="0"/>
              <w:spacing w:lineRule="atLeast" w:line="240" w:before="0" w:after="0"/>
              <w:jc w:val="right"/>
              <w:rPr>
                <w:rFonts w:ascii="arial" w:hAnsi="arial"/>
                <w:b/>
                <w:sz w:val="16"/>
              </w:rPr>
            </w:pPr>
            <w:r>
              <w:rPr>
                <w:rFonts w:ascii="arial" w:hAnsi="arial"/>
                <w:b/>
                <w:sz w:val="16"/>
              </w:rPr>
              <w:t>Weighting</w:t>
            </w:r>
          </w:p>
        </w:tc>
        <w:tc>
          <w:tcPr>
            <w:tcW w:w="60" w:type="dxa"/>
            <w:tcBorders>
              <w:bottom w:val="single" w:sz="8" w:space="0" w:color="000000"/>
            </w:tcBorders>
            <w:shd w:fill="CCE2F1" w:val="clear"/>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shd w:fill="CCE2F1" w:val="clear"/>
            <w:tcMar>
              <w:bottom w:w="28" w:type="dxa"/>
            </w:tcMar>
            <w:vAlign w:val="center"/>
          </w:tcPr>
          <w:p>
            <w:pPr>
              <w:pStyle w:val="TableContents"/>
              <w:bidi w:val="0"/>
              <w:spacing w:before="0" w:after="283"/>
              <w:jc w:val="left"/>
              <w:rPr/>
            </w:pPr>
            <w:r>
              <w:rPr/>
              <w:t>  </w:t>
            </w:r>
          </w:p>
        </w:tc>
        <w:tc>
          <w:tcPr>
            <w:tcW w:w="4577" w:type="dxa"/>
            <w:tcBorders>
              <w:bottom w:val="single" w:sz="8" w:space="0" w:color="000000"/>
            </w:tcBorders>
            <w:shd w:fill="CCE2F1" w:val="clear"/>
            <w:tcMar>
              <w:bottom w:w="28" w:type="dxa"/>
            </w:tcMar>
            <w:vAlign w:val="center"/>
          </w:tcPr>
          <w:p>
            <w:pPr>
              <w:pStyle w:val="TableContents"/>
              <w:bidi w:val="0"/>
              <w:spacing w:lineRule="atLeast" w:line="240" w:before="0" w:after="0"/>
              <w:jc w:val="left"/>
              <w:rPr>
                <w:rFonts w:ascii="arial" w:hAnsi="arial"/>
                <w:b/>
                <w:sz w:val="16"/>
              </w:rPr>
            </w:pPr>
            <w:r>
              <w:rPr>
                <w:rFonts w:ascii="arial" w:hAnsi="arial"/>
                <w:b/>
                <w:sz w:val="16"/>
              </w:rPr>
              <w:t>Results</w:t>
            </w:r>
          </w:p>
        </w:tc>
        <w:tc>
          <w:tcPr>
            <w:tcW w:w="60" w:type="dxa"/>
            <w:tcBorders>
              <w:bottom w:val="single" w:sz="8" w:space="0" w:color="000000"/>
            </w:tcBorders>
            <w:shd w:fill="CCE2F1" w:val="clear"/>
            <w:tcMar>
              <w:bottom w:w="28" w:type="dxa"/>
            </w:tcMar>
            <w:vAlign w:val="center"/>
          </w:tcPr>
          <w:p>
            <w:pPr>
              <w:pStyle w:val="TableContents"/>
              <w:bidi w:val="0"/>
              <w:spacing w:before="0" w:after="283"/>
              <w:jc w:val="left"/>
              <w:rPr/>
            </w:pPr>
            <w:r>
              <w:rPr/>
              <w:t> </w:t>
            </w:r>
          </w:p>
        </w:tc>
        <w:tc>
          <w:tcPr>
            <w:tcW w:w="760" w:type="dxa"/>
            <w:gridSpan w:val="2"/>
            <w:tcBorders>
              <w:bottom w:val="single" w:sz="8" w:space="0" w:color="000000"/>
            </w:tcBorders>
            <w:shd w:fill="CCE2F1" w:val="clear"/>
            <w:tcMar>
              <w:bottom w:w="28" w:type="dxa"/>
            </w:tcMar>
            <w:vAlign w:val="center"/>
          </w:tcPr>
          <w:p>
            <w:pPr>
              <w:pStyle w:val="TableContents"/>
              <w:bidi w:val="0"/>
              <w:spacing w:lineRule="atLeast" w:line="240" w:before="0" w:after="0"/>
              <w:jc w:val="right"/>
              <w:rPr>
                <w:rFonts w:ascii="arial" w:hAnsi="arial"/>
                <w:b/>
                <w:sz w:val="16"/>
              </w:rPr>
            </w:pPr>
            <w:r>
              <w:rPr>
                <w:rFonts w:ascii="arial" w:hAnsi="arial"/>
                <w:b/>
                <w:sz w:val="16"/>
              </w:rPr>
              <w:t>Achieved</w:t>
            </w:r>
          </w:p>
        </w:tc>
        <w:tc>
          <w:tcPr>
            <w:tcW w:w="77" w:type="dxa"/>
            <w:tcBorders>
              <w:bottom w:val="single" w:sz="8" w:space="0" w:color="000000"/>
            </w:tcBorders>
            <w:shd w:fill="CCE2F1" w:val="clear"/>
            <w:tcMar>
              <w:bottom w:w="28" w:type="dxa"/>
            </w:tcMar>
            <w:vAlign w:val="center"/>
          </w:tcPr>
          <w:p>
            <w:pPr>
              <w:pStyle w:val="TableContents"/>
              <w:bidi w:val="0"/>
              <w:spacing w:before="0" w:after="283"/>
              <w:jc w:val="left"/>
              <w:rPr/>
            </w:pPr>
            <w:r>
              <w:rPr/>
              <w:t> </w:t>
            </w:r>
          </w:p>
        </w:tc>
      </w:tr>
      <w:tr>
        <w:trPr/>
        <w:tc>
          <w:tcPr>
            <w:tcW w:w="3661" w:type="dxa"/>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4697" w:type="dxa"/>
            <w:gridSpan w:val="2"/>
            <w:tcBorders/>
            <w:vAlign w:val="center"/>
          </w:tcPr>
          <w:p>
            <w:pPr>
              <w:pStyle w:val="TableContents"/>
              <w:bidi w:val="0"/>
              <w:spacing w:before="0" w:after="283"/>
              <w:jc w:val="left"/>
              <w:rPr>
                <w:sz w:val="4"/>
                <w:szCs w:val="4"/>
              </w:rPr>
            </w:pPr>
            <w:r>
              <w:rPr>
                <w:sz w:val="4"/>
                <w:szCs w:val="4"/>
              </w:rPr>
            </w:r>
          </w:p>
        </w:tc>
        <w:tc>
          <w:tcPr>
            <w:tcW w:w="897" w:type="dxa"/>
            <w:gridSpan w:val="4"/>
            <w:tcBorders/>
            <w:vAlign w:val="center"/>
          </w:tcPr>
          <w:p>
            <w:pPr>
              <w:pStyle w:val="TableContents"/>
              <w:bidi w:val="0"/>
              <w:spacing w:before="0" w:after="283"/>
              <w:jc w:val="left"/>
              <w:rPr>
                <w:sz w:val="4"/>
                <w:szCs w:val="4"/>
              </w:rPr>
            </w:pPr>
            <w:r>
              <w:rPr>
                <w:sz w:val="4"/>
                <w:szCs w:val="4"/>
              </w:rPr>
            </w:r>
          </w:p>
        </w:tc>
      </w:tr>
      <w:tr>
        <w:trPr/>
        <w:tc>
          <w:tcPr>
            <w:tcW w:w="3661" w:type="dxa"/>
            <w:tcBorders>
              <w:bottom w:val="single" w:sz="8" w:space="0" w:color="000000"/>
            </w:tcBorders>
            <w:tcMar>
              <w:bottom w:w="28" w:type="dxa"/>
            </w:tcMar>
            <w:vAlign w:val="center"/>
          </w:tcPr>
          <w:p>
            <w:pPr>
              <w:pStyle w:val="TableContents"/>
              <w:bidi w:val="0"/>
              <w:spacing w:before="0" w:after="0"/>
              <w:jc w:val="left"/>
              <w:rPr>
                <w:rFonts w:ascii="arial" w:hAnsi="arial"/>
                <w:b/>
                <w:i/>
                <w:color w:val="0171B9"/>
                <w:sz w:val="16"/>
              </w:rPr>
            </w:pPr>
            <w:r>
              <w:rPr>
                <w:rFonts w:ascii="arial" w:hAnsi="arial"/>
                <w:b/>
                <w:i/>
                <w:color w:val="0171B9"/>
                <w:sz w:val="16"/>
              </w:rPr>
              <w:t>Environmental, Social, and Governance—</w:t>
            </w:r>
          </w:p>
          <w:p>
            <w:pPr>
              <w:pStyle w:val="TableContents"/>
              <w:bidi w:val="0"/>
              <w:spacing w:before="0" w:after="0"/>
              <w:jc w:val="left"/>
              <w:rPr>
                <w:rFonts w:ascii="arial" w:hAnsi="arial"/>
                <w:i/>
                <w:sz w:val="16"/>
              </w:rPr>
            </w:pPr>
            <w:r>
              <w:rPr>
                <w:rFonts w:ascii="arial" w:hAnsi="arial"/>
                <w:i/>
                <w:sz w:val="16"/>
              </w:rPr>
              <w:t>After the successful delivery on our 2022 ESG goal, our 2023 goal was expanded:</w:t>
            </w:r>
          </w:p>
          <w:p>
            <w:pPr>
              <w:pStyle w:val="TableContents"/>
              <w:bidi w:val="0"/>
              <w:spacing w:before="0" w:after="0"/>
              <w:jc w:val="left"/>
              <w:rPr/>
            </w:pPr>
            <w:r>
              <w:rPr/>
              <w:t> </w:t>
            </w:r>
          </w:p>
          <w:p>
            <w:pPr>
              <w:pStyle w:val="TableContents"/>
              <w:bidi w:val="0"/>
              <w:spacing w:before="0" w:after="0"/>
              <w:jc w:val="left"/>
              <w:rPr/>
            </w:pPr>
            <w:r>
              <w:rPr>
                <w:color w:val="0171B9"/>
              </w:rPr>
              <w:t>•</w:t>
            </w:r>
            <w:r>
              <w:rPr/>
              <w:t>  </w:t>
            </w:r>
            <w:r>
              <w:rPr>
                <w:rFonts w:ascii="arial" w:hAnsi="arial"/>
                <w:i/>
                <w:sz w:val="16"/>
              </w:rPr>
              <w:t>to challenge ourselves to continue to advance towards our 2027 environmental sustainability goals;</w:t>
            </w:r>
          </w:p>
          <w:p>
            <w:pPr>
              <w:pStyle w:val="TableContents"/>
              <w:bidi w:val="0"/>
              <w:spacing w:before="0" w:after="0"/>
              <w:jc w:val="left"/>
              <w:rPr/>
            </w:pPr>
            <w:r>
              <w:rPr/>
              <w:t> </w:t>
            </w:r>
          </w:p>
          <w:p>
            <w:pPr>
              <w:pStyle w:val="TableContents"/>
              <w:bidi w:val="0"/>
              <w:spacing w:before="0" w:after="0"/>
              <w:jc w:val="left"/>
              <w:rPr/>
            </w:pPr>
            <w:r>
              <w:rPr>
                <w:color w:val="0171B9"/>
              </w:rPr>
              <w:t>•</w:t>
            </w:r>
            <w:r>
              <w:rPr/>
              <w:t>  </w:t>
            </w:r>
            <w:r>
              <w:rPr>
                <w:rFonts w:ascii="arial" w:hAnsi="arial"/>
                <w:i/>
                <w:sz w:val="16"/>
              </w:rPr>
              <w:t>to establish a measurement infrastructure for our Representation in Clinical Research (RISE) objectives; and</w:t>
            </w:r>
          </w:p>
          <w:p>
            <w:pPr>
              <w:pStyle w:val="TableContents"/>
              <w:bidi w:val="0"/>
              <w:spacing w:before="0" w:after="0"/>
              <w:jc w:val="left"/>
              <w:rPr/>
            </w:pPr>
            <w:r>
              <w:rPr/>
              <w:t> </w:t>
            </w:r>
          </w:p>
          <w:p>
            <w:pPr>
              <w:pStyle w:val="TableContents"/>
              <w:bidi w:val="0"/>
              <w:spacing w:before="0" w:after="0"/>
              <w:jc w:val="left"/>
              <w:rPr/>
            </w:pPr>
            <w:r>
              <w:rPr>
                <w:color w:val="0171B9"/>
              </w:rPr>
              <w:t>•</w:t>
            </w:r>
            <w:r>
              <w:rPr/>
              <w:t>  </w:t>
            </w:r>
            <w:r>
              <w:rPr>
                <w:rFonts w:ascii="arial" w:hAnsi="arial"/>
                <w:i/>
                <w:sz w:val="16"/>
              </w:rPr>
              <w:t>to increase the number of leaders accountable for action in support of our diversity, inclusion, and belonging program</w:t>
            </w:r>
          </w:p>
          <w:p>
            <w:pPr>
              <w:pStyle w:val="TableContents"/>
              <w:bidi w:val="0"/>
              <w:spacing w:before="0" w:after="20"/>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81" w:type="dxa"/>
            <w:tcBorders>
              <w:bottom w:val="single" w:sz="8" w:space="0" w:color="000000"/>
            </w:tcBorders>
            <w:tcMar>
              <w:bottom w:w="28" w:type="dxa"/>
            </w:tcMar>
            <w:vAlign w:val="center"/>
          </w:tcPr>
          <w:p>
            <w:pPr>
              <w:pStyle w:val="TableContents"/>
              <w:bidi w:val="0"/>
              <w:spacing w:before="0" w:after="283"/>
              <w:jc w:val="left"/>
              <w:rPr/>
            </w:pPr>
            <w:r>
              <w:rPr/>
              <w:t> </w:t>
            </w:r>
          </w:p>
        </w:tc>
        <w:tc>
          <w:tcPr>
            <w:tcW w:w="649" w:type="dxa"/>
            <w:tcBorders>
              <w:bottom w:val="single" w:sz="8" w:space="0" w:color="000000"/>
            </w:tcBorders>
            <w:tcMar>
              <w:bottom w:w="28" w:type="dxa"/>
            </w:tcMar>
            <w:vAlign w:val="center"/>
          </w:tcPr>
          <w:p>
            <w:pPr>
              <w:pStyle w:val="TableContents"/>
              <w:bidi w:val="0"/>
              <w:spacing w:before="0" w:after="283"/>
              <w:jc w:val="right"/>
              <w:rPr/>
            </w:pPr>
            <w:r>
              <w:rPr/>
              <w:t>5%</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4577" w:type="dxa"/>
            <w:tcBorders>
              <w:bottom w:val="single" w:sz="8" w:space="0" w:color="000000"/>
            </w:tcBorders>
            <w:tcMar>
              <w:bottom w:w="28" w:type="dxa"/>
            </w:tcMar>
            <w:vAlign w:val="center"/>
          </w:tcPr>
          <w:p>
            <w:pPr>
              <w:pStyle w:val="TableContents"/>
              <w:bidi w:val="0"/>
              <w:spacing w:before="0" w:after="0"/>
              <w:jc w:val="both"/>
              <w:rPr/>
            </w:pPr>
            <w:r>
              <w:rPr>
                <w:color w:val="0171B9"/>
              </w:rPr>
              <w:t>•</w:t>
            </w:r>
            <w:r>
              <w:rPr/>
              <w:t>  </w:t>
            </w:r>
            <w:r>
              <w:rPr>
                <w:rFonts w:ascii="arial" w:hAnsi="arial"/>
                <w:sz w:val="16"/>
              </w:rPr>
              <w:t>To challenge ourselves by advancing our execution on our environmental sustainability 2027 goals, we established a Company environmental goal at the enterprise-wide level, with the following requirements:</w:t>
            </w:r>
          </w:p>
          <w:p>
            <w:pPr>
              <w:pStyle w:val="TableContents"/>
              <w:bidi w:val="0"/>
              <w:spacing w:before="0" w:after="0"/>
              <w:jc w:val="left"/>
              <w:rPr/>
            </w:pPr>
            <w:r>
              <w:rPr/>
              <w:t> </w:t>
            </w:r>
          </w:p>
          <w:p>
            <w:pPr>
              <w:pStyle w:val="TableContents"/>
              <w:bidi w:val="0"/>
              <w:spacing w:before="0" w:after="0"/>
              <w:jc w:val="both"/>
              <w:rPr>
                <w:rFonts w:ascii="arial" w:hAnsi="arial"/>
                <w:sz w:val="16"/>
              </w:rPr>
            </w:pPr>
            <w:r>
              <w:rPr>
                <w:rFonts w:ascii="SYMBOL" w:hAnsi="SYMBOL"/>
                <w:sz w:val="16"/>
              </w:rPr>
              <w:t>-</w:t>
            </w:r>
            <w:r>
              <w:rPr>
                <w:rFonts w:ascii="arial" w:hAnsi="arial"/>
                <w:sz w:val="16"/>
              </w:rPr>
              <w:t>  Timely achievement of conservation targets that meet specific percentage reductions for each of the three goal components (total carbon reduction, total water reduction, and total waste reduction) in 2023 that systematically advance towards our 2027 environmental sustainability goals.</w:t>
            </w:r>
          </w:p>
          <w:p>
            <w:pPr>
              <w:pStyle w:val="TableContents"/>
              <w:bidi w:val="0"/>
              <w:spacing w:before="0" w:after="0"/>
              <w:jc w:val="left"/>
              <w:rPr/>
            </w:pPr>
            <w:r>
              <w:rPr/>
              <w:t> </w:t>
            </w:r>
          </w:p>
          <w:p>
            <w:pPr>
              <w:pStyle w:val="TableContents"/>
              <w:bidi w:val="0"/>
              <w:spacing w:before="0" w:after="0"/>
              <w:jc w:val="both"/>
              <w:rPr/>
            </w:pPr>
            <w:r>
              <w:rPr/>
              <w:t>   </w:t>
            </w:r>
            <w:r>
              <w:rPr>
                <w:rFonts w:ascii="arial" w:hAnsi="arial"/>
                <w:sz w:val="16"/>
              </w:rPr>
              <w:t>Our performance was ~25% above target in the aggregate for the specific percentage reductions for the three goal components (total carbon reduction, total water reduction, and total waste reduction) and resulted in performance that was above-target (but less than maximum) achievement under this goal.</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6"/>
              </w:rPr>
              <w:t>To drive achievement of Representation in Clinical Research (RISE) objectives in support of our innovation strategic priority, we established a measurement infrastructure, including by:</w:t>
            </w:r>
          </w:p>
          <w:p>
            <w:pPr>
              <w:pStyle w:val="TableContents"/>
              <w:bidi w:val="0"/>
              <w:spacing w:before="0" w:after="0"/>
              <w:jc w:val="left"/>
              <w:rPr/>
            </w:pPr>
            <w:r>
              <w:rPr/>
              <w:t> </w:t>
            </w:r>
          </w:p>
          <w:p>
            <w:pPr>
              <w:pStyle w:val="TableContents"/>
              <w:bidi w:val="0"/>
              <w:spacing w:before="0" w:after="0"/>
              <w:jc w:val="both"/>
              <w:rPr>
                <w:rFonts w:ascii="arial" w:hAnsi="arial"/>
                <w:sz w:val="16"/>
              </w:rPr>
            </w:pPr>
            <w:r>
              <w:rPr>
                <w:rFonts w:ascii="SYMBOL" w:hAnsi="SYMBOL"/>
                <w:sz w:val="16"/>
              </w:rPr>
              <w:t>-</w:t>
            </w:r>
            <w:r>
              <w:rPr>
                <w:rFonts w:ascii="arial" w:hAnsi="arial"/>
                <w:sz w:val="16"/>
              </w:rPr>
              <w:t>  Defining our success criteria for improvement in representative enrollment in clinical trials as compared to historical baseline;</w:t>
            </w:r>
          </w:p>
          <w:p>
            <w:pPr>
              <w:pStyle w:val="TableContents"/>
              <w:bidi w:val="0"/>
              <w:spacing w:before="0" w:after="0"/>
              <w:jc w:val="left"/>
              <w:rPr/>
            </w:pPr>
            <w:r>
              <w:rPr/>
              <w:t> </w:t>
            </w:r>
          </w:p>
          <w:p>
            <w:pPr>
              <w:pStyle w:val="TableContents"/>
              <w:bidi w:val="0"/>
              <w:spacing w:before="0" w:after="0"/>
              <w:jc w:val="both"/>
              <w:rPr>
                <w:rFonts w:ascii="arial" w:hAnsi="arial"/>
                <w:sz w:val="16"/>
              </w:rPr>
            </w:pPr>
            <w:r>
              <w:rPr>
                <w:rFonts w:ascii="SYMBOL" w:hAnsi="SYMBOL"/>
                <w:sz w:val="16"/>
              </w:rPr>
              <w:t>-</w:t>
            </w:r>
            <w:r>
              <w:rPr>
                <w:rFonts w:ascii="arial" w:hAnsi="arial"/>
                <w:sz w:val="16"/>
              </w:rPr>
              <w:t>  Defining key performance indicators to measure incorporation of diversity considerations in design and operational plans of interventional Phase 3 studies being conducted in the U.S.; and</w:t>
            </w:r>
          </w:p>
          <w:p>
            <w:pPr>
              <w:pStyle w:val="TableContents"/>
              <w:bidi w:val="0"/>
              <w:spacing w:before="0" w:after="0"/>
              <w:jc w:val="left"/>
              <w:rPr/>
            </w:pPr>
            <w:r>
              <w:rPr/>
              <w:t> </w:t>
            </w:r>
          </w:p>
          <w:p>
            <w:pPr>
              <w:pStyle w:val="TableContents"/>
              <w:bidi w:val="0"/>
              <w:spacing w:before="0" w:after="0"/>
              <w:jc w:val="both"/>
              <w:rPr>
                <w:rFonts w:ascii="arial" w:hAnsi="arial"/>
                <w:sz w:val="16"/>
              </w:rPr>
            </w:pPr>
            <w:r>
              <w:rPr>
                <w:rFonts w:ascii="SYMBOL" w:hAnsi="SYMBOL"/>
                <w:sz w:val="16"/>
              </w:rPr>
              <w:t>-</w:t>
            </w:r>
            <w:r>
              <w:rPr>
                <w:rFonts w:ascii="arial" w:hAnsi="arial"/>
                <w:sz w:val="16"/>
              </w:rPr>
              <w:t>  Developing a tracking system to monitor these key performance indicators.</w:t>
            </w:r>
          </w:p>
          <w:p>
            <w:pPr>
              <w:pStyle w:val="TableContents"/>
              <w:bidi w:val="0"/>
              <w:spacing w:before="0" w:after="0"/>
              <w:jc w:val="left"/>
              <w:rPr/>
            </w:pPr>
            <w:r>
              <w:rPr/>
              <w:t> </w:t>
            </w:r>
          </w:p>
          <w:p>
            <w:pPr>
              <w:pStyle w:val="TableContents"/>
              <w:bidi w:val="0"/>
              <w:spacing w:before="0" w:after="0"/>
              <w:jc w:val="both"/>
              <w:rPr/>
            </w:pPr>
            <w:r>
              <w:rPr/>
              <w:t>    </w:t>
            </w:r>
            <w:r>
              <w:rPr>
                <w:rFonts w:ascii="arial" w:hAnsi="arial"/>
                <w:sz w:val="16"/>
              </w:rPr>
              <w:t>Achievement of all three elements of the infrastructure resulted in the maximum achievement under this goal.</w:t>
            </w:r>
          </w:p>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6"/>
              </w:rPr>
              <w:t>To drive ownership and accountability deeper into the organization in support of our continuous improvement strategic priority, our diversity, inclusion, and belonging goal by increasing the number of leaders accountable for action to actively communicate our culture of belonging to all staff. Leaders at the senior manager and above levels were required to establish, document, and execute diversity, inclusion, and belonging action plans in 2023 with a target goal of 90% participation.</w:t>
            </w:r>
          </w:p>
          <w:p>
            <w:pPr>
              <w:pStyle w:val="TableContents"/>
              <w:bidi w:val="0"/>
              <w:spacing w:before="0" w:after="0"/>
              <w:jc w:val="left"/>
              <w:rPr/>
            </w:pPr>
            <w:r>
              <w:rPr/>
              <w:t> </w:t>
            </w:r>
          </w:p>
          <w:p>
            <w:pPr>
              <w:pStyle w:val="TableContents"/>
              <w:bidi w:val="0"/>
              <w:spacing w:before="0" w:after="0"/>
              <w:jc w:val="both"/>
              <w:rPr>
                <w:rFonts w:ascii="arial" w:hAnsi="arial"/>
                <w:sz w:val="16"/>
              </w:rPr>
            </w:pPr>
            <w:r>
              <w:rPr>
                <w:rFonts w:ascii="SYMBOL" w:hAnsi="SYMBOL"/>
                <w:sz w:val="16"/>
              </w:rPr>
              <w:t>-</w:t>
            </w:r>
            <w:r>
              <w:rPr>
                <w:rFonts w:ascii="arial" w:hAnsi="arial"/>
                <w:sz w:val="16"/>
              </w:rPr>
              <w:t>  We achieved 98% participation with leaders establishing, documenting, and executing on their diversity, inclusion, and belonging action plans in 2023.</w:t>
            </w:r>
          </w:p>
          <w:p>
            <w:pPr>
              <w:pStyle w:val="TableContents"/>
              <w:bidi w:val="0"/>
              <w:spacing w:before="0" w:after="20"/>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color w:val="0171B9"/>
              </w:rPr>
            </w:pPr>
            <w:r>
              <w:rPr>
                <w:color w:val="0171B9"/>
              </w:rPr>
              <w:t> </w:t>
            </w:r>
          </w:p>
        </w:tc>
        <w:tc>
          <w:tcPr>
            <w:tcW w:w="700" w:type="dxa"/>
            <w:tcBorders>
              <w:bottom w:val="single" w:sz="8" w:space="0" w:color="000000"/>
            </w:tcBorders>
            <w:tcMar>
              <w:bottom w:w="28" w:type="dxa"/>
            </w:tcMar>
            <w:vAlign w:val="center"/>
          </w:tcPr>
          <w:p>
            <w:pPr>
              <w:pStyle w:val="TableContents"/>
              <w:bidi w:val="0"/>
              <w:spacing w:before="0" w:after="283"/>
              <w:jc w:val="right"/>
              <w:rPr>
                <w:color w:val="0171B9"/>
              </w:rPr>
            </w:pPr>
            <w:r>
              <w:rPr>
                <w:color w:val="0171B9"/>
              </w:rPr>
              <w:t>197.3%</w:t>
            </w:r>
          </w:p>
        </w:tc>
        <w:tc>
          <w:tcPr>
            <w:tcW w:w="77" w:type="dxa"/>
            <w:tcBorders>
              <w:bottom w:val="single" w:sz="8" w:space="0" w:color="000000"/>
            </w:tcBorders>
            <w:tcMar>
              <w:bottom w:w="28" w:type="dxa"/>
            </w:tcMar>
            <w:vAlign w:val="center"/>
          </w:tcPr>
          <w:p>
            <w:pPr>
              <w:pStyle w:val="TableContents"/>
              <w:bidi w:val="0"/>
              <w:spacing w:before="0" w:after="283"/>
              <w:jc w:val="left"/>
              <w:rPr>
                <w:color w:val="0171B9"/>
              </w:rPr>
            </w:pPr>
            <w:r>
              <w:rPr>
                <w:color w:val="0171B9"/>
              </w:rPr>
              <w:t> </w:t>
            </w:r>
          </w:p>
        </w:tc>
      </w:tr>
      <w:tr>
        <w:trPr/>
        <w:tc>
          <w:tcPr>
            <w:tcW w:w="3661" w:type="dxa"/>
            <w:tcBorders/>
            <w:vAlign w:val="center"/>
          </w:tcPr>
          <w:p>
            <w:pPr>
              <w:pStyle w:val="TableContents"/>
              <w:bidi w:val="0"/>
              <w:spacing w:before="0" w:after="283"/>
              <w:jc w:val="left"/>
              <w:rPr>
                <w:sz w:val="4"/>
                <w:szCs w:val="4"/>
              </w:rPr>
            </w:pPr>
            <w:r>
              <w:rPr>
                <w:sz w:val="4"/>
                <w:szCs w:val="4"/>
              </w:rPr>
            </w:r>
          </w:p>
        </w:tc>
        <w:tc>
          <w:tcPr>
            <w:tcW w:w="950" w:type="dxa"/>
            <w:gridSpan w:val="4"/>
            <w:tcBorders/>
            <w:vAlign w:val="center"/>
          </w:tcPr>
          <w:p>
            <w:pPr>
              <w:pStyle w:val="TableContents"/>
              <w:bidi w:val="0"/>
              <w:spacing w:before="0" w:after="283"/>
              <w:jc w:val="left"/>
              <w:rPr>
                <w:sz w:val="4"/>
                <w:szCs w:val="4"/>
              </w:rPr>
            </w:pPr>
            <w:r>
              <w:rPr>
                <w:sz w:val="4"/>
                <w:szCs w:val="4"/>
              </w:rPr>
            </w:r>
          </w:p>
        </w:tc>
        <w:tc>
          <w:tcPr>
            <w:tcW w:w="4697" w:type="dxa"/>
            <w:gridSpan w:val="2"/>
            <w:tcBorders/>
            <w:vAlign w:val="center"/>
          </w:tcPr>
          <w:p>
            <w:pPr>
              <w:pStyle w:val="TableContents"/>
              <w:bidi w:val="0"/>
              <w:spacing w:before="0" w:after="283"/>
              <w:jc w:val="left"/>
              <w:rPr>
                <w:sz w:val="4"/>
                <w:szCs w:val="4"/>
              </w:rPr>
            </w:pPr>
            <w:r>
              <w:rPr>
                <w:sz w:val="4"/>
                <w:szCs w:val="4"/>
              </w:rPr>
            </w:r>
          </w:p>
        </w:tc>
        <w:tc>
          <w:tcPr>
            <w:tcW w:w="897" w:type="dxa"/>
            <w:gridSpan w:val="4"/>
            <w:tcBorders/>
            <w:vAlign w:val="center"/>
          </w:tcPr>
          <w:p>
            <w:pPr>
              <w:pStyle w:val="TableContents"/>
              <w:bidi w:val="0"/>
              <w:spacing w:before="0" w:after="283"/>
              <w:jc w:val="left"/>
              <w:rPr>
                <w:sz w:val="4"/>
                <w:szCs w:val="4"/>
              </w:rPr>
            </w:pPr>
            <w:r>
              <w:rPr>
                <w:sz w:val="4"/>
                <w:szCs w:val="4"/>
              </w:rPr>
            </w:r>
          </w:p>
        </w:tc>
      </w:tr>
      <w:tr>
        <w:trPr/>
        <w:tc>
          <w:tcPr>
            <w:tcW w:w="3661" w:type="dxa"/>
            <w:tcBorders>
              <w:bottom w:val="single" w:sz="8" w:space="0" w:color="000000"/>
            </w:tcBorders>
            <w:tcMar>
              <w:bottom w:w="28" w:type="dxa"/>
            </w:tcMar>
            <w:vAlign w:val="center"/>
          </w:tcPr>
          <w:p>
            <w:pPr>
              <w:pStyle w:val="TableContents"/>
              <w:bidi w:val="0"/>
              <w:spacing w:before="0" w:after="0"/>
              <w:jc w:val="left"/>
              <w:rPr>
                <w:rFonts w:ascii="arial" w:hAnsi="arial"/>
                <w:b/>
                <w:i/>
                <w:color w:val="0171B9"/>
                <w:sz w:val="16"/>
              </w:rPr>
            </w:pPr>
            <w:r>
              <w:rPr>
                <w:rFonts w:ascii="arial" w:hAnsi="arial"/>
                <w:b/>
                <w:i/>
                <w:color w:val="0171B9"/>
                <w:sz w:val="16"/>
              </w:rPr>
              <w:t>Successful Integrations and Collaborations —</w:t>
            </w:r>
          </w:p>
          <w:p>
            <w:pPr>
              <w:pStyle w:val="TableContents"/>
              <w:bidi w:val="0"/>
              <w:spacing w:before="0" w:after="0"/>
              <w:jc w:val="left"/>
              <w:rPr>
                <w:rFonts w:ascii="arial" w:hAnsi="arial"/>
                <w:i/>
                <w:sz w:val="16"/>
              </w:rPr>
            </w:pPr>
            <w:r>
              <w:rPr>
                <w:rFonts w:ascii="arial" w:hAnsi="arial"/>
                <w:i/>
                <w:sz w:val="16"/>
              </w:rPr>
              <w:t>Focused on integrating acquisitions and collaborations</w:t>
            </w:r>
          </w:p>
          <w:p>
            <w:pPr>
              <w:pStyle w:val="TableContents"/>
              <w:bidi w:val="0"/>
              <w:spacing w:before="0" w:after="20"/>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81" w:type="dxa"/>
            <w:tcBorders>
              <w:bottom w:val="single" w:sz="8" w:space="0" w:color="000000"/>
            </w:tcBorders>
            <w:tcMar>
              <w:bottom w:w="28" w:type="dxa"/>
            </w:tcMar>
            <w:vAlign w:val="center"/>
          </w:tcPr>
          <w:p>
            <w:pPr>
              <w:pStyle w:val="TableContents"/>
              <w:bidi w:val="0"/>
              <w:spacing w:before="0" w:after="283"/>
              <w:jc w:val="left"/>
              <w:rPr/>
            </w:pPr>
            <w:r>
              <w:rPr/>
              <w:t> </w:t>
            </w:r>
          </w:p>
        </w:tc>
        <w:tc>
          <w:tcPr>
            <w:tcW w:w="649" w:type="dxa"/>
            <w:tcBorders>
              <w:bottom w:val="single" w:sz="8" w:space="0" w:color="000000"/>
            </w:tcBorders>
            <w:tcMar>
              <w:bottom w:w="28" w:type="dxa"/>
            </w:tcMar>
            <w:vAlign w:val="center"/>
          </w:tcPr>
          <w:p>
            <w:pPr>
              <w:pStyle w:val="TableContents"/>
              <w:bidi w:val="0"/>
              <w:spacing w:before="0" w:after="283"/>
              <w:jc w:val="right"/>
              <w:rPr/>
            </w:pPr>
            <w:r>
              <w:rPr/>
              <w:t>5%</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4577" w:type="dxa"/>
            <w:tcBorders>
              <w:bottom w:val="single" w:sz="8" w:space="0" w:color="000000"/>
            </w:tcBorders>
            <w:tcMar>
              <w:bottom w:w="28" w:type="dxa"/>
            </w:tcMar>
            <w:vAlign w:val="center"/>
          </w:tcPr>
          <w:p>
            <w:pPr>
              <w:pStyle w:val="TableContents"/>
              <w:bidi w:val="0"/>
              <w:spacing w:before="0" w:after="0"/>
              <w:jc w:val="both"/>
              <w:rPr/>
            </w:pPr>
            <w:r>
              <w:rPr>
                <w:color w:val="0171B9"/>
              </w:rPr>
              <w:t>•</w:t>
            </w:r>
            <w:r>
              <w:rPr/>
              <w:t>  </w:t>
            </w:r>
            <w:r>
              <w:rPr>
                <w:rFonts w:ascii="arial" w:hAnsi="arial"/>
                <w:sz w:val="16"/>
              </w:rPr>
              <w:t>To drive the successful integration of our October 2022 acquisition of ChemoCentryx, we established goals:</w:t>
            </w:r>
          </w:p>
          <w:p>
            <w:pPr>
              <w:pStyle w:val="TableContents"/>
              <w:bidi w:val="0"/>
              <w:spacing w:before="0" w:after="0"/>
              <w:jc w:val="left"/>
              <w:rPr/>
            </w:pPr>
            <w:r>
              <w:rPr/>
              <w:t> </w:t>
            </w:r>
          </w:p>
          <w:p>
            <w:pPr>
              <w:pStyle w:val="TableContents"/>
              <w:bidi w:val="0"/>
              <w:spacing w:before="0" w:after="0"/>
              <w:jc w:val="both"/>
              <w:rPr>
                <w:rFonts w:ascii="arial" w:hAnsi="arial"/>
                <w:sz w:val="16"/>
              </w:rPr>
            </w:pPr>
            <w:r>
              <w:rPr>
                <w:rFonts w:ascii="SYMBOL" w:hAnsi="SYMBOL"/>
                <w:sz w:val="16"/>
              </w:rPr>
              <w:t>-</w:t>
            </w:r>
            <w:r>
              <w:rPr>
                <w:rFonts w:ascii="arial" w:hAnsi="arial"/>
                <w:sz w:val="16"/>
              </w:rPr>
              <w:t>  To challenge our employees to implement a new go-to-market model to improve patient access to TAVNEOS (a first-in-class treatment for active ANCA-associated vasculitis, a rare autoimmune disease) by increasing new prescribers; and</w:t>
            </w:r>
          </w:p>
          <w:p>
            <w:pPr>
              <w:pStyle w:val="TableContents"/>
              <w:bidi w:val="0"/>
              <w:spacing w:before="0" w:after="0"/>
              <w:jc w:val="left"/>
              <w:rPr/>
            </w:pPr>
            <w:r>
              <w:rPr/>
              <w:t> </w:t>
            </w:r>
          </w:p>
          <w:p>
            <w:pPr>
              <w:pStyle w:val="TableContents"/>
              <w:bidi w:val="0"/>
              <w:spacing w:before="0" w:after="0"/>
              <w:jc w:val="both"/>
              <w:rPr>
                <w:rFonts w:ascii="arial" w:hAnsi="arial"/>
                <w:sz w:val="16"/>
              </w:rPr>
            </w:pPr>
            <w:r>
              <w:rPr>
                <w:rFonts w:ascii="SYMBOL" w:hAnsi="SYMBOL"/>
                <w:sz w:val="16"/>
              </w:rPr>
              <w:t>-</w:t>
            </w:r>
            <w:r>
              <w:rPr>
                <w:rFonts w:ascii="arial" w:hAnsi="arial"/>
                <w:sz w:val="16"/>
              </w:rPr>
              <w:t>  To seek to substantially retain key ChemoCentryx commercial field and medical staff members to maximize our opportunities to advance the knowledge and adoption of TAVNEOS with external stakeholders.</w:t>
            </w:r>
          </w:p>
          <w:p>
            <w:pPr>
              <w:pStyle w:val="TableContents"/>
              <w:bidi w:val="0"/>
              <w:spacing w:before="0" w:after="0"/>
              <w:jc w:val="left"/>
              <w:rPr/>
            </w:pPr>
            <w:r>
              <w:rPr/>
              <w:t> </w:t>
            </w:r>
          </w:p>
          <w:p>
            <w:pPr>
              <w:pStyle w:val="TableContents"/>
              <w:bidi w:val="0"/>
              <w:spacing w:before="0" w:after="0"/>
              <w:jc w:val="both"/>
              <w:rPr/>
            </w:pPr>
            <w:r>
              <w:rPr/>
              <w:t>    </w:t>
            </w:r>
            <w:r>
              <w:rPr>
                <w:rFonts w:ascii="arial" w:hAnsi="arial"/>
                <w:sz w:val="16"/>
              </w:rPr>
              <w:t>A target of 500 new TAVNEOS prescribers and retention of 80% of ChemoCentryx’s commercial field and medical staff were set. We substantially exceeded the new TAVNEOS prescribers target (with 945 new prescribers) and ChemoCentryx commercial field and medical staff retention target (with retention of 95%) such that we achieved the maximum performance for this goal.</w:t>
            </w:r>
          </w:p>
          <w:p>
            <w:pPr>
              <w:pStyle w:val="TableContents"/>
              <w:bidi w:val="0"/>
              <w:spacing w:before="0" w:after="0"/>
              <w:jc w:val="left"/>
              <w:rPr/>
            </w:pPr>
            <w:r>
              <w:rPr/>
              <w:t> </w:t>
            </w:r>
          </w:p>
          <w:p>
            <w:pPr>
              <w:pStyle w:val="TableContents"/>
              <w:bidi w:val="0"/>
              <w:spacing w:before="0" w:after="0"/>
              <w:jc w:val="both"/>
              <w:rPr/>
            </w:pPr>
            <w:r>
              <w:rPr/>
              <w:t>   </w:t>
            </w:r>
            <w:r>
              <w:rPr>
                <w:rFonts w:ascii="arial" w:hAnsi="arial"/>
                <w:sz w:val="16"/>
              </w:rPr>
              <w:t>Learnings from this goal and successful integration of the rare disease portfolio acquired from ChemoCentryx also prepared us to effectively integrate our larger Horizon acquisition and its first-in-class or best-in-class innovative medicines that address rare autoimmune diseases.</w:t>
            </w:r>
          </w:p>
          <w:p>
            <w:pPr>
              <w:pStyle w:val="TableContents"/>
              <w:bidi w:val="0"/>
              <w:spacing w:before="0" w:after="20"/>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color w:val="0171B9"/>
              </w:rPr>
            </w:pPr>
            <w:r>
              <w:rPr>
                <w:color w:val="0171B9"/>
              </w:rPr>
              <w:t> </w:t>
            </w:r>
          </w:p>
        </w:tc>
        <w:tc>
          <w:tcPr>
            <w:tcW w:w="700" w:type="dxa"/>
            <w:tcBorders>
              <w:bottom w:val="single" w:sz="8" w:space="0" w:color="000000"/>
            </w:tcBorders>
            <w:tcMar>
              <w:bottom w:w="28" w:type="dxa"/>
            </w:tcMar>
            <w:vAlign w:val="center"/>
          </w:tcPr>
          <w:p>
            <w:pPr>
              <w:pStyle w:val="TableContents"/>
              <w:bidi w:val="0"/>
              <w:spacing w:before="0" w:after="283"/>
              <w:jc w:val="right"/>
              <w:rPr>
                <w:color w:val="0171B9"/>
              </w:rPr>
            </w:pPr>
            <w:r>
              <w:rPr>
                <w:color w:val="0171B9"/>
              </w:rPr>
              <w:t>225.0%</w:t>
            </w:r>
          </w:p>
        </w:tc>
        <w:tc>
          <w:tcPr>
            <w:tcW w:w="77" w:type="dxa"/>
            <w:tcBorders>
              <w:bottom w:val="single" w:sz="8" w:space="0" w:color="000000"/>
            </w:tcBorders>
            <w:tcMar>
              <w:bottom w:w="28" w:type="dxa"/>
            </w:tcMar>
            <w:vAlign w:val="center"/>
          </w:tcPr>
          <w:p>
            <w:pPr>
              <w:pStyle w:val="TableContents"/>
              <w:bidi w:val="0"/>
              <w:spacing w:before="0" w:after="283"/>
              <w:jc w:val="left"/>
              <w:rPr>
                <w:color w:val="0171B9"/>
              </w:rPr>
            </w:pPr>
            <w:r>
              <w:rPr>
                <w:color w:val="0171B9"/>
              </w:rPr>
              <w:t> </w:t>
            </w:r>
          </w:p>
        </w:tc>
      </w:tr>
      <w:tr>
        <w:trPr/>
        <w:tc>
          <w:tcPr>
            <w:tcW w:w="10205" w:type="dxa"/>
            <w:gridSpan w:val="11"/>
            <w:tcBorders/>
            <w:vAlign w:val="center"/>
          </w:tcPr>
          <w:p>
            <w:pPr>
              <w:pStyle w:val="TableContents"/>
              <w:bidi w:val="0"/>
              <w:spacing w:before="0" w:after="283"/>
              <w:jc w:val="left"/>
              <w:rPr>
                <w:sz w:val="4"/>
                <w:szCs w:val="4"/>
              </w:rPr>
            </w:pPr>
            <w:r>
              <w:rPr>
                <w:sz w:val="4"/>
                <w:szCs w:val="4"/>
              </w:rPr>
            </w:r>
          </w:p>
        </w:tc>
      </w:tr>
      <w:tr>
        <w:trPr/>
        <w:tc>
          <w:tcPr>
            <w:tcW w:w="10128" w:type="dxa"/>
            <w:gridSpan w:val="10"/>
            <w:tcBorders>
              <w:bottom w:val="single" w:sz="8" w:space="0" w:color="000000"/>
            </w:tcBorders>
            <w:tcMar>
              <w:bottom w:w="28" w:type="dxa"/>
            </w:tcMar>
            <w:vAlign w:val="center"/>
          </w:tcPr>
          <w:p>
            <w:pPr>
              <w:pStyle w:val="TableContents"/>
              <w:bidi w:val="0"/>
              <w:spacing w:before="0" w:after="0"/>
              <w:jc w:val="both"/>
              <w:rPr>
                <w:rFonts w:ascii="arial" w:hAnsi="arial"/>
                <w:sz w:val="19"/>
              </w:rPr>
            </w:pPr>
            <w:r>
              <w:rPr>
                <w:rFonts w:ascii="arial" w:hAnsi="arial"/>
                <w:sz w:val="19"/>
              </w:rPr>
              <w:t>Certain measurements of performance for the non-financial metrics are subjective in nature and could result in a very small payout percentage (less than 1% of an annual cash incentive award).</w:t>
            </w:r>
          </w:p>
          <w:p>
            <w:pPr>
              <w:pStyle w:val="TableContents"/>
              <w:bidi w:val="0"/>
              <w:spacing w:before="0" w:after="20"/>
              <w:jc w:val="left"/>
              <w:rPr/>
            </w:pPr>
            <w:r>
              <w:rPr/>
              <w:t> </w:t>
            </w:r>
          </w:p>
        </w:tc>
        <w:tc>
          <w:tcPr>
            <w:tcW w:w="77"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0" w:after="0"/>
        <w:jc w:val="left"/>
        <w:rPr/>
      </w:pPr>
      <w:r>
        <w:rPr/>
        <w:t> </w:t>
      </w:r>
    </w:p>
    <w:tbl>
      <w:tblPr>
        <w:tblW w:w="6340" w:type="dxa"/>
        <w:jc w:val="left"/>
        <w:tblInd w:w="0" w:type="dxa"/>
        <w:tblLayout w:type="fixed"/>
        <w:tblCellMar>
          <w:top w:w="0" w:type="dxa"/>
          <w:left w:w="0" w:type="dxa"/>
          <w:bottom w:w="0" w:type="dxa"/>
          <w:right w:w="0" w:type="dxa"/>
        </w:tblCellMar>
      </w:tblPr>
      <w:tblGrid>
        <w:gridCol w:w="4040"/>
        <w:gridCol w:w="120"/>
        <w:gridCol w:w="120"/>
        <w:gridCol w:w="120"/>
        <w:gridCol w:w="1940"/>
      </w:tblGrid>
      <w:tr>
        <w:trPr/>
        <w:tc>
          <w:tcPr>
            <w:tcW w:w="4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4040" w:type="dxa"/>
            <w:tcBorders>
              <w:top w:val="single" w:sz="8" w:space="0" w:color="000000"/>
            </w:tcBorders>
            <w:shd w:fill="0171B9" w:val="clear"/>
            <w:tcMar>
              <w:top w:w="28" w:type="dxa"/>
            </w:tcMar>
            <w:vAlign w:val="center"/>
          </w:tcPr>
          <w:p>
            <w:pPr>
              <w:pStyle w:val="TableContents"/>
              <w:bidi w:val="0"/>
              <w:spacing w:before="0" w:after="283"/>
              <w:jc w:val="left"/>
              <w:rPr/>
            </w:pPr>
            <w:r>
              <w:rPr/>
              <w:t> </w:t>
            </w:r>
          </w:p>
        </w:tc>
        <w:tc>
          <w:tcPr>
            <w:tcW w:w="240" w:type="dxa"/>
            <w:gridSpan w:val="2"/>
            <w:tcBorders>
              <w:top w:val="single" w:sz="8" w:space="0" w:color="000000"/>
            </w:tcBorders>
            <w:shd w:fill="0171B9" w:val="clear"/>
            <w:tcMar>
              <w:top w:w="28" w:type="dxa"/>
            </w:tcMar>
            <w:vAlign w:val="center"/>
          </w:tcPr>
          <w:p>
            <w:pPr>
              <w:pStyle w:val="TableContents"/>
              <w:bidi w:val="0"/>
              <w:spacing w:before="0" w:after="283"/>
              <w:jc w:val="left"/>
              <w:rPr/>
            </w:pPr>
            <w:r>
              <w:rPr/>
              <w:t> </w:t>
            </w:r>
          </w:p>
        </w:tc>
        <w:tc>
          <w:tcPr>
            <w:tcW w:w="2060" w:type="dxa"/>
            <w:gridSpan w:val="2"/>
            <w:tcBorders>
              <w:top w:val="single" w:sz="8" w:space="0" w:color="000000"/>
            </w:tcBorders>
            <w:shd w:fill="0171B9" w:val="clear"/>
            <w:tcMar>
              <w:top w:w="28" w:type="dxa"/>
            </w:tcMar>
            <w:vAlign w:val="center"/>
          </w:tcPr>
          <w:p>
            <w:pPr>
              <w:pStyle w:val="TableContents"/>
              <w:bidi w:val="0"/>
              <w:spacing w:before="0" w:after="283"/>
              <w:jc w:val="left"/>
              <w:rPr/>
            </w:pPr>
            <w:r>
              <w:rPr/>
              <w:t> </w:t>
            </w:r>
          </w:p>
        </w:tc>
      </w:tr>
      <w:tr>
        <w:trPr/>
        <w:tc>
          <w:tcPr>
            <w:tcW w:w="4040" w:type="dxa"/>
            <w:tcBorders>
              <w:bottom w:val="single" w:sz="8" w:space="0" w:color="000000"/>
            </w:tcBorders>
            <w:shd w:fill="0171B9" w:val="clear"/>
            <w:tcMar>
              <w:bottom w:w="28" w:type="dxa"/>
            </w:tcMar>
            <w:vAlign w:val="center"/>
          </w:tcPr>
          <w:p>
            <w:pPr>
              <w:pStyle w:val="TableContents"/>
              <w:bidi w:val="0"/>
              <w:spacing w:before="0" w:after="0"/>
              <w:jc w:val="left"/>
              <w:rPr>
                <w:rFonts w:ascii="arial" w:hAnsi="arial"/>
                <w:b/>
                <w:color w:val="FFFFFF"/>
                <w:sz w:val="18"/>
              </w:rPr>
            </w:pPr>
            <w:r>
              <w:rPr>
                <w:rFonts w:ascii="arial" w:hAnsi="arial"/>
                <w:b/>
                <w:color w:val="FFFFFF"/>
                <w:sz w:val="18"/>
              </w:rPr>
              <w:t>2023 Company Performance Goals Final Score</w:t>
            </w:r>
          </w:p>
        </w:tc>
        <w:tc>
          <w:tcPr>
            <w:tcW w:w="120" w:type="dxa"/>
            <w:tcBorders>
              <w:bottom w:val="single" w:sz="8" w:space="0" w:color="000000"/>
            </w:tcBorders>
            <w:shd w:fill="0171B9" w:val="clear"/>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shd w:fill="0171B9"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000000"/>
            </w:tcBorders>
            <w:shd w:fill="0171B9" w:val="clear"/>
            <w:tcMar>
              <w:bottom w:w="28" w:type="dxa"/>
            </w:tcMar>
            <w:vAlign w:val="center"/>
          </w:tcPr>
          <w:p>
            <w:pPr>
              <w:pStyle w:val="TableContents"/>
              <w:bidi w:val="0"/>
              <w:spacing w:before="0" w:after="283"/>
              <w:jc w:val="left"/>
              <w:rPr/>
            </w:pPr>
            <w:r>
              <w:rPr/>
              <w:t>  </w:t>
            </w:r>
          </w:p>
        </w:tc>
        <w:tc>
          <w:tcPr>
            <w:tcW w:w="1940" w:type="dxa"/>
            <w:tcBorders>
              <w:bottom w:val="single" w:sz="8" w:space="0" w:color="000000"/>
            </w:tcBorders>
            <w:shd w:fill="0171B9" w:val="clear"/>
            <w:tcMar>
              <w:bottom w:w="28" w:type="dxa"/>
            </w:tcMar>
            <w:vAlign w:val="center"/>
          </w:tcPr>
          <w:p>
            <w:pPr>
              <w:pStyle w:val="TableContents"/>
              <w:bidi w:val="0"/>
              <w:spacing w:before="0" w:after="283"/>
              <w:jc w:val="right"/>
              <w:rPr>
                <w:b/>
                <w:color w:val="FFFFFF"/>
              </w:rPr>
            </w:pPr>
            <w:r>
              <w:rPr>
                <w:b/>
                <w:color w:val="FFFFFF"/>
              </w:rPr>
              <w:t>Achieved 159.3% </w:t>
            </w:r>
          </w:p>
        </w:tc>
      </w:tr>
    </w:tbl>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74  </w:t>
      </w:r>
      <w:r>
        <w:rPr>
          <w:rFonts w:ascii="arial" w:hAnsi="arial"/>
          <w:b/>
          <w:color w:val="474747"/>
          <w:sz w:val="22"/>
        </w:rPr>
        <w:drawing>
          <wp:inline distT="0" distB="0" distL="0" distR="0">
            <wp:extent cx="64770" cy="15240"/>
            <wp:effectExtent l="0" t="0" r="0" b="0"/>
            <wp:docPr id="27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137" descr=""/>
                    <pic:cNvPicPr>
                      <a:picLocks noChangeAspect="1" noChangeArrowheads="1"/>
                    </pic:cNvPicPr>
                  </pic:nvPicPr>
                  <pic:blipFill>
                    <a:blip r:embed="rId150"/>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507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45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459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Compensation Discussion and Analysis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171B9"/>
          <w:sz w:val="22"/>
        </w:rPr>
      </w:pPr>
      <w:r>
        <w:rPr>
          <w:rFonts w:ascii="arial" w:hAnsi="arial"/>
          <w:b/>
          <w:color w:val="0171B9"/>
          <w:sz w:val="22"/>
        </w:rPr>
        <w:t xml:space="preserve">2023 Annual Cash Incentive Awards </w:t>
      </w:r>
    </w:p>
    <w:p>
      <w:pPr>
        <w:pStyle w:val="TextBody"/>
        <w:bidi w:val="0"/>
        <w:spacing w:before="120" w:after="0"/>
        <w:jc w:val="both"/>
        <w:rPr>
          <w:rFonts w:ascii="arial" w:hAnsi="arial"/>
          <w:sz w:val="19"/>
        </w:rPr>
      </w:pPr>
      <w:r>
        <w:rPr>
          <w:rFonts w:ascii="arial" w:hAnsi="arial"/>
          <w:sz w:val="19"/>
        </w:rPr>
        <w:t xml:space="preserve">As shown in the table above, our performance against the 2023 Company performance goals yielded a composite final score of 159.3% and the Compensation Committee awarded actual annual cash incentive awards under the EIP to our NEOs based on this composite final score. No further discretion was employed. </w:t>
      </w:r>
    </w:p>
    <w:p>
      <w:pPr>
        <w:pStyle w:val="TextBody"/>
        <w:bidi w:val="0"/>
        <w:spacing w:before="0" w:after="0"/>
        <w:jc w:val="left"/>
        <w:rPr/>
      </w:pPr>
      <w:r>
        <w:rPr/>
        <w:t> </w:t>
      </w:r>
    </w:p>
    <w:tbl>
      <w:tblPr>
        <w:tblW w:w="9273" w:type="dxa"/>
        <w:jc w:val="left"/>
        <w:tblInd w:w="0" w:type="dxa"/>
        <w:tblLayout w:type="fixed"/>
        <w:tblCellMar>
          <w:top w:w="0" w:type="dxa"/>
          <w:left w:w="0" w:type="dxa"/>
          <w:bottom w:w="0" w:type="dxa"/>
          <w:right w:w="0" w:type="dxa"/>
        </w:tblCellMar>
      </w:tblPr>
      <w:tblGrid>
        <w:gridCol w:w="1580"/>
        <w:gridCol w:w="120"/>
        <w:gridCol w:w="310"/>
        <w:gridCol w:w="1735"/>
        <w:gridCol w:w="60"/>
        <w:gridCol w:w="240"/>
        <w:gridCol w:w="151"/>
        <w:gridCol w:w="2148"/>
        <w:gridCol w:w="60"/>
        <w:gridCol w:w="240"/>
        <w:gridCol w:w="168"/>
        <w:gridCol w:w="2386"/>
        <w:gridCol w:w="75"/>
      </w:tblGrid>
      <w:tr>
        <w:trPr/>
        <w:tc>
          <w:tcPr>
            <w:tcW w:w="15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80" w:type="dxa"/>
            <w:tcBorders/>
            <w:shd w:fill="0171B9" w:val="clear"/>
            <w:vAlign w:val="center"/>
          </w:tcPr>
          <w:p>
            <w:pPr>
              <w:pStyle w:val="TableContents"/>
              <w:bidi w:val="0"/>
              <w:spacing w:before="0" w:after="283"/>
              <w:jc w:val="left"/>
              <w:rPr>
                <w:sz w:val="4"/>
                <w:szCs w:val="4"/>
              </w:rPr>
            </w:pPr>
            <w:r>
              <w:rPr>
                <w:sz w:val="4"/>
                <w:szCs w:val="4"/>
              </w:rPr>
            </w:r>
          </w:p>
        </w:tc>
        <w:tc>
          <w:tcPr>
            <w:tcW w:w="2225" w:type="dxa"/>
            <w:gridSpan w:val="4"/>
            <w:tcBorders/>
            <w:shd w:fill="0171B9" w:val="clear"/>
            <w:vAlign w:val="center"/>
          </w:tcPr>
          <w:p>
            <w:pPr>
              <w:pStyle w:val="TableContents"/>
              <w:bidi w:val="0"/>
              <w:spacing w:before="0" w:after="283"/>
              <w:jc w:val="left"/>
              <w:rPr>
                <w:sz w:val="4"/>
                <w:szCs w:val="4"/>
              </w:rPr>
            </w:pPr>
            <w:r>
              <w:rPr>
                <w:sz w:val="4"/>
                <w:szCs w:val="4"/>
              </w:rPr>
            </w:r>
          </w:p>
        </w:tc>
        <w:tc>
          <w:tcPr>
            <w:tcW w:w="2599" w:type="dxa"/>
            <w:gridSpan w:val="4"/>
            <w:tcBorders/>
            <w:shd w:fill="0171B9" w:val="clear"/>
            <w:vAlign w:val="center"/>
          </w:tcPr>
          <w:p>
            <w:pPr>
              <w:pStyle w:val="TableContents"/>
              <w:bidi w:val="0"/>
              <w:spacing w:before="0" w:after="283"/>
              <w:jc w:val="left"/>
              <w:rPr>
                <w:sz w:val="4"/>
                <w:szCs w:val="4"/>
              </w:rPr>
            </w:pPr>
            <w:r>
              <w:rPr>
                <w:sz w:val="4"/>
                <w:szCs w:val="4"/>
              </w:rPr>
            </w:r>
          </w:p>
        </w:tc>
        <w:tc>
          <w:tcPr>
            <w:tcW w:w="2869" w:type="dxa"/>
            <w:gridSpan w:val="4"/>
            <w:tcBorders/>
            <w:shd w:fill="0171B9" w:val="clear"/>
            <w:vAlign w:val="center"/>
          </w:tcPr>
          <w:p>
            <w:pPr>
              <w:pStyle w:val="TableContents"/>
              <w:bidi w:val="0"/>
              <w:spacing w:before="0" w:after="283"/>
              <w:jc w:val="left"/>
              <w:rPr>
                <w:sz w:val="4"/>
                <w:szCs w:val="4"/>
              </w:rPr>
            </w:pPr>
            <w:r>
              <w:rPr>
                <w:sz w:val="4"/>
                <w:szCs w:val="4"/>
              </w:rPr>
            </w:r>
          </w:p>
        </w:tc>
      </w:tr>
      <w:tr>
        <w:trPr/>
        <w:tc>
          <w:tcPr>
            <w:tcW w:w="1580" w:type="dxa"/>
            <w:tcBorders>
              <w:bottom w:val="single" w:sz="8" w:space="0" w:color="FFFFFF"/>
            </w:tcBorders>
            <w:shd w:fill="0171B9" w:val="clear"/>
            <w:tcMar>
              <w:bottom w:w="60" w:type="dxa"/>
            </w:tcMar>
            <w:vAlign w:val="center"/>
          </w:tcPr>
          <w:p>
            <w:pPr>
              <w:pStyle w:val="TableContents"/>
              <w:bidi w:val="0"/>
              <w:spacing w:before="0" w:after="0"/>
              <w:jc w:val="left"/>
              <w:rPr>
                <w:rFonts w:ascii="arial" w:hAnsi="arial"/>
                <w:b/>
                <w:color w:val="FFFFFF"/>
                <w:sz w:val="18"/>
              </w:rPr>
            </w:pPr>
            <w:r>
              <w:rPr>
                <w:rFonts w:ascii="arial" w:hAnsi="arial"/>
                <w:b/>
                <w:color w:val="FFFFFF"/>
                <w:sz w:val="18"/>
              </w:rPr>
              <w:t>Named Executive </w:t>
              <w:br/>
              <w:t> Officer</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2045" w:type="dxa"/>
            <w:gridSpan w:val="2"/>
            <w:tcBorders>
              <w:bottom w:val="single" w:sz="8" w:space="0" w:color="FFFFFF"/>
            </w:tcBorders>
            <w:shd w:fill="0171B9" w:val="clear"/>
            <w:tcMar>
              <w:bottom w:w="60" w:type="dxa"/>
            </w:tcMar>
            <w:vAlign w:val="center"/>
          </w:tcPr>
          <w:p>
            <w:pPr>
              <w:pStyle w:val="TableContents"/>
              <w:bidi w:val="0"/>
              <w:spacing w:before="0" w:after="283"/>
              <w:jc w:val="center"/>
              <w:rPr>
                <w:b/>
                <w:color w:val="FFFFFF"/>
              </w:rPr>
            </w:pPr>
            <w:r>
              <w:rPr>
                <w:b/>
                <w:color w:val="FFFFFF"/>
              </w:rPr>
              <w:t>Target Opportunity</w:t>
              <w:br/>
              <w:t>(% of Base Salary)</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24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2299" w:type="dxa"/>
            <w:gridSpan w:val="2"/>
            <w:tcBorders>
              <w:bottom w:val="single" w:sz="8" w:space="0" w:color="FFFFFF"/>
            </w:tcBorders>
            <w:shd w:fill="0171B9" w:val="clear"/>
            <w:tcMar>
              <w:bottom w:w="60" w:type="dxa"/>
            </w:tcMar>
            <w:vAlign w:val="center"/>
          </w:tcPr>
          <w:p>
            <w:pPr>
              <w:pStyle w:val="TableContents"/>
              <w:bidi w:val="0"/>
              <w:spacing w:before="0" w:after="283"/>
              <w:jc w:val="right"/>
              <w:rPr>
                <w:b/>
                <w:color w:val="FFFFFF"/>
              </w:rPr>
            </w:pPr>
            <w:r>
              <w:rPr>
                <w:b/>
                <w:color w:val="FFFFFF"/>
              </w:rPr>
              <w:t>Target 2023 Award($)</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24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2554" w:type="dxa"/>
            <w:gridSpan w:val="2"/>
            <w:tcBorders>
              <w:bottom w:val="single" w:sz="8" w:space="0" w:color="FFFFFF"/>
            </w:tcBorders>
            <w:shd w:fill="0171B9" w:val="clear"/>
            <w:tcMar>
              <w:bottom w:w="60" w:type="dxa"/>
            </w:tcMar>
            <w:vAlign w:val="center"/>
          </w:tcPr>
          <w:p>
            <w:pPr>
              <w:pStyle w:val="TableContents"/>
              <w:bidi w:val="0"/>
              <w:spacing w:before="0" w:after="283"/>
              <w:jc w:val="right"/>
              <w:rPr>
                <w:b/>
                <w:color w:val="FFFFFF"/>
              </w:rPr>
            </w:pPr>
            <w:r>
              <w:rPr>
                <w:b/>
                <w:color w:val="FFFFFF"/>
              </w:rPr>
              <w:t>Actual 2023 Award($)(1)</w:t>
            </w:r>
          </w:p>
        </w:tc>
        <w:tc>
          <w:tcPr>
            <w:tcW w:w="75"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r>
      <w:tr>
        <w:trPr/>
        <w:tc>
          <w:tcPr>
            <w:tcW w:w="1580" w:type="dxa"/>
            <w:tcBorders/>
            <w:shd w:fill="CCE2F1" w:val="clear"/>
            <w:vAlign w:val="center"/>
          </w:tcPr>
          <w:p>
            <w:pPr>
              <w:pStyle w:val="TableContents"/>
              <w:bidi w:val="0"/>
              <w:spacing w:lineRule="atLeast" w:line="280" w:before="0" w:after="0"/>
              <w:jc w:val="left"/>
              <w:rPr>
                <w:rFonts w:ascii="arial" w:hAnsi="arial"/>
                <w:sz w:val="18"/>
              </w:rPr>
            </w:pPr>
            <w:r>
              <w:rPr>
                <w:rFonts w:ascii="arial" w:hAnsi="arial"/>
                <w:sz w:val="18"/>
              </w:rPr>
              <w:t>Robert A. Bradway</w:t>
            </w:r>
          </w:p>
        </w:tc>
        <w:tc>
          <w:tcPr>
            <w:tcW w:w="120" w:type="dxa"/>
            <w:tcBorders/>
            <w:shd w:fill="CCE2F1" w:val="clear"/>
            <w:vAlign w:val="center"/>
          </w:tcPr>
          <w:p>
            <w:pPr>
              <w:pStyle w:val="TableContents"/>
              <w:bidi w:val="0"/>
              <w:spacing w:before="0" w:after="283"/>
              <w:jc w:val="left"/>
              <w:rPr/>
            </w:pPr>
            <w:r>
              <w:rPr/>
              <w:t>  </w:t>
            </w:r>
          </w:p>
        </w:tc>
        <w:tc>
          <w:tcPr>
            <w:tcW w:w="310" w:type="dxa"/>
            <w:tcBorders/>
            <w:shd w:fill="CCE2F1" w:val="clear"/>
            <w:vAlign w:val="center"/>
          </w:tcPr>
          <w:p>
            <w:pPr>
              <w:pStyle w:val="TableContents"/>
              <w:bidi w:val="0"/>
              <w:spacing w:lineRule="atLeast" w:line="280" w:before="0" w:after="0"/>
              <w:jc w:val="left"/>
              <w:rPr/>
            </w:pPr>
            <w:r>
              <w:rPr/>
              <w:t> </w:t>
            </w:r>
          </w:p>
        </w:tc>
        <w:tc>
          <w:tcPr>
            <w:tcW w:w="1735" w:type="dxa"/>
            <w:tcBorders/>
            <w:shd w:fill="CCE2F1" w:val="clear"/>
            <w:vAlign w:val="center"/>
          </w:tcPr>
          <w:p>
            <w:pPr>
              <w:pStyle w:val="TableContents"/>
              <w:bidi w:val="0"/>
              <w:spacing w:lineRule="atLeast" w:line="280" w:before="0" w:after="0"/>
              <w:jc w:val="right"/>
              <w:rPr>
                <w:rFonts w:ascii="arial" w:hAnsi="arial"/>
                <w:sz w:val="18"/>
              </w:rPr>
            </w:pPr>
            <w:r>
              <w:rPr>
                <w:rFonts w:ascii="arial" w:hAnsi="arial"/>
                <w:sz w:val="18"/>
              </w:rPr>
              <w:t>150</w:t>
            </w:r>
          </w:p>
        </w:tc>
        <w:tc>
          <w:tcPr>
            <w:tcW w:w="60" w:type="dxa"/>
            <w:tcBorders/>
            <w:shd w:fill="CCE2F1" w:val="clear"/>
            <w:vAlign w:val="center"/>
          </w:tcPr>
          <w:p>
            <w:pPr>
              <w:pStyle w:val="TableContents"/>
              <w:bidi w:val="0"/>
              <w:spacing w:lineRule="atLeast" w:line="280" w:before="0" w:after="0"/>
              <w:jc w:val="left"/>
              <w:rPr/>
            </w:pPr>
            <w:r>
              <w:rPr/>
              <w:t> </w:t>
            </w:r>
          </w:p>
        </w:tc>
        <w:tc>
          <w:tcPr>
            <w:tcW w:w="240" w:type="dxa"/>
            <w:tcBorders/>
            <w:shd w:fill="CCE2F1" w:val="clear"/>
            <w:vAlign w:val="center"/>
          </w:tcPr>
          <w:p>
            <w:pPr>
              <w:pStyle w:val="TableContents"/>
              <w:bidi w:val="0"/>
              <w:spacing w:before="0" w:after="283"/>
              <w:jc w:val="left"/>
              <w:rPr/>
            </w:pPr>
            <w:r>
              <w:rPr/>
              <w:t>    </w:t>
            </w:r>
          </w:p>
        </w:tc>
        <w:tc>
          <w:tcPr>
            <w:tcW w:w="151" w:type="dxa"/>
            <w:tcBorders/>
            <w:shd w:fill="CCE2F1" w:val="clear"/>
            <w:vAlign w:val="center"/>
          </w:tcPr>
          <w:p>
            <w:pPr>
              <w:pStyle w:val="TableContents"/>
              <w:bidi w:val="0"/>
              <w:spacing w:lineRule="atLeast" w:line="280" w:before="0" w:after="0"/>
              <w:jc w:val="left"/>
              <w:rPr/>
            </w:pPr>
            <w:r>
              <w:rPr/>
              <w:t> </w:t>
            </w:r>
          </w:p>
        </w:tc>
        <w:tc>
          <w:tcPr>
            <w:tcW w:w="2148" w:type="dxa"/>
            <w:tcBorders/>
            <w:shd w:fill="CCE2F1" w:val="clear"/>
            <w:vAlign w:val="center"/>
          </w:tcPr>
          <w:p>
            <w:pPr>
              <w:pStyle w:val="TableContents"/>
              <w:bidi w:val="0"/>
              <w:spacing w:lineRule="atLeast" w:line="280" w:before="0" w:after="0"/>
              <w:jc w:val="right"/>
              <w:rPr>
                <w:rFonts w:ascii="arial" w:hAnsi="arial"/>
                <w:sz w:val="18"/>
              </w:rPr>
            </w:pPr>
            <w:r>
              <w:rPr>
                <w:rFonts w:ascii="arial" w:hAnsi="arial"/>
                <w:sz w:val="18"/>
              </w:rPr>
              <w:t>2,676,669</w:t>
            </w:r>
          </w:p>
        </w:tc>
        <w:tc>
          <w:tcPr>
            <w:tcW w:w="60" w:type="dxa"/>
            <w:tcBorders/>
            <w:shd w:fill="CCE2F1" w:val="clear"/>
            <w:vAlign w:val="center"/>
          </w:tcPr>
          <w:p>
            <w:pPr>
              <w:pStyle w:val="TableContents"/>
              <w:bidi w:val="0"/>
              <w:spacing w:lineRule="atLeast" w:line="280" w:before="0" w:after="0"/>
              <w:jc w:val="left"/>
              <w:rPr/>
            </w:pPr>
            <w:r>
              <w:rPr/>
              <w:t> </w:t>
            </w:r>
          </w:p>
        </w:tc>
        <w:tc>
          <w:tcPr>
            <w:tcW w:w="240" w:type="dxa"/>
            <w:tcBorders/>
            <w:shd w:fill="CCE2F1" w:val="clear"/>
            <w:vAlign w:val="center"/>
          </w:tcPr>
          <w:p>
            <w:pPr>
              <w:pStyle w:val="TableContents"/>
              <w:bidi w:val="0"/>
              <w:spacing w:before="0" w:after="283"/>
              <w:jc w:val="left"/>
              <w:rPr/>
            </w:pPr>
            <w:r>
              <w:rPr/>
              <w:t>    </w:t>
            </w:r>
          </w:p>
        </w:tc>
        <w:tc>
          <w:tcPr>
            <w:tcW w:w="168" w:type="dxa"/>
            <w:tcBorders/>
            <w:shd w:fill="CCE2F1" w:val="clear"/>
            <w:vAlign w:val="center"/>
          </w:tcPr>
          <w:p>
            <w:pPr>
              <w:pStyle w:val="TableContents"/>
              <w:bidi w:val="0"/>
              <w:spacing w:lineRule="atLeast" w:line="280" w:before="0" w:after="0"/>
              <w:jc w:val="left"/>
              <w:rPr/>
            </w:pPr>
            <w:r>
              <w:rPr/>
              <w:t> </w:t>
            </w:r>
          </w:p>
        </w:tc>
        <w:tc>
          <w:tcPr>
            <w:tcW w:w="2386" w:type="dxa"/>
            <w:tcBorders/>
            <w:shd w:fill="CCE2F1" w:val="clear"/>
            <w:vAlign w:val="center"/>
          </w:tcPr>
          <w:p>
            <w:pPr>
              <w:pStyle w:val="TableContents"/>
              <w:bidi w:val="0"/>
              <w:spacing w:lineRule="atLeast" w:line="280" w:before="0" w:after="0"/>
              <w:jc w:val="right"/>
              <w:rPr>
                <w:rFonts w:ascii="arial" w:hAnsi="arial"/>
                <w:sz w:val="18"/>
              </w:rPr>
            </w:pPr>
            <w:r>
              <w:rPr>
                <w:rFonts w:ascii="arial" w:hAnsi="arial"/>
                <w:sz w:val="18"/>
              </w:rPr>
              <w:t>4,264,000</w:t>
            </w:r>
          </w:p>
        </w:tc>
        <w:tc>
          <w:tcPr>
            <w:tcW w:w="75" w:type="dxa"/>
            <w:tcBorders/>
            <w:shd w:fill="CCE2F1" w:val="clear"/>
            <w:vAlign w:val="center"/>
          </w:tcPr>
          <w:p>
            <w:pPr>
              <w:pStyle w:val="TableContents"/>
              <w:bidi w:val="0"/>
              <w:spacing w:lineRule="atLeast" w:line="280" w:before="0" w:after="0"/>
              <w:jc w:val="left"/>
              <w:rPr/>
            </w:pPr>
            <w:r>
              <w:rPr/>
              <w:t> </w:t>
            </w:r>
          </w:p>
        </w:tc>
      </w:tr>
      <w:tr>
        <w:trPr/>
        <w:tc>
          <w:tcPr>
            <w:tcW w:w="1580" w:type="dxa"/>
            <w:tcBorders/>
            <w:vAlign w:val="center"/>
          </w:tcPr>
          <w:p>
            <w:pPr>
              <w:pStyle w:val="TableContents"/>
              <w:bidi w:val="0"/>
              <w:spacing w:lineRule="atLeast" w:line="280" w:before="0" w:after="0"/>
              <w:jc w:val="left"/>
              <w:rPr>
                <w:rFonts w:ascii="arial" w:hAnsi="arial"/>
                <w:sz w:val="18"/>
              </w:rPr>
            </w:pPr>
            <w:r>
              <w:rPr>
                <w:rFonts w:ascii="arial" w:hAnsi="arial"/>
                <w:sz w:val="18"/>
              </w:rPr>
              <w:t>Murdo Gordon</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lineRule="atLeast" w:line="280" w:before="0" w:after="0"/>
              <w:jc w:val="left"/>
              <w:rPr/>
            </w:pPr>
            <w:r>
              <w:rPr/>
              <w:t> </w:t>
            </w:r>
          </w:p>
        </w:tc>
        <w:tc>
          <w:tcPr>
            <w:tcW w:w="1735" w:type="dxa"/>
            <w:tcBorders/>
            <w:vAlign w:val="center"/>
          </w:tcPr>
          <w:p>
            <w:pPr>
              <w:pStyle w:val="TableContents"/>
              <w:bidi w:val="0"/>
              <w:spacing w:lineRule="atLeast" w:line="280" w:before="0" w:after="0"/>
              <w:jc w:val="right"/>
              <w:rPr>
                <w:rFonts w:ascii="arial" w:hAnsi="arial"/>
                <w:sz w:val="18"/>
              </w:rPr>
            </w:pPr>
            <w:r>
              <w:rPr>
                <w:rFonts w:ascii="arial" w:hAnsi="arial"/>
                <w:sz w:val="18"/>
              </w:rPr>
              <w:t>100</w:t>
            </w:r>
          </w:p>
        </w:tc>
        <w:tc>
          <w:tcPr>
            <w:tcW w:w="60" w:type="dxa"/>
            <w:tcBorders/>
            <w:vAlign w:val="center"/>
          </w:tcPr>
          <w:p>
            <w:pPr>
              <w:pStyle w:val="TableContents"/>
              <w:bidi w:val="0"/>
              <w:spacing w:lineRule="atLeast" w:line="280" w:before="0" w:after="0"/>
              <w:jc w:val="left"/>
              <w:rPr/>
            </w:pPr>
            <w:r>
              <w:rPr/>
              <w:t> </w:t>
            </w:r>
          </w:p>
        </w:tc>
        <w:tc>
          <w:tcPr>
            <w:tcW w:w="24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lineRule="atLeast" w:line="280" w:before="0" w:after="0"/>
              <w:jc w:val="left"/>
              <w:rPr/>
            </w:pPr>
            <w:r>
              <w:rPr/>
              <w:t> </w:t>
            </w:r>
          </w:p>
        </w:tc>
        <w:tc>
          <w:tcPr>
            <w:tcW w:w="2148" w:type="dxa"/>
            <w:tcBorders/>
            <w:vAlign w:val="center"/>
          </w:tcPr>
          <w:p>
            <w:pPr>
              <w:pStyle w:val="TableContents"/>
              <w:bidi w:val="0"/>
              <w:spacing w:lineRule="atLeast" w:line="280" w:before="0" w:after="0"/>
              <w:jc w:val="right"/>
              <w:rPr>
                <w:rFonts w:ascii="arial" w:hAnsi="arial"/>
                <w:sz w:val="18"/>
              </w:rPr>
            </w:pPr>
            <w:r>
              <w:rPr>
                <w:rFonts w:ascii="arial" w:hAnsi="arial"/>
                <w:sz w:val="18"/>
              </w:rPr>
              <w:t>1,143,004</w:t>
            </w:r>
          </w:p>
        </w:tc>
        <w:tc>
          <w:tcPr>
            <w:tcW w:w="60" w:type="dxa"/>
            <w:tcBorders/>
            <w:vAlign w:val="center"/>
          </w:tcPr>
          <w:p>
            <w:pPr>
              <w:pStyle w:val="TableContents"/>
              <w:bidi w:val="0"/>
              <w:spacing w:lineRule="atLeast" w:line="280" w:before="0" w:after="0"/>
              <w:jc w:val="left"/>
              <w:rPr/>
            </w:pPr>
            <w:r>
              <w:rPr/>
              <w:t> </w:t>
            </w:r>
          </w:p>
        </w:tc>
        <w:tc>
          <w:tcPr>
            <w:tcW w:w="24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lineRule="atLeast" w:line="280" w:before="0" w:after="0"/>
              <w:jc w:val="left"/>
              <w:rPr/>
            </w:pPr>
            <w:r>
              <w:rPr/>
              <w:t> </w:t>
            </w:r>
          </w:p>
        </w:tc>
        <w:tc>
          <w:tcPr>
            <w:tcW w:w="2386" w:type="dxa"/>
            <w:tcBorders/>
            <w:vAlign w:val="center"/>
          </w:tcPr>
          <w:p>
            <w:pPr>
              <w:pStyle w:val="TableContents"/>
              <w:bidi w:val="0"/>
              <w:spacing w:lineRule="atLeast" w:line="280" w:before="0" w:after="0"/>
              <w:jc w:val="right"/>
              <w:rPr>
                <w:rFonts w:ascii="arial" w:hAnsi="arial"/>
                <w:sz w:val="18"/>
              </w:rPr>
            </w:pPr>
            <w:r>
              <w:rPr>
                <w:rFonts w:ascii="arial" w:hAnsi="arial"/>
                <w:sz w:val="18"/>
              </w:rPr>
              <w:t>1,821,000</w:t>
            </w:r>
          </w:p>
        </w:tc>
        <w:tc>
          <w:tcPr>
            <w:tcW w:w="75" w:type="dxa"/>
            <w:tcBorders/>
            <w:vAlign w:val="center"/>
          </w:tcPr>
          <w:p>
            <w:pPr>
              <w:pStyle w:val="TableContents"/>
              <w:bidi w:val="0"/>
              <w:spacing w:lineRule="atLeast" w:line="280" w:before="0" w:after="0"/>
              <w:jc w:val="left"/>
              <w:rPr/>
            </w:pPr>
            <w:r>
              <w:rPr/>
              <w:t> </w:t>
            </w:r>
          </w:p>
        </w:tc>
      </w:tr>
      <w:tr>
        <w:trPr/>
        <w:tc>
          <w:tcPr>
            <w:tcW w:w="1580" w:type="dxa"/>
            <w:tcBorders/>
            <w:shd w:fill="CCE2F1" w:val="clear"/>
            <w:vAlign w:val="center"/>
          </w:tcPr>
          <w:p>
            <w:pPr>
              <w:pStyle w:val="TableContents"/>
              <w:bidi w:val="0"/>
              <w:spacing w:lineRule="atLeast" w:line="280" w:before="0" w:after="0"/>
              <w:jc w:val="left"/>
              <w:rPr>
                <w:rFonts w:ascii="arial" w:hAnsi="arial"/>
                <w:sz w:val="18"/>
              </w:rPr>
            </w:pPr>
            <w:r>
              <w:rPr>
                <w:rFonts w:ascii="arial" w:hAnsi="arial"/>
                <w:sz w:val="18"/>
              </w:rPr>
              <w:t>David M. Reese</w:t>
            </w:r>
          </w:p>
        </w:tc>
        <w:tc>
          <w:tcPr>
            <w:tcW w:w="120" w:type="dxa"/>
            <w:tcBorders/>
            <w:shd w:fill="CCE2F1" w:val="clear"/>
            <w:vAlign w:val="center"/>
          </w:tcPr>
          <w:p>
            <w:pPr>
              <w:pStyle w:val="TableContents"/>
              <w:bidi w:val="0"/>
              <w:spacing w:before="0" w:after="283"/>
              <w:jc w:val="left"/>
              <w:rPr/>
            </w:pPr>
            <w:r>
              <w:rPr/>
              <w:t>  </w:t>
            </w:r>
          </w:p>
        </w:tc>
        <w:tc>
          <w:tcPr>
            <w:tcW w:w="310" w:type="dxa"/>
            <w:tcBorders/>
            <w:shd w:fill="CCE2F1" w:val="clear"/>
            <w:vAlign w:val="center"/>
          </w:tcPr>
          <w:p>
            <w:pPr>
              <w:pStyle w:val="TableContents"/>
              <w:bidi w:val="0"/>
              <w:spacing w:lineRule="atLeast" w:line="280" w:before="0" w:after="0"/>
              <w:jc w:val="left"/>
              <w:rPr/>
            </w:pPr>
            <w:r>
              <w:rPr/>
              <w:t> </w:t>
            </w:r>
          </w:p>
        </w:tc>
        <w:tc>
          <w:tcPr>
            <w:tcW w:w="1735" w:type="dxa"/>
            <w:tcBorders/>
            <w:shd w:fill="CCE2F1" w:val="clear"/>
            <w:vAlign w:val="center"/>
          </w:tcPr>
          <w:p>
            <w:pPr>
              <w:pStyle w:val="TableContents"/>
              <w:bidi w:val="0"/>
              <w:spacing w:lineRule="atLeast" w:line="280" w:before="0" w:after="0"/>
              <w:jc w:val="right"/>
              <w:rPr>
                <w:rFonts w:ascii="arial" w:hAnsi="arial"/>
                <w:sz w:val="18"/>
              </w:rPr>
            </w:pPr>
            <w:r>
              <w:rPr>
                <w:rFonts w:ascii="arial" w:hAnsi="arial"/>
                <w:sz w:val="18"/>
              </w:rPr>
              <w:t>100</w:t>
            </w:r>
          </w:p>
        </w:tc>
        <w:tc>
          <w:tcPr>
            <w:tcW w:w="60" w:type="dxa"/>
            <w:tcBorders/>
            <w:shd w:fill="CCE2F1" w:val="clear"/>
            <w:vAlign w:val="center"/>
          </w:tcPr>
          <w:p>
            <w:pPr>
              <w:pStyle w:val="TableContents"/>
              <w:bidi w:val="0"/>
              <w:spacing w:lineRule="atLeast" w:line="280" w:before="0" w:after="0"/>
              <w:jc w:val="left"/>
              <w:rPr/>
            </w:pPr>
            <w:r>
              <w:rPr/>
              <w:t> </w:t>
            </w:r>
          </w:p>
        </w:tc>
        <w:tc>
          <w:tcPr>
            <w:tcW w:w="240" w:type="dxa"/>
            <w:tcBorders/>
            <w:shd w:fill="CCE2F1" w:val="clear"/>
            <w:vAlign w:val="center"/>
          </w:tcPr>
          <w:p>
            <w:pPr>
              <w:pStyle w:val="TableContents"/>
              <w:bidi w:val="0"/>
              <w:spacing w:before="0" w:after="283"/>
              <w:jc w:val="left"/>
              <w:rPr/>
            </w:pPr>
            <w:r>
              <w:rPr/>
              <w:t>    </w:t>
            </w:r>
          </w:p>
        </w:tc>
        <w:tc>
          <w:tcPr>
            <w:tcW w:w="151" w:type="dxa"/>
            <w:tcBorders/>
            <w:shd w:fill="CCE2F1" w:val="clear"/>
            <w:vAlign w:val="center"/>
          </w:tcPr>
          <w:p>
            <w:pPr>
              <w:pStyle w:val="TableContents"/>
              <w:bidi w:val="0"/>
              <w:spacing w:lineRule="atLeast" w:line="280" w:before="0" w:after="0"/>
              <w:jc w:val="left"/>
              <w:rPr/>
            </w:pPr>
            <w:r>
              <w:rPr/>
              <w:t> </w:t>
            </w:r>
          </w:p>
        </w:tc>
        <w:tc>
          <w:tcPr>
            <w:tcW w:w="2148" w:type="dxa"/>
            <w:tcBorders/>
            <w:shd w:fill="CCE2F1" w:val="clear"/>
            <w:vAlign w:val="center"/>
          </w:tcPr>
          <w:p>
            <w:pPr>
              <w:pStyle w:val="TableContents"/>
              <w:bidi w:val="0"/>
              <w:spacing w:lineRule="atLeast" w:line="280" w:before="0" w:after="0"/>
              <w:jc w:val="right"/>
              <w:rPr>
                <w:rFonts w:ascii="arial" w:hAnsi="arial"/>
                <w:sz w:val="18"/>
              </w:rPr>
            </w:pPr>
            <w:r>
              <w:rPr>
                <w:rFonts w:ascii="arial" w:hAnsi="arial"/>
                <w:sz w:val="18"/>
              </w:rPr>
              <w:t>1,211,104</w:t>
            </w:r>
          </w:p>
        </w:tc>
        <w:tc>
          <w:tcPr>
            <w:tcW w:w="60" w:type="dxa"/>
            <w:tcBorders/>
            <w:shd w:fill="CCE2F1" w:val="clear"/>
            <w:vAlign w:val="center"/>
          </w:tcPr>
          <w:p>
            <w:pPr>
              <w:pStyle w:val="TableContents"/>
              <w:bidi w:val="0"/>
              <w:spacing w:lineRule="atLeast" w:line="280" w:before="0" w:after="0"/>
              <w:jc w:val="left"/>
              <w:rPr/>
            </w:pPr>
            <w:r>
              <w:rPr/>
              <w:t> </w:t>
            </w:r>
          </w:p>
        </w:tc>
        <w:tc>
          <w:tcPr>
            <w:tcW w:w="240" w:type="dxa"/>
            <w:tcBorders/>
            <w:shd w:fill="CCE2F1" w:val="clear"/>
            <w:vAlign w:val="center"/>
          </w:tcPr>
          <w:p>
            <w:pPr>
              <w:pStyle w:val="TableContents"/>
              <w:bidi w:val="0"/>
              <w:spacing w:before="0" w:after="283"/>
              <w:jc w:val="left"/>
              <w:rPr/>
            </w:pPr>
            <w:r>
              <w:rPr/>
              <w:t>    </w:t>
            </w:r>
          </w:p>
        </w:tc>
        <w:tc>
          <w:tcPr>
            <w:tcW w:w="168" w:type="dxa"/>
            <w:tcBorders/>
            <w:shd w:fill="CCE2F1" w:val="clear"/>
            <w:vAlign w:val="center"/>
          </w:tcPr>
          <w:p>
            <w:pPr>
              <w:pStyle w:val="TableContents"/>
              <w:bidi w:val="0"/>
              <w:spacing w:lineRule="atLeast" w:line="280" w:before="0" w:after="0"/>
              <w:jc w:val="left"/>
              <w:rPr/>
            </w:pPr>
            <w:r>
              <w:rPr/>
              <w:t> </w:t>
            </w:r>
          </w:p>
        </w:tc>
        <w:tc>
          <w:tcPr>
            <w:tcW w:w="2386" w:type="dxa"/>
            <w:tcBorders/>
            <w:shd w:fill="CCE2F1" w:val="clear"/>
            <w:vAlign w:val="center"/>
          </w:tcPr>
          <w:p>
            <w:pPr>
              <w:pStyle w:val="TableContents"/>
              <w:bidi w:val="0"/>
              <w:spacing w:lineRule="atLeast" w:line="280" w:before="0" w:after="0"/>
              <w:jc w:val="right"/>
              <w:rPr>
                <w:rFonts w:ascii="arial" w:hAnsi="arial"/>
                <w:sz w:val="18"/>
              </w:rPr>
            </w:pPr>
            <w:r>
              <w:rPr>
                <w:rFonts w:ascii="arial" w:hAnsi="arial"/>
                <w:sz w:val="18"/>
              </w:rPr>
              <w:t>1,929,000</w:t>
            </w:r>
          </w:p>
        </w:tc>
        <w:tc>
          <w:tcPr>
            <w:tcW w:w="75" w:type="dxa"/>
            <w:tcBorders/>
            <w:shd w:fill="CCE2F1" w:val="clear"/>
            <w:vAlign w:val="center"/>
          </w:tcPr>
          <w:p>
            <w:pPr>
              <w:pStyle w:val="TableContents"/>
              <w:bidi w:val="0"/>
              <w:spacing w:lineRule="atLeast" w:line="280" w:before="0" w:after="0"/>
              <w:jc w:val="left"/>
              <w:rPr/>
            </w:pPr>
            <w:r>
              <w:rPr/>
              <w:t> </w:t>
            </w:r>
          </w:p>
        </w:tc>
      </w:tr>
      <w:tr>
        <w:trPr/>
        <w:tc>
          <w:tcPr>
            <w:tcW w:w="1580" w:type="dxa"/>
            <w:tcBorders/>
            <w:vAlign w:val="center"/>
          </w:tcPr>
          <w:p>
            <w:pPr>
              <w:pStyle w:val="TableContents"/>
              <w:bidi w:val="0"/>
              <w:spacing w:lineRule="atLeast" w:line="280" w:before="0" w:after="0"/>
              <w:jc w:val="left"/>
              <w:rPr>
                <w:rFonts w:ascii="arial" w:hAnsi="arial"/>
                <w:sz w:val="18"/>
              </w:rPr>
            </w:pPr>
            <w:r>
              <w:rPr>
                <w:rFonts w:ascii="arial" w:hAnsi="arial"/>
                <w:sz w:val="18"/>
              </w:rPr>
              <w:t>Peter H. Griffith</w:t>
            </w:r>
          </w:p>
        </w:tc>
        <w:tc>
          <w:tcPr>
            <w:tcW w:w="12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lineRule="atLeast" w:line="280" w:before="0" w:after="0"/>
              <w:jc w:val="left"/>
              <w:rPr/>
            </w:pPr>
            <w:r>
              <w:rPr/>
              <w:t> </w:t>
            </w:r>
          </w:p>
        </w:tc>
        <w:tc>
          <w:tcPr>
            <w:tcW w:w="1735" w:type="dxa"/>
            <w:tcBorders/>
            <w:vAlign w:val="center"/>
          </w:tcPr>
          <w:p>
            <w:pPr>
              <w:pStyle w:val="TableContents"/>
              <w:bidi w:val="0"/>
              <w:spacing w:lineRule="atLeast" w:line="280" w:before="0" w:after="0"/>
              <w:jc w:val="right"/>
              <w:rPr>
                <w:rFonts w:ascii="arial" w:hAnsi="arial"/>
                <w:sz w:val="18"/>
              </w:rPr>
            </w:pPr>
            <w:r>
              <w:rPr>
                <w:rFonts w:ascii="arial" w:hAnsi="arial"/>
                <w:sz w:val="18"/>
              </w:rPr>
              <w:t>100</w:t>
            </w:r>
          </w:p>
        </w:tc>
        <w:tc>
          <w:tcPr>
            <w:tcW w:w="60" w:type="dxa"/>
            <w:tcBorders/>
            <w:vAlign w:val="center"/>
          </w:tcPr>
          <w:p>
            <w:pPr>
              <w:pStyle w:val="TableContents"/>
              <w:bidi w:val="0"/>
              <w:spacing w:lineRule="atLeast" w:line="280" w:before="0" w:after="0"/>
              <w:jc w:val="left"/>
              <w:rPr/>
            </w:pPr>
            <w:r>
              <w:rPr/>
              <w:t> </w:t>
            </w:r>
          </w:p>
        </w:tc>
        <w:tc>
          <w:tcPr>
            <w:tcW w:w="24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lineRule="atLeast" w:line="280" w:before="0" w:after="0"/>
              <w:jc w:val="left"/>
              <w:rPr/>
            </w:pPr>
            <w:r>
              <w:rPr/>
              <w:t> </w:t>
            </w:r>
          </w:p>
        </w:tc>
        <w:tc>
          <w:tcPr>
            <w:tcW w:w="2148" w:type="dxa"/>
            <w:tcBorders/>
            <w:vAlign w:val="center"/>
          </w:tcPr>
          <w:p>
            <w:pPr>
              <w:pStyle w:val="TableContents"/>
              <w:bidi w:val="0"/>
              <w:spacing w:lineRule="atLeast" w:line="280" w:before="0" w:after="0"/>
              <w:jc w:val="right"/>
              <w:rPr>
                <w:rFonts w:ascii="arial" w:hAnsi="arial"/>
                <w:sz w:val="18"/>
              </w:rPr>
            </w:pPr>
            <w:r>
              <w:rPr>
                <w:rFonts w:ascii="arial" w:hAnsi="arial"/>
                <w:sz w:val="18"/>
              </w:rPr>
              <w:t>1,082,227</w:t>
            </w:r>
          </w:p>
        </w:tc>
        <w:tc>
          <w:tcPr>
            <w:tcW w:w="60" w:type="dxa"/>
            <w:tcBorders/>
            <w:vAlign w:val="center"/>
          </w:tcPr>
          <w:p>
            <w:pPr>
              <w:pStyle w:val="TableContents"/>
              <w:bidi w:val="0"/>
              <w:spacing w:lineRule="atLeast" w:line="280" w:before="0" w:after="0"/>
              <w:jc w:val="left"/>
              <w:rPr/>
            </w:pPr>
            <w:r>
              <w:rPr/>
              <w:t> </w:t>
            </w:r>
          </w:p>
        </w:tc>
        <w:tc>
          <w:tcPr>
            <w:tcW w:w="24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lineRule="atLeast" w:line="280" w:before="0" w:after="0"/>
              <w:jc w:val="left"/>
              <w:rPr/>
            </w:pPr>
            <w:r>
              <w:rPr/>
              <w:t> </w:t>
            </w:r>
          </w:p>
        </w:tc>
        <w:tc>
          <w:tcPr>
            <w:tcW w:w="2386" w:type="dxa"/>
            <w:tcBorders/>
            <w:vAlign w:val="center"/>
          </w:tcPr>
          <w:p>
            <w:pPr>
              <w:pStyle w:val="TableContents"/>
              <w:bidi w:val="0"/>
              <w:spacing w:lineRule="atLeast" w:line="280" w:before="0" w:after="0"/>
              <w:jc w:val="right"/>
              <w:rPr>
                <w:rFonts w:ascii="arial" w:hAnsi="arial"/>
                <w:sz w:val="18"/>
              </w:rPr>
            </w:pPr>
            <w:r>
              <w:rPr>
                <w:rFonts w:ascii="arial" w:hAnsi="arial"/>
                <w:sz w:val="18"/>
              </w:rPr>
              <w:t>1,724,000</w:t>
            </w:r>
          </w:p>
        </w:tc>
        <w:tc>
          <w:tcPr>
            <w:tcW w:w="75" w:type="dxa"/>
            <w:tcBorders/>
            <w:vAlign w:val="center"/>
          </w:tcPr>
          <w:p>
            <w:pPr>
              <w:pStyle w:val="TableContents"/>
              <w:bidi w:val="0"/>
              <w:spacing w:lineRule="atLeast" w:line="280" w:before="0" w:after="0"/>
              <w:jc w:val="left"/>
              <w:rPr/>
            </w:pPr>
            <w:r>
              <w:rPr/>
              <w:t> </w:t>
            </w:r>
          </w:p>
        </w:tc>
      </w:tr>
      <w:tr>
        <w:trPr/>
        <w:tc>
          <w:tcPr>
            <w:tcW w:w="1580" w:type="dxa"/>
            <w:tcBorders>
              <w:bottom w:val="single" w:sz="8" w:space="0" w:color="0171B9"/>
            </w:tcBorders>
            <w:shd w:fill="CCE2F1" w:val="clear"/>
            <w:tcMar>
              <w:bottom w:w="28" w:type="dxa"/>
            </w:tcMar>
            <w:vAlign w:val="center"/>
          </w:tcPr>
          <w:p>
            <w:pPr>
              <w:pStyle w:val="TableContents"/>
              <w:bidi w:val="0"/>
              <w:spacing w:lineRule="atLeast" w:line="280" w:before="0" w:after="0"/>
              <w:jc w:val="left"/>
              <w:rPr>
                <w:rFonts w:ascii="arial" w:hAnsi="arial"/>
                <w:sz w:val="18"/>
              </w:rPr>
            </w:pPr>
            <w:r>
              <w:rPr>
                <w:rFonts w:ascii="arial" w:hAnsi="arial"/>
                <w:sz w:val="18"/>
              </w:rPr>
              <w:t>Esteban Santos</w:t>
            </w:r>
          </w:p>
        </w:tc>
        <w:tc>
          <w:tcPr>
            <w:tcW w:w="12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310" w:type="dxa"/>
            <w:tcBorders>
              <w:bottom w:val="single" w:sz="8" w:space="0" w:color="0171B9"/>
            </w:tcBorders>
            <w:shd w:fill="CCE2F1" w:val="clear"/>
            <w:tcMar>
              <w:bottom w:w="28" w:type="dxa"/>
            </w:tcMar>
            <w:vAlign w:val="center"/>
          </w:tcPr>
          <w:p>
            <w:pPr>
              <w:pStyle w:val="TableContents"/>
              <w:bidi w:val="0"/>
              <w:spacing w:lineRule="atLeast" w:line="280" w:before="0" w:after="0"/>
              <w:jc w:val="left"/>
              <w:rPr/>
            </w:pPr>
            <w:r>
              <w:rPr/>
              <w:t> </w:t>
            </w:r>
          </w:p>
        </w:tc>
        <w:tc>
          <w:tcPr>
            <w:tcW w:w="1735" w:type="dxa"/>
            <w:tcBorders>
              <w:bottom w:val="single" w:sz="8" w:space="0" w:color="0171B9"/>
            </w:tcBorders>
            <w:shd w:fill="CCE2F1" w:val="clear"/>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100</w:t>
            </w:r>
          </w:p>
        </w:tc>
        <w:tc>
          <w:tcPr>
            <w:tcW w:w="60" w:type="dxa"/>
            <w:tcBorders>
              <w:bottom w:val="single" w:sz="8" w:space="0" w:color="0171B9"/>
            </w:tcBorders>
            <w:shd w:fill="CCE2F1" w:val="clear"/>
            <w:tcMar>
              <w:bottom w:w="28" w:type="dxa"/>
            </w:tcMar>
            <w:vAlign w:val="center"/>
          </w:tcPr>
          <w:p>
            <w:pPr>
              <w:pStyle w:val="TableContents"/>
              <w:bidi w:val="0"/>
              <w:spacing w:lineRule="atLeast" w:line="280" w:before="0" w:after="0"/>
              <w:jc w:val="left"/>
              <w:rPr/>
            </w:pPr>
            <w:r>
              <w:rPr/>
              <w:t> </w:t>
            </w:r>
          </w:p>
        </w:tc>
        <w:tc>
          <w:tcPr>
            <w:tcW w:w="24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151" w:type="dxa"/>
            <w:tcBorders>
              <w:bottom w:val="single" w:sz="8" w:space="0" w:color="0171B9"/>
            </w:tcBorders>
            <w:shd w:fill="CCE2F1" w:val="clear"/>
            <w:tcMar>
              <w:bottom w:w="28" w:type="dxa"/>
            </w:tcMar>
            <w:vAlign w:val="center"/>
          </w:tcPr>
          <w:p>
            <w:pPr>
              <w:pStyle w:val="TableContents"/>
              <w:bidi w:val="0"/>
              <w:spacing w:lineRule="atLeast" w:line="280" w:before="0" w:after="0"/>
              <w:jc w:val="left"/>
              <w:rPr/>
            </w:pPr>
            <w:r>
              <w:rPr/>
              <w:t> </w:t>
            </w:r>
          </w:p>
        </w:tc>
        <w:tc>
          <w:tcPr>
            <w:tcW w:w="2148" w:type="dxa"/>
            <w:tcBorders>
              <w:bottom w:val="single" w:sz="8" w:space="0" w:color="0171B9"/>
            </w:tcBorders>
            <w:shd w:fill="CCE2F1" w:val="clear"/>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1,059,881</w:t>
            </w:r>
          </w:p>
        </w:tc>
        <w:tc>
          <w:tcPr>
            <w:tcW w:w="60" w:type="dxa"/>
            <w:tcBorders>
              <w:bottom w:val="single" w:sz="8" w:space="0" w:color="0171B9"/>
            </w:tcBorders>
            <w:shd w:fill="CCE2F1" w:val="clear"/>
            <w:tcMar>
              <w:bottom w:w="28" w:type="dxa"/>
            </w:tcMar>
            <w:vAlign w:val="center"/>
          </w:tcPr>
          <w:p>
            <w:pPr>
              <w:pStyle w:val="TableContents"/>
              <w:bidi w:val="0"/>
              <w:spacing w:lineRule="atLeast" w:line="280" w:before="0" w:after="0"/>
              <w:jc w:val="left"/>
              <w:rPr/>
            </w:pPr>
            <w:r>
              <w:rPr/>
              <w:t> </w:t>
            </w:r>
          </w:p>
        </w:tc>
        <w:tc>
          <w:tcPr>
            <w:tcW w:w="24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168" w:type="dxa"/>
            <w:tcBorders>
              <w:bottom w:val="single" w:sz="8" w:space="0" w:color="0171B9"/>
            </w:tcBorders>
            <w:shd w:fill="CCE2F1" w:val="clear"/>
            <w:tcMar>
              <w:bottom w:w="28" w:type="dxa"/>
            </w:tcMar>
            <w:vAlign w:val="center"/>
          </w:tcPr>
          <w:p>
            <w:pPr>
              <w:pStyle w:val="TableContents"/>
              <w:bidi w:val="0"/>
              <w:spacing w:lineRule="atLeast" w:line="280" w:before="0" w:after="0"/>
              <w:jc w:val="left"/>
              <w:rPr/>
            </w:pPr>
            <w:r>
              <w:rPr/>
              <w:t> </w:t>
            </w:r>
          </w:p>
        </w:tc>
        <w:tc>
          <w:tcPr>
            <w:tcW w:w="2386" w:type="dxa"/>
            <w:tcBorders>
              <w:bottom w:val="single" w:sz="8" w:space="0" w:color="0171B9"/>
            </w:tcBorders>
            <w:shd w:fill="CCE2F1" w:val="clear"/>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1,688,000</w:t>
            </w:r>
          </w:p>
        </w:tc>
        <w:tc>
          <w:tcPr>
            <w:tcW w:w="75" w:type="dxa"/>
            <w:tcBorders>
              <w:bottom w:val="single" w:sz="8" w:space="0" w:color="0171B9"/>
            </w:tcBorders>
            <w:shd w:fill="CCE2F1" w:val="clear"/>
            <w:tcMar>
              <w:bottom w:w="28" w:type="dxa"/>
            </w:tcMar>
            <w:vAlign w:val="center"/>
          </w:tcPr>
          <w:p>
            <w:pPr>
              <w:pStyle w:val="TableContents"/>
              <w:bidi w:val="0"/>
              <w:spacing w:lineRule="atLeast" w:line="280" w:before="0" w:after="0"/>
              <w:jc w:val="left"/>
              <w:rPr/>
            </w:pPr>
            <w:r>
              <w:rPr/>
              <w:t> </w:t>
            </w:r>
          </w:p>
        </w:tc>
      </w:tr>
    </w:tbl>
    <w:p>
      <w:pPr>
        <w:pStyle w:val="TextBody"/>
        <w:bidi w:val="0"/>
        <w:spacing w:before="0" w:after="0"/>
        <w:jc w:val="left"/>
        <w:rPr/>
      </w:pPr>
      <w:r>
        <w:rPr/>
        <w:t> </w:t>
      </w:r>
    </w:p>
    <w:tbl>
      <w:tblPr>
        <w:tblW w:w="10150" w:type="dxa"/>
        <w:jc w:val="left"/>
        <w:tblInd w:w="0" w:type="dxa"/>
        <w:tblLayout w:type="fixed"/>
        <w:tblCellMar>
          <w:top w:w="0" w:type="dxa"/>
          <w:left w:w="0" w:type="dxa"/>
          <w:bottom w:w="0" w:type="dxa"/>
          <w:right w:w="0" w:type="dxa"/>
        </w:tblCellMar>
      </w:tblPr>
      <w:tblGrid>
        <w:gridCol w:w="365"/>
        <w:gridCol w:w="9785"/>
      </w:tblGrid>
      <w:tr>
        <w:trPr/>
        <w:tc>
          <w:tcPr>
            <w:tcW w:w="365" w:type="dxa"/>
            <w:tcBorders/>
            <w:vAlign w:val="center"/>
          </w:tcPr>
          <w:p>
            <w:pPr>
              <w:pStyle w:val="TableContents"/>
              <w:bidi w:val="0"/>
              <w:spacing w:before="0" w:after="283"/>
              <w:jc w:val="left"/>
              <w:rPr/>
            </w:pPr>
            <w:r>
              <w:rPr/>
              <w:t>(1) </w:t>
            </w:r>
          </w:p>
        </w:tc>
        <w:tc>
          <w:tcPr>
            <w:tcW w:w="9785" w:type="dxa"/>
            <w:tcBorders/>
            <w:vAlign w:val="center"/>
          </w:tcPr>
          <w:p>
            <w:pPr>
              <w:pStyle w:val="TableContents"/>
              <w:bidi w:val="0"/>
              <w:spacing w:before="0" w:after="0"/>
              <w:jc w:val="both"/>
              <w:rPr>
                <w:rFonts w:ascii="arial" w:hAnsi="arial"/>
                <w:sz w:val="16"/>
              </w:rPr>
            </w:pPr>
            <w:r>
              <w:rPr>
                <w:rFonts w:ascii="arial" w:hAnsi="arial"/>
                <w:sz w:val="16"/>
              </w:rPr>
              <w:t xml:space="preserve">Calculated in accordance with the 2023 Company performance goals composite final score based on actual 2023 earned base salary. </w:t>
            </w:r>
          </w:p>
        </w:tc>
      </w:tr>
    </w:tbl>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66">
                <wp:simplePos x="0" y="0"/>
                <wp:positionH relativeFrom="column">
                  <wp:align>left</wp:align>
                </wp:positionH>
                <wp:positionV relativeFrom="line">
                  <wp:posOffset>635</wp:posOffset>
                </wp:positionV>
                <wp:extent cx="3110230" cy="8622665"/>
                <wp:effectExtent l="0" t="0" r="0" b="0"/>
                <wp:wrapSquare wrapText="right"/>
                <wp:docPr id="278" name="Frame129"/>
                <a:graphic xmlns:a="http://schemas.openxmlformats.org/drawingml/2006/main">
                  <a:graphicData uri="http://schemas.microsoft.com/office/word/2010/wordprocessingShape">
                    <wps:wsp>
                      <wps:cNvSpPr txBox="1"/>
                      <wps:spPr>
                        <a:xfrm>
                          <a:off x="0" y="0"/>
                          <a:ext cx="3110230" cy="8622665"/>
                        </a:xfrm>
                        <a:prstGeom prst="rect"/>
                        <a:solidFill>
                          <a:srgbClr val="FFFFFF"/>
                        </a:solidFill>
                      </wps:spPr>
                      <wps:txbx>
                        <w:txbxContent>
                          <w:p>
                            <w:pPr>
                              <w:pStyle w:val="TextBody"/>
                              <w:bidi w:val="0"/>
                              <w:spacing w:before="0" w:after="0"/>
                              <w:jc w:val="left"/>
                              <w:rPr>
                                <w:rFonts w:ascii="arial" w:hAnsi="arial"/>
                                <w:b/>
                                <w:sz w:val="20"/>
                              </w:rPr>
                            </w:pPr>
                            <w:r>
                              <w:rPr>
                                <w:rFonts w:ascii="arial" w:hAnsi="arial"/>
                                <w:b/>
                                <w:sz w:val="20"/>
                              </w:rPr>
                              <w:t xml:space="preserve">2024 Company Performance Goals </w:t>
                            </w:r>
                          </w:p>
                          <w:p>
                            <w:pPr>
                              <w:pStyle w:val="TextBody"/>
                              <w:bidi w:val="0"/>
                              <w:spacing w:before="120" w:after="0"/>
                              <w:jc w:val="both"/>
                              <w:rPr>
                                <w:rFonts w:ascii="arial" w:hAnsi="arial"/>
                                <w:sz w:val="19"/>
                              </w:rPr>
                            </w:pPr>
                            <w:r>
                              <w:rPr>
                                <w:rFonts w:ascii="arial" w:hAnsi="arial"/>
                                <w:sz w:val="19"/>
                              </w:rPr>
                              <w:t xml:space="preserve">In February 2024, the Compensation Committee established Company performance goals for 2024 performance under our GMIP as follows: </w:t>
                            </w:r>
                          </w:p>
                          <w:p>
                            <w:pPr>
                              <w:pStyle w:val="TextBody"/>
                              <w:bidi w:val="0"/>
                              <w:spacing w:before="0" w:after="0"/>
                              <w:jc w:val="left"/>
                              <w:rPr/>
                            </w:pPr>
                            <w:r>
                              <w:rPr/>
                              <w:t> </w:t>
                            </w:r>
                          </w:p>
                          <w:tbl>
                            <w:tblPr>
                              <w:tblW w:w="6100" w:type="dxa"/>
                              <w:jc w:val="left"/>
                              <w:tblInd w:w="0" w:type="dxa"/>
                              <w:tblLayout w:type="fixed"/>
                              <w:tblCellMar>
                                <w:top w:w="0" w:type="dxa"/>
                                <w:left w:w="0" w:type="dxa"/>
                                <w:bottom w:w="0" w:type="dxa"/>
                                <w:right w:w="0" w:type="dxa"/>
                              </w:tblCellMar>
                            </w:tblPr>
                            <w:tblGrid>
                              <w:gridCol w:w="470"/>
                              <w:gridCol w:w="60"/>
                              <w:gridCol w:w="5570"/>
                            </w:tblGrid>
                            <w:tr>
                              <w:trPr/>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70" w:type="dxa"/>
                                  <w:tcBorders/>
                                  <w:vAlign w:val="center"/>
                                </w:tcPr>
                                <w:p>
                                  <w:pPr>
                                    <w:pStyle w:val="TableContents"/>
                                    <w:bidi w:val="0"/>
                                    <w:spacing w:before="0" w:after="283"/>
                                    <w:jc w:val="left"/>
                                    <w:rPr>
                                      <w:sz w:val="4"/>
                                      <w:szCs w:val="4"/>
                                    </w:rPr>
                                  </w:pPr>
                                  <w:r>
                                    <w:rPr>
                                      <w:sz w:val="4"/>
                                      <w:szCs w:val="4"/>
                                    </w:rPr>
                                  </w:r>
                                </w:p>
                              </w:tc>
                            </w:tr>
                            <w:tr>
                              <w:trPr/>
                              <w:tc>
                                <w:tcPr>
                                  <w:tcW w:w="470" w:type="dxa"/>
                                  <w:tcBorders/>
                                  <w:vAlign w:val="center"/>
                                </w:tcPr>
                                <w:p>
                                  <w:pPr>
                                    <w:pStyle w:val="TableContents"/>
                                    <w:bidi w:val="0"/>
                                    <w:spacing w:before="0" w:after="283"/>
                                    <w:jc w:val="left"/>
                                    <w:rPr>
                                      <w:sz w:val="4"/>
                                      <w:szCs w:val="4"/>
                                    </w:rPr>
                                  </w:pPr>
                                  <w:r>
                                    <w:rPr>
                                      <w:sz w:val="4"/>
                                      <w:szCs w:val="4"/>
                                    </w:rPr>
                                  </w:r>
                                </w:p>
                              </w:tc>
                              <w:tc>
                                <w:tcPr>
                                  <w:tcW w:w="563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470"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570" w:type="dxa"/>
                                  <w:tcBorders>
                                    <w:bottom w:val="single" w:sz="6" w:space="0" w:color="000000"/>
                                    <w:right w:val="single" w:sz="6" w:space="0" w:color="000000"/>
                                  </w:tcBorders>
                                  <w:tcMar>
                                    <w:bottom w:w="60" w:type="dxa"/>
                                    <w:right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b/>
                                      <w:sz w:val="18"/>
                                    </w:rPr>
                                  </w:pPr>
                                  <w:r>
                                    <w:rPr>
                                      <w:rFonts w:ascii="arial" w:hAnsi="arial"/>
                                      <w:b/>
                                      <w:sz w:val="18"/>
                                    </w:rPr>
                                    <w:t>2024 Company Performance Goals</w:t>
                                  </w:r>
                                </w:p>
                              </w:tc>
                            </w:tr>
                            <w:tr>
                              <w:trPr/>
                              <w:tc>
                                <w:tcPr>
                                  <w:tcW w:w="470" w:type="dxa"/>
                                  <w:tcBorders>
                                    <w:left w:val="single" w:sz="6" w:space="0" w:color="000000"/>
                                  </w:tcBorders>
                                  <w:shd w:fill="CCE2F1" w:val="clear"/>
                                  <w:tcMar>
                                    <w:left w:w="160" w:type="dxa"/>
                                  </w:tcMar>
                                  <w:vAlign w:val="center"/>
                                </w:tcPr>
                                <w:p>
                                  <w:pPr>
                                    <w:pStyle w:val="TableContents"/>
                                    <w:bidi w:val="0"/>
                                    <w:spacing w:before="0" w:after="283"/>
                                    <w:jc w:val="left"/>
                                    <w:rPr/>
                                  </w:pPr>
                                  <w:r>
                                    <w:rPr/>
                                    <w:t> </w:t>
                                  </w:r>
                                </w:p>
                              </w:tc>
                              <w:tc>
                                <w:tcPr>
                                  <w:tcW w:w="5630" w:type="dxa"/>
                                  <w:gridSpan w:val="2"/>
                                  <w:tcBorders>
                                    <w:left w:val="single" w:sz="6" w:space="0" w:color="000000"/>
                                    <w:right w:val="single" w:sz="6" w:space="0" w:color="000000"/>
                                  </w:tcBorders>
                                  <w:shd w:fill="CCE2F1" w:val="clear"/>
                                  <w:tcMar>
                                    <w:left w:w="28" w:type="dxa"/>
                                    <w:right w:w="28" w:type="dxa"/>
                                  </w:tcMar>
                                  <w:vAlign w:val="center"/>
                                </w:tcPr>
                                <w:p>
                                  <w:pPr>
                                    <w:pStyle w:val="TableContents"/>
                                    <w:bidi w:val="0"/>
                                    <w:spacing w:before="0" w:after="283"/>
                                    <w:jc w:val="left"/>
                                    <w:rPr/>
                                  </w:pPr>
                                  <w:r>
                                    <w:rPr/>
                                    <w:t> </w:t>
                                  </w:r>
                                </w:p>
                              </w:tc>
                            </w:tr>
                            <w:tr>
                              <w:trPr/>
                              <w:tc>
                                <w:tcPr>
                                  <w:tcW w:w="470" w:type="dxa"/>
                                  <w:tcBorders>
                                    <w:left w:val="single" w:sz="6" w:space="0" w:color="000000"/>
                                    <w:bottom w:val="single" w:sz="6" w:space="0" w:color="000000"/>
                                  </w:tcBorders>
                                  <w:shd w:fill="CCE2F1" w:val="clear"/>
                                  <w:tcMar>
                                    <w:left w:w="160" w:type="dxa"/>
                                    <w:bottom w:w="6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60% </w:t>
                                  </w:r>
                                </w:p>
                              </w:tc>
                              <w:tc>
                                <w:tcPr>
                                  <w:tcW w:w="60" w:type="dxa"/>
                                  <w:tcBorders>
                                    <w:left w:val="single" w:sz="6" w:space="0" w:color="000000"/>
                                    <w:bottom w:val="single" w:sz="6" w:space="0" w:color="000000"/>
                                  </w:tcBorders>
                                  <w:shd w:fill="CCE2F1" w:val="clear"/>
                                  <w:tcMar>
                                    <w:left w:w="28" w:type="dxa"/>
                                    <w:bottom w:w="28" w:type="dxa"/>
                                  </w:tcMar>
                                  <w:vAlign w:val="center"/>
                                </w:tcPr>
                                <w:p>
                                  <w:pPr>
                                    <w:pStyle w:val="TableContents"/>
                                    <w:bidi w:val="0"/>
                                    <w:spacing w:before="0" w:after="283"/>
                                    <w:jc w:val="left"/>
                                    <w:rPr/>
                                  </w:pPr>
                                  <w:r>
                                    <w:rPr/>
                                    <w:t> </w:t>
                                  </w:r>
                                </w:p>
                              </w:tc>
                              <w:tc>
                                <w:tcPr>
                                  <w:tcW w:w="5570" w:type="dxa"/>
                                  <w:tcBorders>
                                    <w:bottom w:val="single" w:sz="6" w:space="0" w:color="000000"/>
                                    <w:right w:val="single" w:sz="6" w:space="0" w:color="000000"/>
                                  </w:tcBorders>
                                  <w:shd w:fill="CCE2F1" w:val="clear"/>
                                  <w:tcMar>
                                    <w:bottom w:w="60" w:type="dxa"/>
                                    <w:right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Deliver Results</w:t>
                                  </w:r>
                                </w:p>
                              </w:tc>
                            </w:tr>
                            <w:tr>
                              <w:trPr/>
                              <w:tc>
                                <w:tcPr>
                                  <w:tcW w:w="470" w:type="dxa"/>
                                  <w:tcBorders/>
                                  <w:vAlign w:val="center"/>
                                </w:tcPr>
                                <w:p>
                                  <w:pPr>
                                    <w:pStyle w:val="TableContents"/>
                                    <w:bidi w:val="0"/>
                                    <w:spacing w:before="0" w:after="283"/>
                                    <w:jc w:val="left"/>
                                    <w:rPr>
                                      <w:sz w:val="4"/>
                                      <w:szCs w:val="4"/>
                                    </w:rPr>
                                  </w:pPr>
                                  <w:r>
                                    <w:rPr>
                                      <w:sz w:val="4"/>
                                      <w:szCs w:val="4"/>
                                    </w:rPr>
                                  </w:r>
                                </w:p>
                              </w:tc>
                              <w:tc>
                                <w:tcPr>
                                  <w:tcW w:w="5630"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470"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570" w:type="dxa"/>
                                  <w:tcBorders>
                                    <w:bottom w:val="single" w:sz="6" w:space="0" w:color="000000"/>
                                    <w:right w:val="single" w:sz="6" w:space="0" w:color="000000"/>
                                  </w:tcBorders>
                                  <w:tcMar>
                                    <w:bottom w:w="60" w:type="dxa"/>
                                    <w:right w:w="40" w:type="dxa"/>
                                  </w:tcMar>
                                  <w:vAlign w:val="center"/>
                                </w:tcPr>
                                <w:p>
                                  <w:pPr>
                                    <w:pStyle w:val="TableContents"/>
                                    <w:bidi w:val="0"/>
                                    <w:spacing w:before="0" w:after="0"/>
                                    <w:jc w:val="both"/>
                                    <w:rPr/>
                                  </w:pPr>
                                  <w:r>
                                    <w:rPr>
                                      <w:color w:val="0171B9"/>
                                    </w:rPr>
                                    <w:t>•</w:t>
                                  </w:r>
                                  <w:r>
                                    <w:rPr/>
                                    <w:t>    </w:t>
                                  </w:r>
                                  <w:r>
                                    <w:rPr>
                                      <w:rFonts w:ascii="arial" w:hAnsi="arial"/>
                                      <w:sz w:val="19"/>
                                    </w:rPr>
                                    <w:t>Revenues (30%)</w:t>
                                  </w:r>
                                </w:p>
                                <w:p>
                                  <w:pPr>
                                    <w:pStyle w:val="TableContents"/>
                                    <w:bidi w:val="0"/>
                                    <w:spacing w:before="0" w:after="0"/>
                                    <w:jc w:val="left"/>
                                    <w:rPr/>
                                  </w:pPr>
                                  <w:r>
                                    <w:rPr/>
                                    <w:t> </w:t>
                                  </w:r>
                                </w:p>
                                <w:p>
                                  <w:pPr>
                                    <w:pStyle w:val="TableContents"/>
                                    <w:bidi w:val="0"/>
                                    <w:spacing w:before="0" w:after="20"/>
                                    <w:jc w:val="both"/>
                                    <w:rPr/>
                                  </w:pPr>
                                  <w:r>
                                    <w:rPr>
                                      <w:color w:val="0171B9"/>
                                    </w:rPr>
                                    <w:t>•</w:t>
                                  </w:r>
                                  <w:r>
                                    <w:rPr/>
                                    <w:t>    </w:t>
                                  </w:r>
                                  <w:r>
                                    <w:rPr>
                                      <w:rFonts w:ascii="arial" w:hAnsi="arial"/>
                                      <w:sz w:val="19"/>
                                    </w:rPr>
                                    <w:t>Non-GAAP Net Income (30%)</w:t>
                                  </w:r>
                                </w:p>
                              </w:tc>
                            </w:tr>
                            <w:tr>
                              <w:trPr/>
                              <w:tc>
                                <w:tcPr>
                                  <w:tcW w:w="470" w:type="dxa"/>
                                  <w:tcBorders>
                                    <w:left w:val="single" w:sz="6" w:space="0" w:color="000000"/>
                                  </w:tcBorders>
                                  <w:shd w:fill="CCE2F1" w:val="clear"/>
                                  <w:tcMar>
                                    <w:left w:w="160" w:type="dxa"/>
                                  </w:tcMar>
                                  <w:vAlign w:val="center"/>
                                </w:tcPr>
                                <w:p>
                                  <w:pPr>
                                    <w:pStyle w:val="TableContents"/>
                                    <w:bidi w:val="0"/>
                                    <w:spacing w:before="0" w:after="283"/>
                                    <w:jc w:val="left"/>
                                    <w:rPr/>
                                  </w:pPr>
                                  <w:r>
                                    <w:rPr/>
                                    <w:t> </w:t>
                                  </w:r>
                                </w:p>
                              </w:tc>
                              <w:tc>
                                <w:tcPr>
                                  <w:tcW w:w="5630" w:type="dxa"/>
                                  <w:gridSpan w:val="2"/>
                                  <w:tcBorders>
                                    <w:left w:val="single" w:sz="6" w:space="0" w:color="000000"/>
                                    <w:right w:val="single" w:sz="6" w:space="0" w:color="000000"/>
                                  </w:tcBorders>
                                  <w:shd w:fill="CCE2F1" w:val="clear"/>
                                  <w:tcMar>
                                    <w:left w:w="28" w:type="dxa"/>
                                    <w:right w:w="28" w:type="dxa"/>
                                  </w:tcMar>
                                  <w:vAlign w:val="center"/>
                                </w:tcPr>
                                <w:p>
                                  <w:pPr>
                                    <w:pStyle w:val="TableContents"/>
                                    <w:bidi w:val="0"/>
                                    <w:spacing w:before="0" w:after="283"/>
                                    <w:jc w:val="left"/>
                                    <w:rPr/>
                                  </w:pPr>
                                  <w:r>
                                    <w:rPr/>
                                    <w:t> </w:t>
                                  </w:r>
                                </w:p>
                              </w:tc>
                            </w:tr>
                            <w:tr>
                              <w:trPr/>
                              <w:tc>
                                <w:tcPr>
                                  <w:tcW w:w="470" w:type="dxa"/>
                                  <w:tcBorders>
                                    <w:left w:val="single" w:sz="6" w:space="0" w:color="000000"/>
                                    <w:bottom w:val="single" w:sz="6" w:space="0" w:color="000000"/>
                                  </w:tcBorders>
                                  <w:shd w:fill="CCE2F1" w:val="clear"/>
                                  <w:tcMar>
                                    <w:left w:w="160" w:type="dxa"/>
                                    <w:bottom w:w="6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30% </w:t>
                                  </w:r>
                                </w:p>
                              </w:tc>
                              <w:tc>
                                <w:tcPr>
                                  <w:tcW w:w="60" w:type="dxa"/>
                                  <w:tcBorders>
                                    <w:left w:val="single" w:sz="6" w:space="0" w:color="000000"/>
                                    <w:bottom w:val="single" w:sz="6" w:space="0" w:color="000000"/>
                                  </w:tcBorders>
                                  <w:shd w:fill="CCE2F1" w:val="clear"/>
                                  <w:tcMar>
                                    <w:left w:w="28" w:type="dxa"/>
                                    <w:bottom w:w="28" w:type="dxa"/>
                                  </w:tcMar>
                                  <w:vAlign w:val="center"/>
                                </w:tcPr>
                                <w:p>
                                  <w:pPr>
                                    <w:pStyle w:val="TableContents"/>
                                    <w:bidi w:val="0"/>
                                    <w:spacing w:before="0" w:after="283"/>
                                    <w:jc w:val="left"/>
                                    <w:rPr/>
                                  </w:pPr>
                                  <w:r>
                                    <w:rPr/>
                                    <w:t> </w:t>
                                  </w:r>
                                </w:p>
                              </w:tc>
                              <w:tc>
                                <w:tcPr>
                                  <w:tcW w:w="5570" w:type="dxa"/>
                                  <w:tcBorders>
                                    <w:bottom w:val="single" w:sz="6" w:space="0" w:color="000000"/>
                                    <w:right w:val="single" w:sz="6" w:space="0" w:color="000000"/>
                                  </w:tcBorders>
                                  <w:shd w:fill="CCE2F1" w:val="clear"/>
                                  <w:tcMar>
                                    <w:bottom w:w="60" w:type="dxa"/>
                                    <w:right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Progress Innovative Pipeline</w:t>
                                  </w:r>
                                </w:p>
                              </w:tc>
                            </w:tr>
                            <w:tr>
                              <w:trPr/>
                              <w:tc>
                                <w:tcPr>
                                  <w:tcW w:w="470" w:type="dxa"/>
                                  <w:tcBorders/>
                                  <w:vAlign w:val="center"/>
                                </w:tcPr>
                                <w:p>
                                  <w:pPr>
                                    <w:pStyle w:val="TableContents"/>
                                    <w:bidi w:val="0"/>
                                    <w:spacing w:before="0" w:after="283"/>
                                    <w:jc w:val="left"/>
                                    <w:rPr>
                                      <w:sz w:val="4"/>
                                      <w:szCs w:val="4"/>
                                    </w:rPr>
                                  </w:pPr>
                                  <w:r>
                                    <w:rPr>
                                      <w:sz w:val="4"/>
                                      <w:szCs w:val="4"/>
                                    </w:rPr>
                                  </w:r>
                                </w:p>
                              </w:tc>
                              <w:tc>
                                <w:tcPr>
                                  <w:tcW w:w="5630"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470"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570" w:type="dxa"/>
                                  <w:tcBorders>
                                    <w:bottom w:val="single" w:sz="6" w:space="0" w:color="000000"/>
                                    <w:right w:val="single" w:sz="6" w:space="0" w:color="000000"/>
                                  </w:tcBorders>
                                  <w:tcMar>
                                    <w:bottom w:w="60" w:type="dxa"/>
                                    <w:right w:w="40" w:type="dxa"/>
                                  </w:tcMar>
                                  <w:vAlign w:val="center"/>
                                </w:tcPr>
                                <w:p>
                                  <w:pPr>
                                    <w:pStyle w:val="TableContents"/>
                                    <w:bidi w:val="0"/>
                                    <w:spacing w:before="0" w:after="0"/>
                                    <w:jc w:val="left"/>
                                    <w:rPr/>
                                  </w:pPr>
                                  <w:r>
                                    <w:rPr/>
                                    <w:t> </w:t>
                                  </w:r>
                                </w:p>
                                <w:p>
                                  <w:pPr>
                                    <w:pStyle w:val="TableContents"/>
                                    <w:bidi w:val="0"/>
                                    <w:spacing w:before="0" w:after="0"/>
                                    <w:jc w:val="left"/>
                                    <w:rPr/>
                                  </w:pPr>
                                  <w:r>
                                    <w:rPr>
                                      <w:color w:val="0171B9"/>
                                    </w:rPr>
                                    <w:t>•</w:t>
                                  </w:r>
                                  <w:r>
                                    <w:rPr/>
                                    <w:t>   </w:t>
                                  </w:r>
                                  <w:r>
                                    <w:rPr>
                                      <w:rFonts w:ascii="arial" w:hAnsi="arial"/>
                                      <w:sz w:val="19"/>
                                    </w:rPr>
                                    <w:t>Advance Early Pipeline (10%)</w:t>
                                  </w:r>
                                </w:p>
                                <w:p>
                                  <w:pPr>
                                    <w:pStyle w:val="TableContents"/>
                                    <w:bidi w:val="0"/>
                                    <w:spacing w:before="0" w:after="0"/>
                                    <w:jc w:val="left"/>
                                    <w:rPr/>
                                  </w:pPr>
                                  <w:r>
                                    <w:rPr/>
                                    <w:t> </w:t>
                                  </w:r>
                                </w:p>
                                <w:p>
                                  <w:pPr>
                                    <w:pStyle w:val="TableContents"/>
                                    <w:bidi w:val="0"/>
                                    <w:spacing w:before="0" w:after="20"/>
                                    <w:jc w:val="left"/>
                                    <w:rPr/>
                                  </w:pPr>
                                  <w:r>
                                    <w:rPr>
                                      <w:color w:val="0171B9"/>
                                    </w:rPr>
                                    <w:t>•</w:t>
                                  </w:r>
                                  <w:r>
                                    <w:rPr/>
                                    <w:t>   </w:t>
                                  </w:r>
                                  <w:r>
                                    <w:rPr>
                                      <w:rFonts w:ascii="arial" w:hAnsi="arial"/>
                                      <w:sz w:val="19"/>
                                    </w:rPr>
                                    <w:t>Executive Key Clinical Studies and Regulatory Filings (20%)</w:t>
                                  </w:r>
                                </w:p>
                              </w:tc>
                            </w:tr>
                            <w:tr>
                              <w:trPr/>
                              <w:tc>
                                <w:tcPr>
                                  <w:tcW w:w="470" w:type="dxa"/>
                                  <w:tcBorders>
                                    <w:left w:val="single" w:sz="6" w:space="0" w:color="000000"/>
                                  </w:tcBorders>
                                  <w:shd w:fill="CCE2F1" w:val="clear"/>
                                  <w:tcMar>
                                    <w:left w:w="160" w:type="dxa"/>
                                  </w:tcMar>
                                  <w:vAlign w:val="center"/>
                                </w:tcPr>
                                <w:p>
                                  <w:pPr>
                                    <w:pStyle w:val="TableContents"/>
                                    <w:bidi w:val="0"/>
                                    <w:spacing w:before="0" w:after="283"/>
                                    <w:jc w:val="left"/>
                                    <w:rPr/>
                                  </w:pPr>
                                  <w:r>
                                    <w:rPr/>
                                    <w:t> </w:t>
                                  </w:r>
                                </w:p>
                              </w:tc>
                              <w:tc>
                                <w:tcPr>
                                  <w:tcW w:w="5630" w:type="dxa"/>
                                  <w:gridSpan w:val="2"/>
                                  <w:tcBorders>
                                    <w:left w:val="single" w:sz="6" w:space="0" w:color="000000"/>
                                    <w:right w:val="single" w:sz="6" w:space="0" w:color="000000"/>
                                  </w:tcBorders>
                                  <w:shd w:fill="CCE2F1" w:val="clear"/>
                                  <w:tcMar>
                                    <w:left w:w="28" w:type="dxa"/>
                                    <w:right w:w="28" w:type="dxa"/>
                                  </w:tcMar>
                                  <w:vAlign w:val="center"/>
                                </w:tcPr>
                                <w:p>
                                  <w:pPr>
                                    <w:pStyle w:val="TableContents"/>
                                    <w:bidi w:val="0"/>
                                    <w:spacing w:before="0" w:after="283"/>
                                    <w:jc w:val="left"/>
                                    <w:rPr/>
                                  </w:pPr>
                                  <w:r>
                                    <w:rPr/>
                                    <w:t> </w:t>
                                  </w:r>
                                </w:p>
                              </w:tc>
                            </w:tr>
                            <w:tr>
                              <w:trPr/>
                              <w:tc>
                                <w:tcPr>
                                  <w:tcW w:w="470" w:type="dxa"/>
                                  <w:tcBorders>
                                    <w:left w:val="single" w:sz="6" w:space="0" w:color="000000"/>
                                    <w:bottom w:val="single" w:sz="6" w:space="0" w:color="000000"/>
                                  </w:tcBorders>
                                  <w:shd w:fill="CCE2F1" w:val="clear"/>
                                  <w:tcMar>
                                    <w:left w:w="160" w:type="dxa"/>
                                    <w:bottom w:w="6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10% </w:t>
                                  </w:r>
                                </w:p>
                              </w:tc>
                              <w:tc>
                                <w:tcPr>
                                  <w:tcW w:w="60" w:type="dxa"/>
                                  <w:tcBorders>
                                    <w:left w:val="single" w:sz="6" w:space="0" w:color="000000"/>
                                    <w:bottom w:val="single" w:sz="6" w:space="0" w:color="000000"/>
                                  </w:tcBorders>
                                  <w:shd w:fill="CCE2F1" w:val="clear"/>
                                  <w:tcMar>
                                    <w:left w:w="28" w:type="dxa"/>
                                    <w:bottom w:w="28" w:type="dxa"/>
                                  </w:tcMar>
                                  <w:vAlign w:val="center"/>
                                </w:tcPr>
                                <w:p>
                                  <w:pPr>
                                    <w:pStyle w:val="TableContents"/>
                                    <w:bidi w:val="0"/>
                                    <w:spacing w:before="0" w:after="283"/>
                                    <w:jc w:val="left"/>
                                    <w:rPr/>
                                  </w:pPr>
                                  <w:r>
                                    <w:rPr/>
                                    <w:t> </w:t>
                                  </w:r>
                                </w:p>
                              </w:tc>
                              <w:tc>
                                <w:tcPr>
                                  <w:tcW w:w="5570" w:type="dxa"/>
                                  <w:tcBorders>
                                    <w:bottom w:val="single" w:sz="6" w:space="0" w:color="000000"/>
                                    <w:right w:val="single" w:sz="6" w:space="0" w:color="000000"/>
                                  </w:tcBorders>
                                  <w:shd w:fill="CCE2F1" w:val="clear"/>
                                  <w:tcMar>
                                    <w:bottom w:w="60" w:type="dxa"/>
                                    <w:right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Deliver Annual Priorities</w:t>
                                  </w:r>
                                </w:p>
                              </w:tc>
                            </w:tr>
                            <w:tr>
                              <w:trPr/>
                              <w:tc>
                                <w:tcPr>
                                  <w:tcW w:w="470" w:type="dxa"/>
                                  <w:tcBorders/>
                                  <w:vAlign w:val="center"/>
                                </w:tcPr>
                                <w:p>
                                  <w:pPr>
                                    <w:pStyle w:val="TableContents"/>
                                    <w:bidi w:val="0"/>
                                    <w:spacing w:before="0" w:after="283"/>
                                    <w:jc w:val="left"/>
                                    <w:rPr>
                                      <w:sz w:val="4"/>
                                      <w:szCs w:val="4"/>
                                    </w:rPr>
                                  </w:pPr>
                                  <w:r>
                                    <w:rPr>
                                      <w:sz w:val="4"/>
                                      <w:szCs w:val="4"/>
                                    </w:rPr>
                                  </w:r>
                                </w:p>
                              </w:tc>
                              <w:tc>
                                <w:tcPr>
                                  <w:tcW w:w="5630"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570" w:type="dxa"/>
                                  <w:tcBorders>
                                    <w:bottom w:val="single" w:sz="6" w:space="0" w:color="000000"/>
                                    <w:right w:val="single" w:sz="6" w:space="0" w:color="000000"/>
                                  </w:tcBorders>
                                  <w:tcMar>
                                    <w:bottom w:w="60" w:type="dxa"/>
                                    <w:right w:w="40" w:type="dxa"/>
                                  </w:tcMar>
                                  <w:vAlign w:val="center"/>
                                </w:tcPr>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Successful Integrations and Collaborations (5%)</w:t>
                                  </w:r>
                                </w:p>
                                <w:p>
                                  <w:pPr>
                                    <w:pStyle w:val="TableContents"/>
                                    <w:bidi w:val="0"/>
                                    <w:spacing w:before="0" w:after="0"/>
                                    <w:jc w:val="left"/>
                                    <w:rPr/>
                                  </w:pPr>
                                  <w:r>
                                    <w:rPr/>
                                    <w:t> </w:t>
                                  </w:r>
                                </w:p>
                                <w:p>
                                  <w:pPr>
                                    <w:pStyle w:val="TableContents"/>
                                    <w:bidi w:val="0"/>
                                    <w:spacing w:before="0" w:after="20"/>
                                    <w:jc w:val="left"/>
                                    <w:rPr/>
                                  </w:pPr>
                                  <w:r>
                                    <w:rPr>
                                      <w:color w:val="0171B9"/>
                                    </w:rPr>
                                    <w:t>•</w:t>
                                  </w:r>
                                  <w:r>
                                    <w:rPr/>
                                    <w:t>   </w:t>
                                  </w:r>
                                  <w:r>
                                    <w:rPr>
                                      <w:rFonts w:ascii="arial" w:hAnsi="arial"/>
                                      <w:sz w:val="19"/>
                                    </w:rPr>
                                    <w:t>Environmental, Social, and Governance (5%)</w:t>
                                  </w:r>
                                </w:p>
                              </w:tc>
                            </w:tr>
                          </w:tbl>
                          <w:p>
                            <w:pPr>
                              <w:pStyle w:val="TextBody"/>
                              <w:bidi w:val="0"/>
                              <w:spacing w:before="120" w:after="0"/>
                              <w:jc w:val="both"/>
                              <w:rPr>
                                <w:rFonts w:ascii="arial" w:hAnsi="arial"/>
                                <w:sz w:val="19"/>
                              </w:rPr>
                            </w:pPr>
                            <w:r>
                              <w:rPr>
                                <w:rFonts w:ascii="arial" w:hAnsi="arial"/>
                                <w:sz w:val="19"/>
                              </w:rPr>
                              <w:t xml:space="preserve">The Compensation Committee also reviewed the target incentive award opportunity for each NEO and determined that the previously established target incentive award opportunities remain appropriate and no changes were made to the target incentive award opportunity for any NEO.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78.9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sz w:val="20"/>
                        </w:rPr>
                      </w:pPr>
                      <w:r>
                        <w:rPr>
                          <w:rFonts w:ascii="arial" w:hAnsi="arial"/>
                          <w:b/>
                          <w:sz w:val="20"/>
                        </w:rPr>
                        <w:t xml:space="preserve">2024 Company Performance Goals </w:t>
                      </w:r>
                    </w:p>
                    <w:p>
                      <w:pPr>
                        <w:pStyle w:val="TextBody"/>
                        <w:bidi w:val="0"/>
                        <w:spacing w:before="120" w:after="0"/>
                        <w:jc w:val="both"/>
                        <w:rPr>
                          <w:rFonts w:ascii="arial" w:hAnsi="arial"/>
                          <w:sz w:val="19"/>
                        </w:rPr>
                      </w:pPr>
                      <w:r>
                        <w:rPr>
                          <w:rFonts w:ascii="arial" w:hAnsi="arial"/>
                          <w:sz w:val="19"/>
                        </w:rPr>
                        <w:t xml:space="preserve">In February 2024, the Compensation Committee established Company performance goals for 2024 performance under our GMIP as follows: </w:t>
                      </w:r>
                    </w:p>
                    <w:p>
                      <w:pPr>
                        <w:pStyle w:val="TextBody"/>
                        <w:bidi w:val="0"/>
                        <w:spacing w:before="0" w:after="0"/>
                        <w:jc w:val="left"/>
                        <w:rPr/>
                      </w:pPr>
                      <w:r>
                        <w:rPr/>
                        <w:t> </w:t>
                      </w:r>
                    </w:p>
                    <w:tbl>
                      <w:tblPr>
                        <w:tblW w:w="6100" w:type="dxa"/>
                        <w:jc w:val="left"/>
                        <w:tblInd w:w="0" w:type="dxa"/>
                        <w:tblLayout w:type="fixed"/>
                        <w:tblCellMar>
                          <w:top w:w="0" w:type="dxa"/>
                          <w:left w:w="0" w:type="dxa"/>
                          <w:bottom w:w="0" w:type="dxa"/>
                          <w:right w:w="0" w:type="dxa"/>
                        </w:tblCellMar>
                      </w:tblPr>
                      <w:tblGrid>
                        <w:gridCol w:w="470"/>
                        <w:gridCol w:w="60"/>
                        <w:gridCol w:w="5570"/>
                      </w:tblGrid>
                      <w:tr>
                        <w:trPr/>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70" w:type="dxa"/>
                            <w:tcBorders/>
                            <w:vAlign w:val="center"/>
                          </w:tcPr>
                          <w:p>
                            <w:pPr>
                              <w:pStyle w:val="TableContents"/>
                              <w:bidi w:val="0"/>
                              <w:spacing w:before="0" w:after="283"/>
                              <w:jc w:val="left"/>
                              <w:rPr>
                                <w:sz w:val="4"/>
                                <w:szCs w:val="4"/>
                              </w:rPr>
                            </w:pPr>
                            <w:r>
                              <w:rPr>
                                <w:sz w:val="4"/>
                                <w:szCs w:val="4"/>
                              </w:rPr>
                            </w:r>
                          </w:p>
                        </w:tc>
                      </w:tr>
                      <w:tr>
                        <w:trPr/>
                        <w:tc>
                          <w:tcPr>
                            <w:tcW w:w="470" w:type="dxa"/>
                            <w:tcBorders/>
                            <w:vAlign w:val="center"/>
                          </w:tcPr>
                          <w:p>
                            <w:pPr>
                              <w:pStyle w:val="TableContents"/>
                              <w:bidi w:val="0"/>
                              <w:spacing w:before="0" w:after="283"/>
                              <w:jc w:val="left"/>
                              <w:rPr>
                                <w:sz w:val="4"/>
                                <w:szCs w:val="4"/>
                              </w:rPr>
                            </w:pPr>
                            <w:r>
                              <w:rPr>
                                <w:sz w:val="4"/>
                                <w:szCs w:val="4"/>
                              </w:rPr>
                            </w:r>
                          </w:p>
                        </w:tc>
                        <w:tc>
                          <w:tcPr>
                            <w:tcW w:w="563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470"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570" w:type="dxa"/>
                            <w:tcBorders>
                              <w:bottom w:val="single" w:sz="6" w:space="0" w:color="000000"/>
                              <w:right w:val="single" w:sz="6" w:space="0" w:color="000000"/>
                            </w:tcBorders>
                            <w:tcMar>
                              <w:bottom w:w="60" w:type="dxa"/>
                              <w:right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b/>
                                <w:sz w:val="18"/>
                              </w:rPr>
                            </w:pPr>
                            <w:r>
                              <w:rPr>
                                <w:rFonts w:ascii="arial" w:hAnsi="arial"/>
                                <w:b/>
                                <w:sz w:val="18"/>
                              </w:rPr>
                              <w:t>2024 Company Performance Goals</w:t>
                            </w:r>
                          </w:p>
                        </w:tc>
                      </w:tr>
                      <w:tr>
                        <w:trPr/>
                        <w:tc>
                          <w:tcPr>
                            <w:tcW w:w="470" w:type="dxa"/>
                            <w:tcBorders>
                              <w:left w:val="single" w:sz="6" w:space="0" w:color="000000"/>
                            </w:tcBorders>
                            <w:shd w:fill="CCE2F1" w:val="clear"/>
                            <w:tcMar>
                              <w:left w:w="160" w:type="dxa"/>
                            </w:tcMar>
                            <w:vAlign w:val="center"/>
                          </w:tcPr>
                          <w:p>
                            <w:pPr>
                              <w:pStyle w:val="TableContents"/>
                              <w:bidi w:val="0"/>
                              <w:spacing w:before="0" w:after="283"/>
                              <w:jc w:val="left"/>
                              <w:rPr/>
                            </w:pPr>
                            <w:r>
                              <w:rPr/>
                              <w:t> </w:t>
                            </w:r>
                          </w:p>
                        </w:tc>
                        <w:tc>
                          <w:tcPr>
                            <w:tcW w:w="5630" w:type="dxa"/>
                            <w:gridSpan w:val="2"/>
                            <w:tcBorders>
                              <w:left w:val="single" w:sz="6" w:space="0" w:color="000000"/>
                              <w:right w:val="single" w:sz="6" w:space="0" w:color="000000"/>
                            </w:tcBorders>
                            <w:shd w:fill="CCE2F1" w:val="clear"/>
                            <w:tcMar>
                              <w:left w:w="28" w:type="dxa"/>
                              <w:right w:w="28" w:type="dxa"/>
                            </w:tcMar>
                            <w:vAlign w:val="center"/>
                          </w:tcPr>
                          <w:p>
                            <w:pPr>
                              <w:pStyle w:val="TableContents"/>
                              <w:bidi w:val="0"/>
                              <w:spacing w:before="0" w:after="283"/>
                              <w:jc w:val="left"/>
                              <w:rPr/>
                            </w:pPr>
                            <w:r>
                              <w:rPr/>
                              <w:t> </w:t>
                            </w:r>
                          </w:p>
                        </w:tc>
                      </w:tr>
                      <w:tr>
                        <w:trPr/>
                        <w:tc>
                          <w:tcPr>
                            <w:tcW w:w="470" w:type="dxa"/>
                            <w:tcBorders>
                              <w:left w:val="single" w:sz="6" w:space="0" w:color="000000"/>
                              <w:bottom w:val="single" w:sz="6" w:space="0" w:color="000000"/>
                            </w:tcBorders>
                            <w:shd w:fill="CCE2F1" w:val="clear"/>
                            <w:tcMar>
                              <w:left w:w="160" w:type="dxa"/>
                              <w:bottom w:w="6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60% </w:t>
                            </w:r>
                          </w:p>
                        </w:tc>
                        <w:tc>
                          <w:tcPr>
                            <w:tcW w:w="60" w:type="dxa"/>
                            <w:tcBorders>
                              <w:left w:val="single" w:sz="6" w:space="0" w:color="000000"/>
                              <w:bottom w:val="single" w:sz="6" w:space="0" w:color="000000"/>
                            </w:tcBorders>
                            <w:shd w:fill="CCE2F1" w:val="clear"/>
                            <w:tcMar>
                              <w:left w:w="28" w:type="dxa"/>
                              <w:bottom w:w="28" w:type="dxa"/>
                            </w:tcMar>
                            <w:vAlign w:val="center"/>
                          </w:tcPr>
                          <w:p>
                            <w:pPr>
                              <w:pStyle w:val="TableContents"/>
                              <w:bidi w:val="0"/>
                              <w:spacing w:before="0" w:after="283"/>
                              <w:jc w:val="left"/>
                              <w:rPr/>
                            </w:pPr>
                            <w:r>
                              <w:rPr/>
                              <w:t> </w:t>
                            </w:r>
                          </w:p>
                        </w:tc>
                        <w:tc>
                          <w:tcPr>
                            <w:tcW w:w="5570" w:type="dxa"/>
                            <w:tcBorders>
                              <w:bottom w:val="single" w:sz="6" w:space="0" w:color="000000"/>
                              <w:right w:val="single" w:sz="6" w:space="0" w:color="000000"/>
                            </w:tcBorders>
                            <w:shd w:fill="CCE2F1" w:val="clear"/>
                            <w:tcMar>
                              <w:bottom w:w="60" w:type="dxa"/>
                              <w:right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Deliver Results</w:t>
                            </w:r>
                          </w:p>
                        </w:tc>
                      </w:tr>
                      <w:tr>
                        <w:trPr/>
                        <w:tc>
                          <w:tcPr>
                            <w:tcW w:w="470" w:type="dxa"/>
                            <w:tcBorders/>
                            <w:vAlign w:val="center"/>
                          </w:tcPr>
                          <w:p>
                            <w:pPr>
                              <w:pStyle w:val="TableContents"/>
                              <w:bidi w:val="0"/>
                              <w:spacing w:before="0" w:after="283"/>
                              <w:jc w:val="left"/>
                              <w:rPr>
                                <w:sz w:val="4"/>
                                <w:szCs w:val="4"/>
                              </w:rPr>
                            </w:pPr>
                            <w:r>
                              <w:rPr>
                                <w:sz w:val="4"/>
                                <w:szCs w:val="4"/>
                              </w:rPr>
                            </w:r>
                          </w:p>
                        </w:tc>
                        <w:tc>
                          <w:tcPr>
                            <w:tcW w:w="5630"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470"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570" w:type="dxa"/>
                            <w:tcBorders>
                              <w:bottom w:val="single" w:sz="6" w:space="0" w:color="000000"/>
                              <w:right w:val="single" w:sz="6" w:space="0" w:color="000000"/>
                            </w:tcBorders>
                            <w:tcMar>
                              <w:bottom w:w="60" w:type="dxa"/>
                              <w:right w:w="40" w:type="dxa"/>
                            </w:tcMar>
                            <w:vAlign w:val="center"/>
                          </w:tcPr>
                          <w:p>
                            <w:pPr>
                              <w:pStyle w:val="TableContents"/>
                              <w:bidi w:val="0"/>
                              <w:spacing w:before="0" w:after="0"/>
                              <w:jc w:val="both"/>
                              <w:rPr/>
                            </w:pPr>
                            <w:r>
                              <w:rPr>
                                <w:color w:val="0171B9"/>
                              </w:rPr>
                              <w:t>•</w:t>
                            </w:r>
                            <w:r>
                              <w:rPr/>
                              <w:t>    </w:t>
                            </w:r>
                            <w:r>
                              <w:rPr>
                                <w:rFonts w:ascii="arial" w:hAnsi="arial"/>
                                <w:sz w:val="19"/>
                              </w:rPr>
                              <w:t>Revenues (30%)</w:t>
                            </w:r>
                          </w:p>
                          <w:p>
                            <w:pPr>
                              <w:pStyle w:val="TableContents"/>
                              <w:bidi w:val="0"/>
                              <w:spacing w:before="0" w:after="0"/>
                              <w:jc w:val="left"/>
                              <w:rPr/>
                            </w:pPr>
                            <w:r>
                              <w:rPr/>
                              <w:t> </w:t>
                            </w:r>
                          </w:p>
                          <w:p>
                            <w:pPr>
                              <w:pStyle w:val="TableContents"/>
                              <w:bidi w:val="0"/>
                              <w:spacing w:before="0" w:after="20"/>
                              <w:jc w:val="both"/>
                              <w:rPr/>
                            </w:pPr>
                            <w:r>
                              <w:rPr>
                                <w:color w:val="0171B9"/>
                              </w:rPr>
                              <w:t>•</w:t>
                            </w:r>
                            <w:r>
                              <w:rPr/>
                              <w:t>    </w:t>
                            </w:r>
                            <w:r>
                              <w:rPr>
                                <w:rFonts w:ascii="arial" w:hAnsi="arial"/>
                                <w:sz w:val="19"/>
                              </w:rPr>
                              <w:t>Non-GAAP Net Income (30%)</w:t>
                            </w:r>
                          </w:p>
                        </w:tc>
                      </w:tr>
                      <w:tr>
                        <w:trPr/>
                        <w:tc>
                          <w:tcPr>
                            <w:tcW w:w="470" w:type="dxa"/>
                            <w:tcBorders>
                              <w:left w:val="single" w:sz="6" w:space="0" w:color="000000"/>
                            </w:tcBorders>
                            <w:shd w:fill="CCE2F1" w:val="clear"/>
                            <w:tcMar>
                              <w:left w:w="160" w:type="dxa"/>
                            </w:tcMar>
                            <w:vAlign w:val="center"/>
                          </w:tcPr>
                          <w:p>
                            <w:pPr>
                              <w:pStyle w:val="TableContents"/>
                              <w:bidi w:val="0"/>
                              <w:spacing w:before="0" w:after="283"/>
                              <w:jc w:val="left"/>
                              <w:rPr/>
                            </w:pPr>
                            <w:r>
                              <w:rPr/>
                              <w:t> </w:t>
                            </w:r>
                          </w:p>
                        </w:tc>
                        <w:tc>
                          <w:tcPr>
                            <w:tcW w:w="5630" w:type="dxa"/>
                            <w:gridSpan w:val="2"/>
                            <w:tcBorders>
                              <w:left w:val="single" w:sz="6" w:space="0" w:color="000000"/>
                              <w:right w:val="single" w:sz="6" w:space="0" w:color="000000"/>
                            </w:tcBorders>
                            <w:shd w:fill="CCE2F1" w:val="clear"/>
                            <w:tcMar>
                              <w:left w:w="28" w:type="dxa"/>
                              <w:right w:w="28" w:type="dxa"/>
                            </w:tcMar>
                            <w:vAlign w:val="center"/>
                          </w:tcPr>
                          <w:p>
                            <w:pPr>
                              <w:pStyle w:val="TableContents"/>
                              <w:bidi w:val="0"/>
                              <w:spacing w:before="0" w:after="283"/>
                              <w:jc w:val="left"/>
                              <w:rPr/>
                            </w:pPr>
                            <w:r>
                              <w:rPr/>
                              <w:t> </w:t>
                            </w:r>
                          </w:p>
                        </w:tc>
                      </w:tr>
                      <w:tr>
                        <w:trPr/>
                        <w:tc>
                          <w:tcPr>
                            <w:tcW w:w="470" w:type="dxa"/>
                            <w:tcBorders>
                              <w:left w:val="single" w:sz="6" w:space="0" w:color="000000"/>
                              <w:bottom w:val="single" w:sz="6" w:space="0" w:color="000000"/>
                            </w:tcBorders>
                            <w:shd w:fill="CCE2F1" w:val="clear"/>
                            <w:tcMar>
                              <w:left w:w="160" w:type="dxa"/>
                              <w:bottom w:w="6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30% </w:t>
                            </w:r>
                          </w:p>
                        </w:tc>
                        <w:tc>
                          <w:tcPr>
                            <w:tcW w:w="60" w:type="dxa"/>
                            <w:tcBorders>
                              <w:left w:val="single" w:sz="6" w:space="0" w:color="000000"/>
                              <w:bottom w:val="single" w:sz="6" w:space="0" w:color="000000"/>
                            </w:tcBorders>
                            <w:shd w:fill="CCE2F1" w:val="clear"/>
                            <w:tcMar>
                              <w:left w:w="28" w:type="dxa"/>
                              <w:bottom w:w="28" w:type="dxa"/>
                            </w:tcMar>
                            <w:vAlign w:val="center"/>
                          </w:tcPr>
                          <w:p>
                            <w:pPr>
                              <w:pStyle w:val="TableContents"/>
                              <w:bidi w:val="0"/>
                              <w:spacing w:before="0" w:after="283"/>
                              <w:jc w:val="left"/>
                              <w:rPr/>
                            </w:pPr>
                            <w:r>
                              <w:rPr/>
                              <w:t> </w:t>
                            </w:r>
                          </w:p>
                        </w:tc>
                        <w:tc>
                          <w:tcPr>
                            <w:tcW w:w="5570" w:type="dxa"/>
                            <w:tcBorders>
                              <w:bottom w:val="single" w:sz="6" w:space="0" w:color="000000"/>
                              <w:right w:val="single" w:sz="6" w:space="0" w:color="000000"/>
                            </w:tcBorders>
                            <w:shd w:fill="CCE2F1" w:val="clear"/>
                            <w:tcMar>
                              <w:bottom w:w="60" w:type="dxa"/>
                              <w:right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Progress Innovative Pipeline</w:t>
                            </w:r>
                          </w:p>
                        </w:tc>
                      </w:tr>
                      <w:tr>
                        <w:trPr/>
                        <w:tc>
                          <w:tcPr>
                            <w:tcW w:w="470" w:type="dxa"/>
                            <w:tcBorders/>
                            <w:vAlign w:val="center"/>
                          </w:tcPr>
                          <w:p>
                            <w:pPr>
                              <w:pStyle w:val="TableContents"/>
                              <w:bidi w:val="0"/>
                              <w:spacing w:before="0" w:after="283"/>
                              <w:jc w:val="left"/>
                              <w:rPr>
                                <w:sz w:val="4"/>
                                <w:szCs w:val="4"/>
                              </w:rPr>
                            </w:pPr>
                            <w:r>
                              <w:rPr>
                                <w:sz w:val="4"/>
                                <w:szCs w:val="4"/>
                              </w:rPr>
                            </w:r>
                          </w:p>
                        </w:tc>
                        <w:tc>
                          <w:tcPr>
                            <w:tcW w:w="5630"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470"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570" w:type="dxa"/>
                            <w:tcBorders>
                              <w:bottom w:val="single" w:sz="6" w:space="0" w:color="000000"/>
                              <w:right w:val="single" w:sz="6" w:space="0" w:color="000000"/>
                            </w:tcBorders>
                            <w:tcMar>
                              <w:bottom w:w="60" w:type="dxa"/>
                              <w:right w:w="40" w:type="dxa"/>
                            </w:tcMar>
                            <w:vAlign w:val="center"/>
                          </w:tcPr>
                          <w:p>
                            <w:pPr>
                              <w:pStyle w:val="TableContents"/>
                              <w:bidi w:val="0"/>
                              <w:spacing w:before="0" w:after="0"/>
                              <w:jc w:val="left"/>
                              <w:rPr/>
                            </w:pPr>
                            <w:r>
                              <w:rPr/>
                              <w:t> </w:t>
                            </w:r>
                          </w:p>
                          <w:p>
                            <w:pPr>
                              <w:pStyle w:val="TableContents"/>
                              <w:bidi w:val="0"/>
                              <w:spacing w:before="0" w:after="0"/>
                              <w:jc w:val="left"/>
                              <w:rPr/>
                            </w:pPr>
                            <w:r>
                              <w:rPr>
                                <w:color w:val="0171B9"/>
                              </w:rPr>
                              <w:t>•</w:t>
                            </w:r>
                            <w:r>
                              <w:rPr/>
                              <w:t>   </w:t>
                            </w:r>
                            <w:r>
                              <w:rPr>
                                <w:rFonts w:ascii="arial" w:hAnsi="arial"/>
                                <w:sz w:val="19"/>
                              </w:rPr>
                              <w:t>Advance Early Pipeline (10%)</w:t>
                            </w:r>
                          </w:p>
                          <w:p>
                            <w:pPr>
                              <w:pStyle w:val="TableContents"/>
                              <w:bidi w:val="0"/>
                              <w:spacing w:before="0" w:after="0"/>
                              <w:jc w:val="left"/>
                              <w:rPr/>
                            </w:pPr>
                            <w:r>
                              <w:rPr/>
                              <w:t> </w:t>
                            </w:r>
                          </w:p>
                          <w:p>
                            <w:pPr>
                              <w:pStyle w:val="TableContents"/>
                              <w:bidi w:val="0"/>
                              <w:spacing w:before="0" w:after="20"/>
                              <w:jc w:val="left"/>
                              <w:rPr/>
                            </w:pPr>
                            <w:r>
                              <w:rPr>
                                <w:color w:val="0171B9"/>
                              </w:rPr>
                              <w:t>•</w:t>
                            </w:r>
                            <w:r>
                              <w:rPr/>
                              <w:t>   </w:t>
                            </w:r>
                            <w:r>
                              <w:rPr>
                                <w:rFonts w:ascii="arial" w:hAnsi="arial"/>
                                <w:sz w:val="19"/>
                              </w:rPr>
                              <w:t>Executive Key Clinical Studies and Regulatory Filings (20%)</w:t>
                            </w:r>
                          </w:p>
                        </w:tc>
                      </w:tr>
                      <w:tr>
                        <w:trPr/>
                        <w:tc>
                          <w:tcPr>
                            <w:tcW w:w="470" w:type="dxa"/>
                            <w:tcBorders>
                              <w:left w:val="single" w:sz="6" w:space="0" w:color="000000"/>
                            </w:tcBorders>
                            <w:shd w:fill="CCE2F1" w:val="clear"/>
                            <w:tcMar>
                              <w:left w:w="160" w:type="dxa"/>
                            </w:tcMar>
                            <w:vAlign w:val="center"/>
                          </w:tcPr>
                          <w:p>
                            <w:pPr>
                              <w:pStyle w:val="TableContents"/>
                              <w:bidi w:val="0"/>
                              <w:spacing w:before="0" w:after="283"/>
                              <w:jc w:val="left"/>
                              <w:rPr/>
                            </w:pPr>
                            <w:r>
                              <w:rPr/>
                              <w:t> </w:t>
                            </w:r>
                          </w:p>
                        </w:tc>
                        <w:tc>
                          <w:tcPr>
                            <w:tcW w:w="5630" w:type="dxa"/>
                            <w:gridSpan w:val="2"/>
                            <w:tcBorders>
                              <w:left w:val="single" w:sz="6" w:space="0" w:color="000000"/>
                              <w:right w:val="single" w:sz="6" w:space="0" w:color="000000"/>
                            </w:tcBorders>
                            <w:shd w:fill="CCE2F1" w:val="clear"/>
                            <w:tcMar>
                              <w:left w:w="28" w:type="dxa"/>
                              <w:right w:w="28" w:type="dxa"/>
                            </w:tcMar>
                            <w:vAlign w:val="center"/>
                          </w:tcPr>
                          <w:p>
                            <w:pPr>
                              <w:pStyle w:val="TableContents"/>
                              <w:bidi w:val="0"/>
                              <w:spacing w:before="0" w:after="283"/>
                              <w:jc w:val="left"/>
                              <w:rPr/>
                            </w:pPr>
                            <w:r>
                              <w:rPr/>
                              <w:t> </w:t>
                            </w:r>
                          </w:p>
                        </w:tc>
                      </w:tr>
                      <w:tr>
                        <w:trPr/>
                        <w:tc>
                          <w:tcPr>
                            <w:tcW w:w="470" w:type="dxa"/>
                            <w:tcBorders>
                              <w:left w:val="single" w:sz="6" w:space="0" w:color="000000"/>
                              <w:bottom w:val="single" w:sz="6" w:space="0" w:color="000000"/>
                            </w:tcBorders>
                            <w:shd w:fill="CCE2F1" w:val="clear"/>
                            <w:tcMar>
                              <w:left w:w="160" w:type="dxa"/>
                              <w:bottom w:w="6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10% </w:t>
                            </w:r>
                          </w:p>
                        </w:tc>
                        <w:tc>
                          <w:tcPr>
                            <w:tcW w:w="60" w:type="dxa"/>
                            <w:tcBorders>
                              <w:left w:val="single" w:sz="6" w:space="0" w:color="000000"/>
                              <w:bottom w:val="single" w:sz="6" w:space="0" w:color="000000"/>
                            </w:tcBorders>
                            <w:shd w:fill="CCE2F1" w:val="clear"/>
                            <w:tcMar>
                              <w:left w:w="28" w:type="dxa"/>
                              <w:bottom w:w="28" w:type="dxa"/>
                            </w:tcMar>
                            <w:vAlign w:val="center"/>
                          </w:tcPr>
                          <w:p>
                            <w:pPr>
                              <w:pStyle w:val="TableContents"/>
                              <w:bidi w:val="0"/>
                              <w:spacing w:before="0" w:after="283"/>
                              <w:jc w:val="left"/>
                              <w:rPr/>
                            </w:pPr>
                            <w:r>
                              <w:rPr/>
                              <w:t> </w:t>
                            </w:r>
                          </w:p>
                        </w:tc>
                        <w:tc>
                          <w:tcPr>
                            <w:tcW w:w="5570" w:type="dxa"/>
                            <w:tcBorders>
                              <w:bottom w:val="single" w:sz="6" w:space="0" w:color="000000"/>
                              <w:right w:val="single" w:sz="6" w:space="0" w:color="000000"/>
                            </w:tcBorders>
                            <w:shd w:fill="CCE2F1" w:val="clear"/>
                            <w:tcMar>
                              <w:bottom w:w="60" w:type="dxa"/>
                              <w:right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Deliver Annual Priorities</w:t>
                            </w:r>
                          </w:p>
                        </w:tc>
                      </w:tr>
                      <w:tr>
                        <w:trPr/>
                        <w:tc>
                          <w:tcPr>
                            <w:tcW w:w="470" w:type="dxa"/>
                            <w:tcBorders/>
                            <w:vAlign w:val="center"/>
                          </w:tcPr>
                          <w:p>
                            <w:pPr>
                              <w:pStyle w:val="TableContents"/>
                              <w:bidi w:val="0"/>
                              <w:spacing w:before="0" w:after="283"/>
                              <w:jc w:val="left"/>
                              <w:rPr>
                                <w:sz w:val="4"/>
                                <w:szCs w:val="4"/>
                              </w:rPr>
                            </w:pPr>
                            <w:r>
                              <w:rPr>
                                <w:sz w:val="4"/>
                                <w:szCs w:val="4"/>
                              </w:rPr>
                            </w:r>
                          </w:p>
                        </w:tc>
                        <w:tc>
                          <w:tcPr>
                            <w:tcW w:w="5630"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0"/>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570" w:type="dxa"/>
                            <w:tcBorders>
                              <w:bottom w:val="single" w:sz="6" w:space="0" w:color="000000"/>
                              <w:right w:val="single" w:sz="6" w:space="0" w:color="000000"/>
                            </w:tcBorders>
                            <w:tcMar>
                              <w:bottom w:w="60" w:type="dxa"/>
                              <w:right w:w="40" w:type="dxa"/>
                            </w:tcMar>
                            <w:vAlign w:val="center"/>
                          </w:tcPr>
                          <w:p>
                            <w:pPr>
                              <w:pStyle w:val="TableContents"/>
                              <w:bidi w:val="0"/>
                              <w:spacing w:before="0" w:after="0"/>
                              <w:jc w:val="left"/>
                              <w:rPr/>
                            </w:pPr>
                            <w:r>
                              <w:rPr/>
                              <w:t> </w:t>
                            </w:r>
                          </w:p>
                          <w:p>
                            <w:pPr>
                              <w:pStyle w:val="TableContents"/>
                              <w:bidi w:val="0"/>
                              <w:spacing w:before="0" w:after="0"/>
                              <w:jc w:val="both"/>
                              <w:rPr/>
                            </w:pPr>
                            <w:r>
                              <w:rPr>
                                <w:color w:val="0171B9"/>
                              </w:rPr>
                              <w:t>•</w:t>
                            </w:r>
                            <w:r>
                              <w:rPr/>
                              <w:t>   </w:t>
                            </w:r>
                            <w:r>
                              <w:rPr>
                                <w:rFonts w:ascii="arial" w:hAnsi="arial"/>
                                <w:sz w:val="19"/>
                              </w:rPr>
                              <w:t>Successful Integrations and Collaborations (5%)</w:t>
                            </w:r>
                          </w:p>
                          <w:p>
                            <w:pPr>
                              <w:pStyle w:val="TableContents"/>
                              <w:bidi w:val="0"/>
                              <w:spacing w:before="0" w:after="0"/>
                              <w:jc w:val="left"/>
                              <w:rPr/>
                            </w:pPr>
                            <w:r>
                              <w:rPr/>
                              <w:t> </w:t>
                            </w:r>
                          </w:p>
                          <w:p>
                            <w:pPr>
                              <w:pStyle w:val="TableContents"/>
                              <w:bidi w:val="0"/>
                              <w:spacing w:before="0" w:after="20"/>
                              <w:jc w:val="left"/>
                              <w:rPr/>
                            </w:pPr>
                            <w:r>
                              <w:rPr>
                                <w:color w:val="0171B9"/>
                              </w:rPr>
                              <w:t>•</w:t>
                            </w:r>
                            <w:r>
                              <w:rPr/>
                              <w:t>   </w:t>
                            </w:r>
                            <w:r>
                              <w:rPr>
                                <w:rFonts w:ascii="arial" w:hAnsi="arial"/>
                                <w:sz w:val="19"/>
                              </w:rPr>
                              <w:t>Environmental, Social, and Governance (5%)</w:t>
                            </w:r>
                          </w:p>
                        </w:tc>
                      </w:tr>
                    </w:tbl>
                    <w:p>
                      <w:pPr>
                        <w:pStyle w:val="TextBody"/>
                        <w:bidi w:val="0"/>
                        <w:spacing w:before="120" w:after="0"/>
                        <w:jc w:val="both"/>
                        <w:rPr>
                          <w:rFonts w:ascii="arial" w:hAnsi="arial"/>
                          <w:sz w:val="19"/>
                        </w:rPr>
                      </w:pPr>
                      <w:r>
                        <w:rPr>
                          <w:rFonts w:ascii="arial" w:hAnsi="arial"/>
                          <w:sz w:val="19"/>
                        </w:rPr>
                        <w:t xml:space="preserve">The Compensation Committee also reviewed the target incentive award opportunity for each NEO and determined that the previously established target incentive award opportunities remain appropriate and no changes were made to the target incentive award opportunity for any NEO. </w:t>
                      </w:r>
                    </w:p>
                  </w:txbxContent>
                </v:textbox>
                <w10:wrap type="square" side="right"/>
              </v:rect>
            </w:pict>
          </mc:Fallback>
        </mc:AlternateContent>
      </w:r>
      <w:r>
        <mc:AlternateContent>
          <mc:Choice Requires="wps">
            <w:drawing>
              <wp:anchor behindDoc="0" distT="0" distB="0" distL="0" distR="0" simplePos="0" locked="0" layoutInCell="1" allowOverlap="1" relativeHeight="367">
                <wp:simplePos x="0" y="0"/>
                <wp:positionH relativeFrom="column">
                  <wp:align>left</wp:align>
                </wp:positionH>
                <wp:positionV relativeFrom="line">
                  <wp:posOffset>635</wp:posOffset>
                </wp:positionV>
                <wp:extent cx="3175000" cy="4065270"/>
                <wp:effectExtent l="0" t="0" r="0" b="0"/>
                <wp:wrapSquare wrapText="right"/>
                <wp:docPr id="279" name="Frame130"/>
                <a:graphic xmlns:a="http://schemas.openxmlformats.org/drawingml/2006/main">
                  <a:graphicData uri="http://schemas.microsoft.com/office/word/2010/wordprocessingShape">
                    <wps:wsp>
                      <wps:cNvSpPr txBox="1"/>
                      <wps:spPr>
                        <a:xfrm>
                          <a:off x="0" y="0"/>
                          <a:ext cx="3175000" cy="4065270"/>
                        </a:xfrm>
                        <a:prstGeom prst="rect"/>
                        <a:solidFill>
                          <a:srgbClr val="FFFFFF"/>
                        </a:solidFill>
                      </wps:spPr>
                      <wps:txbx>
                        <w:txbxContent>
                          <w:p>
                            <w:pPr>
                              <w:pStyle w:val="TextBody"/>
                              <w:bidi w:val="0"/>
                              <w:spacing w:before="0" w:after="0"/>
                              <w:jc w:val="left"/>
                              <w:rPr>
                                <w:rFonts w:ascii="arial" w:hAnsi="arial"/>
                                <w:b/>
                                <w:sz w:val="24"/>
                              </w:rPr>
                            </w:pPr>
                            <w:r>
                              <w:rPr>
                                <w:rFonts w:ascii="arial" w:hAnsi="arial"/>
                                <w:b/>
                                <w:sz w:val="24"/>
                              </w:rPr>
                              <w:t xml:space="preserve">Base Salaries </w:t>
                            </w:r>
                          </w:p>
                          <w:p>
                            <w:pPr>
                              <w:pStyle w:val="TextBody"/>
                              <w:bidi w:val="0"/>
                              <w:spacing w:before="120" w:after="0"/>
                              <w:jc w:val="both"/>
                              <w:rPr>
                                <w:rFonts w:ascii="arial" w:hAnsi="arial"/>
                                <w:sz w:val="19"/>
                              </w:rPr>
                            </w:pPr>
                            <w:r>
                              <w:rPr>
                                <w:rFonts w:ascii="arial" w:hAnsi="arial"/>
                                <w:sz w:val="19"/>
                              </w:rPr>
                              <w:t>Generally, in March of each year, the Compensation Committee reviews the peer group data compared with the available Market Median, considers our performance, market conditions, retention, and other relevant factors, and receives management’s, including our CEO’s, assessment of the performance of each of the other NEOs, and recommendations regarding any base salary adjustments for them. The Compensation Committee uses our CEO’s evaluation of the performance of the NEOs (other than himself), the Compensation Committee’s own evaluation of our CEO’s performance, information with respect to each NEO’s experience and other qualifications, the Market Median for each available position and market conditions to determine each NEO’s base salary. No increase in base salary is automatic or guaranteed. For more information regarding the determination of Market Median, the peer group data reviewed, and the Executive Vice President, Operations role, see “How Compensation Decisions Are Made For Our Named Executive Officers—</w:t>
                            </w:r>
                            <w:r>
                              <w:rPr>
                                <w:rFonts w:ascii="arial" w:hAnsi="arial"/>
                                <w:i/>
                                <w:sz w:val="19"/>
                              </w:rPr>
                              <w:t>Peer Group Data Sources</w:t>
                            </w:r>
                            <w:r>
                              <w:rPr>
                                <w:rFonts w:ascii="arial" w:hAnsi="arial"/>
                                <w:sz w:val="19"/>
                              </w:rPr>
                              <w:t xml:space="preserve">” previously described. </w:t>
                            </w:r>
                          </w:p>
                          <w:p>
                            <w:pPr>
                              <w:pStyle w:val="TextBody"/>
                              <w:bidi w:val="0"/>
                              <w:spacing w:before="120" w:after="0"/>
                              <w:jc w:val="both"/>
                              <w:rPr>
                                <w:rFonts w:ascii="arial" w:hAnsi="arial"/>
                                <w:sz w:val="19"/>
                              </w:rPr>
                            </w:pPr>
                            <w:r>
                              <w:rPr>
                                <w:rFonts w:ascii="arial" w:hAnsi="arial"/>
                                <w:sz w:val="19"/>
                              </w:rPr>
                              <w:t xml:space="preserve">In March 2023, the Compensation Committee considered each NEO’s base salary against the available Market Median data, while taking into account the Company’s and each NEO’s performance, as well as current market conditions. In alignment with the base salary increases made to staff members generally, the Compensation Committee increased each NEO’s base salary by 3.8%.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20.1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sz w:val="24"/>
                        </w:rPr>
                      </w:pPr>
                      <w:r>
                        <w:rPr>
                          <w:rFonts w:ascii="arial" w:hAnsi="arial"/>
                          <w:b/>
                          <w:sz w:val="24"/>
                        </w:rPr>
                        <w:t xml:space="preserve">Base Salaries </w:t>
                      </w:r>
                    </w:p>
                    <w:p>
                      <w:pPr>
                        <w:pStyle w:val="TextBody"/>
                        <w:bidi w:val="0"/>
                        <w:spacing w:before="120" w:after="0"/>
                        <w:jc w:val="both"/>
                        <w:rPr>
                          <w:rFonts w:ascii="arial" w:hAnsi="arial"/>
                          <w:sz w:val="19"/>
                        </w:rPr>
                      </w:pPr>
                      <w:r>
                        <w:rPr>
                          <w:rFonts w:ascii="arial" w:hAnsi="arial"/>
                          <w:sz w:val="19"/>
                        </w:rPr>
                        <w:t>Generally, in March of each year, the Compensation Committee reviews the peer group data compared with the available Market Median, considers our performance, market conditions, retention, and other relevant factors, and receives management’s, including our CEO’s, assessment of the performance of each of the other NEOs, and recommendations regarding any base salary adjustments for them. The Compensation Committee uses our CEO’s evaluation of the performance of the NEOs (other than himself), the Compensation Committee’s own evaluation of our CEO’s performance, information with respect to each NEO’s experience and other qualifications, the Market Median for each available position and market conditions to determine each NEO’s base salary. No increase in base salary is automatic or guaranteed. For more information regarding the determination of Market Median, the peer group data reviewed, and the Executive Vice President, Operations role, see “How Compensation Decisions Are Made For Our Named Executive Officers—</w:t>
                      </w:r>
                      <w:r>
                        <w:rPr>
                          <w:rFonts w:ascii="arial" w:hAnsi="arial"/>
                          <w:i/>
                          <w:sz w:val="19"/>
                        </w:rPr>
                        <w:t>Peer Group Data Sources</w:t>
                      </w:r>
                      <w:r>
                        <w:rPr>
                          <w:rFonts w:ascii="arial" w:hAnsi="arial"/>
                          <w:sz w:val="19"/>
                        </w:rPr>
                        <w:t xml:space="preserve">” previously described. </w:t>
                      </w:r>
                    </w:p>
                    <w:p>
                      <w:pPr>
                        <w:pStyle w:val="TextBody"/>
                        <w:bidi w:val="0"/>
                        <w:spacing w:before="120" w:after="0"/>
                        <w:jc w:val="both"/>
                        <w:rPr>
                          <w:rFonts w:ascii="arial" w:hAnsi="arial"/>
                          <w:sz w:val="19"/>
                        </w:rPr>
                      </w:pPr>
                      <w:r>
                        <w:rPr>
                          <w:rFonts w:ascii="arial" w:hAnsi="arial"/>
                          <w:sz w:val="19"/>
                        </w:rPr>
                        <w:t xml:space="preserve">In March 2023, the Compensation Committee considered each NEO’s base salary against the available Market Median data, while taking into account the Company’s and each NEO’s performance, as well as current market conditions. In alignment with the base salary increases made to staff members generally, the Compensation Committee increased each NEO’s base salary by 3.8%.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280"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138" descr=""/>
                    <pic:cNvPicPr>
                      <a:picLocks noChangeAspect="1" noChangeArrowheads="1"/>
                    </pic:cNvPicPr>
                  </pic:nvPicPr>
                  <pic:blipFill>
                    <a:blip r:embed="rId151"/>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75</w:t>
      </w:r>
      <w:r>
        <w:rPr>
          <w:rFonts w:ascii="arial" w:hAnsi="arial"/>
          <w:b/>
          <w:sz w:val="22"/>
        </w:rPr>
        <w:t xml:space="preserve"> </w:t>
      </w:r>
      <w:r>
        <w:br w:type="page"/>
      </w:r>
    </w:p>
    <w:p>
      <w:pPr>
        <w:pStyle w:val="HorizontalLine"/>
        <w:bidi w:val="0"/>
        <w:jc w:val="left"/>
        <w:rPr/>
      </w:pPr>
      <w:r>
        <w:rPr/>
      </w:r>
    </w:p>
    <w:tbl>
      <w:tblPr>
        <w:tblW w:w="507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45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459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Compensation Discussion and Analysis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171B9"/>
          <w:sz w:val="22"/>
        </w:rPr>
      </w:pPr>
      <w:r>
        <w:rPr>
          <w:rFonts w:ascii="arial" w:hAnsi="arial"/>
          <w:b/>
          <w:color w:val="0171B9"/>
          <w:sz w:val="22"/>
        </w:rPr>
        <w:t xml:space="preserve">2023 Base Salary Market Position </w:t>
      </w:r>
    </w:p>
    <w:p>
      <w:pPr>
        <w:pStyle w:val="TextBody"/>
        <w:bidi w:val="0"/>
        <w:spacing w:before="120" w:after="0"/>
        <w:jc w:val="both"/>
        <w:rPr>
          <w:rFonts w:ascii="arial" w:hAnsi="arial"/>
          <w:sz w:val="19"/>
        </w:rPr>
      </w:pPr>
      <w:r>
        <w:rPr>
          <w:rFonts w:ascii="arial" w:hAnsi="arial"/>
          <w:sz w:val="19"/>
        </w:rPr>
        <w:t xml:space="preserve">The 2023 base salaries as in effect at the end of 2023 (a 3.8% increase over 2022 in alignment with the base salary increases made to our staff members generally for 2023) and the difference between the 2022 Market Median position are shown in the table below: </w:t>
      </w:r>
    </w:p>
    <w:p>
      <w:pPr>
        <w:pStyle w:val="TextBody"/>
        <w:bidi w:val="0"/>
        <w:spacing w:before="0" w:after="0"/>
        <w:jc w:val="left"/>
        <w:rPr/>
      </w:pPr>
      <w:r>
        <w:rPr/>
        <w:t> </w:t>
      </w:r>
    </w:p>
    <w:tbl>
      <w:tblPr>
        <w:tblW w:w="8670" w:type="dxa"/>
        <w:jc w:val="left"/>
        <w:tblInd w:w="0" w:type="dxa"/>
        <w:tblLayout w:type="fixed"/>
        <w:tblCellMar>
          <w:top w:w="0" w:type="dxa"/>
          <w:left w:w="0" w:type="dxa"/>
          <w:bottom w:w="0" w:type="dxa"/>
          <w:right w:w="0" w:type="dxa"/>
        </w:tblCellMar>
      </w:tblPr>
      <w:tblGrid>
        <w:gridCol w:w="1970"/>
        <w:gridCol w:w="60"/>
        <w:gridCol w:w="88"/>
        <w:gridCol w:w="1252"/>
        <w:gridCol w:w="60"/>
        <w:gridCol w:w="60"/>
        <w:gridCol w:w="121"/>
        <w:gridCol w:w="559"/>
        <w:gridCol w:w="60"/>
        <w:gridCol w:w="60"/>
        <w:gridCol w:w="88"/>
        <w:gridCol w:w="1252"/>
        <w:gridCol w:w="60"/>
        <w:gridCol w:w="60"/>
        <w:gridCol w:w="103"/>
        <w:gridCol w:w="1462"/>
        <w:gridCol w:w="60"/>
        <w:gridCol w:w="60"/>
        <w:gridCol w:w="158"/>
        <w:gridCol w:w="1002"/>
        <w:gridCol w:w="75"/>
      </w:tblGrid>
      <w:tr>
        <w:trPr/>
        <w:tc>
          <w:tcPr>
            <w:tcW w:w="19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70" w:type="dxa"/>
            <w:tcBorders>
              <w:bottom w:val="single" w:sz="8" w:space="0" w:color="FFFFFF"/>
            </w:tcBorders>
            <w:shd w:fill="0171B9" w:val="clear"/>
            <w:tcMar>
              <w:bottom w:w="28" w:type="dxa"/>
            </w:tcMar>
            <w:vAlign w:val="center"/>
          </w:tcPr>
          <w:p>
            <w:pPr>
              <w:pStyle w:val="TableContents"/>
              <w:bidi w:val="0"/>
              <w:spacing w:before="0" w:after="0"/>
              <w:jc w:val="left"/>
              <w:rPr>
                <w:rFonts w:ascii="arial" w:hAnsi="arial"/>
                <w:b/>
                <w:color w:val="FFFFFF"/>
                <w:sz w:val="17"/>
              </w:rPr>
            </w:pPr>
            <w:r>
              <w:rPr>
                <w:rFonts w:ascii="arial" w:hAnsi="arial"/>
                <w:b/>
                <w:color w:val="FFFFFF"/>
                <w:sz w:val="17"/>
              </w:rPr>
              <w:t>Named Executive Officer</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340" w:type="dxa"/>
            <w:gridSpan w:val="2"/>
            <w:tcBorders>
              <w:bottom w:val="single" w:sz="8" w:space="0" w:color="FFFFFF"/>
            </w:tcBorders>
            <w:shd w:fill="0171B9" w:val="clear"/>
            <w:tcMar>
              <w:bottom w:w="28" w:type="dxa"/>
            </w:tcMar>
            <w:vAlign w:val="center"/>
          </w:tcPr>
          <w:p>
            <w:pPr>
              <w:pStyle w:val="TableContents"/>
              <w:bidi w:val="0"/>
              <w:spacing w:before="0" w:after="0"/>
              <w:jc w:val="right"/>
              <w:rPr>
                <w:rFonts w:ascii="arial" w:hAnsi="arial"/>
                <w:b/>
                <w:color w:val="FFFFFF"/>
                <w:sz w:val="17"/>
              </w:rPr>
            </w:pPr>
            <w:r>
              <w:rPr>
                <w:rFonts w:ascii="arial" w:hAnsi="arial"/>
                <w:b/>
                <w:color w:val="FFFFFF"/>
                <w:sz w:val="17"/>
              </w:rPr>
              <w:t>2022 Base Salary</w:t>
            </w:r>
          </w:p>
          <w:p>
            <w:pPr>
              <w:pStyle w:val="TableContents"/>
              <w:bidi w:val="0"/>
              <w:spacing w:before="0" w:after="20"/>
              <w:jc w:val="right"/>
              <w:rPr>
                <w:rFonts w:ascii="arial" w:hAnsi="arial"/>
                <w:b/>
                <w:color w:val="FFFFFF"/>
                <w:sz w:val="17"/>
              </w:rPr>
            </w:pPr>
            <w:r>
              <w:rPr>
                <w:rFonts w:ascii="arial" w:hAnsi="arial"/>
                <w:b/>
                <w:color w:val="FFFFFF"/>
                <w:sz w:val="17"/>
              </w:rPr>
              <w:t>($)</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80" w:type="dxa"/>
            <w:gridSpan w:val="2"/>
            <w:tcBorders>
              <w:bottom w:val="single" w:sz="8" w:space="0" w:color="FFFFFF"/>
            </w:tcBorders>
            <w:shd w:fill="0171B9" w:val="clear"/>
            <w:tcMar>
              <w:bottom w:w="28" w:type="dxa"/>
            </w:tcMar>
            <w:vAlign w:val="center"/>
          </w:tcPr>
          <w:p>
            <w:pPr>
              <w:pStyle w:val="TableContents"/>
              <w:bidi w:val="0"/>
              <w:spacing w:before="0" w:after="0"/>
              <w:jc w:val="right"/>
              <w:rPr>
                <w:rFonts w:ascii="arial" w:hAnsi="arial"/>
                <w:b/>
                <w:color w:val="FFFFFF"/>
                <w:sz w:val="17"/>
              </w:rPr>
            </w:pPr>
            <w:r>
              <w:rPr>
                <w:rFonts w:ascii="arial" w:hAnsi="arial"/>
                <w:b/>
                <w:color w:val="FFFFFF"/>
                <w:sz w:val="17"/>
              </w:rPr>
              <w:t>Increase</w:t>
            </w:r>
          </w:p>
          <w:p>
            <w:pPr>
              <w:pStyle w:val="TableContents"/>
              <w:bidi w:val="0"/>
              <w:spacing w:before="0" w:after="20"/>
              <w:jc w:val="right"/>
              <w:rPr>
                <w:rFonts w:ascii="arial" w:hAnsi="arial"/>
                <w:b/>
                <w:color w:val="FFFFFF"/>
                <w:sz w:val="17"/>
              </w:rPr>
            </w:pPr>
            <w:r>
              <w:rPr>
                <w:rFonts w:ascii="arial" w:hAnsi="arial"/>
                <w:b/>
                <w:color w:val="FFFFFF"/>
                <w:sz w:val="17"/>
              </w:rPr>
              <w:t>(%)</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340" w:type="dxa"/>
            <w:gridSpan w:val="2"/>
            <w:tcBorders>
              <w:bottom w:val="single" w:sz="8" w:space="0" w:color="FFFFFF"/>
            </w:tcBorders>
            <w:shd w:fill="0171B9" w:val="clear"/>
            <w:tcMar>
              <w:bottom w:w="28" w:type="dxa"/>
            </w:tcMar>
            <w:vAlign w:val="center"/>
          </w:tcPr>
          <w:p>
            <w:pPr>
              <w:pStyle w:val="TableContents"/>
              <w:bidi w:val="0"/>
              <w:spacing w:before="0" w:after="0"/>
              <w:jc w:val="right"/>
              <w:rPr>
                <w:rFonts w:ascii="arial" w:hAnsi="arial"/>
                <w:b/>
                <w:color w:val="FFFFFF"/>
                <w:sz w:val="17"/>
              </w:rPr>
            </w:pPr>
            <w:r>
              <w:rPr>
                <w:rFonts w:ascii="arial" w:hAnsi="arial"/>
                <w:b/>
                <w:color w:val="FFFFFF"/>
                <w:sz w:val="17"/>
              </w:rPr>
              <w:t>2023 Base Salary</w:t>
            </w:r>
          </w:p>
          <w:p>
            <w:pPr>
              <w:pStyle w:val="TableContents"/>
              <w:bidi w:val="0"/>
              <w:spacing w:before="0" w:after="20"/>
              <w:jc w:val="right"/>
              <w:rPr>
                <w:rFonts w:ascii="arial" w:hAnsi="arial"/>
                <w:b/>
                <w:color w:val="FFFFFF"/>
                <w:sz w:val="17"/>
              </w:rPr>
            </w:pPr>
            <w:r>
              <w:rPr>
                <w:rFonts w:ascii="arial" w:hAnsi="arial"/>
                <w:b/>
                <w:color w:val="FFFFFF"/>
                <w:sz w:val="17"/>
              </w:rPr>
              <w:t>($)</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565" w:type="dxa"/>
            <w:gridSpan w:val="2"/>
            <w:tcBorders>
              <w:bottom w:val="single" w:sz="8" w:space="0" w:color="FFFFFF"/>
            </w:tcBorders>
            <w:shd w:fill="0171B9" w:val="clear"/>
            <w:tcMar>
              <w:bottom w:w="28" w:type="dxa"/>
            </w:tcMar>
            <w:vAlign w:val="center"/>
          </w:tcPr>
          <w:p>
            <w:pPr>
              <w:pStyle w:val="TableContents"/>
              <w:bidi w:val="0"/>
              <w:spacing w:before="0" w:after="0"/>
              <w:jc w:val="right"/>
              <w:rPr>
                <w:rFonts w:ascii="arial" w:hAnsi="arial"/>
                <w:b/>
                <w:color w:val="FFFFFF"/>
                <w:sz w:val="17"/>
              </w:rPr>
            </w:pPr>
            <w:r>
              <w:rPr>
                <w:rFonts w:ascii="arial" w:hAnsi="arial"/>
                <w:b/>
                <w:color w:val="FFFFFF"/>
                <w:sz w:val="17"/>
              </w:rPr>
              <w:t>2022 Market Median</w:t>
            </w:r>
          </w:p>
          <w:p>
            <w:pPr>
              <w:pStyle w:val="TableContents"/>
              <w:bidi w:val="0"/>
              <w:spacing w:before="0" w:after="20"/>
              <w:jc w:val="right"/>
              <w:rPr>
                <w:rFonts w:ascii="arial" w:hAnsi="arial"/>
                <w:b/>
                <w:color w:val="FFFFFF"/>
                <w:sz w:val="17"/>
              </w:rPr>
            </w:pPr>
            <w:r>
              <w:rPr>
                <w:rFonts w:ascii="arial" w:hAnsi="arial"/>
                <w:b/>
                <w:color w:val="FFFFFF"/>
                <w:sz w:val="17"/>
              </w:rPr>
              <w:t>($)</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160" w:type="dxa"/>
            <w:gridSpan w:val="2"/>
            <w:tcBorders>
              <w:bottom w:val="single" w:sz="8" w:space="0" w:color="FFFFFF"/>
            </w:tcBorders>
            <w:shd w:fill="0171B9" w:val="clear"/>
            <w:tcMar>
              <w:bottom w:w="28" w:type="dxa"/>
            </w:tcMar>
            <w:vAlign w:val="center"/>
          </w:tcPr>
          <w:p>
            <w:pPr>
              <w:pStyle w:val="TableContents"/>
              <w:bidi w:val="0"/>
              <w:spacing w:before="0" w:after="0"/>
              <w:jc w:val="right"/>
              <w:rPr>
                <w:rFonts w:ascii="arial" w:hAnsi="arial"/>
                <w:b/>
                <w:color w:val="FFFFFF"/>
                <w:sz w:val="17"/>
              </w:rPr>
            </w:pPr>
            <w:r>
              <w:rPr>
                <w:rFonts w:ascii="arial" w:hAnsi="arial"/>
                <w:b/>
                <w:color w:val="FFFFFF"/>
                <w:sz w:val="17"/>
              </w:rPr>
              <w:t>Difference vs.</w:t>
            </w:r>
          </w:p>
          <w:p>
            <w:pPr>
              <w:pStyle w:val="TableContents"/>
              <w:bidi w:val="0"/>
              <w:spacing w:before="0" w:after="0"/>
              <w:jc w:val="right"/>
              <w:rPr>
                <w:rFonts w:ascii="arial" w:hAnsi="arial"/>
                <w:b/>
                <w:color w:val="FFFFFF"/>
                <w:sz w:val="17"/>
              </w:rPr>
            </w:pPr>
            <w:r>
              <w:rPr>
                <w:rFonts w:ascii="arial" w:hAnsi="arial"/>
                <w:b/>
                <w:color w:val="FFFFFF"/>
                <w:sz w:val="17"/>
              </w:rPr>
              <w:t>Market Median</w:t>
            </w:r>
          </w:p>
          <w:p>
            <w:pPr>
              <w:pStyle w:val="TableContents"/>
              <w:bidi w:val="0"/>
              <w:spacing w:before="0" w:after="0"/>
              <w:jc w:val="right"/>
              <w:rPr>
                <w:rFonts w:ascii="arial" w:hAnsi="arial"/>
                <w:b/>
                <w:color w:val="FFFFFF"/>
                <w:sz w:val="17"/>
              </w:rPr>
            </w:pPr>
            <w:r>
              <w:rPr>
                <w:rFonts w:ascii="arial" w:hAnsi="arial"/>
                <w:b/>
                <w:color w:val="FFFFFF"/>
                <w:sz w:val="17"/>
              </w:rPr>
              <w:t>Over/(Under)</w:t>
            </w:r>
          </w:p>
          <w:p>
            <w:pPr>
              <w:pStyle w:val="TableContents"/>
              <w:bidi w:val="0"/>
              <w:spacing w:before="0" w:after="20"/>
              <w:jc w:val="right"/>
              <w:rPr>
                <w:rFonts w:ascii="arial" w:hAnsi="arial"/>
                <w:b/>
                <w:color w:val="FFFFFF"/>
                <w:sz w:val="17"/>
              </w:rPr>
            </w:pPr>
            <w:r>
              <w:rPr>
                <w:rFonts w:ascii="arial" w:hAnsi="arial"/>
                <w:b/>
                <w:color w:val="FFFFFF"/>
                <w:sz w:val="17"/>
              </w:rPr>
              <w:t>(%)</w:t>
            </w:r>
          </w:p>
        </w:tc>
        <w:tc>
          <w:tcPr>
            <w:tcW w:w="75"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r>
      <w:tr>
        <w:trPr/>
        <w:tc>
          <w:tcPr>
            <w:tcW w:w="1970" w:type="dxa"/>
            <w:tcBorders/>
            <w:shd w:fill="CCE2F1" w:val="clear"/>
            <w:vAlign w:val="center"/>
          </w:tcPr>
          <w:p>
            <w:pPr>
              <w:pStyle w:val="TableContents"/>
              <w:bidi w:val="0"/>
              <w:spacing w:lineRule="atLeast" w:line="280" w:before="0" w:after="0"/>
              <w:jc w:val="left"/>
              <w:rPr>
                <w:rFonts w:ascii="arial" w:hAnsi="arial"/>
                <w:sz w:val="18"/>
              </w:rPr>
            </w:pPr>
            <w:r>
              <w:rPr>
                <w:rFonts w:ascii="arial" w:hAnsi="arial"/>
                <w:sz w:val="18"/>
              </w:rPr>
              <w:t>Robert A. Bradway</w:t>
            </w:r>
          </w:p>
        </w:tc>
        <w:tc>
          <w:tcPr>
            <w:tcW w:w="60" w:type="dxa"/>
            <w:tcBorders/>
            <w:shd w:fill="CCE2F1" w:val="clear"/>
            <w:vAlign w:val="center"/>
          </w:tcPr>
          <w:p>
            <w:pPr>
              <w:pStyle w:val="TableContents"/>
              <w:bidi w:val="0"/>
              <w:spacing w:before="0" w:after="283"/>
              <w:jc w:val="left"/>
              <w:rPr/>
            </w:pPr>
            <w:r>
              <w:rPr/>
              <w:t> </w:t>
            </w:r>
          </w:p>
        </w:tc>
        <w:tc>
          <w:tcPr>
            <w:tcW w:w="88" w:type="dxa"/>
            <w:tcBorders/>
            <w:shd w:fill="CCE2F1" w:val="clear"/>
            <w:vAlign w:val="center"/>
          </w:tcPr>
          <w:p>
            <w:pPr>
              <w:pStyle w:val="TableContents"/>
              <w:bidi w:val="0"/>
              <w:spacing w:lineRule="atLeast" w:line="280" w:before="0" w:after="0"/>
              <w:jc w:val="left"/>
              <w:rPr/>
            </w:pPr>
            <w:r>
              <w:rPr/>
              <w:t> </w:t>
            </w:r>
          </w:p>
        </w:tc>
        <w:tc>
          <w:tcPr>
            <w:tcW w:w="1252" w:type="dxa"/>
            <w:tcBorders/>
            <w:shd w:fill="CCE2F1" w:val="clear"/>
            <w:vAlign w:val="center"/>
          </w:tcPr>
          <w:p>
            <w:pPr>
              <w:pStyle w:val="TableContents"/>
              <w:bidi w:val="0"/>
              <w:spacing w:lineRule="atLeast" w:line="280" w:before="0" w:after="0"/>
              <w:jc w:val="right"/>
              <w:rPr>
                <w:rFonts w:ascii="arial" w:hAnsi="arial"/>
                <w:sz w:val="18"/>
              </w:rPr>
            </w:pPr>
            <w:r>
              <w:rPr>
                <w:rFonts w:ascii="arial" w:hAnsi="arial"/>
                <w:sz w:val="18"/>
              </w:rPr>
              <w:t>1,731,300</w:t>
            </w:r>
          </w:p>
        </w:tc>
        <w:tc>
          <w:tcPr>
            <w:tcW w:w="60" w:type="dxa"/>
            <w:tcBorders/>
            <w:shd w:fill="CCE2F1" w:val="clear"/>
            <w:vAlign w:val="center"/>
          </w:tcPr>
          <w:p>
            <w:pPr>
              <w:pStyle w:val="TableContents"/>
              <w:bidi w:val="0"/>
              <w:spacing w:lineRule="atLeast" w:line="280" w:before="0" w:after="0"/>
              <w:jc w:val="left"/>
              <w:rPr/>
            </w:pPr>
            <w:r>
              <w:rPr/>
              <w:t> </w:t>
            </w:r>
          </w:p>
        </w:tc>
        <w:tc>
          <w:tcPr>
            <w:tcW w:w="60" w:type="dxa"/>
            <w:tcBorders/>
            <w:shd w:fill="CCE2F1" w:val="clear"/>
            <w:vAlign w:val="center"/>
          </w:tcPr>
          <w:p>
            <w:pPr>
              <w:pStyle w:val="TableContents"/>
              <w:bidi w:val="0"/>
              <w:spacing w:before="0" w:after="283"/>
              <w:jc w:val="left"/>
              <w:rPr/>
            </w:pPr>
            <w:r>
              <w:rPr/>
              <w:t> </w:t>
            </w:r>
          </w:p>
        </w:tc>
        <w:tc>
          <w:tcPr>
            <w:tcW w:w="121" w:type="dxa"/>
            <w:tcBorders/>
            <w:shd w:fill="CCE2F1" w:val="clear"/>
            <w:vAlign w:val="center"/>
          </w:tcPr>
          <w:p>
            <w:pPr>
              <w:pStyle w:val="TableContents"/>
              <w:bidi w:val="0"/>
              <w:spacing w:lineRule="atLeast" w:line="280" w:before="0" w:after="0"/>
              <w:jc w:val="left"/>
              <w:rPr/>
            </w:pPr>
            <w:r>
              <w:rPr/>
              <w:t> </w:t>
            </w:r>
          </w:p>
        </w:tc>
        <w:tc>
          <w:tcPr>
            <w:tcW w:w="559" w:type="dxa"/>
            <w:tcBorders/>
            <w:shd w:fill="CCE2F1" w:val="clear"/>
            <w:vAlign w:val="center"/>
          </w:tcPr>
          <w:p>
            <w:pPr>
              <w:pStyle w:val="TableContents"/>
              <w:bidi w:val="0"/>
              <w:spacing w:lineRule="atLeast" w:line="280" w:before="0" w:after="0"/>
              <w:jc w:val="right"/>
              <w:rPr>
                <w:rFonts w:ascii="arial" w:hAnsi="arial"/>
                <w:sz w:val="18"/>
              </w:rPr>
            </w:pPr>
            <w:r>
              <w:rPr>
                <w:rFonts w:ascii="arial" w:hAnsi="arial"/>
                <w:sz w:val="18"/>
              </w:rPr>
              <w:t>3.8</w:t>
            </w:r>
          </w:p>
        </w:tc>
        <w:tc>
          <w:tcPr>
            <w:tcW w:w="60" w:type="dxa"/>
            <w:tcBorders/>
            <w:shd w:fill="CCE2F1" w:val="clear"/>
            <w:vAlign w:val="center"/>
          </w:tcPr>
          <w:p>
            <w:pPr>
              <w:pStyle w:val="TableContents"/>
              <w:bidi w:val="0"/>
              <w:spacing w:lineRule="atLeast" w:line="280" w:before="0" w:after="0"/>
              <w:jc w:val="left"/>
              <w:rPr/>
            </w:pPr>
            <w:r>
              <w:rPr/>
              <w:t> </w:t>
            </w:r>
          </w:p>
        </w:tc>
        <w:tc>
          <w:tcPr>
            <w:tcW w:w="60" w:type="dxa"/>
            <w:tcBorders/>
            <w:shd w:fill="CCE2F1" w:val="clear"/>
            <w:vAlign w:val="center"/>
          </w:tcPr>
          <w:p>
            <w:pPr>
              <w:pStyle w:val="TableContents"/>
              <w:bidi w:val="0"/>
              <w:spacing w:before="0" w:after="283"/>
              <w:jc w:val="left"/>
              <w:rPr/>
            </w:pPr>
            <w:r>
              <w:rPr/>
              <w:t> </w:t>
            </w:r>
          </w:p>
        </w:tc>
        <w:tc>
          <w:tcPr>
            <w:tcW w:w="88" w:type="dxa"/>
            <w:tcBorders/>
            <w:shd w:fill="CCE2F1" w:val="clear"/>
            <w:vAlign w:val="center"/>
          </w:tcPr>
          <w:p>
            <w:pPr>
              <w:pStyle w:val="TableContents"/>
              <w:bidi w:val="0"/>
              <w:spacing w:lineRule="atLeast" w:line="280" w:before="0" w:after="0"/>
              <w:jc w:val="left"/>
              <w:rPr/>
            </w:pPr>
            <w:r>
              <w:rPr/>
              <w:t> </w:t>
            </w:r>
          </w:p>
        </w:tc>
        <w:tc>
          <w:tcPr>
            <w:tcW w:w="1252" w:type="dxa"/>
            <w:tcBorders/>
            <w:shd w:fill="CCE2F1" w:val="clear"/>
            <w:vAlign w:val="center"/>
          </w:tcPr>
          <w:p>
            <w:pPr>
              <w:pStyle w:val="TableContents"/>
              <w:bidi w:val="0"/>
              <w:spacing w:lineRule="atLeast" w:line="280" w:before="0" w:after="0"/>
              <w:jc w:val="right"/>
              <w:rPr>
                <w:rFonts w:ascii="arial" w:hAnsi="arial"/>
                <w:sz w:val="18"/>
              </w:rPr>
            </w:pPr>
            <w:r>
              <w:rPr>
                <w:rFonts w:ascii="arial" w:hAnsi="arial"/>
                <w:sz w:val="18"/>
              </w:rPr>
              <w:t>1,797,100</w:t>
            </w:r>
          </w:p>
        </w:tc>
        <w:tc>
          <w:tcPr>
            <w:tcW w:w="60" w:type="dxa"/>
            <w:tcBorders/>
            <w:shd w:fill="CCE2F1" w:val="clear"/>
            <w:vAlign w:val="center"/>
          </w:tcPr>
          <w:p>
            <w:pPr>
              <w:pStyle w:val="TableContents"/>
              <w:bidi w:val="0"/>
              <w:spacing w:lineRule="atLeast" w:line="280" w:before="0" w:after="0"/>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3" w:type="dxa"/>
            <w:tcBorders/>
            <w:shd w:fill="CCE2F1" w:val="clear"/>
            <w:vAlign w:val="center"/>
          </w:tcPr>
          <w:p>
            <w:pPr>
              <w:pStyle w:val="TableContents"/>
              <w:bidi w:val="0"/>
              <w:spacing w:lineRule="atLeast" w:line="280" w:before="0" w:after="0"/>
              <w:jc w:val="left"/>
              <w:rPr/>
            </w:pPr>
            <w:r>
              <w:rPr/>
              <w:t> </w:t>
            </w:r>
          </w:p>
        </w:tc>
        <w:tc>
          <w:tcPr>
            <w:tcW w:w="1462" w:type="dxa"/>
            <w:tcBorders/>
            <w:shd w:fill="CCE2F1" w:val="clear"/>
            <w:vAlign w:val="center"/>
          </w:tcPr>
          <w:p>
            <w:pPr>
              <w:pStyle w:val="TableContents"/>
              <w:bidi w:val="0"/>
              <w:spacing w:lineRule="atLeast" w:line="280" w:before="0" w:after="0"/>
              <w:jc w:val="right"/>
              <w:rPr>
                <w:rFonts w:ascii="arial" w:hAnsi="arial"/>
                <w:sz w:val="18"/>
              </w:rPr>
            </w:pPr>
            <w:r>
              <w:rPr>
                <w:rFonts w:ascii="arial" w:hAnsi="arial"/>
                <w:sz w:val="18"/>
              </w:rPr>
              <w:t>1,650,000</w:t>
            </w:r>
          </w:p>
        </w:tc>
        <w:tc>
          <w:tcPr>
            <w:tcW w:w="60" w:type="dxa"/>
            <w:tcBorders/>
            <w:shd w:fill="CCE2F1" w:val="clear"/>
            <w:vAlign w:val="center"/>
          </w:tcPr>
          <w:p>
            <w:pPr>
              <w:pStyle w:val="TableContents"/>
              <w:bidi w:val="0"/>
              <w:spacing w:lineRule="atLeast" w:line="280" w:before="0" w:after="0"/>
              <w:jc w:val="left"/>
              <w:rPr/>
            </w:pPr>
            <w:r>
              <w:rPr/>
              <w:t> </w:t>
            </w:r>
          </w:p>
        </w:tc>
        <w:tc>
          <w:tcPr>
            <w:tcW w:w="60" w:type="dxa"/>
            <w:tcBorders/>
            <w:shd w:fill="CCE2F1" w:val="clear"/>
            <w:vAlign w:val="center"/>
          </w:tcPr>
          <w:p>
            <w:pPr>
              <w:pStyle w:val="TableContents"/>
              <w:bidi w:val="0"/>
              <w:spacing w:before="0" w:after="283"/>
              <w:jc w:val="left"/>
              <w:rPr/>
            </w:pPr>
            <w:r>
              <w:rPr/>
              <w:t> </w:t>
            </w:r>
          </w:p>
        </w:tc>
        <w:tc>
          <w:tcPr>
            <w:tcW w:w="158" w:type="dxa"/>
            <w:tcBorders/>
            <w:shd w:fill="CCE2F1" w:val="clear"/>
            <w:vAlign w:val="center"/>
          </w:tcPr>
          <w:p>
            <w:pPr>
              <w:pStyle w:val="TableContents"/>
              <w:bidi w:val="0"/>
              <w:spacing w:lineRule="atLeast" w:line="280" w:before="0" w:after="0"/>
              <w:jc w:val="left"/>
              <w:rPr/>
            </w:pPr>
            <w:r>
              <w:rPr/>
              <w:t> </w:t>
            </w:r>
          </w:p>
        </w:tc>
        <w:tc>
          <w:tcPr>
            <w:tcW w:w="1002" w:type="dxa"/>
            <w:tcBorders/>
            <w:shd w:fill="CCE2F1" w:val="clear"/>
            <w:vAlign w:val="center"/>
          </w:tcPr>
          <w:p>
            <w:pPr>
              <w:pStyle w:val="TableContents"/>
              <w:bidi w:val="0"/>
              <w:spacing w:lineRule="atLeast" w:line="280" w:before="0" w:after="0"/>
              <w:jc w:val="right"/>
              <w:rPr>
                <w:rFonts w:ascii="arial" w:hAnsi="arial"/>
                <w:sz w:val="18"/>
              </w:rPr>
            </w:pPr>
            <w:r>
              <w:rPr>
                <w:rFonts w:ascii="arial" w:hAnsi="arial"/>
                <w:sz w:val="18"/>
              </w:rPr>
              <w:t>8.9</w:t>
            </w:r>
          </w:p>
        </w:tc>
        <w:tc>
          <w:tcPr>
            <w:tcW w:w="75" w:type="dxa"/>
            <w:tcBorders/>
            <w:shd w:fill="CCE2F1" w:val="clear"/>
            <w:vAlign w:val="center"/>
          </w:tcPr>
          <w:p>
            <w:pPr>
              <w:pStyle w:val="TableContents"/>
              <w:bidi w:val="0"/>
              <w:spacing w:lineRule="atLeast" w:line="280" w:before="0" w:after="0"/>
              <w:jc w:val="left"/>
              <w:rPr/>
            </w:pPr>
            <w:r>
              <w:rPr/>
              <w:t> </w:t>
            </w:r>
          </w:p>
        </w:tc>
      </w:tr>
      <w:tr>
        <w:trPr/>
        <w:tc>
          <w:tcPr>
            <w:tcW w:w="1970" w:type="dxa"/>
            <w:tcBorders/>
            <w:vAlign w:val="center"/>
          </w:tcPr>
          <w:p>
            <w:pPr>
              <w:pStyle w:val="TableContents"/>
              <w:bidi w:val="0"/>
              <w:spacing w:lineRule="atLeast" w:line="280" w:before="0" w:after="0"/>
              <w:jc w:val="left"/>
              <w:rPr>
                <w:rFonts w:ascii="arial" w:hAnsi="arial"/>
                <w:sz w:val="18"/>
              </w:rPr>
            </w:pPr>
            <w:r>
              <w:rPr>
                <w:rFonts w:ascii="arial" w:hAnsi="arial"/>
                <w:sz w:val="18"/>
              </w:rPr>
              <w:t>Murdo Gordon</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lineRule="atLeast" w:line="280" w:before="0" w:after="0"/>
              <w:jc w:val="left"/>
              <w:rPr/>
            </w:pPr>
            <w:r>
              <w:rPr/>
              <w:t> </w:t>
            </w:r>
          </w:p>
        </w:tc>
        <w:tc>
          <w:tcPr>
            <w:tcW w:w="1252" w:type="dxa"/>
            <w:tcBorders/>
            <w:vAlign w:val="center"/>
          </w:tcPr>
          <w:p>
            <w:pPr>
              <w:pStyle w:val="TableContents"/>
              <w:bidi w:val="0"/>
              <w:spacing w:lineRule="atLeast" w:line="280" w:before="0" w:after="0"/>
              <w:jc w:val="right"/>
              <w:rPr>
                <w:rFonts w:ascii="arial" w:hAnsi="arial"/>
                <w:sz w:val="18"/>
              </w:rPr>
            </w:pPr>
            <w:r>
              <w:rPr>
                <w:rFonts w:ascii="arial" w:hAnsi="arial"/>
                <w:sz w:val="18"/>
              </w:rPr>
              <w:t>1,109,000</w:t>
            </w:r>
          </w:p>
        </w:tc>
        <w:tc>
          <w:tcPr>
            <w:tcW w:w="60" w:type="dxa"/>
            <w:tcBorders/>
            <w:vAlign w:val="center"/>
          </w:tcPr>
          <w:p>
            <w:pPr>
              <w:pStyle w:val="TableContents"/>
              <w:bidi w:val="0"/>
              <w:spacing w:lineRule="atLeast" w:line="280"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lineRule="atLeast" w:line="280" w:before="0" w:after="0"/>
              <w:jc w:val="left"/>
              <w:rPr/>
            </w:pPr>
            <w:r>
              <w:rPr/>
              <w:t> </w:t>
            </w:r>
          </w:p>
        </w:tc>
        <w:tc>
          <w:tcPr>
            <w:tcW w:w="559" w:type="dxa"/>
            <w:tcBorders/>
            <w:vAlign w:val="center"/>
          </w:tcPr>
          <w:p>
            <w:pPr>
              <w:pStyle w:val="TableContents"/>
              <w:bidi w:val="0"/>
              <w:spacing w:lineRule="atLeast" w:line="280" w:before="0" w:after="0"/>
              <w:jc w:val="right"/>
              <w:rPr>
                <w:rFonts w:ascii="arial" w:hAnsi="arial"/>
                <w:sz w:val="18"/>
              </w:rPr>
            </w:pPr>
            <w:r>
              <w:rPr>
                <w:rFonts w:ascii="arial" w:hAnsi="arial"/>
                <w:sz w:val="18"/>
              </w:rPr>
              <w:t>3.8</w:t>
            </w:r>
          </w:p>
        </w:tc>
        <w:tc>
          <w:tcPr>
            <w:tcW w:w="60" w:type="dxa"/>
            <w:tcBorders/>
            <w:vAlign w:val="center"/>
          </w:tcPr>
          <w:p>
            <w:pPr>
              <w:pStyle w:val="TableContents"/>
              <w:bidi w:val="0"/>
              <w:spacing w:lineRule="atLeast" w:line="280" w:before="0" w:after="0"/>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lineRule="atLeast" w:line="280" w:before="0" w:after="0"/>
              <w:jc w:val="left"/>
              <w:rPr/>
            </w:pPr>
            <w:r>
              <w:rPr/>
              <w:t> </w:t>
            </w:r>
          </w:p>
        </w:tc>
        <w:tc>
          <w:tcPr>
            <w:tcW w:w="1252" w:type="dxa"/>
            <w:tcBorders/>
            <w:vAlign w:val="center"/>
          </w:tcPr>
          <w:p>
            <w:pPr>
              <w:pStyle w:val="TableContents"/>
              <w:bidi w:val="0"/>
              <w:spacing w:lineRule="atLeast" w:line="280" w:before="0" w:after="0"/>
              <w:jc w:val="right"/>
              <w:rPr>
                <w:rFonts w:ascii="arial" w:hAnsi="arial"/>
                <w:sz w:val="18"/>
              </w:rPr>
            </w:pPr>
            <w:r>
              <w:rPr>
                <w:rFonts w:ascii="arial" w:hAnsi="arial"/>
                <w:sz w:val="18"/>
              </w:rPr>
              <w:t>1,151,100</w:t>
            </w:r>
          </w:p>
        </w:tc>
        <w:tc>
          <w:tcPr>
            <w:tcW w:w="60" w:type="dxa"/>
            <w:tcBorders/>
            <w:vAlign w:val="center"/>
          </w:tcPr>
          <w:p>
            <w:pPr>
              <w:pStyle w:val="TableContents"/>
              <w:bidi w:val="0"/>
              <w:spacing w:lineRule="atLeast" w:line="280" w:before="0" w:after="0"/>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lineRule="atLeast" w:line="280" w:before="0" w:after="0"/>
              <w:jc w:val="left"/>
              <w:rPr/>
            </w:pPr>
            <w:r>
              <w:rPr/>
              <w:t> </w:t>
            </w:r>
          </w:p>
        </w:tc>
        <w:tc>
          <w:tcPr>
            <w:tcW w:w="1462" w:type="dxa"/>
            <w:tcBorders/>
            <w:vAlign w:val="center"/>
          </w:tcPr>
          <w:p>
            <w:pPr>
              <w:pStyle w:val="TableContents"/>
              <w:bidi w:val="0"/>
              <w:spacing w:lineRule="atLeast" w:line="280" w:before="0" w:after="0"/>
              <w:jc w:val="right"/>
              <w:rPr>
                <w:rFonts w:ascii="arial" w:hAnsi="arial"/>
                <w:sz w:val="18"/>
              </w:rPr>
            </w:pPr>
            <w:r>
              <w:rPr>
                <w:rFonts w:ascii="arial" w:hAnsi="arial"/>
                <w:sz w:val="18"/>
              </w:rPr>
              <w:t>1,031,000</w:t>
            </w:r>
          </w:p>
        </w:tc>
        <w:tc>
          <w:tcPr>
            <w:tcW w:w="60" w:type="dxa"/>
            <w:tcBorders/>
            <w:vAlign w:val="center"/>
          </w:tcPr>
          <w:p>
            <w:pPr>
              <w:pStyle w:val="TableContents"/>
              <w:bidi w:val="0"/>
              <w:spacing w:lineRule="atLeast" w:line="280" w:before="0" w:after="0"/>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lineRule="atLeast" w:line="280" w:before="0" w:after="0"/>
              <w:jc w:val="left"/>
              <w:rPr/>
            </w:pPr>
            <w:r>
              <w:rPr/>
              <w:t> </w:t>
            </w:r>
          </w:p>
        </w:tc>
        <w:tc>
          <w:tcPr>
            <w:tcW w:w="1002" w:type="dxa"/>
            <w:tcBorders/>
            <w:vAlign w:val="center"/>
          </w:tcPr>
          <w:p>
            <w:pPr>
              <w:pStyle w:val="TableContents"/>
              <w:bidi w:val="0"/>
              <w:spacing w:lineRule="atLeast" w:line="280" w:before="0" w:after="0"/>
              <w:jc w:val="right"/>
              <w:rPr>
                <w:rFonts w:ascii="arial" w:hAnsi="arial"/>
                <w:sz w:val="18"/>
              </w:rPr>
            </w:pPr>
            <w:r>
              <w:rPr>
                <w:rFonts w:ascii="arial" w:hAnsi="arial"/>
                <w:sz w:val="18"/>
              </w:rPr>
              <w:t>11.6</w:t>
            </w:r>
          </w:p>
        </w:tc>
        <w:tc>
          <w:tcPr>
            <w:tcW w:w="75" w:type="dxa"/>
            <w:tcBorders/>
            <w:vAlign w:val="center"/>
          </w:tcPr>
          <w:p>
            <w:pPr>
              <w:pStyle w:val="TableContents"/>
              <w:bidi w:val="0"/>
              <w:spacing w:lineRule="atLeast" w:line="280" w:before="0" w:after="0"/>
              <w:jc w:val="left"/>
              <w:rPr/>
            </w:pPr>
            <w:r>
              <w:rPr/>
              <w:t> </w:t>
            </w:r>
          </w:p>
        </w:tc>
      </w:tr>
      <w:tr>
        <w:trPr/>
        <w:tc>
          <w:tcPr>
            <w:tcW w:w="1970" w:type="dxa"/>
            <w:tcBorders/>
            <w:shd w:fill="CCE2F1" w:val="clear"/>
            <w:vAlign w:val="center"/>
          </w:tcPr>
          <w:p>
            <w:pPr>
              <w:pStyle w:val="TableContents"/>
              <w:bidi w:val="0"/>
              <w:spacing w:lineRule="atLeast" w:line="220" w:before="0" w:after="0"/>
              <w:jc w:val="left"/>
              <w:rPr>
                <w:rFonts w:ascii="arial" w:hAnsi="arial"/>
                <w:sz w:val="18"/>
              </w:rPr>
            </w:pPr>
            <w:r>
              <w:rPr>
                <w:rFonts w:ascii="arial" w:hAnsi="arial"/>
                <w:sz w:val="18"/>
              </w:rPr>
              <w:t>David M. Reese(1)</w:t>
            </w:r>
          </w:p>
        </w:tc>
        <w:tc>
          <w:tcPr>
            <w:tcW w:w="60" w:type="dxa"/>
            <w:tcBorders/>
            <w:shd w:fill="CCE2F1" w:val="clear"/>
            <w:vAlign w:val="center"/>
          </w:tcPr>
          <w:p>
            <w:pPr>
              <w:pStyle w:val="TableContents"/>
              <w:bidi w:val="0"/>
              <w:spacing w:before="0" w:after="283"/>
              <w:jc w:val="left"/>
              <w:rPr/>
            </w:pPr>
            <w:r>
              <w:rPr/>
              <w:t> </w:t>
            </w:r>
          </w:p>
        </w:tc>
        <w:tc>
          <w:tcPr>
            <w:tcW w:w="88" w:type="dxa"/>
            <w:tcBorders/>
            <w:shd w:fill="CCE2F1" w:val="clear"/>
            <w:vAlign w:val="center"/>
          </w:tcPr>
          <w:p>
            <w:pPr>
              <w:pStyle w:val="TableContents"/>
              <w:bidi w:val="0"/>
              <w:spacing w:lineRule="atLeast" w:line="280" w:before="0" w:after="0"/>
              <w:jc w:val="left"/>
              <w:rPr/>
            </w:pPr>
            <w:r>
              <w:rPr/>
              <w:t> </w:t>
            </w:r>
          </w:p>
        </w:tc>
        <w:tc>
          <w:tcPr>
            <w:tcW w:w="1252" w:type="dxa"/>
            <w:tcBorders/>
            <w:shd w:fill="CCE2F1" w:val="clear"/>
            <w:vAlign w:val="center"/>
          </w:tcPr>
          <w:p>
            <w:pPr>
              <w:pStyle w:val="TableContents"/>
              <w:bidi w:val="0"/>
              <w:spacing w:lineRule="atLeast" w:line="280" w:before="0" w:after="0"/>
              <w:jc w:val="right"/>
              <w:rPr>
                <w:rFonts w:ascii="arial" w:hAnsi="arial"/>
                <w:sz w:val="18"/>
              </w:rPr>
            </w:pPr>
            <w:r>
              <w:rPr>
                <w:rFonts w:ascii="arial" w:hAnsi="arial"/>
                <w:sz w:val="18"/>
              </w:rPr>
              <w:t>1,175,000</w:t>
            </w:r>
          </w:p>
        </w:tc>
        <w:tc>
          <w:tcPr>
            <w:tcW w:w="60" w:type="dxa"/>
            <w:tcBorders/>
            <w:shd w:fill="CCE2F1" w:val="clear"/>
            <w:vAlign w:val="center"/>
          </w:tcPr>
          <w:p>
            <w:pPr>
              <w:pStyle w:val="TableContents"/>
              <w:bidi w:val="0"/>
              <w:spacing w:lineRule="atLeast" w:line="280" w:before="0" w:after="0"/>
              <w:jc w:val="left"/>
              <w:rPr/>
            </w:pPr>
            <w:r>
              <w:rPr/>
              <w:t> </w:t>
            </w:r>
          </w:p>
        </w:tc>
        <w:tc>
          <w:tcPr>
            <w:tcW w:w="60" w:type="dxa"/>
            <w:tcBorders/>
            <w:shd w:fill="CCE2F1" w:val="clear"/>
            <w:vAlign w:val="center"/>
          </w:tcPr>
          <w:p>
            <w:pPr>
              <w:pStyle w:val="TableContents"/>
              <w:bidi w:val="0"/>
              <w:spacing w:before="0" w:after="283"/>
              <w:jc w:val="left"/>
              <w:rPr/>
            </w:pPr>
            <w:r>
              <w:rPr/>
              <w:t> </w:t>
            </w:r>
          </w:p>
        </w:tc>
        <w:tc>
          <w:tcPr>
            <w:tcW w:w="121" w:type="dxa"/>
            <w:tcBorders/>
            <w:shd w:fill="CCE2F1" w:val="clear"/>
            <w:vAlign w:val="center"/>
          </w:tcPr>
          <w:p>
            <w:pPr>
              <w:pStyle w:val="TableContents"/>
              <w:bidi w:val="0"/>
              <w:spacing w:lineRule="atLeast" w:line="280" w:before="0" w:after="0"/>
              <w:jc w:val="left"/>
              <w:rPr/>
            </w:pPr>
            <w:r>
              <w:rPr/>
              <w:t> </w:t>
            </w:r>
          </w:p>
        </w:tc>
        <w:tc>
          <w:tcPr>
            <w:tcW w:w="559" w:type="dxa"/>
            <w:tcBorders/>
            <w:shd w:fill="CCE2F1" w:val="clear"/>
            <w:vAlign w:val="center"/>
          </w:tcPr>
          <w:p>
            <w:pPr>
              <w:pStyle w:val="TableContents"/>
              <w:bidi w:val="0"/>
              <w:spacing w:lineRule="atLeast" w:line="280" w:before="0" w:after="0"/>
              <w:jc w:val="right"/>
              <w:rPr>
                <w:rFonts w:ascii="arial" w:hAnsi="arial"/>
                <w:sz w:val="18"/>
              </w:rPr>
            </w:pPr>
            <w:r>
              <w:rPr>
                <w:rFonts w:ascii="arial" w:hAnsi="arial"/>
                <w:sz w:val="18"/>
              </w:rPr>
              <w:t>3.8</w:t>
            </w:r>
          </w:p>
        </w:tc>
        <w:tc>
          <w:tcPr>
            <w:tcW w:w="60" w:type="dxa"/>
            <w:tcBorders/>
            <w:shd w:fill="CCE2F1" w:val="clear"/>
            <w:vAlign w:val="center"/>
          </w:tcPr>
          <w:p>
            <w:pPr>
              <w:pStyle w:val="TableContents"/>
              <w:bidi w:val="0"/>
              <w:spacing w:lineRule="atLeast" w:line="280" w:before="0" w:after="0"/>
              <w:jc w:val="left"/>
              <w:rPr/>
            </w:pPr>
            <w:r>
              <w:rPr/>
              <w:t> </w:t>
            </w:r>
          </w:p>
        </w:tc>
        <w:tc>
          <w:tcPr>
            <w:tcW w:w="60" w:type="dxa"/>
            <w:tcBorders/>
            <w:shd w:fill="CCE2F1" w:val="clear"/>
            <w:vAlign w:val="center"/>
          </w:tcPr>
          <w:p>
            <w:pPr>
              <w:pStyle w:val="TableContents"/>
              <w:bidi w:val="0"/>
              <w:spacing w:before="0" w:after="283"/>
              <w:jc w:val="left"/>
              <w:rPr/>
            </w:pPr>
            <w:r>
              <w:rPr/>
              <w:t> </w:t>
            </w:r>
          </w:p>
        </w:tc>
        <w:tc>
          <w:tcPr>
            <w:tcW w:w="88" w:type="dxa"/>
            <w:tcBorders/>
            <w:shd w:fill="CCE2F1" w:val="clear"/>
            <w:vAlign w:val="center"/>
          </w:tcPr>
          <w:p>
            <w:pPr>
              <w:pStyle w:val="TableContents"/>
              <w:bidi w:val="0"/>
              <w:spacing w:lineRule="atLeast" w:line="280" w:before="0" w:after="0"/>
              <w:jc w:val="left"/>
              <w:rPr/>
            </w:pPr>
            <w:r>
              <w:rPr/>
              <w:t> </w:t>
            </w:r>
          </w:p>
        </w:tc>
        <w:tc>
          <w:tcPr>
            <w:tcW w:w="1252" w:type="dxa"/>
            <w:tcBorders/>
            <w:shd w:fill="CCE2F1" w:val="clear"/>
            <w:vAlign w:val="center"/>
          </w:tcPr>
          <w:p>
            <w:pPr>
              <w:pStyle w:val="TableContents"/>
              <w:bidi w:val="0"/>
              <w:spacing w:lineRule="atLeast" w:line="280" w:before="0" w:after="0"/>
              <w:jc w:val="right"/>
              <w:rPr>
                <w:rFonts w:ascii="arial" w:hAnsi="arial"/>
                <w:sz w:val="18"/>
              </w:rPr>
            </w:pPr>
            <w:r>
              <w:rPr>
                <w:rFonts w:ascii="arial" w:hAnsi="arial"/>
                <w:sz w:val="18"/>
              </w:rPr>
              <w:t>1,219,700</w:t>
            </w:r>
          </w:p>
        </w:tc>
        <w:tc>
          <w:tcPr>
            <w:tcW w:w="60" w:type="dxa"/>
            <w:tcBorders/>
            <w:shd w:fill="CCE2F1" w:val="clear"/>
            <w:vAlign w:val="center"/>
          </w:tcPr>
          <w:p>
            <w:pPr>
              <w:pStyle w:val="TableContents"/>
              <w:bidi w:val="0"/>
              <w:spacing w:lineRule="atLeast" w:line="280" w:before="0" w:after="0"/>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3" w:type="dxa"/>
            <w:tcBorders/>
            <w:shd w:fill="CCE2F1" w:val="clear"/>
            <w:vAlign w:val="center"/>
          </w:tcPr>
          <w:p>
            <w:pPr>
              <w:pStyle w:val="TableContents"/>
              <w:bidi w:val="0"/>
              <w:spacing w:lineRule="atLeast" w:line="280" w:before="0" w:after="0"/>
              <w:jc w:val="left"/>
              <w:rPr/>
            </w:pPr>
            <w:r>
              <w:rPr/>
              <w:t> </w:t>
            </w:r>
          </w:p>
        </w:tc>
        <w:tc>
          <w:tcPr>
            <w:tcW w:w="1462" w:type="dxa"/>
            <w:tcBorders/>
            <w:shd w:fill="CCE2F1" w:val="clear"/>
            <w:vAlign w:val="center"/>
          </w:tcPr>
          <w:p>
            <w:pPr>
              <w:pStyle w:val="TableContents"/>
              <w:bidi w:val="0"/>
              <w:spacing w:lineRule="atLeast" w:line="280" w:before="0" w:after="0"/>
              <w:jc w:val="right"/>
              <w:rPr>
                <w:rFonts w:ascii="arial" w:hAnsi="arial"/>
                <w:sz w:val="18"/>
              </w:rPr>
            </w:pPr>
            <w:r>
              <w:rPr>
                <w:rFonts w:ascii="arial" w:hAnsi="arial"/>
                <w:sz w:val="18"/>
              </w:rPr>
              <w:t>1,166,000</w:t>
            </w:r>
          </w:p>
        </w:tc>
        <w:tc>
          <w:tcPr>
            <w:tcW w:w="60" w:type="dxa"/>
            <w:tcBorders/>
            <w:shd w:fill="CCE2F1" w:val="clear"/>
            <w:vAlign w:val="center"/>
          </w:tcPr>
          <w:p>
            <w:pPr>
              <w:pStyle w:val="TableContents"/>
              <w:bidi w:val="0"/>
              <w:spacing w:lineRule="atLeast" w:line="280" w:before="0" w:after="0"/>
              <w:jc w:val="left"/>
              <w:rPr/>
            </w:pPr>
            <w:r>
              <w:rPr/>
              <w:t> </w:t>
            </w:r>
          </w:p>
        </w:tc>
        <w:tc>
          <w:tcPr>
            <w:tcW w:w="60" w:type="dxa"/>
            <w:tcBorders/>
            <w:shd w:fill="CCE2F1" w:val="clear"/>
            <w:vAlign w:val="center"/>
          </w:tcPr>
          <w:p>
            <w:pPr>
              <w:pStyle w:val="TableContents"/>
              <w:bidi w:val="0"/>
              <w:spacing w:before="0" w:after="283"/>
              <w:jc w:val="left"/>
              <w:rPr/>
            </w:pPr>
            <w:r>
              <w:rPr/>
              <w:t> </w:t>
            </w:r>
          </w:p>
        </w:tc>
        <w:tc>
          <w:tcPr>
            <w:tcW w:w="158" w:type="dxa"/>
            <w:tcBorders/>
            <w:shd w:fill="CCE2F1" w:val="clear"/>
            <w:vAlign w:val="center"/>
          </w:tcPr>
          <w:p>
            <w:pPr>
              <w:pStyle w:val="TableContents"/>
              <w:bidi w:val="0"/>
              <w:spacing w:lineRule="atLeast" w:line="280" w:before="0" w:after="0"/>
              <w:jc w:val="left"/>
              <w:rPr/>
            </w:pPr>
            <w:r>
              <w:rPr/>
              <w:t> </w:t>
            </w:r>
          </w:p>
        </w:tc>
        <w:tc>
          <w:tcPr>
            <w:tcW w:w="1002" w:type="dxa"/>
            <w:tcBorders/>
            <w:shd w:fill="CCE2F1" w:val="clear"/>
            <w:vAlign w:val="center"/>
          </w:tcPr>
          <w:p>
            <w:pPr>
              <w:pStyle w:val="TableContents"/>
              <w:bidi w:val="0"/>
              <w:spacing w:lineRule="atLeast" w:line="280" w:before="0" w:after="0"/>
              <w:jc w:val="right"/>
              <w:rPr>
                <w:rFonts w:ascii="arial" w:hAnsi="arial"/>
                <w:sz w:val="18"/>
              </w:rPr>
            </w:pPr>
            <w:r>
              <w:rPr>
                <w:rFonts w:ascii="arial" w:hAnsi="arial"/>
                <w:sz w:val="18"/>
              </w:rPr>
              <w:t>4.6</w:t>
            </w:r>
          </w:p>
        </w:tc>
        <w:tc>
          <w:tcPr>
            <w:tcW w:w="75" w:type="dxa"/>
            <w:tcBorders/>
            <w:shd w:fill="CCE2F1" w:val="clear"/>
            <w:vAlign w:val="center"/>
          </w:tcPr>
          <w:p>
            <w:pPr>
              <w:pStyle w:val="TableContents"/>
              <w:bidi w:val="0"/>
              <w:spacing w:lineRule="atLeast" w:line="280" w:before="0" w:after="0"/>
              <w:jc w:val="left"/>
              <w:rPr/>
            </w:pPr>
            <w:r>
              <w:rPr/>
              <w:t> </w:t>
            </w:r>
          </w:p>
        </w:tc>
      </w:tr>
      <w:tr>
        <w:trPr/>
        <w:tc>
          <w:tcPr>
            <w:tcW w:w="1970" w:type="dxa"/>
            <w:tcBorders/>
            <w:vAlign w:val="center"/>
          </w:tcPr>
          <w:p>
            <w:pPr>
              <w:pStyle w:val="TableContents"/>
              <w:bidi w:val="0"/>
              <w:spacing w:lineRule="atLeast" w:line="280" w:before="0" w:after="0"/>
              <w:jc w:val="left"/>
              <w:rPr>
                <w:rFonts w:ascii="arial" w:hAnsi="arial"/>
                <w:sz w:val="18"/>
              </w:rPr>
            </w:pPr>
            <w:r>
              <w:rPr>
                <w:rFonts w:ascii="arial" w:hAnsi="arial"/>
                <w:sz w:val="18"/>
              </w:rPr>
              <w:t>Peter H. Griffith</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lineRule="atLeast" w:line="280" w:before="0" w:after="0"/>
              <w:jc w:val="left"/>
              <w:rPr/>
            </w:pPr>
            <w:r>
              <w:rPr/>
              <w:t> </w:t>
            </w:r>
          </w:p>
        </w:tc>
        <w:tc>
          <w:tcPr>
            <w:tcW w:w="1252" w:type="dxa"/>
            <w:tcBorders/>
            <w:vAlign w:val="center"/>
          </w:tcPr>
          <w:p>
            <w:pPr>
              <w:pStyle w:val="TableContents"/>
              <w:bidi w:val="0"/>
              <w:spacing w:lineRule="atLeast" w:line="280" w:before="0" w:after="0"/>
              <w:jc w:val="right"/>
              <w:rPr>
                <w:rFonts w:ascii="arial" w:hAnsi="arial"/>
                <w:sz w:val="18"/>
              </w:rPr>
            </w:pPr>
            <w:r>
              <w:rPr>
                <w:rFonts w:ascii="arial" w:hAnsi="arial"/>
                <w:sz w:val="18"/>
              </w:rPr>
              <w:t>1,050,000</w:t>
            </w:r>
          </w:p>
        </w:tc>
        <w:tc>
          <w:tcPr>
            <w:tcW w:w="60" w:type="dxa"/>
            <w:tcBorders/>
            <w:vAlign w:val="center"/>
          </w:tcPr>
          <w:p>
            <w:pPr>
              <w:pStyle w:val="TableContents"/>
              <w:bidi w:val="0"/>
              <w:spacing w:lineRule="atLeast" w:line="280"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lineRule="atLeast" w:line="280" w:before="0" w:after="0"/>
              <w:jc w:val="left"/>
              <w:rPr/>
            </w:pPr>
            <w:r>
              <w:rPr/>
              <w:t> </w:t>
            </w:r>
          </w:p>
        </w:tc>
        <w:tc>
          <w:tcPr>
            <w:tcW w:w="559" w:type="dxa"/>
            <w:tcBorders/>
            <w:vAlign w:val="center"/>
          </w:tcPr>
          <w:p>
            <w:pPr>
              <w:pStyle w:val="TableContents"/>
              <w:bidi w:val="0"/>
              <w:spacing w:lineRule="atLeast" w:line="280" w:before="0" w:after="0"/>
              <w:jc w:val="right"/>
              <w:rPr>
                <w:rFonts w:ascii="arial" w:hAnsi="arial"/>
                <w:sz w:val="18"/>
              </w:rPr>
            </w:pPr>
            <w:r>
              <w:rPr>
                <w:rFonts w:ascii="arial" w:hAnsi="arial"/>
                <w:sz w:val="18"/>
              </w:rPr>
              <w:t>3.8</w:t>
            </w:r>
          </w:p>
        </w:tc>
        <w:tc>
          <w:tcPr>
            <w:tcW w:w="60" w:type="dxa"/>
            <w:tcBorders/>
            <w:vAlign w:val="center"/>
          </w:tcPr>
          <w:p>
            <w:pPr>
              <w:pStyle w:val="TableContents"/>
              <w:bidi w:val="0"/>
              <w:spacing w:lineRule="atLeast" w:line="280" w:before="0" w:after="0"/>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lineRule="atLeast" w:line="280" w:before="0" w:after="0"/>
              <w:jc w:val="left"/>
              <w:rPr/>
            </w:pPr>
            <w:r>
              <w:rPr/>
              <w:t> </w:t>
            </w:r>
          </w:p>
        </w:tc>
        <w:tc>
          <w:tcPr>
            <w:tcW w:w="1252" w:type="dxa"/>
            <w:tcBorders/>
            <w:vAlign w:val="center"/>
          </w:tcPr>
          <w:p>
            <w:pPr>
              <w:pStyle w:val="TableContents"/>
              <w:bidi w:val="0"/>
              <w:spacing w:lineRule="atLeast" w:line="280" w:before="0" w:after="0"/>
              <w:jc w:val="right"/>
              <w:rPr>
                <w:rFonts w:ascii="arial" w:hAnsi="arial"/>
                <w:sz w:val="18"/>
              </w:rPr>
            </w:pPr>
            <w:r>
              <w:rPr>
                <w:rFonts w:ascii="arial" w:hAnsi="arial"/>
                <w:sz w:val="18"/>
              </w:rPr>
              <w:t>1,089,900</w:t>
            </w:r>
          </w:p>
        </w:tc>
        <w:tc>
          <w:tcPr>
            <w:tcW w:w="60" w:type="dxa"/>
            <w:tcBorders/>
            <w:vAlign w:val="center"/>
          </w:tcPr>
          <w:p>
            <w:pPr>
              <w:pStyle w:val="TableContents"/>
              <w:bidi w:val="0"/>
              <w:spacing w:lineRule="atLeast" w:line="280" w:before="0" w:after="0"/>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lineRule="atLeast" w:line="280" w:before="0" w:after="0"/>
              <w:jc w:val="left"/>
              <w:rPr/>
            </w:pPr>
            <w:r>
              <w:rPr/>
              <w:t> </w:t>
            </w:r>
          </w:p>
        </w:tc>
        <w:tc>
          <w:tcPr>
            <w:tcW w:w="1462" w:type="dxa"/>
            <w:tcBorders/>
            <w:vAlign w:val="center"/>
          </w:tcPr>
          <w:p>
            <w:pPr>
              <w:pStyle w:val="TableContents"/>
              <w:bidi w:val="0"/>
              <w:spacing w:lineRule="atLeast" w:line="280" w:before="0" w:after="0"/>
              <w:jc w:val="right"/>
              <w:rPr>
                <w:rFonts w:ascii="arial" w:hAnsi="arial"/>
                <w:sz w:val="18"/>
              </w:rPr>
            </w:pPr>
            <w:r>
              <w:rPr>
                <w:rFonts w:ascii="arial" w:hAnsi="arial"/>
                <w:sz w:val="18"/>
              </w:rPr>
              <w:t>1,033,000</w:t>
            </w:r>
          </w:p>
        </w:tc>
        <w:tc>
          <w:tcPr>
            <w:tcW w:w="60" w:type="dxa"/>
            <w:tcBorders/>
            <w:vAlign w:val="center"/>
          </w:tcPr>
          <w:p>
            <w:pPr>
              <w:pStyle w:val="TableContents"/>
              <w:bidi w:val="0"/>
              <w:spacing w:lineRule="atLeast" w:line="280" w:before="0" w:after="0"/>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lineRule="atLeast" w:line="280" w:before="0" w:after="0"/>
              <w:jc w:val="left"/>
              <w:rPr/>
            </w:pPr>
            <w:r>
              <w:rPr/>
              <w:t> </w:t>
            </w:r>
          </w:p>
        </w:tc>
        <w:tc>
          <w:tcPr>
            <w:tcW w:w="1002" w:type="dxa"/>
            <w:tcBorders/>
            <w:vAlign w:val="center"/>
          </w:tcPr>
          <w:p>
            <w:pPr>
              <w:pStyle w:val="TableContents"/>
              <w:bidi w:val="0"/>
              <w:spacing w:lineRule="atLeast" w:line="280" w:before="0" w:after="0"/>
              <w:jc w:val="right"/>
              <w:rPr>
                <w:rFonts w:ascii="arial" w:hAnsi="arial"/>
                <w:sz w:val="18"/>
              </w:rPr>
            </w:pPr>
            <w:r>
              <w:rPr>
                <w:rFonts w:ascii="arial" w:hAnsi="arial"/>
                <w:sz w:val="18"/>
              </w:rPr>
              <w:t>5.5</w:t>
            </w:r>
          </w:p>
        </w:tc>
        <w:tc>
          <w:tcPr>
            <w:tcW w:w="75" w:type="dxa"/>
            <w:tcBorders/>
            <w:vAlign w:val="center"/>
          </w:tcPr>
          <w:p>
            <w:pPr>
              <w:pStyle w:val="TableContents"/>
              <w:bidi w:val="0"/>
              <w:spacing w:lineRule="atLeast" w:line="280" w:before="0" w:after="0"/>
              <w:jc w:val="left"/>
              <w:rPr/>
            </w:pPr>
            <w:r>
              <w:rPr/>
              <w:t> </w:t>
            </w:r>
          </w:p>
        </w:tc>
      </w:tr>
      <w:tr>
        <w:trPr/>
        <w:tc>
          <w:tcPr>
            <w:tcW w:w="1970" w:type="dxa"/>
            <w:tcBorders>
              <w:bottom w:val="single" w:sz="8" w:space="0" w:color="0171B9"/>
            </w:tcBorders>
            <w:shd w:fill="CCE2F1" w:val="clear"/>
            <w:tcMar>
              <w:bottom w:w="28" w:type="dxa"/>
            </w:tcMar>
            <w:vAlign w:val="center"/>
          </w:tcPr>
          <w:p>
            <w:pPr>
              <w:pStyle w:val="TableContents"/>
              <w:bidi w:val="0"/>
              <w:spacing w:lineRule="atLeast" w:line="220" w:before="0" w:after="0"/>
              <w:jc w:val="left"/>
              <w:rPr>
                <w:rFonts w:ascii="arial" w:hAnsi="arial"/>
                <w:sz w:val="18"/>
              </w:rPr>
            </w:pPr>
            <w:r>
              <w:rPr>
                <w:rFonts w:ascii="arial" w:hAnsi="arial"/>
                <w:sz w:val="18"/>
              </w:rPr>
              <w:t>Esteban Santos(2)</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88" w:type="dxa"/>
            <w:tcBorders>
              <w:bottom w:val="single" w:sz="8" w:space="0" w:color="0171B9"/>
            </w:tcBorders>
            <w:shd w:fill="CCE2F1" w:val="clear"/>
            <w:tcMar>
              <w:bottom w:w="28" w:type="dxa"/>
            </w:tcMar>
            <w:vAlign w:val="center"/>
          </w:tcPr>
          <w:p>
            <w:pPr>
              <w:pStyle w:val="TableContents"/>
              <w:bidi w:val="0"/>
              <w:spacing w:lineRule="atLeast" w:line="280" w:before="0" w:after="0"/>
              <w:jc w:val="left"/>
              <w:rPr/>
            </w:pPr>
            <w:r>
              <w:rPr/>
              <w:t> </w:t>
            </w:r>
          </w:p>
        </w:tc>
        <w:tc>
          <w:tcPr>
            <w:tcW w:w="1252" w:type="dxa"/>
            <w:tcBorders>
              <w:bottom w:val="single" w:sz="8" w:space="0" w:color="0171B9"/>
            </w:tcBorders>
            <w:shd w:fill="CCE2F1" w:val="clear"/>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1,028,300</w:t>
            </w:r>
          </w:p>
        </w:tc>
        <w:tc>
          <w:tcPr>
            <w:tcW w:w="60" w:type="dxa"/>
            <w:tcBorders>
              <w:bottom w:val="single" w:sz="8" w:space="0" w:color="0171B9"/>
            </w:tcBorders>
            <w:shd w:fill="CCE2F1" w:val="clear"/>
            <w:tcMar>
              <w:bottom w:w="28" w:type="dxa"/>
            </w:tcMar>
            <w:vAlign w:val="center"/>
          </w:tcPr>
          <w:p>
            <w:pPr>
              <w:pStyle w:val="TableContents"/>
              <w:bidi w:val="0"/>
              <w:spacing w:lineRule="atLeast" w:line="280" w:before="0" w:after="0"/>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121" w:type="dxa"/>
            <w:tcBorders>
              <w:bottom w:val="single" w:sz="8" w:space="0" w:color="0171B9"/>
            </w:tcBorders>
            <w:shd w:fill="CCE2F1" w:val="clear"/>
            <w:tcMar>
              <w:bottom w:w="28" w:type="dxa"/>
            </w:tcMar>
            <w:vAlign w:val="center"/>
          </w:tcPr>
          <w:p>
            <w:pPr>
              <w:pStyle w:val="TableContents"/>
              <w:bidi w:val="0"/>
              <w:spacing w:lineRule="atLeast" w:line="280" w:before="0" w:after="0"/>
              <w:jc w:val="left"/>
              <w:rPr/>
            </w:pPr>
            <w:r>
              <w:rPr/>
              <w:t> </w:t>
            </w:r>
          </w:p>
        </w:tc>
        <w:tc>
          <w:tcPr>
            <w:tcW w:w="559" w:type="dxa"/>
            <w:tcBorders>
              <w:bottom w:val="single" w:sz="8" w:space="0" w:color="0171B9"/>
            </w:tcBorders>
            <w:shd w:fill="CCE2F1" w:val="clear"/>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3.8</w:t>
            </w:r>
          </w:p>
        </w:tc>
        <w:tc>
          <w:tcPr>
            <w:tcW w:w="60" w:type="dxa"/>
            <w:tcBorders>
              <w:bottom w:val="single" w:sz="8" w:space="0" w:color="0171B9"/>
            </w:tcBorders>
            <w:shd w:fill="CCE2F1" w:val="clear"/>
            <w:tcMar>
              <w:bottom w:w="28" w:type="dxa"/>
            </w:tcMar>
            <w:vAlign w:val="center"/>
          </w:tcPr>
          <w:p>
            <w:pPr>
              <w:pStyle w:val="TableContents"/>
              <w:bidi w:val="0"/>
              <w:spacing w:lineRule="atLeast" w:line="280" w:before="0" w:after="0"/>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88" w:type="dxa"/>
            <w:tcBorders>
              <w:bottom w:val="single" w:sz="8" w:space="0" w:color="0171B9"/>
            </w:tcBorders>
            <w:shd w:fill="CCE2F1" w:val="clear"/>
            <w:tcMar>
              <w:bottom w:w="28" w:type="dxa"/>
            </w:tcMar>
            <w:vAlign w:val="center"/>
          </w:tcPr>
          <w:p>
            <w:pPr>
              <w:pStyle w:val="TableContents"/>
              <w:bidi w:val="0"/>
              <w:spacing w:lineRule="atLeast" w:line="280" w:before="0" w:after="0"/>
              <w:jc w:val="left"/>
              <w:rPr/>
            </w:pPr>
            <w:r>
              <w:rPr/>
              <w:t> </w:t>
            </w:r>
          </w:p>
        </w:tc>
        <w:tc>
          <w:tcPr>
            <w:tcW w:w="1252" w:type="dxa"/>
            <w:tcBorders>
              <w:bottom w:val="single" w:sz="8" w:space="0" w:color="0171B9"/>
            </w:tcBorders>
            <w:shd w:fill="CCE2F1" w:val="clear"/>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1,067,400</w:t>
            </w:r>
          </w:p>
        </w:tc>
        <w:tc>
          <w:tcPr>
            <w:tcW w:w="60" w:type="dxa"/>
            <w:tcBorders>
              <w:bottom w:val="single" w:sz="8" w:space="0" w:color="0171B9"/>
            </w:tcBorders>
            <w:shd w:fill="CCE2F1" w:val="clear"/>
            <w:tcMar>
              <w:bottom w:w="28" w:type="dxa"/>
            </w:tcMar>
            <w:vAlign w:val="center"/>
          </w:tcPr>
          <w:p>
            <w:pPr>
              <w:pStyle w:val="TableContents"/>
              <w:bidi w:val="0"/>
              <w:spacing w:lineRule="atLeast" w:line="280" w:before="0" w:after="0"/>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103" w:type="dxa"/>
            <w:tcBorders>
              <w:bottom w:val="single" w:sz="8" w:space="0" w:color="0171B9"/>
            </w:tcBorders>
            <w:shd w:fill="CCE2F1" w:val="clear"/>
            <w:tcMar>
              <w:bottom w:w="28" w:type="dxa"/>
            </w:tcMar>
            <w:vAlign w:val="center"/>
          </w:tcPr>
          <w:p>
            <w:pPr>
              <w:pStyle w:val="TableContents"/>
              <w:bidi w:val="0"/>
              <w:spacing w:lineRule="atLeast" w:line="280" w:before="0" w:after="0"/>
              <w:jc w:val="left"/>
              <w:rPr/>
            </w:pPr>
            <w:r>
              <w:rPr/>
              <w:t> </w:t>
            </w:r>
          </w:p>
        </w:tc>
        <w:tc>
          <w:tcPr>
            <w:tcW w:w="1462" w:type="dxa"/>
            <w:tcBorders>
              <w:bottom w:val="single" w:sz="8" w:space="0" w:color="0171B9"/>
            </w:tcBorders>
            <w:shd w:fill="CCE2F1" w:val="clear"/>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n/a</w:t>
            </w:r>
          </w:p>
        </w:tc>
        <w:tc>
          <w:tcPr>
            <w:tcW w:w="60" w:type="dxa"/>
            <w:tcBorders>
              <w:bottom w:val="single" w:sz="8" w:space="0" w:color="0171B9"/>
            </w:tcBorders>
            <w:shd w:fill="CCE2F1" w:val="clear"/>
            <w:tcMar>
              <w:bottom w:w="28" w:type="dxa"/>
            </w:tcMar>
            <w:vAlign w:val="center"/>
          </w:tcPr>
          <w:p>
            <w:pPr>
              <w:pStyle w:val="TableContents"/>
              <w:bidi w:val="0"/>
              <w:spacing w:lineRule="atLeast" w:line="280" w:before="0" w:after="0"/>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158" w:type="dxa"/>
            <w:tcBorders>
              <w:bottom w:val="single" w:sz="8" w:space="0" w:color="0171B9"/>
            </w:tcBorders>
            <w:shd w:fill="CCE2F1" w:val="clear"/>
            <w:tcMar>
              <w:bottom w:w="28" w:type="dxa"/>
            </w:tcMar>
            <w:vAlign w:val="center"/>
          </w:tcPr>
          <w:p>
            <w:pPr>
              <w:pStyle w:val="TableContents"/>
              <w:bidi w:val="0"/>
              <w:spacing w:lineRule="atLeast" w:line="280" w:before="0" w:after="0"/>
              <w:jc w:val="left"/>
              <w:rPr/>
            </w:pPr>
            <w:r>
              <w:rPr/>
              <w:t> </w:t>
            </w:r>
          </w:p>
        </w:tc>
        <w:tc>
          <w:tcPr>
            <w:tcW w:w="1002" w:type="dxa"/>
            <w:tcBorders>
              <w:bottom w:val="single" w:sz="8" w:space="0" w:color="0171B9"/>
            </w:tcBorders>
            <w:shd w:fill="CCE2F1" w:val="clear"/>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n/a</w:t>
            </w:r>
          </w:p>
        </w:tc>
        <w:tc>
          <w:tcPr>
            <w:tcW w:w="75" w:type="dxa"/>
            <w:tcBorders>
              <w:bottom w:val="single" w:sz="8" w:space="0" w:color="0171B9"/>
            </w:tcBorders>
            <w:shd w:fill="CCE2F1" w:val="clear"/>
            <w:tcMar>
              <w:bottom w:w="28" w:type="dxa"/>
            </w:tcMar>
            <w:vAlign w:val="center"/>
          </w:tcPr>
          <w:p>
            <w:pPr>
              <w:pStyle w:val="TableContents"/>
              <w:bidi w:val="0"/>
              <w:spacing w:lineRule="atLeast" w:line="280" w:before="0" w:after="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(1) </w:t>
            </w:r>
          </w:p>
        </w:tc>
        <w:tc>
          <w:tcPr>
            <w:tcW w:w="9926" w:type="dxa"/>
            <w:tcBorders/>
            <w:vAlign w:val="center"/>
          </w:tcPr>
          <w:p>
            <w:pPr>
              <w:pStyle w:val="TableContents"/>
              <w:bidi w:val="0"/>
              <w:spacing w:before="0" w:after="0"/>
              <w:jc w:val="both"/>
              <w:rPr>
                <w:rFonts w:ascii="arial" w:hAnsi="arial"/>
                <w:sz w:val="16"/>
              </w:rPr>
            </w:pPr>
            <w:r>
              <w:rPr>
                <w:rFonts w:ascii="arial" w:hAnsi="arial"/>
                <w:sz w:val="16"/>
              </w:rPr>
              <w:t xml:space="preserve">Dr. Reese was appointed as our Executive Vice President and Chief Technology Officer effective December 2023 and no changes were made to his compensation. Prior to this, he served as our Executive Vice President, Research and Development. The Market Median data reflects comparison to other head of research and development roles. </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83"/>
              <w:jc w:val="left"/>
              <w:rPr/>
            </w:pPr>
            <w:r>
              <w:rPr/>
              <w:t>(2) </w:t>
            </w:r>
          </w:p>
        </w:tc>
        <w:tc>
          <w:tcPr>
            <w:tcW w:w="9885" w:type="dxa"/>
            <w:tcBorders/>
            <w:vAlign w:val="center"/>
          </w:tcPr>
          <w:p>
            <w:pPr>
              <w:pStyle w:val="TableContents"/>
              <w:bidi w:val="0"/>
              <w:spacing w:before="0" w:after="0"/>
              <w:jc w:val="both"/>
              <w:rPr>
                <w:rFonts w:ascii="arial" w:hAnsi="arial"/>
                <w:sz w:val="16"/>
              </w:rPr>
            </w:pPr>
            <w:r>
              <w:rPr>
                <w:rFonts w:ascii="arial" w:hAnsi="arial"/>
                <w:sz w:val="16"/>
              </w:rPr>
              <w:t>As previously discussed under “How Compensation Decisions Are Made For Our Named Executive Officers—</w:t>
            </w:r>
            <w:r>
              <w:rPr>
                <w:rFonts w:ascii="arial" w:hAnsi="arial"/>
                <w:i/>
                <w:sz w:val="16"/>
              </w:rPr>
              <w:t>Peer Group Data Sources,</w:t>
            </w:r>
            <w:r>
              <w:rPr>
                <w:rFonts w:ascii="arial" w:hAnsi="arial"/>
                <w:sz w:val="16"/>
              </w:rPr>
              <w:t xml:space="preserve">” no comparable market data is available for Mr. Santos. </w:t>
            </w:r>
          </w:p>
        </w:tc>
      </w:tr>
    </w:tbl>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68">
                <wp:simplePos x="0" y="0"/>
                <wp:positionH relativeFrom="column">
                  <wp:align>left</wp:align>
                </wp:positionH>
                <wp:positionV relativeFrom="line">
                  <wp:posOffset>635</wp:posOffset>
                </wp:positionV>
                <wp:extent cx="3110230" cy="2979420"/>
                <wp:effectExtent l="0" t="0" r="0" b="0"/>
                <wp:wrapSquare wrapText="right"/>
                <wp:docPr id="281" name="Frame131"/>
                <a:graphic xmlns:a="http://schemas.openxmlformats.org/drawingml/2006/main">
                  <a:graphicData uri="http://schemas.microsoft.com/office/word/2010/wordprocessingShape">
                    <wps:wsp>
                      <wps:cNvSpPr txBox="1"/>
                      <wps:spPr>
                        <a:xfrm>
                          <a:off x="0" y="0"/>
                          <a:ext cx="3110230" cy="2979420"/>
                        </a:xfrm>
                        <a:prstGeom prst="rect"/>
                        <a:solidFill>
                          <a:srgbClr val="FFFFFF"/>
                        </a:solidFill>
                      </wps:spPr>
                      <wps:txbx>
                        <w:txbxContent>
                          <w:p>
                            <w:pPr>
                              <w:pStyle w:val="TextBody"/>
                              <w:bidi w:val="0"/>
                              <w:spacing w:before="0" w:after="0"/>
                              <w:jc w:val="left"/>
                              <w:rPr>
                                <w:rFonts w:ascii="arial" w:hAnsi="arial"/>
                                <w:b/>
                                <w:sz w:val="20"/>
                              </w:rPr>
                            </w:pPr>
                            <w:r>
                              <w:rPr>
                                <w:rFonts w:ascii="arial" w:hAnsi="arial"/>
                                <w:b/>
                                <w:sz w:val="20"/>
                              </w:rPr>
                              <w:t xml:space="preserve">2024 Base Salary Adjustments </w:t>
                            </w:r>
                          </w:p>
                          <w:p>
                            <w:pPr>
                              <w:pStyle w:val="TextBody"/>
                              <w:bidi w:val="0"/>
                              <w:spacing w:before="120" w:after="0"/>
                              <w:jc w:val="both"/>
                              <w:rPr>
                                <w:rFonts w:ascii="arial" w:hAnsi="arial"/>
                                <w:sz w:val="19"/>
                              </w:rPr>
                            </w:pPr>
                            <w:r>
                              <w:rPr>
                                <w:rFonts w:ascii="arial" w:hAnsi="arial"/>
                                <w:sz w:val="19"/>
                              </w:rPr>
                              <w:t xml:space="preserve">In March 2024, the Compensation Committee considered each NEO’s base salary against the available Market Median data, while taking into account the Company’s and each NEO’s performance, as well as current market conditions. In alignment with the base salary increases made to staff members generally, the Compensation Committee increased Messrs. Bradway’s, Gordon’s, Griffith’s, and Santos’ and Dr. Reese’s base salaries by 3.8%. </w:t>
                            </w:r>
                          </w:p>
                          <w:p>
                            <w:pPr>
                              <w:pStyle w:val="TextBody"/>
                              <w:bidi w:val="0"/>
                              <w:spacing w:before="240" w:after="0"/>
                              <w:jc w:val="left"/>
                              <w:rPr>
                                <w:rFonts w:ascii="arial" w:hAnsi="arial"/>
                                <w:b/>
                                <w:sz w:val="24"/>
                              </w:rPr>
                            </w:pPr>
                            <w:r>
                              <w:rPr>
                                <w:rFonts w:ascii="arial" w:hAnsi="arial"/>
                                <w:b/>
                                <w:sz w:val="24"/>
                              </w:rPr>
                              <w:t xml:space="preserve">Total Target Annual Cash Compensation </w:t>
                            </w:r>
                          </w:p>
                          <w:p>
                            <w:pPr>
                              <w:pStyle w:val="TextBody"/>
                              <w:bidi w:val="0"/>
                              <w:spacing w:before="120" w:after="0"/>
                              <w:jc w:val="both"/>
                              <w:rPr>
                                <w:rFonts w:ascii="arial" w:hAnsi="arial"/>
                                <w:sz w:val="19"/>
                              </w:rPr>
                            </w:pPr>
                            <w:r>
                              <w:rPr>
                                <w:rFonts w:ascii="arial" w:hAnsi="arial"/>
                                <w:sz w:val="19"/>
                              </w:rPr>
                              <w:t xml:space="preserve">Total target annual cash is the sum of the NEO’s base salary and target annual cash incentive award, which is a multiple of base salary. The Compensation Committee believes that reviewing our NEOs’ total target annual cash compensation, in addition to the available Market Median, provides a useful check in making compensation decisions. In March 2023, the Compensation Committee reviewed total target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34.6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sz w:val="20"/>
                        </w:rPr>
                      </w:pPr>
                      <w:r>
                        <w:rPr>
                          <w:rFonts w:ascii="arial" w:hAnsi="arial"/>
                          <w:b/>
                          <w:sz w:val="20"/>
                        </w:rPr>
                        <w:t xml:space="preserve">2024 Base Salary Adjustments </w:t>
                      </w:r>
                    </w:p>
                    <w:p>
                      <w:pPr>
                        <w:pStyle w:val="TextBody"/>
                        <w:bidi w:val="0"/>
                        <w:spacing w:before="120" w:after="0"/>
                        <w:jc w:val="both"/>
                        <w:rPr>
                          <w:rFonts w:ascii="arial" w:hAnsi="arial"/>
                          <w:sz w:val="19"/>
                        </w:rPr>
                      </w:pPr>
                      <w:r>
                        <w:rPr>
                          <w:rFonts w:ascii="arial" w:hAnsi="arial"/>
                          <w:sz w:val="19"/>
                        </w:rPr>
                        <w:t xml:space="preserve">In March 2024, the Compensation Committee considered each NEO’s base salary against the available Market Median data, while taking into account the Company’s and each NEO’s performance, as well as current market conditions. In alignment with the base salary increases made to staff members generally, the Compensation Committee increased Messrs. Bradway’s, Gordon’s, Griffith’s, and Santos’ and Dr. Reese’s base salaries by 3.8%. </w:t>
                      </w:r>
                    </w:p>
                    <w:p>
                      <w:pPr>
                        <w:pStyle w:val="TextBody"/>
                        <w:bidi w:val="0"/>
                        <w:spacing w:before="240" w:after="0"/>
                        <w:jc w:val="left"/>
                        <w:rPr>
                          <w:rFonts w:ascii="arial" w:hAnsi="arial"/>
                          <w:b/>
                          <w:sz w:val="24"/>
                        </w:rPr>
                      </w:pPr>
                      <w:r>
                        <w:rPr>
                          <w:rFonts w:ascii="arial" w:hAnsi="arial"/>
                          <w:b/>
                          <w:sz w:val="24"/>
                        </w:rPr>
                        <w:t xml:space="preserve">Total Target Annual Cash Compensation </w:t>
                      </w:r>
                    </w:p>
                    <w:p>
                      <w:pPr>
                        <w:pStyle w:val="TextBody"/>
                        <w:bidi w:val="0"/>
                        <w:spacing w:before="120" w:after="0"/>
                        <w:jc w:val="both"/>
                        <w:rPr>
                          <w:rFonts w:ascii="arial" w:hAnsi="arial"/>
                          <w:sz w:val="19"/>
                        </w:rPr>
                      </w:pPr>
                      <w:r>
                        <w:rPr>
                          <w:rFonts w:ascii="arial" w:hAnsi="arial"/>
                          <w:sz w:val="19"/>
                        </w:rPr>
                        <w:t xml:space="preserve">Total target annual cash is the sum of the NEO’s base salary and target annual cash incentive award, which is a multiple of base salary. The Compensation Committee believes that reviewing our NEOs’ total target annual cash compensation, in addition to the available Market Median, provides a useful check in making compensation decisions. In March 2023, the Compensation Committee reviewed total target </w:t>
                      </w:r>
                    </w:p>
                  </w:txbxContent>
                </v:textbox>
                <w10:wrap type="square" side="right"/>
              </v:rect>
            </w:pict>
          </mc:Fallback>
        </mc:AlternateContent>
      </w:r>
      <w:r>
        <mc:AlternateContent>
          <mc:Choice Requires="wps">
            <w:drawing>
              <wp:anchor behindDoc="0" distT="0" distB="0" distL="0" distR="0" simplePos="0" locked="0" layoutInCell="1" allowOverlap="1" relativeHeight="369">
                <wp:simplePos x="0" y="0"/>
                <wp:positionH relativeFrom="column">
                  <wp:align>left</wp:align>
                </wp:positionH>
                <wp:positionV relativeFrom="line">
                  <wp:posOffset>635</wp:posOffset>
                </wp:positionV>
                <wp:extent cx="3175000" cy="2768600"/>
                <wp:effectExtent l="0" t="0" r="0" b="0"/>
                <wp:wrapSquare wrapText="right"/>
                <wp:docPr id="282" name="Frame132"/>
                <a:graphic xmlns:a="http://schemas.openxmlformats.org/drawingml/2006/main">
                  <a:graphicData uri="http://schemas.microsoft.com/office/word/2010/wordprocessingShape">
                    <wps:wsp>
                      <wps:cNvSpPr txBox="1"/>
                      <wps:spPr>
                        <a:xfrm>
                          <a:off x="0" y="0"/>
                          <a:ext cx="3175000" cy="276860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annual cash compensation for each NEO compared to the available market data and 2022 total target annual cash compensation figures as depicted below. The Compensation Committee found such target annual cash compensation to be appropriate and supportive of the base salary and target annual cash incentive award compensation decisions for Mr. Bradway given his sustained strong leadership in the CEO role. The Compensation Committee determined that the target annual cash compensation for the other NEOs also was appropriate and supportive of the respective base salaries and target annual incentive awards compensation decisions, given each NEO’s successful leadership of their respective functions, scope of responsibilities in their respective roles, and experience. For more information regarding the determination of Market Median, the peer group data reviewed, and the Executive Vice President, Operations role, see “How Compensation Decisions Are Made For Our Named Executive Officers—</w:t>
                            </w:r>
                            <w:r>
                              <w:rPr>
                                <w:rFonts w:ascii="arial" w:hAnsi="arial"/>
                                <w:i/>
                                <w:sz w:val="19"/>
                              </w:rPr>
                              <w:t>Peer Group Data Sources</w:t>
                            </w:r>
                            <w:r>
                              <w:rPr>
                                <w:rFonts w:ascii="arial" w:hAnsi="arial"/>
                                <w:sz w:val="19"/>
                              </w:rPr>
                              <w:t xml:space="preserve">” previously described.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18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annual cash compensation for each NEO compared to the available market data and 2022 total target annual cash compensation figures as depicted below. The Compensation Committee found such target annual cash compensation to be appropriate and supportive of the base salary and target annual cash incentive award compensation decisions for Mr. Bradway given his sustained strong leadership in the CEO role. The Compensation Committee determined that the target annual cash compensation for the other NEOs also was appropriate and supportive of the respective base salaries and target annual incentive awards compensation decisions, given each NEO’s successful leadership of their respective functions, scope of responsibilities in their respective roles, and experience. For more information regarding the determination of Market Median, the peer group data reviewed, and the Executive Vice President, Operations role, see “How Compensation Decisions Are Made For Our Named Executive Officers—</w:t>
                      </w:r>
                      <w:r>
                        <w:rPr>
                          <w:rFonts w:ascii="arial" w:hAnsi="arial"/>
                          <w:i/>
                          <w:sz w:val="19"/>
                        </w:rPr>
                        <w:t>Peer Group Data Sources</w:t>
                      </w:r>
                      <w:r>
                        <w:rPr>
                          <w:rFonts w:ascii="arial" w:hAnsi="arial"/>
                          <w:sz w:val="19"/>
                        </w:rPr>
                        <w:t xml:space="preserve">” previously described.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b/>
          <w:color w:val="0171B9"/>
          <w:sz w:val="22"/>
        </w:rPr>
      </w:pPr>
      <w:r>
        <w:rPr>
          <w:rFonts w:ascii="arial" w:hAnsi="arial"/>
          <w:b/>
          <w:color w:val="0171B9"/>
          <w:sz w:val="22"/>
        </w:rPr>
        <w:t xml:space="preserve">Total Target Annual Cash Compensation </w:t>
      </w:r>
    </w:p>
    <w:p>
      <w:pPr>
        <w:pStyle w:val="TextBody"/>
        <w:bidi w:val="0"/>
        <w:spacing w:before="120" w:after="0"/>
        <w:jc w:val="both"/>
        <w:rPr>
          <w:rFonts w:ascii="arial" w:hAnsi="arial"/>
          <w:sz w:val="19"/>
        </w:rPr>
      </w:pPr>
      <w:r>
        <w:rPr>
          <w:rFonts w:ascii="arial" w:hAnsi="arial"/>
          <w:sz w:val="19"/>
        </w:rPr>
        <w:t xml:space="preserve">Total target annual cash compensation as proposed for 2023 and the difference between the 2022 Market Median position are shown in the table below: </w:t>
      </w:r>
    </w:p>
    <w:p>
      <w:pPr>
        <w:pStyle w:val="TextBody"/>
        <w:bidi w:val="0"/>
        <w:spacing w:before="0" w:after="0"/>
        <w:jc w:val="left"/>
        <w:rPr/>
      </w:pPr>
      <w:r>
        <w:rPr/>
        <w:t> </w:t>
      </w:r>
    </w:p>
    <w:tbl>
      <w:tblPr>
        <w:tblW w:w="7175" w:type="dxa"/>
        <w:jc w:val="left"/>
        <w:tblInd w:w="0" w:type="dxa"/>
        <w:tblLayout w:type="fixed"/>
        <w:tblCellMar>
          <w:top w:w="0" w:type="dxa"/>
          <w:left w:w="0" w:type="dxa"/>
          <w:bottom w:w="0" w:type="dxa"/>
          <w:right w:w="0" w:type="dxa"/>
        </w:tblCellMar>
      </w:tblPr>
      <w:tblGrid>
        <w:gridCol w:w="1985"/>
        <w:gridCol w:w="240"/>
        <w:gridCol w:w="102"/>
        <w:gridCol w:w="1448"/>
        <w:gridCol w:w="60"/>
        <w:gridCol w:w="240"/>
        <w:gridCol w:w="103"/>
        <w:gridCol w:w="1462"/>
        <w:gridCol w:w="60"/>
        <w:gridCol w:w="240"/>
        <w:gridCol w:w="158"/>
        <w:gridCol w:w="1002"/>
        <w:gridCol w:w="75"/>
      </w:tblGrid>
      <w:tr>
        <w:trPr/>
        <w:tc>
          <w:tcPr>
            <w:tcW w:w="198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85" w:type="dxa"/>
            <w:tcBorders>
              <w:bottom w:val="single" w:sz="8" w:space="0" w:color="FFFFFF"/>
            </w:tcBorders>
            <w:shd w:fill="0171B9" w:val="clear"/>
            <w:tcMar>
              <w:bottom w:w="28" w:type="dxa"/>
            </w:tcMar>
            <w:vAlign w:val="center"/>
          </w:tcPr>
          <w:p>
            <w:pPr>
              <w:pStyle w:val="TableContents"/>
              <w:bidi w:val="0"/>
              <w:spacing w:before="0" w:after="0"/>
              <w:jc w:val="left"/>
              <w:rPr>
                <w:rFonts w:ascii="arial" w:hAnsi="arial"/>
                <w:b/>
                <w:color w:val="FFFFFF"/>
                <w:sz w:val="17"/>
              </w:rPr>
            </w:pPr>
            <w:r>
              <w:rPr>
                <w:rFonts w:ascii="arial" w:hAnsi="arial"/>
                <w:b/>
                <w:color w:val="FFFFFF"/>
                <w:sz w:val="17"/>
              </w:rPr>
              <w:t>Named Executive Officer</w:t>
            </w:r>
          </w:p>
        </w:tc>
        <w:tc>
          <w:tcPr>
            <w:tcW w:w="24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550" w:type="dxa"/>
            <w:gridSpan w:val="2"/>
            <w:tcBorders>
              <w:bottom w:val="single" w:sz="8" w:space="0" w:color="FFFFFF"/>
            </w:tcBorders>
            <w:shd w:fill="0171B9" w:val="clear"/>
            <w:tcMar>
              <w:bottom w:w="28" w:type="dxa"/>
            </w:tcMar>
            <w:vAlign w:val="center"/>
          </w:tcPr>
          <w:p>
            <w:pPr>
              <w:pStyle w:val="TableContents"/>
              <w:bidi w:val="0"/>
              <w:spacing w:before="0" w:after="0"/>
              <w:jc w:val="right"/>
              <w:rPr>
                <w:rFonts w:ascii="arial" w:hAnsi="arial"/>
                <w:b/>
                <w:color w:val="FFFFFF"/>
                <w:sz w:val="17"/>
              </w:rPr>
            </w:pPr>
            <w:r>
              <w:rPr>
                <w:rFonts w:ascii="arial" w:hAnsi="arial"/>
                <w:b/>
                <w:color w:val="FFFFFF"/>
                <w:sz w:val="17"/>
              </w:rPr>
              <w:t>2023 Amgen Target</w:t>
            </w:r>
          </w:p>
          <w:p>
            <w:pPr>
              <w:pStyle w:val="TableContents"/>
              <w:bidi w:val="0"/>
              <w:spacing w:before="0" w:after="0"/>
              <w:jc w:val="right"/>
              <w:rPr>
                <w:rFonts w:ascii="arial" w:hAnsi="arial"/>
                <w:b/>
                <w:color w:val="FFFFFF"/>
                <w:sz w:val="17"/>
              </w:rPr>
            </w:pPr>
            <w:r>
              <w:rPr>
                <w:rFonts w:ascii="arial" w:hAnsi="arial"/>
                <w:b/>
                <w:color w:val="FFFFFF"/>
                <w:sz w:val="17"/>
              </w:rPr>
              <w:t>Total Annual Cash</w:t>
            </w:r>
          </w:p>
          <w:p>
            <w:pPr>
              <w:pStyle w:val="TableContents"/>
              <w:bidi w:val="0"/>
              <w:spacing w:before="0" w:after="20"/>
              <w:jc w:val="right"/>
              <w:rPr>
                <w:rFonts w:ascii="arial" w:hAnsi="arial"/>
                <w:b/>
                <w:color w:val="FFFFFF"/>
                <w:sz w:val="17"/>
              </w:rPr>
            </w:pPr>
            <w:r>
              <w:rPr>
                <w:rFonts w:ascii="arial" w:hAnsi="arial"/>
                <w:b/>
                <w:color w:val="FFFFFF"/>
                <w:sz w:val="17"/>
              </w:rPr>
              <w:t>($)</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24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565" w:type="dxa"/>
            <w:gridSpan w:val="2"/>
            <w:tcBorders>
              <w:bottom w:val="single" w:sz="8" w:space="0" w:color="FFFFFF"/>
            </w:tcBorders>
            <w:shd w:fill="0171B9" w:val="clear"/>
            <w:tcMar>
              <w:bottom w:w="28" w:type="dxa"/>
            </w:tcMar>
            <w:vAlign w:val="center"/>
          </w:tcPr>
          <w:p>
            <w:pPr>
              <w:pStyle w:val="TableContents"/>
              <w:bidi w:val="0"/>
              <w:spacing w:before="0" w:after="0"/>
              <w:jc w:val="right"/>
              <w:rPr>
                <w:rFonts w:ascii="arial" w:hAnsi="arial"/>
                <w:b/>
                <w:color w:val="FFFFFF"/>
                <w:sz w:val="17"/>
              </w:rPr>
            </w:pPr>
            <w:r>
              <w:rPr>
                <w:rFonts w:ascii="arial" w:hAnsi="arial"/>
                <w:b/>
                <w:color w:val="FFFFFF"/>
                <w:sz w:val="17"/>
              </w:rPr>
              <w:t>2022 Market Median</w:t>
            </w:r>
          </w:p>
          <w:p>
            <w:pPr>
              <w:pStyle w:val="TableContents"/>
              <w:bidi w:val="0"/>
              <w:spacing w:before="0" w:after="20"/>
              <w:jc w:val="right"/>
              <w:rPr>
                <w:rFonts w:ascii="arial" w:hAnsi="arial"/>
                <w:b/>
                <w:color w:val="FFFFFF"/>
                <w:sz w:val="17"/>
              </w:rPr>
            </w:pPr>
            <w:r>
              <w:rPr>
                <w:rFonts w:ascii="arial" w:hAnsi="arial"/>
                <w:b/>
                <w:color w:val="FFFFFF"/>
                <w:sz w:val="17"/>
              </w:rPr>
              <w:t>($)</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24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160" w:type="dxa"/>
            <w:gridSpan w:val="2"/>
            <w:tcBorders>
              <w:bottom w:val="single" w:sz="8" w:space="0" w:color="FFFFFF"/>
            </w:tcBorders>
            <w:shd w:fill="0171B9" w:val="clear"/>
            <w:tcMar>
              <w:bottom w:w="28" w:type="dxa"/>
            </w:tcMar>
            <w:vAlign w:val="center"/>
          </w:tcPr>
          <w:p>
            <w:pPr>
              <w:pStyle w:val="TableContents"/>
              <w:bidi w:val="0"/>
              <w:spacing w:before="0" w:after="0"/>
              <w:jc w:val="right"/>
              <w:rPr>
                <w:rFonts w:ascii="arial" w:hAnsi="arial"/>
                <w:b/>
                <w:color w:val="FFFFFF"/>
                <w:sz w:val="17"/>
              </w:rPr>
            </w:pPr>
            <w:r>
              <w:rPr>
                <w:rFonts w:ascii="arial" w:hAnsi="arial"/>
                <w:b/>
                <w:color w:val="FFFFFF"/>
                <w:sz w:val="17"/>
              </w:rPr>
              <w:t>Difference vs.</w:t>
            </w:r>
          </w:p>
          <w:p>
            <w:pPr>
              <w:pStyle w:val="TableContents"/>
              <w:bidi w:val="0"/>
              <w:spacing w:before="0" w:after="0"/>
              <w:jc w:val="right"/>
              <w:rPr>
                <w:rFonts w:ascii="arial" w:hAnsi="arial"/>
                <w:b/>
                <w:color w:val="FFFFFF"/>
                <w:sz w:val="17"/>
              </w:rPr>
            </w:pPr>
            <w:r>
              <w:rPr>
                <w:rFonts w:ascii="arial" w:hAnsi="arial"/>
                <w:b/>
                <w:color w:val="FFFFFF"/>
                <w:sz w:val="17"/>
              </w:rPr>
              <w:t>Market Median</w:t>
            </w:r>
          </w:p>
          <w:p>
            <w:pPr>
              <w:pStyle w:val="TableContents"/>
              <w:bidi w:val="0"/>
              <w:spacing w:before="0" w:after="0"/>
              <w:jc w:val="right"/>
              <w:rPr>
                <w:rFonts w:ascii="arial" w:hAnsi="arial"/>
                <w:b/>
                <w:color w:val="FFFFFF"/>
                <w:sz w:val="17"/>
              </w:rPr>
            </w:pPr>
            <w:r>
              <w:rPr>
                <w:rFonts w:ascii="arial" w:hAnsi="arial"/>
                <w:b/>
                <w:color w:val="FFFFFF"/>
                <w:sz w:val="17"/>
              </w:rPr>
              <w:t>Over/(Under)</w:t>
            </w:r>
          </w:p>
          <w:p>
            <w:pPr>
              <w:pStyle w:val="TableContents"/>
              <w:bidi w:val="0"/>
              <w:spacing w:before="0" w:after="20"/>
              <w:jc w:val="right"/>
              <w:rPr>
                <w:rFonts w:ascii="arial" w:hAnsi="arial"/>
                <w:b/>
                <w:color w:val="FFFFFF"/>
                <w:sz w:val="17"/>
              </w:rPr>
            </w:pPr>
            <w:r>
              <w:rPr>
                <w:rFonts w:ascii="arial" w:hAnsi="arial"/>
                <w:b/>
                <w:color w:val="FFFFFF"/>
                <w:sz w:val="17"/>
              </w:rPr>
              <w:t>(%)</w:t>
            </w:r>
          </w:p>
        </w:tc>
        <w:tc>
          <w:tcPr>
            <w:tcW w:w="75"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r>
      <w:tr>
        <w:trPr/>
        <w:tc>
          <w:tcPr>
            <w:tcW w:w="1985" w:type="dxa"/>
            <w:tcBorders/>
            <w:shd w:fill="CCE2F1" w:val="clear"/>
            <w:vAlign w:val="center"/>
          </w:tcPr>
          <w:p>
            <w:pPr>
              <w:pStyle w:val="TableContents"/>
              <w:bidi w:val="0"/>
              <w:spacing w:lineRule="atLeast" w:line="280" w:before="0" w:after="0"/>
              <w:jc w:val="left"/>
              <w:rPr>
                <w:rFonts w:ascii="arial" w:hAnsi="arial"/>
                <w:sz w:val="18"/>
              </w:rPr>
            </w:pPr>
            <w:r>
              <w:rPr>
                <w:rFonts w:ascii="arial" w:hAnsi="arial"/>
                <w:sz w:val="18"/>
              </w:rPr>
              <w:t>Robert A. Bradway</w:t>
            </w:r>
          </w:p>
        </w:tc>
        <w:tc>
          <w:tcPr>
            <w:tcW w:w="240" w:type="dxa"/>
            <w:tcBorders/>
            <w:shd w:fill="CCE2F1" w:val="clear"/>
            <w:vAlign w:val="center"/>
          </w:tcPr>
          <w:p>
            <w:pPr>
              <w:pStyle w:val="TableContents"/>
              <w:bidi w:val="0"/>
              <w:spacing w:before="0" w:after="283"/>
              <w:jc w:val="left"/>
              <w:rPr/>
            </w:pPr>
            <w:r>
              <w:rPr/>
              <w:t>    </w:t>
            </w:r>
          </w:p>
        </w:tc>
        <w:tc>
          <w:tcPr>
            <w:tcW w:w="102" w:type="dxa"/>
            <w:tcBorders/>
            <w:shd w:fill="CCE2F1" w:val="clear"/>
            <w:vAlign w:val="center"/>
          </w:tcPr>
          <w:p>
            <w:pPr>
              <w:pStyle w:val="TableContents"/>
              <w:bidi w:val="0"/>
              <w:spacing w:lineRule="atLeast" w:line="280" w:before="0" w:after="0"/>
              <w:jc w:val="left"/>
              <w:rPr/>
            </w:pPr>
            <w:r>
              <w:rPr/>
              <w:t> </w:t>
            </w:r>
          </w:p>
        </w:tc>
        <w:tc>
          <w:tcPr>
            <w:tcW w:w="1448" w:type="dxa"/>
            <w:tcBorders/>
            <w:shd w:fill="CCE2F1" w:val="clear"/>
            <w:vAlign w:val="center"/>
          </w:tcPr>
          <w:p>
            <w:pPr>
              <w:pStyle w:val="TableContents"/>
              <w:bidi w:val="0"/>
              <w:spacing w:lineRule="atLeast" w:line="280" w:before="0" w:after="0"/>
              <w:jc w:val="right"/>
              <w:rPr>
                <w:rFonts w:ascii="arial" w:hAnsi="arial"/>
                <w:sz w:val="18"/>
              </w:rPr>
            </w:pPr>
            <w:r>
              <w:rPr>
                <w:rFonts w:ascii="arial" w:hAnsi="arial"/>
                <w:sz w:val="18"/>
              </w:rPr>
              <w:t>4,492,750</w:t>
            </w:r>
          </w:p>
        </w:tc>
        <w:tc>
          <w:tcPr>
            <w:tcW w:w="60" w:type="dxa"/>
            <w:tcBorders/>
            <w:shd w:fill="CCE2F1" w:val="clear"/>
            <w:vAlign w:val="center"/>
          </w:tcPr>
          <w:p>
            <w:pPr>
              <w:pStyle w:val="TableContents"/>
              <w:bidi w:val="0"/>
              <w:spacing w:lineRule="atLeast" w:line="280" w:before="0" w:after="0"/>
              <w:jc w:val="left"/>
              <w:rPr/>
            </w:pPr>
            <w:r>
              <w:rPr/>
              <w:t> </w:t>
            </w:r>
          </w:p>
        </w:tc>
        <w:tc>
          <w:tcPr>
            <w:tcW w:w="240" w:type="dxa"/>
            <w:tcBorders/>
            <w:shd w:fill="CCE2F1" w:val="clear"/>
            <w:vAlign w:val="center"/>
          </w:tcPr>
          <w:p>
            <w:pPr>
              <w:pStyle w:val="TableContents"/>
              <w:bidi w:val="0"/>
              <w:spacing w:before="0" w:after="283"/>
              <w:jc w:val="left"/>
              <w:rPr/>
            </w:pPr>
            <w:r>
              <w:rPr/>
              <w:t>    </w:t>
            </w:r>
          </w:p>
        </w:tc>
        <w:tc>
          <w:tcPr>
            <w:tcW w:w="103" w:type="dxa"/>
            <w:tcBorders/>
            <w:shd w:fill="CCE2F1" w:val="clear"/>
            <w:vAlign w:val="center"/>
          </w:tcPr>
          <w:p>
            <w:pPr>
              <w:pStyle w:val="TableContents"/>
              <w:bidi w:val="0"/>
              <w:spacing w:lineRule="atLeast" w:line="280" w:before="0" w:after="0"/>
              <w:jc w:val="left"/>
              <w:rPr/>
            </w:pPr>
            <w:r>
              <w:rPr/>
              <w:t> </w:t>
            </w:r>
          </w:p>
        </w:tc>
        <w:tc>
          <w:tcPr>
            <w:tcW w:w="1462" w:type="dxa"/>
            <w:tcBorders/>
            <w:shd w:fill="CCE2F1" w:val="clear"/>
            <w:vAlign w:val="center"/>
          </w:tcPr>
          <w:p>
            <w:pPr>
              <w:pStyle w:val="TableContents"/>
              <w:bidi w:val="0"/>
              <w:spacing w:lineRule="atLeast" w:line="280" w:before="0" w:after="0"/>
              <w:jc w:val="right"/>
              <w:rPr>
                <w:rFonts w:ascii="arial" w:hAnsi="arial"/>
                <w:sz w:val="18"/>
              </w:rPr>
            </w:pPr>
            <w:r>
              <w:rPr>
                <w:rFonts w:ascii="arial" w:hAnsi="arial"/>
                <w:sz w:val="18"/>
              </w:rPr>
              <w:t>4,125,000</w:t>
            </w:r>
          </w:p>
        </w:tc>
        <w:tc>
          <w:tcPr>
            <w:tcW w:w="60" w:type="dxa"/>
            <w:tcBorders/>
            <w:shd w:fill="CCE2F1" w:val="clear"/>
            <w:vAlign w:val="center"/>
          </w:tcPr>
          <w:p>
            <w:pPr>
              <w:pStyle w:val="TableContents"/>
              <w:bidi w:val="0"/>
              <w:spacing w:lineRule="atLeast" w:line="280" w:before="0" w:after="0"/>
              <w:jc w:val="left"/>
              <w:rPr/>
            </w:pPr>
            <w:r>
              <w:rPr/>
              <w:t> </w:t>
            </w:r>
          </w:p>
        </w:tc>
        <w:tc>
          <w:tcPr>
            <w:tcW w:w="240" w:type="dxa"/>
            <w:tcBorders/>
            <w:shd w:fill="CCE2F1" w:val="clear"/>
            <w:vAlign w:val="center"/>
          </w:tcPr>
          <w:p>
            <w:pPr>
              <w:pStyle w:val="TableContents"/>
              <w:bidi w:val="0"/>
              <w:spacing w:before="0" w:after="283"/>
              <w:jc w:val="left"/>
              <w:rPr/>
            </w:pPr>
            <w:r>
              <w:rPr/>
              <w:t>    </w:t>
            </w:r>
          </w:p>
        </w:tc>
        <w:tc>
          <w:tcPr>
            <w:tcW w:w="158" w:type="dxa"/>
            <w:tcBorders/>
            <w:shd w:fill="CCE2F1" w:val="clear"/>
            <w:vAlign w:val="center"/>
          </w:tcPr>
          <w:p>
            <w:pPr>
              <w:pStyle w:val="TableContents"/>
              <w:bidi w:val="0"/>
              <w:spacing w:lineRule="atLeast" w:line="280" w:before="0" w:after="0"/>
              <w:jc w:val="left"/>
              <w:rPr/>
            </w:pPr>
            <w:r>
              <w:rPr/>
              <w:t> </w:t>
            </w:r>
          </w:p>
        </w:tc>
        <w:tc>
          <w:tcPr>
            <w:tcW w:w="1002" w:type="dxa"/>
            <w:tcBorders/>
            <w:shd w:fill="CCE2F1" w:val="clear"/>
            <w:vAlign w:val="center"/>
          </w:tcPr>
          <w:p>
            <w:pPr>
              <w:pStyle w:val="TableContents"/>
              <w:bidi w:val="0"/>
              <w:spacing w:lineRule="atLeast" w:line="280" w:before="0" w:after="0"/>
              <w:jc w:val="right"/>
              <w:rPr>
                <w:rFonts w:ascii="arial" w:hAnsi="arial"/>
                <w:sz w:val="18"/>
              </w:rPr>
            </w:pPr>
            <w:r>
              <w:rPr>
                <w:rFonts w:ascii="arial" w:hAnsi="arial"/>
                <w:sz w:val="18"/>
              </w:rPr>
              <w:t>8.9</w:t>
            </w:r>
          </w:p>
        </w:tc>
        <w:tc>
          <w:tcPr>
            <w:tcW w:w="75" w:type="dxa"/>
            <w:tcBorders/>
            <w:shd w:fill="CCE2F1" w:val="clear"/>
            <w:vAlign w:val="center"/>
          </w:tcPr>
          <w:p>
            <w:pPr>
              <w:pStyle w:val="TableContents"/>
              <w:bidi w:val="0"/>
              <w:spacing w:lineRule="atLeast" w:line="280" w:before="0" w:after="0"/>
              <w:jc w:val="left"/>
              <w:rPr/>
            </w:pPr>
            <w:r>
              <w:rPr/>
              <w:t> </w:t>
            </w:r>
          </w:p>
        </w:tc>
      </w:tr>
      <w:tr>
        <w:trPr/>
        <w:tc>
          <w:tcPr>
            <w:tcW w:w="1985" w:type="dxa"/>
            <w:tcBorders/>
            <w:vAlign w:val="center"/>
          </w:tcPr>
          <w:p>
            <w:pPr>
              <w:pStyle w:val="TableContents"/>
              <w:bidi w:val="0"/>
              <w:spacing w:lineRule="atLeast" w:line="280" w:before="0" w:after="0"/>
              <w:jc w:val="left"/>
              <w:rPr>
                <w:rFonts w:ascii="arial" w:hAnsi="arial"/>
                <w:sz w:val="18"/>
              </w:rPr>
            </w:pPr>
            <w:r>
              <w:rPr>
                <w:rFonts w:ascii="arial" w:hAnsi="arial"/>
                <w:sz w:val="18"/>
              </w:rPr>
              <w:t>Murdo Gordon</w:t>
            </w:r>
          </w:p>
        </w:tc>
        <w:tc>
          <w:tcPr>
            <w:tcW w:w="24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lineRule="atLeast" w:line="280" w:before="0" w:after="0"/>
              <w:jc w:val="left"/>
              <w:rPr/>
            </w:pPr>
            <w:r>
              <w:rPr/>
              <w:t> </w:t>
            </w:r>
          </w:p>
        </w:tc>
        <w:tc>
          <w:tcPr>
            <w:tcW w:w="1448" w:type="dxa"/>
            <w:tcBorders/>
            <w:vAlign w:val="center"/>
          </w:tcPr>
          <w:p>
            <w:pPr>
              <w:pStyle w:val="TableContents"/>
              <w:bidi w:val="0"/>
              <w:spacing w:lineRule="atLeast" w:line="280" w:before="0" w:after="0"/>
              <w:jc w:val="right"/>
              <w:rPr>
                <w:rFonts w:ascii="arial" w:hAnsi="arial"/>
                <w:sz w:val="18"/>
              </w:rPr>
            </w:pPr>
            <w:r>
              <w:rPr>
                <w:rFonts w:ascii="arial" w:hAnsi="arial"/>
                <w:sz w:val="18"/>
              </w:rPr>
              <w:t>2,302,200</w:t>
            </w:r>
          </w:p>
        </w:tc>
        <w:tc>
          <w:tcPr>
            <w:tcW w:w="60" w:type="dxa"/>
            <w:tcBorders/>
            <w:vAlign w:val="center"/>
          </w:tcPr>
          <w:p>
            <w:pPr>
              <w:pStyle w:val="TableContents"/>
              <w:bidi w:val="0"/>
              <w:spacing w:lineRule="atLeast" w:line="280" w:before="0" w:after="0"/>
              <w:jc w:val="left"/>
              <w:rPr/>
            </w:pPr>
            <w:r>
              <w:rPr/>
              <w:t> </w:t>
            </w:r>
          </w:p>
        </w:tc>
        <w:tc>
          <w:tcPr>
            <w:tcW w:w="24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lineRule="atLeast" w:line="280" w:before="0" w:after="0"/>
              <w:jc w:val="left"/>
              <w:rPr/>
            </w:pPr>
            <w:r>
              <w:rPr/>
              <w:t> </w:t>
            </w:r>
          </w:p>
        </w:tc>
        <w:tc>
          <w:tcPr>
            <w:tcW w:w="1462" w:type="dxa"/>
            <w:tcBorders/>
            <w:vAlign w:val="center"/>
          </w:tcPr>
          <w:p>
            <w:pPr>
              <w:pStyle w:val="TableContents"/>
              <w:bidi w:val="0"/>
              <w:spacing w:lineRule="atLeast" w:line="280" w:before="0" w:after="0"/>
              <w:jc w:val="right"/>
              <w:rPr>
                <w:rFonts w:ascii="arial" w:hAnsi="arial"/>
                <w:sz w:val="18"/>
              </w:rPr>
            </w:pPr>
            <w:r>
              <w:rPr>
                <w:rFonts w:ascii="arial" w:hAnsi="arial"/>
                <w:sz w:val="18"/>
              </w:rPr>
              <w:t>2,053,000</w:t>
            </w:r>
          </w:p>
        </w:tc>
        <w:tc>
          <w:tcPr>
            <w:tcW w:w="60" w:type="dxa"/>
            <w:tcBorders/>
            <w:vAlign w:val="center"/>
          </w:tcPr>
          <w:p>
            <w:pPr>
              <w:pStyle w:val="TableContents"/>
              <w:bidi w:val="0"/>
              <w:spacing w:lineRule="atLeast" w:line="280" w:before="0" w:after="0"/>
              <w:jc w:val="left"/>
              <w:rPr/>
            </w:pPr>
            <w:r>
              <w:rPr/>
              <w:t> </w:t>
            </w:r>
          </w:p>
        </w:tc>
        <w:tc>
          <w:tcPr>
            <w:tcW w:w="24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lineRule="atLeast" w:line="280" w:before="0" w:after="0"/>
              <w:jc w:val="left"/>
              <w:rPr/>
            </w:pPr>
            <w:r>
              <w:rPr/>
              <w:t> </w:t>
            </w:r>
          </w:p>
        </w:tc>
        <w:tc>
          <w:tcPr>
            <w:tcW w:w="1002" w:type="dxa"/>
            <w:tcBorders/>
            <w:vAlign w:val="center"/>
          </w:tcPr>
          <w:p>
            <w:pPr>
              <w:pStyle w:val="TableContents"/>
              <w:bidi w:val="0"/>
              <w:spacing w:lineRule="atLeast" w:line="280" w:before="0" w:after="0"/>
              <w:jc w:val="right"/>
              <w:rPr>
                <w:rFonts w:ascii="arial" w:hAnsi="arial"/>
                <w:sz w:val="18"/>
              </w:rPr>
            </w:pPr>
            <w:r>
              <w:rPr>
                <w:rFonts w:ascii="arial" w:hAnsi="arial"/>
                <w:sz w:val="18"/>
              </w:rPr>
              <w:t>12.1</w:t>
            </w:r>
          </w:p>
        </w:tc>
        <w:tc>
          <w:tcPr>
            <w:tcW w:w="75" w:type="dxa"/>
            <w:tcBorders/>
            <w:vAlign w:val="center"/>
          </w:tcPr>
          <w:p>
            <w:pPr>
              <w:pStyle w:val="TableContents"/>
              <w:bidi w:val="0"/>
              <w:spacing w:lineRule="atLeast" w:line="280" w:before="0" w:after="0"/>
              <w:jc w:val="left"/>
              <w:rPr/>
            </w:pPr>
            <w:r>
              <w:rPr/>
              <w:t> </w:t>
            </w:r>
          </w:p>
        </w:tc>
      </w:tr>
      <w:tr>
        <w:trPr/>
        <w:tc>
          <w:tcPr>
            <w:tcW w:w="1985" w:type="dxa"/>
            <w:tcBorders/>
            <w:shd w:fill="CCE2F1" w:val="clear"/>
            <w:vAlign w:val="center"/>
          </w:tcPr>
          <w:p>
            <w:pPr>
              <w:pStyle w:val="TableContents"/>
              <w:bidi w:val="0"/>
              <w:spacing w:lineRule="atLeast" w:line="220" w:before="0" w:after="0"/>
              <w:jc w:val="left"/>
              <w:rPr>
                <w:rFonts w:ascii="arial" w:hAnsi="arial"/>
                <w:sz w:val="18"/>
              </w:rPr>
            </w:pPr>
            <w:r>
              <w:rPr>
                <w:rFonts w:ascii="arial" w:hAnsi="arial"/>
                <w:sz w:val="18"/>
              </w:rPr>
              <w:t>David M. Reese(1)</w:t>
            </w:r>
          </w:p>
        </w:tc>
        <w:tc>
          <w:tcPr>
            <w:tcW w:w="240" w:type="dxa"/>
            <w:tcBorders/>
            <w:shd w:fill="CCE2F1" w:val="clear"/>
            <w:vAlign w:val="center"/>
          </w:tcPr>
          <w:p>
            <w:pPr>
              <w:pStyle w:val="TableContents"/>
              <w:bidi w:val="0"/>
              <w:spacing w:before="0" w:after="283"/>
              <w:jc w:val="left"/>
              <w:rPr/>
            </w:pPr>
            <w:r>
              <w:rPr/>
              <w:t>    </w:t>
            </w:r>
          </w:p>
        </w:tc>
        <w:tc>
          <w:tcPr>
            <w:tcW w:w="102" w:type="dxa"/>
            <w:tcBorders/>
            <w:shd w:fill="CCE2F1" w:val="clear"/>
            <w:vAlign w:val="center"/>
          </w:tcPr>
          <w:p>
            <w:pPr>
              <w:pStyle w:val="TableContents"/>
              <w:bidi w:val="0"/>
              <w:spacing w:lineRule="atLeast" w:line="280" w:before="0" w:after="0"/>
              <w:jc w:val="left"/>
              <w:rPr/>
            </w:pPr>
            <w:r>
              <w:rPr/>
              <w:t> </w:t>
            </w:r>
          </w:p>
        </w:tc>
        <w:tc>
          <w:tcPr>
            <w:tcW w:w="1448" w:type="dxa"/>
            <w:tcBorders/>
            <w:shd w:fill="CCE2F1" w:val="clear"/>
            <w:vAlign w:val="center"/>
          </w:tcPr>
          <w:p>
            <w:pPr>
              <w:pStyle w:val="TableContents"/>
              <w:bidi w:val="0"/>
              <w:spacing w:lineRule="atLeast" w:line="280" w:before="0" w:after="0"/>
              <w:jc w:val="right"/>
              <w:rPr>
                <w:rFonts w:ascii="arial" w:hAnsi="arial"/>
                <w:sz w:val="18"/>
              </w:rPr>
            </w:pPr>
            <w:r>
              <w:rPr>
                <w:rFonts w:ascii="arial" w:hAnsi="arial"/>
                <w:sz w:val="18"/>
              </w:rPr>
              <w:t>2,439,400</w:t>
            </w:r>
          </w:p>
        </w:tc>
        <w:tc>
          <w:tcPr>
            <w:tcW w:w="60" w:type="dxa"/>
            <w:tcBorders/>
            <w:shd w:fill="CCE2F1" w:val="clear"/>
            <w:vAlign w:val="center"/>
          </w:tcPr>
          <w:p>
            <w:pPr>
              <w:pStyle w:val="TableContents"/>
              <w:bidi w:val="0"/>
              <w:spacing w:lineRule="atLeast" w:line="280" w:before="0" w:after="0"/>
              <w:jc w:val="left"/>
              <w:rPr/>
            </w:pPr>
            <w:r>
              <w:rPr/>
              <w:t> </w:t>
            </w:r>
          </w:p>
        </w:tc>
        <w:tc>
          <w:tcPr>
            <w:tcW w:w="240" w:type="dxa"/>
            <w:tcBorders/>
            <w:shd w:fill="CCE2F1" w:val="clear"/>
            <w:vAlign w:val="center"/>
          </w:tcPr>
          <w:p>
            <w:pPr>
              <w:pStyle w:val="TableContents"/>
              <w:bidi w:val="0"/>
              <w:spacing w:before="0" w:after="283"/>
              <w:jc w:val="left"/>
              <w:rPr/>
            </w:pPr>
            <w:r>
              <w:rPr/>
              <w:t>    </w:t>
            </w:r>
          </w:p>
        </w:tc>
        <w:tc>
          <w:tcPr>
            <w:tcW w:w="103" w:type="dxa"/>
            <w:tcBorders/>
            <w:shd w:fill="CCE2F1" w:val="clear"/>
            <w:vAlign w:val="center"/>
          </w:tcPr>
          <w:p>
            <w:pPr>
              <w:pStyle w:val="TableContents"/>
              <w:bidi w:val="0"/>
              <w:spacing w:lineRule="atLeast" w:line="280" w:before="0" w:after="0"/>
              <w:jc w:val="left"/>
              <w:rPr/>
            </w:pPr>
            <w:r>
              <w:rPr/>
              <w:t> </w:t>
            </w:r>
          </w:p>
        </w:tc>
        <w:tc>
          <w:tcPr>
            <w:tcW w:w="1462" w:type="dxa"/>
            <w:tcBorders/>
            <w:shd w:fill="CCE2F1" w:val="clear"/>
            <w:vAlign w:val="center"/>
          </w:tcPr>
          <w:p>
            <w:pPr>
              <w:pStyle w:val="TableContents"/>
              <w:bidi w:val="0"/>
              <w:spacing w:lineRule="atLeast" w:line="280" w:before="0" w:after="0"/>
              <w:jc w:val="right"/>
              <w:rPr>
                <w:rFonts w:ascii="arial" w:hAnsi="arial"/>
                <w:sz w:val="18"/>
              </w:rPr>
            </w:pPr>
            <w:r>
              <w:rPr>
                <w:rFonts w:ascii="arial" w:hAnsi="arial"/>
                <w:sz w:val="18"/>
              </w:rPr>
              <w:t>2,332,000</w:t>
            </w:r>
          </w:p>
        </w:tc>
        <w:tc>
          <w:tcPr>
            <w:tcW w:w="60" w:type="dxa"/>
            <w:tcBorders/>
            <w:shd w:fill="CCE2F1" w:val="clear"/>
            <w:vAlign w:val="center"/>
          </w:tcPr>
          <w:p>
            <w:pPr>
              <w:pStyle w:val="TableContents"/>
              <w:bidi w:val="0"/>
              <w:spacing w:lineRule="atLeast" w:line="280" w:before="0" w:after="0"/>
              <w:jc w:val="left"/>
              <w:rPr/>
            </w:pPr>
            <w:r>
              <w:rPr/>
              <w:t> </w:t>
            </w:r>
          </w:p>
        </w:tc>
        <w:tc>
          <w:tcPr>
            <w:tcW w:w="240" w:type="dxa"/>
            <w:tcBorders/>
            <w:shd w:fill="CCE2F1" w:val="clear"/>
            <w:vAlign w:val="center"/>
          </w:tcPr>
          <w:p>
            <w:pPr>
              <w:pStyle w:val="TableContents"/>
              <w:bidi w:val="0"/>
              <w:spacing w:before="0" w:after="283"/>
              <w:jc w:val="left"/>
              <w:rPr/>
            </w:pPr>
            <w:r>
              <w:rPr/>
              <w:t>    </w:t>
            </w:r>
          </w:p>
        </w:tc>
        <w:tc>
          <w:tcPr>
            <w:tcW w:w="158" w:type="dxa"/>
            <w:tcBorders/>
            <w:shd w:fill="CCE2F1" w:val="clear"/>
            <w:vAlign w:val="center"/>
          </w:tcPr>
          <w:p>
            <w:pPr>
              <w:pStyle w:val="TableContents"/>
              <w:bidi w:val="0"/>
              <w:spacing w:lineRule="atLeast" w:line="280" w:before="0" w:after="0"/>
              <w:jc w:val="left"/>
              <w:rPr/>
            </w:pPr>
            <w:r>
              <w:rPr/>
              <w:t> </w:t>
            </w:r>
          </w:p>
        </w:tc>
        <w:tc>
          <w:tcPr>
            <w:tcW w:w="1002" w:type="dxa"/>
            <w:tcBorders/>
            <w:shd w:fill="CCE2F1" w:val="clear"/>
            <w:vAlign w:val="center"/>
          </w:tcPr>
          <w:p>
            <w:pPr>
              <w:pStyle w:val="TableContents"/>
              <w:bidi w:val="0"/>
              <w:spacing w:lineRule="atLeast" w:line="280" w:before="0" w:after="0"/>
              <w:jc w:val="right"/>
              <w:rPr>
                <w:rFonts w:ascii="arial" w:hAnsi="arial"/>
                <w:sz w:val="18"/>
              </w:rPr>
            </w:pPr>
            <w:r>
              <w:rPr>
                <w:rFonts w:ascii="arial" w:hAnsi="arial"/>
                <w:sz w:val="18"/>
              </w:rPr>
              <w:t>4.6</w:t>
            </w:r>
          </w:p>
        </w:tc>
        <w:tc>
          <w:tcPr>
            <w:tcW w:w="75" w:type="dxa"/>
            <w:tcBorders/>
            <w:shd w:fill="CCE2F1" w:val="clear"/>
            <w:vAlign w:val="center"/>
          </w:tcPr>
          <w:p>
            <w:pPr>
              <w:pStyle w:val="TableContents"/>
              <w:bidi w:val="0"/>
              <w:spacing w:lineRule="atLeast" w:line="280" w:before="0" w:after="0"/>
              <w:jc w:val="left"/>
              <w:rPr/>
            </w:pPr>
            <w:r>
              <w:rPr/>
              <w:t> </w:t>
            </w:r>
          </w:p>
        </w:tc>
      </w:tr>
      <w:tr>
        <w:trPr/>
        <w:tc>
          <w:tcPr>
            <w:tcW w:w="1985" w:type="dxa"/>
            <w:tcBorders/>
            <w:vAlign w:val="center"/>
          </w:tcPr>
          <w:p>
            <w:pPr>
              <w:pStyle w:val="TableContents"/>
              <w:bidi w:val="0"/>
              <w:spacing w:lineRule="atLeast" w:line="280" w:before="0" w:after="0"/>
              <w:jc w:val="left"/>
              <w:rPr>
                <w:rFonts w:ascii="arial" w:hAnsi="arial"/>
                <w:sz w:val="18"/>
              </w:rPr>
            </w:pPr>
            <w:r>
              <w:rPr>
                <w:rFonts w:ascii="arial" w:hAnsi="arial"/>
                <w:sz w:val="18"/>
              </w:rPr>
              <w:t>Peter H. Griffith</w:t>
            </w:r>
          </w:p>
        </w:tc>
        <w:tc>
          <w:tcPr>
            <w:tcW w:w="24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lineRule="atLeast" w:line="280" w:before="0" w:after="0"/>
              <w:jc w:val="left"/>
              <w:rPr/>
            </w:pPr>
            <w:r>
              <w:rPr/>
              <w:t> </w:t>
            </w:r>
          </w:p>
        </w:tc>
        <w:tc>
          <w:tcPr>
            <w:tcW w:w="1448" w:type="dxa"/>
            <w:tcBorders/>
            <w:vAlign w:val="center"/>
          </w:tcPr>
          <w:p>
            <w:pPr>
              <w:pStyle w:val="TableContents"/>
              <w:bidi w:val="0"/>
              <w:spacing w:lineRule="atLeast" w:line="280" w:before="0" w:after="0"/>
              <w:jc w:val="right"/>
              <w:rPr>
                <w:rFonts w:ascii="arial" w:hAnsi="arial"/>
                <w:sz w:val="18"/>
              </w:rPr>
            </w:pPr>
            <w:r>
              <w:rPr>
                <w:rFonts w:ascii="arial" w:hAnsi="arial"/>
                <w:sz w:val="18"/>
              </w:rPr>
              <w:t>2,179,800</w:t>
            </w:r>
          </w:p>
        </w:tc>
        <w:tc>
          <w:tcPr>
            <w:tcW w:w="60" w:type="dxa"/>
            <w:tcBorders/>
            <w:vAlign w:val="center"/>
          </w:tcPr>
          <w:p>
            <w:pPr>
              <w:pStyle w:val="TableContents"/>
              <w:bidi w:val="0"/>
              <w:spacing w:lineRule="atLeast" w:line="280" w:before="0" w:after="0"/>
              <w:jc w:val="left"/>
              <w:rPr/>
            </w:pPr>
            <w:r>
              <w:rPr/>
              <w:t> </w:t>
            </w:r>
          </w:p>
        </w:tc>
        <w:tc>
          <w:tcPr>
            <w:tcW w:w="24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lineRule="atLeast" w:line="280" w:before="0" w:after="0"/>
              <w:jc w:val="left"/>
              <w:rPr/>
            </w:pPr>
            <w:r>
              <w:rPr/>
              <w:t> </w:t>
            </w:r>
          </w:p>
        </w:tc>
        <w:tc>
          <w:tcPr>
            <w:tcW w:w="1462" w:type="dxa"/>
            <w:tcBorders/>
            <w:vAlign w:val="center"/>
          </w:tcPr>
          <w:p>
            <w:pPr>
              <w:pStyle w:val="TableContents"/>
              <w:bidi w:val="0"/>
              <w:spacing w:lineRule="atLeast" w:line="280" w:before="0" w:after="0"/>
              <w:jc w:val="right"/>
              <w:rPr>
                <w:rFonts w:ascii="arial" w:hAnsi="arial"/>
                <w:sz w:val="18"/>
              </w:rPr>
            </w:pPr>
            <w:r>
              <w:rPr>
                <w:rFonts w:ascii="arial" w:hAnsi="arial"/>
                <w:sz w:val="18"/>
              </w:rPr>
              <w:t>2,112,000</w:t>
            </w:r>
          </w:p>
        </w:tc>
        <w:tc>
          <w:tcPr>
            <w:tcW w:w="60" w:type="dxa"/>
            <w:tcBorders/>
            <w:vAlign w:val="center"/>
          </w:tcPr>
          <w:p>
            <w:pPr>
              <w:pStyle w:val="TableContents"/>
              <w:bidi w:val="0"/>
              <w:spacing w:lineRule="atLeast" w:line="280" w:before="0" w:after="0"/>
              <w:jc w:val="left"/>
              <w:rPr/>
            </w:pPr>
            <w:r>
              <w:rPr/>
              <w:t> </w:t>
            </w:r>
          </w:p>
        </w:tc>
        <w:tc>
          <w:tcPr>
            <w:tcW w:w="24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lineRule="atLeast" w:line="280" w:before="0" w:after="0"/>
              <w:jc w:val="left"/>
              <w:rPr/>
            </w:pPr>
            <w:r>
              <w:rPr/>
              <w:t> </w:t>
            </w:r>
          </w:p>
        </w:tc>
        <w:tc>
          <w:tcPr>
            <w:tcW w:w="1002" w:type="dxa"/>
            <w:tcBorders/>
            <w:vAlign w:val="center"/>
          </w:tcPr>
          <w:p>
            <w:pPr>
              <w:pStyle w:val="TableContents"/>
              <w:bidi w:val="0"/>
              <w:spacing w:lineRule="atLeast" w:line="280" w:before="0" w:after="0"/>
              <w:jc w:val="right"/>
              <w:rPr>
                <w:rFonts w:ascii="arial" w:hAnsi="arial"/>
                <w:sz w:val="18"/>
              </w:rPr>
            </w:pPr>
            <w:r>
              <w:rPr>
                <w:rFonts w:ascii="arial" w:hAnsi="arial"/>
                <w:sz w:val="18"/>
              </w:rPr>
              <w:t>3.2</w:t>
            </w:r>
          </w:p>
        </w:tc>
        <w:tc>
          <w:tcPr>
            <w:tcW w:w="75" w:type="dxa"/>
            <w:tcBorders/>
            <w:vAlign w:val="center"/>
          </w:tcPr>
          <w:p>
            <w:pPr>
              <w:pStyle w:val="TableContents"/>
              <w:bidi w:val="0"/>
              <w:spacing w:lineRule="atLeast" w:line="280" w:before="0" w:after="0"/>
              <w:jc w:val="left"/>
              <w:rPr/>
            </w:pPr>
            <w:r>
              <w:rPr/>
              <w:t> </w:t>
            </w:r>
          </w:p>
        </w:tc>
      </w:tr>
      <w:tr>
        <w:trPr/>
        <w:tc>
          <w:tcPr>
            <w:tcW w:w="1985" w:type="dxa"/>
            <w:tcBorders>
              <w:bottom w:val="single" w:sz="8" w:space="0" w:color="0171B9"/>
            </w:tcBorders>
            <w:shd w:fill="CCE2F1" w:val="clear"/>
            <w:tcMar>
              <w:bottom w:w="28" w:type="dxa"/>
            </w:tcMar>
            <w:vAlign w:val="center"/>
          </w:tcPr>
          <w:p>
            <w:pPr>
              <w:pStyle w:val="TableContents"/>
              <w:bidi w:val="0"/>
              <w:spacing w:lineRule="atLeast" w:line="220" w:before="0" w:after="0"/>
              <w:jc w:val="left"/>
              <w:rPr>
                <w:rFonts w:ascii="arial" w:hAnsi="arial"/>
                <w:sz w:val="18"/>
              </w:rPr>
            </w:pPr>
            <w:r>
              <w:rPr>
                <w:rFonts w:ascii="arial" w:hAnsi="arial"/>
                <w:sz w:val="18"/>
              </w:rPr>
              <w:t xml:space="preserve">Esteban Santos(2) </w:t>
            </w:r>
          </w:p>
        </w:tc>
        <w:tc>
          <w:tcPr>
            <w:tcW w:w="24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102" w:type="dxa"/>
            <w:tcBorders>
              <w:bottom w:val="single" w:sz="8" w:space="0" w:color="0171B9"/>
            </w:tcBorders>
            <w:shd w:fill="CCE2F1" w:val="clear"/>
            <w:tcMar>
              <w:bottom w:w="28" w:type="dxa"/>
            </w:tcMar>
            <w:vAlign w:val="center"/>
          </w:tcPr>
          <w:p>
            <w:pPr>
              <w:pStyle w:val="TableContents"/>
              <w:bidi w:val="0"/>
              <w:spacing w:lineRule="atLeast" w:line="280" w:before="0" w:after="0"/>
              <w:jc w:val="left"/>
              <w:rPr/>
            </w:pPr>
            <w:r>
              <w:rPr/>
              <w:t> </w:t>
            </w:r>
          </w:p>
        </w:tc>
        <w:tc>
          <w:tcPr>
            <w:tcW w:w="1448" w:type="dxa"/>
            <w:tcBorders>
              <w:bottom w:val="single" w:sz="8" w:space="0" w:color="0171B9"/>
            </w:tcBorders>
            <w:shd w:fill="CCE2F1" w:val="clear"/>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2,134,800</w:t>
            </w:r>
          </w:p>
        </w:tc>
        <w:tc>
          <w:tcPr>
            <w:tcW w:w="60" w:type="dxa"/>
            <w:tcBorders>
              <w:bottom w:val="single" w:sz="8" w:space="0" w:color="0171B9"/>
            </w:tcBorders>
            <w:shd w:fill="CCE2F1" w:val="clear"/>
            <w:tcMar>
              <w:bottom w:w="28" w:type="dxa"/>
            </w:tcMar>
            <w:vAlign w:val="center"/>
          </w:tcPr>
          <w:p>
            <w:pPr>
              <w:pStyle w:val="TableContents"/>
              <w:bidi w:val="0"/>
              <w:spacing w:lineRule="atLeast" w:line="280" w:before="0" w:after="0"/>
              <w:jc w:val="left"/>
              <w:rPr/>
            </w:pPr>
            <w:r>
              <w:rPr/>
              <w:t> </w:t>
            </w:r>
          </w:p>
        </w:tc>
        <w:tc>
          <w:tcPr>
            <w:tcW w:w="24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103" w:type="dxa"/>
            <w:tcBorders>
              <w:bottom w:val="single" w:sz="8" w:space="0" w:color="0171B9"/>
            </w:tcBorders>
            <w:shd w:fill="CCE2F1" w:val="clear"/>
            <w:tcMar>
              <w:bottom w:w="28" w:type="dxa"/>
            </w:tcMar>
            <w:vAlign w:val="center"/>
          </w:tcPr>
          <w:p>
            <w:pPr>
              <w:pStyle w:val="TableContents"/>
              <w:bidi w:val="0"/>
              <w:spacing w:lineRule="atLeast" w:line="280" w:before="0" w:after="0"/>
              <w:jc w:val="left"/>
              <w:rPr/>
            </w:pPr>
            <w:r>
              <w:rPr/>
              <w:t> </w:t>
            </w:r>
          </w:p>
        </w:tc>
        <w:tc>
          <w:tcPr>
            <w:tcW w:w="1462" w:type="dxa"/>
            <w:tcBorders>
              <w:bottom w:val="single" w:sz="8" w:space="0" w:color="0171B9"/>
            </w:tcBorders>
            <w:shd w:fill="CCE2F1" w:val="clear"/>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n/a</w:t>
            </w:r>
          </w:p>
        </w:tc>
        <w:tc>
          <w:tcPr>
            <w:tcW w:w="60" w:type="dxa"/>
            <w:tcBorders>
              <w:bottom w:val="single" w:sz="8" w:space="0" w:color="0171B9"/>
            </w:tcBorders>
            <w:shd w:fill="CCE2F1" w:val="clear"/>
            <w:tcMar>
              <w:bottom w:w="28" w:type="dxa"/>
            </w:tcMar>
            <w:vAlign w:val="center"/>
          </w:tcPr>
          <w:p>
            <w:pPr>
              <w:pStyle w:val="TableContents"/>
              <w:bidi w:val="0"/>
              <w:spacing w:lineRule="atLeast" w:line="280" w:before="0" w:after="0"/>
              <w:jc w:val="left"/>
              <w:rPr/>
            </w:pPr>
            <w:r>
              <w:rPr/>
              <w:t> </w:t>
            </w:r>
          </w:p>
        </w:tc>
        <w:tc>
          <w:tcPr>
            <w:tcW w:w="24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158" w:type="dxa"/>
            <w:tcBorders>
              <w:bottom w:val="single" w:sz="8" w:space="0" w:color="0171B9"/>
            </w:tcBorders>
            <w:shd w:fill="CCE2F1" w:val="clear"/>
            <w:tcMar>
              <w:bottom w:w="28" w:type="dxa"/>
            </w:tcMar>
            <w:vAlign w:val="center"/>
          </w:tcPr>
          <w:p>
            <w:pPr>
              <w:pStyle w:val="TableContents"/>
              <w:bidi w:val="0"/>
              <w:spacing w:lineRule="atLeast" w:line="280" w:before="0" w:after="0"/>
              <w:jc w:val="left"/>
              <w:rPr/>
            </w:pPr>
            <w:r>
              <w:rPr/>
              <w:t> </w:t>
            </w:r>
          </w:p>
        </w:tc>
        <w:tc>
          <w:tcPr>
            <w:tcW w:w="1002" w:type="dxa"/>
            <w:tcBorders>
              <w:bottom w:val="single" w:sz="8" w:space="0" w:color="0171B9"/>
            </w:tcBorders>
            <w:shd w:fill="CCE2F1" w:val="clear"/>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n/a</w:t>
            </w:r>
          </w:p>
        </w:tc>
        <w:tc>
          <w:tcPr>
            <w:tcW w:w="75" w:type="dxa"/>
            <w:tcBorders>
              <w:bottom w:val="single" w:sz="8" w:space="0" w:color="0171B9"/>
            </w:tcBorders>
            <w:shd w:fill="CCE2F1" w:val="clear"/>
            <w:tcMar>
              <w:bottom w:w="28" w:type="dxa"/>
            </w:tcMar>
            <w:vAlign w:val="center"/>
          </w:tcPr>
          <w:p>
            <w:pPr>
              <w:pStyle w:val="TableContents"/>
              <w:bidi w:val="0"/>
              <w:spacing w:lineRule="atLeast" w:line="280" w:before="0" w:after="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(1) </w:t>
            </w:r>
          </w:p>
        </w:tc>
        <w:tc>
          <w:tcPr>
            <w:tcW w:w="9926" w:type="dxa"/>
            <w:tcBorders/>
            <w:vAlign w:val="center"/>
          </w:tcPr>
          <w:p>
            <w:pPr>
              <w:pStyle w:val="TableContents"/>
              <w:bidi w:val="0"/>
              <w:spacing w:before="0" w:after="0"/>
              <w:jc w:val="both"/>
              <w:rPr>
                <w:rFonts w:ascii="arial" w:hAnsi="arial"/>
                <w:sz w:val="16"/>
              </w:rPr>
            </w:pPr>
            <w:r>
              <w:rPr>
                <w:rFonts w:ascii="arial" w:hAnsi="arial"/>
                <w:sz w:val="16"/>
              </w:rPr>
              <w:t xml:space="preserve">Dr. Reese was appointed as our Executive Vice President and Chief Technology Officer effective December 2023 and no changes were made to his compensation. Prior to this, he served as our Executive Vice President, Research and Development. The Market Median data reflects comparison to other head of research and development roles. </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83"/>
              <w:jc w:val="left"/>
              <w:rPr/>
            </w:pPr>
            <w:r>
              <w:rPr/>
              <w:t>(2) </w:t>
            </w:r>
          </w:p>
        </w:tc>
        <w:tc>
          <w:tcPr>
            <w:tcW w:w="9885" w:type="dxa"/>
            <w:tcBorders/>
            <w:vAlign w:val="center"/>
          </w:tcPr>
          <w:p>
            <w:pPr>
              <w:pStyle w:val="TableContents"/>
              <w:bidi w:val="0"/>
              <w:spacing w:before="0" w:after="0"/>
              <w:jc w:val="both"/>
              <w:rPr>
                <w:rFonts w:ascii="arial" w:hAnsi="arial"/>
                <w:sz w:val="16"/>
              </w:rPr>
            </w:pPr>
            <w:r>
              <w:rPr>
                <w:rFonts w:ascii="arial" w:hAnsi="arial"/>
                <w:sz w:val="16"/>
              </w:rPr>
              <w:t>As previously discussed under “How Compensation Decisions Are Made For Our Named Executive Officers—</w:t>
            </w:r>
            <w:r>
              <w:rPr>
                <w:rFonts w:ascii="arial" w:hAnsi="arial"/>
                <w:i/>
                <w:sz w:val="16"/>
              </w:rPr>
              <w:t>Peer Group Data Sources,</w:t>
            </w:r>
            <w:r>
              <w:rPr>
                <w:rFonts w:ascii="arial" w:hAnsi="arial"/>
                <w:sz w:val="16"/>
              </w:rPr>
              <w:t xml:space="preserve">” no comparable market data is available for Mr. Santos. </w:t>
            </w:r>
          </w:p>
        </w:tc>
      </w:tr>
    </w:tbl>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76  </w:t>
      </w:r>
      <w:r>
        <w:rPr>
          <w:rFonts w:ascii="arial" w:hAnsi="arial"/>
          <w:b/>
          <w:color w:val="474747"/>
          <w:sz w:val="22"/>
        </w:rPr>
        <w:drawing>
          <wp:inline distT="0" distB="0" distL="0" distR="0">
            <wp:extent cx="64770" cy="15240"/>
            <wp:effectExtent l="0" t="0" r="0" b="0"/>
            <wp:docPr id="283"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139" descr=""/>
                    <pic:cNvPicPr>
                      <a:picLocks noChangeAspect="1" noChangeArrowheads="1"/>
                    </pic:cNvPicPr>
                  </pic:nvPicPr>
                  <pic:blipFill>
                    <a:blip r:embed="rId152"/>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507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45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459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Compensation Discussion and Analysis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70">
                <wp:simplePos x="0" y="0"/>
                <wp:positionH relativeFrom="column">
                  <wp:align>left</wp:align>
                </wp:positionH>
                <wp:positionV relativeFrom="line">
                  <wp:posOffset>635</wp:posOffset>
                </wp:positionV>
                <wp:extent cx="3110230" cy="4265930"/>
                <wp:effectExtent l="0" t="0" r="0" b="0"/>
                <wp:wrapSquare wrapText="right"/>
                <wp:docPr id="284" name="Frame133"/>
                <a:graphic xmlns:a="http://schemas.openxmlformats.org/drawingml/2006/main">
                  <a:graphicData uri="http://schemas.microsoft.com/office/word/2010/wordprocessingShape">
                    <wps:wsp>
                      <wps:cNvSpPr txBox="1"/>
                      <wps:spPr>
                        <a:xfrm>
                          <a:off x="0" y="0"/>
                          <a:ext cx="3110230" cy="4265930"/>
                        </a:xfrm>
                        <a:prstGeom prst="rect"/>
                        <a:solidFill>
                          <a:srgbClr val="FFFFFF"/>
                        </a:solidFill>
                      </wps:spPr>
                      <wps:txbx>
                        <w:txbxContent>
                          <w:p>
                            <w:pPr>
                              <w:pStyle w:val="TextBody"/>
                              <w:bidi w:val="0"/>
                              <w:spacing w:before="0" w:after="0"/>
                              <w:jc w:val="left"/>
                              <w:rPr>
                                <w:rFonts w:ascii="arial" w:hAnsi="arial"/>
                                <w:b/>
                                <w:sz w:val="24"/>
                              </w:rPr>
                            </w:pPr>
                            <w:r>
                              <w:rPr>
                                <w:rFonts w:ascii="arial" w:hAnsi="arial"/>
                                <w:b/>
                                <w:sz w:val="24"/>
                              </w:rPr>
                              <w:t xml:space="preserve">Perquisites </w:t>
                            </w:r>
                          </w:p>
                          <w:p>
                            <w:pPr>
                              <w:pStyle w:val="TextBody"/>
                              <w:bidi w:val="0"/>
                              <w:spacing w:before="120" w:after="0"/>
                              <w:jc w:val="both"/>
                              <w:rPr>
                                <w:rFonts w:ascii="arial" w:hAnsi="arial"/>
                                <w:sz w:val="19"/>
                              </w:rPr>
                            </w:pPr>
                            <w:r>
                              <w:rPr>
                                <w:rFonts w:ascii="arial" w:hAnsi="arial"/>
                                <w:sz w:val="19"/>
                              </w:rPr>
                              <w:t xml:space="preserve">Perquisites are limited in both type and monetary value. The Compensation Committee believes, however, that certain perquisites facilitate the efficient operation of our business, allowing our NEOs to better focus their time, attention, and capabilities on our Company, permit them to be accessible to the business as required, alleviate safety and security concerns, and assist us in recruiting and retaining key executives. The perquisites provided to our NEOs generally include an allowance for personal financial planning services, including tax preparation services (not to exceed $15,000 annually in aggregate), annual physical examinations, Company-paid moving and relocation expenses paid on behalf of newly hired and current executives who agree to relocate to work on the Company’s behalf and, in limited instances, personal expenses when on business travel such as guests accompanying NEOs. Certain of our NEOs also have access to a Company car and driver and, subject to the approval of our CEO, the Company aircraft for personal use. Our CEO is encouraged to use our Company aircraft for all of his travel (business and personal) because the Compensation Committee believes that the value to us of making the aircraft available to our CEO, in terms of safety, security, accessibility, and efficiency, is greater than the incremental cost that we incur. No tax gross-up reimbursements are provided to NEOs, except in connection with reimbursement of moving and relocation expenses consistent with our other staff members and our general relocation policy.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35.9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sz w:val="24"/>
                        </w:rPr>
                      </w:pPr>
                      <w:r>
                        <w:rPr>
                          <w:rFonts w:ascii="arial" w:hAnsi="arial"/>
                          <w:b/>
                          <w:sz w:val="24"/>
                        </w:rPr>
                        <w:t xml:space="preserve">Perquisites </w:t>
                      </w:r>
                    </w:p>
                    <w:p>
                      <w:pPr>
                        <w:pStyle w:val="TextBody"/>
                        <w:bidi w:val="0"/>
                        <w:spacing w:before="120" w:after="0"/>
                        <w:jc w:val="both"/>
                        <w:rPr>
                          <w:rFonts w:ascii="arial" w:hAnsi="arial"/>
                          <w:sz w:val="19"/>
                        </w:rPr>
                      </w:pPr>
                      <w:r>
                        <w:rPr>
                          <w:rFonts w:ascii="arial" w:hAnsi="arial"/>
                          <w:sz w:val="19"/>
                        </w:rPr>
                        <w:t xml:space="preserve">Perquisites are limited in both type and monetary value. The Compensation Committee believes, however, that certain perquisites facilitate the efficient operation of our business, allowing our NEOs to better focus their time, attention, and capabilities on our Company, permit them to be accessible to the business as required, alleviate safety and security concerns, and assist us in recruiting and retaining key executives. The perquisites provided to our NEOs generally include an allowance for personal financial planning services, including tax preparation services (not to exceed $15,000 annually in aggregate), annual physical examinations, Company-paid moving and relocation expenses paid on behalf of newly hired and current executives who agree to relocate to work on the Company’s behalf and, in limited instances, personal expenses when on business travel such as guests accompanying NEOs. Certain of our NEOs also have access to a Company car and driver and, subject to the approval of our CEO, the Company aircraft for personal use. Our CEO is encouraged to use our Company aircraft for all of his travel (business and personal) because the Compensation Committee believes that the value to us of making the aircraft available to our CEO, in terms of safety, security, accessibility, and efficiency, is greater than the incremental cost that we incur. No tax gross-up reimbursements are provided to NEOs, except in connection with reimbursement of moving and relocation expenses consistent with our other staff members and our general relocation policy. </w:t>
                      </w:r>
                    </w:p>
                  </w:txbxContent>
                </v:textbox>
                <w10:wrap type="square" side="right"/>
              </v:rect>
            </w:pict>
          </mc:Fallback>
        </mc:AlternateContent>
      </w:r>
      <w:r>
        <mc:AlternateContent>
          <mc:Choice Requires="wps">
            <w:drawing>
              <wp:anchor behindDoc="0" distT="0" distB="0" distL="0" distR="0" simplePos="0" locked="0" layoutInCell="1" allowOverlap="1" relativeHeight="371">
                <wp:simplePos x="0" y="0"/>
                <wp:positionH relativeFrom="column">
                  <wp:align>left</wp:align>
                </wp:positionH>
                <wp:positionV relativeFrom="line">
                  <wp:posOffset>635</wp:posOffset>
                </wp:positionV>
                <wp:extent cx="3175000" cy="4166870"/>
                <wp:effectExtent l="0" t="0" r="0" b="0"/>
                <wp:wrapSquare wrapText="right"/>
                <wp:docPr id="285" name="Frame134"/>
                <a:graphic xmlns:a="http://schemas.openxmlformats.org/drawingml/2006/main">
                  <a:graphicData uri="http://schemas.microsoft.com/office/word/2010/wordprocessingShape">
                    <wps:wsp>
                      <wps:cNvSpPr txBox="1"/>
                      <wps:spPr>
                        <a:xfrm>
                          <a:off x="0" y="0"/>
                          <a:ext cx="3175000" cy="416687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We believe that providing tax gross-up reimbursements on the applicable moving and relocation expenses paid on behalf of newly hired and current executives who agree to relocate on the Company’s behalf is appropriate because it treats these executives in a similar manner as non-executives under our Company-wide policy which is designed to incentivize optimal deployment of our human resources in support of the Company’s strategy. It also assists in the attraction and retention of the executive talent necessary to compete successfully. </w:t>
                            </w:r>
                          </w:p>
                          <w:p>
                            <w:pPr>
                              <w:pStyle w:val="TextBody"/>
                              <w:bidi w:val="0"/>
                              <w:spacing w:before="120" w:after="0"/>
                              <w:jc w:val="both"/>
                              <w:rPr>
                                <w:rFonts w:ascii="arial" w:hAnsi="arial"/>
                                <w:sz w:val="19"/>
                              </w:rPr>
                            </w:pPr>
                            <w:r>
                              <w:rPr>
                                <w:rFonts w:ascii="arial" w:hAnsi="arial"/>
                                <w:sz w:val="19"/>
                              </w:rPr>
                              <w:t xml:space="preserve">We provide limited home sale loss assistance for Senior Vice Presidents and above in connection with relocations that benefit us and are at our request, and in certain new hire situations. We do not provide tax gross-ups for assistance with loss on sale of a home. Our limited home sale loss assistance serves as an important tool in inducing senior management to fully commit to their new role and relocation. </w:t>
                            </w:r>
                          </w:p>
                          <w:p>
                            <w:pPr>
                              <w:pStyle w:val="TextBody"/>
                              <w:bidi w:val="0"/>
                              <w:spacing w:before="120" w:after="0"/>
                              <w:jc w:val="both"/>
                              <w:rPr>
                                <w:rFonts w:ascii="arial" w:hAnsi="arial"/>
                                <w:sz w:val="19"/>
                              </w:rPr>
                            </w:pPr>
                            <w:r>
                              <w:rPr>
                                <w:rFonts w:ascii="arial" w:hAnsi="arial"/>
                                <w:i/>
                                <w:color w:val="0171B9"/>
                                <w:sz w:val="19"/>
                              </w:rPr>
                              <w:t>Repayment Provision.</w:t>
                            </w:r>
                            <w:r>
                              <w:rPr>
                                <w:rFonts w:ascii="arial" w:hAnsi="arial"/>
                                <w:color w:val="0171B9"/>
                                <w:sz w:val="19"/>
                              </w:rPr>
                              <w:t xml:space="preserve"> </w:t>
                            </w:r>
                            <w:r>
                              <w:rPr>
                                <w:rFonts w:ascii="arial" w:hAnsi="arial"/>
                                <w:sz w:val="19"/>
                              </w:rPr>
                              <w:t xml:space="preserve">Our Company-wide policy includes a repayment provision applicable to all staff members (including our NEOs) that requires a new staff member hired from outside the Company or staff members who accept an assignment and relocate, to repay us for moving and relocation expenses and any home loss assistance incurred by us in the event that the staff member does not complete the move, resigns, or is discharged for cause within two years of the employment start date or relocation date, as applicable (with a pro-rata repayment in the second year).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28.1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We believe that providing tax gross-up reimbursements on the applicable moving and relocation expenses paid on behalf of newly hired and current executives who agree to relocate on the Company’s behalf is appropriate because it treats these executives in a similar manner as non-executives under our Company-wide policy which is designed to incentivize optimal deployment of our human resources in support of the Company’s strategy. It also assists in the attraction and retention of the executive talent necessary to compete successfully. </w:t>
                      </w:r>
                    </w:p>
                    <w:p>
                      <w:pPr>
                        <w:pStyle w:val="TextBody"/>
                        <w:bidi w:val="0"/>
                        <w:spacing w:before="120" w:after="0"/>
                        <w:jc w:val="both"/>
                        <w:rPr>
                          <w:rFonts w:ascii="arial" w:hAnsi="arial"/>
                          <w:sz w:val="19"/>
                        </w:rPr>
                      </w:pPr>
                      <w:r>
                        <w:rPr>
                          <w:rFonts w:ascii="arial" w:hAnsi="arial"/>
                          <w:sz w:val="19"/>
                        </w:rPr>
                        <w:t xml:space="preserve">We provide limited home sale loss assistance for Senior Vice Presidents and above in connection with relocations that benefit us and are at our request, and in certain new hire situations. We do not provide tax gross-ups for assistance with loss on sale of a home. Our limited home sale loss assistance serves as an important tool in inducing senior management to fully commit to their new role and relocation. </w:t>
                      </w:r>
                    </w:p>
                    <w:p>
                      <w:pPr>
                        <w:pStyle w:val="TextBody"/>
                        <w:bidi w:val="0"/>
                        <w:spacing w:before="120" w:after="0"/>
                        <w:jc w:val="both"/>
                        <w:rPr>
                          <w:rFonts w:ascii="arial" w:hAnsi="arial"/>
                          <w:sz w:val="19"/>
                        </w:rPr>
                      </w:pPr>
                      <w:r>
                        <w:rPr>
                          <w:rFonts w:ascii="arial" w:hAnsi="arial"/>
                          <w:i/>
                          <w:color w:val="0171B9"/>
                          <w:sz w:val="19"/>
                        </w:rPr>
                        <w:t>Repayment Provision.</w:t>
                      </w:r>
                      <w:r>
                        <w:rPr>
                          <w:rFonts w:ascii="arial" w:hAnsi="arial"/>
                          <w:color w:val="0171B9"/>
                          <w:sz w:val="19"/>
                        </w:rPr>
                        <w:t xml:space="preserve"> </w:t>
                      </w:r>
                      <w:r>
                        <w:rPr>
                          <w:rFonts w:ascii="arial" w:hAnsi="arial"/>
                          <w:sz w:val="19"/>
                        </w:rPr>
                        <w:t xml:space="preserve">Our Company-wide policy includes a repayment provision applicable to all staff members (including our NEOs) that requires a new staff member hired from outside the Company or staff members who accept an assignment and relocate, to repay us for moving and relocation expenses and any home loss assistance incurred by us in the event that the staff member does not complete the move, resigns, or is discharged for cause within two years of the employment start date or relocation date, as applicable (with a pro-rata repayment in the second year).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b/>
          <w:color w:val="0171B9"/>
          <w:sz w:val="28"/>
        </w:rPr>
      </w:pPr>
      <w:bookmarkStart w:id="54" w:name="txa445034_111"/>
      <w:bookmarkStart w:id="55" w:name="toc445034_40"/>
      <w:bookmarkEnd w:id="54"/>
      <w:bookmarkEnd w:id="55"/>
      <w:r>
        <w:rPr>
          <w:rFonts w:ascii="arial" w:hAnsi="arial"/>
          <w:b/>
          <w:color w:val="0171B9"/>
          <w:sz w:val="28"/>
        </w:rPr>
        <w:t xml:space="preserve">Compensation Policies and Practices </w:t>
      </w:r>
    </w:p>
    <w:p>
      <w:pPr>
        <w:pStyle w:val="TextBody"/>
        <w:pBdr>
          <w:bottom w:val="single" w:sz="2" w:space="1" w:color="666666"/>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pPr>
      <w:r>
        <w:rPr/>
        <w:t> </w:t>
      </w:r>
      <w:r>
        <mc:AlternateContent>
          <mc:Choice Requires="wps">
            <w:drawing>
              <wp:anchor behindDoc="0" distT="0" distB="0" distL="0" distR="0" simplePos="0" locked="0" layoutInCell="1" allowOverlap="1" relativeHeight="372">
                <wp:simplePos x="0" y="0"/>
                <wp:positionH relativeFrom="column">
                  <wp:align>left</wp:align>
                </wp:positionH>
                <wp:positionV relativeFrom="line">
                  <wp:posOffset>635</wp:posOffset>
                </wp:positionV>
                <wp:extent cx="3110230" cy="1774190"/>
                <wp:effectExtent l="0" t="0" r="0" b="0"/>
                <wp:wrapSquare wrapText="right"/>
                <wp:docPr id="286" name="Frame135"/>
                <a:graphic xmlns:a="http://schemas.openxmlformats.org/drawingml/2006/main">
                  <a:graphicData uri="http://schemas.microsoft.com/office/word/2010/wordprocessingShape">
                    <wps:wsp>
                      <wps:cNvSpPr txBox="1"/>
                      <wps:spPr>
                        <a:xfrm>
                          <a:off x="0" y="0"/>
                          <a:ext cx="3110230" cy="1774190"/>
                        </a:xfrm>
                        <a:prstGeom prst="rect"/>
                        <a:solidFill>
                          <a:srgbClr val="FFFFFF"/>
                        </a:solidFill>
                      </wps:spPr>
                      <wps:txbx>
                        <w:txbxContent>
                          <w:p>
                            <w:pPr>
                              <w:pStyle w:val="TextBody"/>
                              <w:bidi w:val="0"/>
                              <w:spacing w:before="0" w:after="0"/>
                              <w:jc w:val="left"/>
                              <w:rPr>
                                <w:rFonts w:ascii="arial" w:hAnsi="arial"/>
                                <w:b/>
                                <w:sz w:val="24"/>
                              </w:rPr>
                            </w:pPr>
                            <w:r>
                              <w:rPr>
                                <w:rFonts w:ascii="arial" w:hAnsi="arial"/>
                                <w:b/>
                                <w:sz w:val="24"/>
                              </w:rPr>
                              <w:t xml:space="preserve">Recoupment </w:t>
                            </w:r>
                          </w:p>
                          <w:p>
                            <w:pPr>
                              <w:pStyle w:val="TextBody"/>
                              <w:bidi w:val="0"/>
                              <w:spacing w:before="120" w:after="0"/>
                              <w:jc w:val="both"/>
                              <w:rPr>
                                <w:rFonts w:ascii="arial" w:hAnsi="arial"/>
                                <w:sz w:val="19"/>
                              </w:rPr>
                            </w:pPr>
                            <w:r>
                              <w:rPr>
                                <w:rFonts w:ascii="arial" w:hAnsi="arial"/>
                                <w:i/>
                                <w:color w:val="0171B9"/>
                                <w:sz w:val="19"/>
                              </w:rPr>
                              <w:t>Clawback Policy.</w:t>
                            </w:r>
                            <w:r>
                              <w:rPr>
                                <w:rFonts w:ascii="arial" w:hAnsi="arial"/>
                                <w:i/>
                                <w:sz w:val="19"/>
                              </w:rPr>
                              <w:t xml:space="preserve"> </w:t>
                            </w:r>
                            <w:r>
                              <w:rPr>
                                <w:rFonts w:ascii="arial" w:hAnsi="arial"/>
                                <w:sz w:val="19"/>
                              </w:rPr>
                              <w:t xml:space="preserve">Effective October 2, 2023, to comply with the new NASDAQ Stock Market listing standards approved by the Securities and Exchange Commission, we adopted a new recovery of erroneously awarded compensation policy(1) that replaced our prior clawback policy. This new clawback policy requires that the Company, subject to the limited impracticability exceptions permitted by the new listing standards, recapture from our Section 16 officers, including our NEOs incentive-based compensation, including cash bonuses and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39.7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sz w:val="24"/>
                        </w:rPr>
                      </w:pPr>
                      <w:r>
                        <w:rPr>
                          <w:rFonts w:ascii="arial" w:hAnsi="arial"/>
                          <w:b/>
                          <w:sz w:val="24"/>
                        </w:rPr>
                        <w:t xml:space="preserve">Recoupment </w:t>
                      </w:r>
                    </w:p>
                    <w:p>
                      <w:pPr>
                        <w:pStyle w:val="TextBody"/>
                        <w:bidi w:val="0"/>
                        <w:spacing w:before="120" w:after="0"/>
                        <w:jc w:val="both"/>
                        <w:rPr>
                          <w:rFonts w:ascii="arial" w:hAnsi="arial"/>
                          <w:sz w:val="19"/>
                        </w:rPr>
                      </w:pPr>
                      <w:r>
                        <w:rPr>
                          <w:rFonts w:ascii="arial" w:hAnsi="arial"/>
                          <w:i/>
                          <w:color w:val="0171B9"/>
                          <w:sz w:val="19"/>
                        </w:rPr>
                        <w:t>Clawback Policy.</w:t>
                      </w:r>
                      <w:r>
                        <w:rPr>
                          <w:rFonts w:ascii="arial" w:hAnsi="arial"/>
                          <w:i/>
                          <w:sz w:val="19"/>
                        </w:rPr>
                        <w:t xml:space="preserve"> </w:t>
                      </w:r>
                      <w:r>
                        <w:rPr>
                          <w:rFonts w:ascii="arial" w:hAnsi="arial"/>
                          <w:sz w:val="19"/>
                        </w:rPr>
                        <w:t xml:space="preserve">Effective October 2, 2023, to comply with the new NASDAQ Stock Market listing standards approved by the Securities and Exchange Commission, we adopted a new recovery of erroneously awarded compensation policy(1) that replaced our prior clawback policy. This new clawback policy requires that the Company, subject to the limited impracticability exceptions permitted by the new listing standards, recapture from our Section 16 officers, including our NEOs incentive-based compensation, including cash bonuses and </w:t>
                      </w:r>
                    </w:p>
                  </w:txbxContent>
                </v:textbox>
                <w10:wrap type="square" side="right"/>
              </v:rect>
            </w:pict>
          </mc:Fallback>
        </mc:AlternateContent>
      </w:r>
      <w:r>
        <mc:AlternateContent>
          <mc:Choice Requires="wps">
            <w:drawing>
              <wp:anchor behindDoc="0" distT="0" distB="0" distL="0" distR="0" simplePos="0" locked="0" layoutInCell="1" allowOverlap="1" relativeHeight="373">
                <wp:simplePos x="0" y="0"/>
                <wp:positionH relativeFrom="column">
                  <wp:align>left</wp:align>
                </wp:positionH>
                <wp:positionV relativeFrom="line">
                  <wp:posOffset>635</wp:posOffset>
                </wp:positionV>
                <wp:extent cx="3175000" cy="1737360"/>
                <wp:effectExtent l="0" t="0" r="0" b="0"/>
                <wp:wrapSquare wrapText="right"/>
                <wp:docPr id="287" name="Frame136"/>
                <a:graphic xmlns:a="http://schemas.openxmlformats.org/drawingml/2006/main">
                  <a:graphicData uri="http://schemas.microsoft.com/office/word/2010/wordprocessingShape">
                    <wps:wsp>
                      <wps:cNvSpPr txBox="1"/>
                      <wps:spPr>
                        <a:xfrm>
                          <a:off x="0" y="0"/>
                          <a:ext cx="3175000" cy="173736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performance units payouts, that was granted, earned, or vested, wholly or in part, upon the attainment of any financial reporting measure that is the subject of a financial restatement,(2) without regard to fraud or misconduct on the part of the executive. Compensation subject to this clawback policy is the gross amount received in excess of that which would have been received based on the restated financials. </w:t>
                            </w:r>
                          </w:p>
                          <w:p>
                            <w:pPr>
                              <w:pStyle w:val="TextBody"/>
                              <w:bidi w:val="0"/>
                              <w:spacing w:before="120" w:after="0"/>
                              <w:jc w:val="both"/>
                              <w:rPr>
                                <w:rFonts w:ascii="arial" w:hAnsi="arial"/>
                                <w:sz w:val="19"/>
                              </w:rPr>
                            </w:pPr>
                            <w:r>
                              <w:rPr>
                                <w:rFonts w:ascii="arial" w:hAnsi="arial"/>
                                <w:i/>
                                <w:color w:val="0171B9"/>
                                <w:sz w:val="19"/>
                              </w:rPr>
                              <w:t>Equity Recoupment Policy.</w:t>
                            </w:r>
                            <w:r>
                              <w:rPr>
                                <w:rFonts w:ascii="arial" w:hAnsi="arial"/>
                                <w:sz w:val="19"/>
                              </w:rPr>
                              <w:t xml:space="preserve"> In the course of our engagement activities, we explored with certain stockholders additional recoupment mechanisms. In December 2020, after discussions of recoupment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36.8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performance units payouts, that was granted, earned, or vested, wholly or in part, upon the attainment of any financial reporting measure that is the subject of a financial restatement,(2) without regard to fraud or misconduct on the part of the executive. Compensation subject to this clawback policy is the gross amount received in excess of that which would have been received based on the restated financials. </w:t>
                      </w:r>
                    </w:p>
                    <w:p>
                      <w:pPr>
                        <w:pStyle w:val="TextBody"/>
                        <w:bidi w:val="0"/>
                        <w:spacing w:before="120" w:after="0"/>
                        <w:jc w:val="both"/>
                        <w:rPr>
                          <w:rFonts w:ascii="arial" w:hAnsi="arial"/>
                          <w:sz w:val="19"/>
                        </w:rPr>
                      </w:pPr>
                      <w:r>
                        <w:rPr>
                          <w:rFonts w:ascii="arial" w:hAnsi="arial"/>
                          <w:i/>
                          <w:color w:val="0171B9"/>
                          <w:sz w:val="19"/>
                        </w:rPr>
                        <w:t>Equity Recoupment Policy.</w:t>
                      </w:r>
                      <w:r>
                        <w:rPr>
                          <w:rFonts w:ascii="arial" w:hAnsi="arial"/>
                          <w:sz w:val="19"/>
                        </w:rPr>
                        <w:t xml:space="preserve"> In the course of our engagement activities, we explored with certain stockholders additional recoupment mechanisms. In December 2020, after discussions of recoupment </w:t>
                      </w:r>
                    </w:p>
                  </w:txbxContent>
                </v:textbox>
                <w10:wrap type="square" side="right"/>
              </v:rect>
            </w:pict>
          </mc:Fallback>
        </mc:AlternateContent>
      </w:r>
    </w:p>
    <w:tbl>
      <w:tblPr>
        <w:tblW w:w="113" w:type="dxa"/>
        <w:jc w:val="left"/>
        <w:tblInd w:w="0" w:type="dxa"/>
        <w:tblLayout w:type="fixed"/>
        <w:tblCellMar>
          <w:top w:w="0" w:type="dxa"/>
          <w:left w:w="0" w:type="dxa"/>
          <w:bottom w:w="0" w:type="dxa"/>
          <w:right w:w="0" w:type="dxa"/>
        </w:tblCellMar>
      </w:tblPr>
      <w:tblGrid>
        <w:gridCol w:w="75"/>
        <w:gridCol w:w="38"/>
      </w:tblGrid>
      <w:tr>
        <w:trPr/>
        <w:tc>
          <w:tcPr>
            <w:tcW w:w="75"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(1) </w:t>
            </w:r>
          </w:p>
        </w:tc>
        <w:tc>
          <w:tcPr>
            <w:tcW w:w="9949" w:type="dxa"/>
            <w:tcBorders/>
            <w:vAlign w:val="center"/>
          </w:tcPr>
          <w:p>
            <w:pPr>
              <w:pStyle w:val="TableContents"/>
              <w:bidi w:val="0"/>
              <w:spacing w:before="0" w:after="0"/>
              <w:jc w:val="both"/>
              <w:rPr>
                <w:rFonts w:ascii="arial" w:hAnsi="arial"/>
                <w:sz w:val="16"/>
              </w:rPr>
            </w:pPr>
            <w:r>
              <w:rPr>
                <w:rFonts w:ascii="arial" w:hAnsi="arial"/>
                <w:sz w:val="16"/>
              </w:rPr>
              <w:t xml:space="preserve">Our clawback policy is available on our website at </w:t>
            </w:r>
            <w:r>
              <w:rPr>
                <w:rFonts w:ascii="arial" w:hAnsi="arial"/>
                <w:i/>
                <w:color w:val="0171B9"/>
                <w:sz w:val="16"/>
              </w:rPr>
              <w:t>https://wwwext.amgen.com/about/how-we-operate/corporate-governance/amgen-policy-on-recovery-of-erroneously-awarded-compensation</w:t>
            </w:r>
            <w:r>
              <w:rPr>
                <w:rFonts w:ascii="arial" w:hAnsi="arial"/>
                <w:sz w:val="16"/>
              </w:rPr>
              <w:t xml:space="preserve"> and filed in our Form 10-K for the year ended December 31, 2023. Reference to our website is not intended to function as a hyperlink and the information contained on our website is not intended to be part of this proxy statement. </w:t>
            </w:r>
          </w:p>
        </w:tc>
      </w:tr>
    </w:tbl>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pPr>
            <w:r>
              <w:rPr/>
              <w:t>(2) </w:t>
            </w:r>
          </w:p>
        </w:tc>
        <w:tc>
          <w:tcPr>
            <w:tcW w:w="9917" w:type="dxa"/>
            <w:tcBorders/>
            <w:vAlign w:val="center"/>
          </w:tcPr>
          <w:p>
            <w:pPr>
              <w:pStyle w:val="TableContents"/>
              <w:bidi w:val="0"/>
              <w:spacing w:before="0" w:after="0"/>
              <w:jc w:val="both"/>
              <w:rPr>
                <w:rFonts w:ascii="arial" w:hAnsi="arial"/>
                <w:sz w:val="16"/>
              </w:rPr>
            </w:pPr>
            <w:r>
              <w:rPr>
                <w:rFonts w:ascii="arial" w:hAnsi="arial"/>
                <w:sz w:val="16"/>
              </w:rPr>
              <w:t xml:space="preserve">Includes accounting restatement correcting error (a) due to material noncompliance with financial reporting requirements that is material to previously issued financial restatements, or (b) that would result in a material misstatement if the error were corrected in the current period or left uncorrected. </w:t>
            </w:r>
          </w:p>
        </w:tc>
      </w:tr>
    </w:tbl>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288"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140" descr=""/>
                    <pic:cNvPicPr>
                      <a:picLocks noChangeAspect="1" noChangeArrowheads="1"/>
                    </pic:cNvPicPr>
                  </pic:nvPicPr>
                  <pic:blipFill>
                    <a:blip r:embed="rId153"/>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77</w:t>
      </w:r>
      <w:r>
        <w:rPr>
          <w:rFonts w:ascii="arial" w:hAnsi="arial"/>
          <w:b/>
          <w:sz w:val="22"/>
        </w:rPr>
        <w:t xml:space="preserve"> </w:t>
      </w:r>
      <w:r>
        <w:br w:type="page"/>
      </w:r>
    </w:p>
    <w:p>
      <w:pPr>
        <w:pStyle w:val="HorizontalLine"/>
        <w:bidi w:val="0"/>
        <w:jc w:val="left"/>
        <w:rPr/>
      </w:pPr>
      <w:r>
        <w:rPr/>
      </w:r>
    </w:p>
    <w:tbl>
      <w:tblPr>
        <w:tblW w:w="507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45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459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Compensation Discussion and Analysis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74">
                <wp:simplePos x="0" y="0"/>
                <wp:positionH relativeFrom="column">
                  <wp:align>left</wp:align>
                </wp:positionH>
                <wp:positionV relativeFrom="line">
                  <wp:posOffset>635</wp:posOffset>
                </wp:positionV>
                <wp:extent cx="3110230" cy="3926840"/>
                <wp:effectExtent l="0" t="0" r="0" b="0"/>
                <wp:wrapSquare wrapText="right"/>
                <wp:docPr id="289" name="Frame137"/>
                <a:graphic xmlns:a="http://schemas.openxmlformats.org/drawingml/2006/main">
                  <a:graphicData uri="http://schemas.microsoft.com/office/word/2010/wordprocessingShape">
                    <wps:wsp>
                      <wps:cNvSpPr txBox="1"/>
                      <wps:spPr>
                        <a:xfrm>
                          <a:off x="0" y="0"/>
                          <a:ext cx="3110230" cy="392684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mechanisms, the Compensation Committee adopted an executive officer equity recoupment policy that provides the Compensation Committee with the ability to cause the forfeiture and cancellation of unvested equity awards and any unexercised portion of stock options (granted after December 31, 2020) in the event an executive officer is terminated for engaging in misconduct that caused serious financial or reputational damage to the Company (including, but not limited to, a financial restatement). If an executive officer is subject to an investigation potentially implicating conduct that could result, or may have resulted, in serious financial or reputational damage to the Company, the Company may freeze access to any unvested equity awards regardless of grant date and any vested but unexercised stock options granted after December 31, 2020, during the investigation, and such unvested equity awards and unexercised stock options may ultimately be subject to forfeiture and cancellation. </w:t>
                            </w:r>
                          </w:p>
                          <w:p>
                            <w:pPr>
                              <w:pStyle w:val="TextBody"/>
                              <w:bidi w:val="0"/>
                              <w:spacing w:before="240" w:after="0"/>
                              <w:jc w:val="both"/>
                              <w:rPr>
                                <w:rFonts w:ascii="arial" w:hAnsi="arial"/>
                                <w:sz w:val="19"/>
                              </w:rPr>
                            </w:pPr>
                            <w:r>
                              <w:rPr>
                                <w:rFonts w:ascii="arial" w:hAnsi="arial"/>
                                <w:i/>
                                <w:color w:val="0171B9"/>
                                <w:sz w:val="19"/>
                              </w:rPr>
                              <w:t xml:space="preserve">Cash Incentive Award Recoupment. </w:t>
                            </w:r>
                            <w:r>
                              <w:rPr>
                                <w:rFonts w:ascii="arial" w:hAnsi="arial"/>
                                <w:sz w:val="19"/>
                              </w:rPr>
                              <w:t xml:space="preserve">Our cash incentive award programs (EIP, GMIP, and GPIP) expressly allow the Compensation Committee, or management, as appropriate, to consider employee misconduct that caused serious financial or reputational damage to the Company when determining whether an employee has earned an annual cash incentive award or the amount of any such award. </w:t>
                            </w:r>
                          </w:p>
                          <w:p>
                            <w:pPr>
                              <w:pStyle w:val="TextBody"/>
                              <w:bidi w:val="0"/>
                              <w:spacing w:before="0" w:after="0"/>
                              <w:jc w:val="left"/>
                              <w:rPr/>
                            </w:pPr>
                            <w:r>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09.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mechanisms, the Compensation Committee adopted an executive officer equity recoupment policy that provides the Compensation Committee with the ability to cause the forfeiture and cancellation of unvested equity awards and any unexercised portion of stock options (granted after December 31, 2020) in the event an executive officer is terminated for engaging in misconduct that caused serious financial or reputational damage to the Company (including, but not limited to, a financial restatement). If an executive officer is subject to an investigation potentially implicating conduct that could result, or may have resulted, in serious financial or reputational damage to the Company, the Company may freeze access to any unvested equity awards regardless of grant date and any vested but unexercised stock options granted after December 31, 2020, during the investigation, and such unvested equity awards and unexercised stock options may ultimately be subject to forfeiture and cancellation. </w:t>
                      </w:r>
                    </w:p>
                    <w:p>
                      <w:pPr>
                        <w:pStyle w:val="TextBody"/>
                        <w:bidi w:val="0"/>
                        <w:spacing w:before="240" w:after="0"/>
                        <w:jc w:val="both"/>
                        <w:rPr>
                          <w:rFonts w:ascii="arial" w:hAnsi="arial"/>
                          <w:sz w:val="19"/>
                        </w:rPr>
                      </w:pPr>
                      <w:r>
                        <w:rPr>
                          <w:rFonts w:ascii="arial" w:hAnsi="arial"/>
                          <w:i/>
                          <w:color w:val="0171B9"/>
                          <w:sz w:val="19"/>
                        </w:rPr>
                        <w:t xml:space="preserve">Cash Incentive Award Recoupment. </w:t>
                      </w:r>
                      <w:r>
                        <w:rPr>
                          <w:rFonts w:ascii="arial" w:hAnsi="arial"/>
                          <w:sz w:val="19"/>
                        </w:rPr>
                        <w:t xml:space="preserve">Our cash incentive award programs (EIP, GMIP, and GPIP) expressly allow the Compensation Committee, or management, as appropriate, to consider employee misconduct that caused serious financial or reputational damage to the Company when determining whether an employee has earned an annual cash incentive award or the amount of any such award. </w:t>
                      </w:r>
                    </w:p>
                    <w:p>
                      <w:pPr>
                        <w:pStyle w:val="TextBody"/>
                        <w:bidi w:val="0"/>
                        <w:spacing w:before="0" w:after="0"/>
                        <w:jc w:val="left"/>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375">
                <wp:simplePos x="0" y="0"/>
                <wp:positionH relativeFrom="column">
                  <wp:align>left</wp:align>
                </wp:positionH>
                <wp:positionV relativeFrom="line">
                  <wp:posOffset>635</wp:posOffset>
                </wp:positionV>
                <wp:extent cx="3175000" cy="3864610"/>
                <wp:effectExtent l="0" t="0" r="0" b="0"/>
                <wp:wrapSquare wrapText="right"/>
                <wp:docPr id="290" name="Frame138"/>
                <a:graphic xmlns:a="http://schemas.openxmlformats.org/drawingml/2006/main">
                  <a:graphicData uri="http://schemas.microsoft.com/office/word/2010/wordprocessingShape">
                    <wps:wsp>
                      <wps:cNvSpPr txBox="1"/>
                      <wps:spPr>
                        <a:xfrm>
                          <a:off x="0" y="0"/>
                          <a:ext cx="3175000" cy="3864610"/>
                        </a:xfrm>
                        <a:prstGeom prst="rect"/>
                        <a:solidFill>
                          <a:srgbClr val="FFFFFF"/>
                        </a:solidFill>
                      </wps:spPr>
                      <wps:txbx>
                        <w:txbxContent>
                          <w:p>
                            <w:pPr>
                              <w:pStyle w:val="TextBody"/>
                              <w:bidi w:val="0"/>
                              <w:spacing w:before="0" w:after="0"/>
                              <w:jc w:val="both"/>
                              <w:rPr>
                                <w:rFonts w:ascii="arial" w:hAnsi="arial"/>
                                <w:sz w:val="19"/>
                              </w:rPr>
                            </w:pPr>
                            <w:r>
                              <w:rPr>
                                <w:rFonts w:ascii="arial" w:hAnsi="arial"/>
                                <w:i/>
                                <w:color w:val="0171B9"/>
                                <w:sz w:val="19"/>
                              </w:rPr>
                              <w:t>Disclosure.</w:t>
                            </w:r>
                            <w:r>
                              <w:rPr>
                                <w:rFonts w:ascii="arial" w:hAnsi="arial"/>
                                <w:color w:val="0171B9"/>
                                <w:sz w:val="19"/>
                              </w:rPr>
                              <w:t xml:space="preserve"> </w:t>
                            </w:r>
                            <w:r>
                              <w:rPr>
                                <w:rFonts w:ascii="arial" w:hAnsi="arial"/>
                                <w:sz w:val="19"/>
                              </w:rPr>
                              <w:t xml:space="preserve">Subject to our clawback and recoupment policies and provisions, we intend to disclose the general circumstances of any application of our clawback or recoupment policies and provisions against any executive officer (current or former) and the aggregate amount of compensation recovered. These provisions and policies do not limit any other action that the Company could take against an employee, including other disciplinary actions (including termination), ordinary course performance considerations, disclosure of wrongdoing to the government, and pursuit of any other legal claims against such employees. </w:t>
                            </w:r>
                          </w:p>
                          <w:p>
                            <w:pPr>
                              <w:pStyle w:val="TextBody"/>
                              <w:bidi w:val="0"/>
                              <w:spacing w:before="240" w:after="0"/>
                              <w:jc w:val="left"/>
                              <w:rPr>
                                <w:rFonts w:ascii="arial" w:hAnsi="arial"/>
                                <w:b/>
                                <w:sz w:val="24"/>
                              </w:rPr>
                            </w:pPr>
                            <w:r>
                              <w:rPr>
                                <w:rFonts w:ascii="arial" w:hAnsi="arial"/>
                                <w:b/>
                                <w:sz w:val="24"/>
                              </w:rPr>
                              <w:t xml:space="preserve">Stock Ownership and Retention Guidelines </w:t>
                            </w:r>
                          </w:p>
                          <w:p>
                            <w:pPr>
                              <w:pStyle w:val="TextBody"/>
                              <w:bidi w:val="0"/>
                              <w:spacing w:before="120" w:after="0"/>
                              <w:jc w:val="both"/>
                              <w:rPr>
                                <w:rFonts w:ascii="arial" w:hAnsi="arial"/>
                                <w:sz w:val="19"/>
                              </w:rPr>
                            </w:pPr>
                            <w:r>
                              <w:rPr>
                                <w:rFonts w:ascii="arial" w:hAnsi="arial"/>
                                <w:sz w:val="19"/>
                              </w:rPr>
                              <w:t xml:space="preserve">Our stock ownership guidelines require our executives to hold a meaningful amount of our Common Stock which promotes a long-term perspective in managing the Company, further aligning the interests of our executives and stockholders and mitigating potential compensation-related risk. Our guidelines require that each officer who has not met their ownership requirements must retain shares of our Common Stock acquired through the vesting of RSUs, the payout of performance units, and the exercise of stock options awarded (net of shares retained by us to satisfy associated tax withholding requirements and exercise price amounts) until such officer has reached his or her required stock ownership level.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04.3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i/>
                          <w:color w:val="0171B9"/>
                          <w:sz w:val="19"/>
                        </w:rPr>
                        <w:t>Disclosure.</w:t>
                      </w:r>
                      <w:r>
                        <w:rPr>
                          <w:rFonts w:ascii="arial" w:hAnsi="arial"/>
                          <w:color w:val="0171B9"/>
                          <w:sz w:val="19"/>
                        </w:rPr>
                        <w:t xml:space="preserve"> </w:t>
                      </w:r>
                      <w:r>
                        <w:rPr>
                          <w:rFonts w:ascii="arial" w:hAnsi="arial"/>
                          <w:sz w:val="19"/>
                        </w:rPr>
                        <w:t xml:space="preserve">Subject to our clawback and recoupment policies and provisions, we intend to disclose the general circumstances of any application of our clawback or recoupment policies and provisions against any executive officer (current or former) and the aggregate amount of compensation recovered. These provisions and policies do not limit any other action that the Company could take against an employee, including other disciplinary actions (including termination), ordinary course performance considerations, disclosure of wrongdoing to the government, and pursuit of any other legal claims against such employees. </w:t>
                      </w:r>
                    </w:p>
                    <w:p>
                      <w:pPr>
                        <w:pStyle w:val="TextBody"/>
                        <w:bidi w:val="0"/>
                        <w:spacing w:before="240" w:after="0"/>
                        <w:jc w:val="left"/>
                        <w:rPr>
                          <w:rFonts w:ascii="arial" w:hAnsi="arial"/>
                          <w:b/>
                          <w:sz w:val="24"/>
                        </w:rPr>
                      </w:pPr>
                      <w:r>
                        <w:rPr>
                          <w:rFonts w:ascii="arial" w:hAnsi="arial"/>
                          <w:b/>
                          <w:sz w:val="24"/>
                        </w:rPr>
                        <w:t xml:space="preserve">Stock Ownership and Retention Guidelines </w:t>
                      </w:r>
                    </w:p>
                    <w:p>
                      <w:pPr>
                        <w:pStyle w:val="TextBody"/>
                        <w:bidi w:val="0"/>
                        <w:spacing w:before="120" w:after="0"/>
                        <w:jc w:val="both"/>
                        <w:rPr>
                          <w:rFonts w:ascii="arial" w:hAnsi="arial"/>
                          <w:sz w:val="19"/>
                        </w:rPr>
                      </w:pPr>
                      <w:r>
                        <w:rPr>
                          <w:rFonts w:ascii="arial" w:hAnsi="arial"/>
                          <w:sz w:val="19"/>
                        </w:rPr>
                        <w:t xml:space="preserve">Our stock ownership guidelines require our executives to hold a meaningful amount of our Common Stock which promotes a long-term perspective in managing the Company, further aligning the interests of our executives and stockholders and mitigating potential compensation-related risk. Our guidelines require that each officer who has not met their ownership requirements must retain shares of our Common Stock acquired through the vesting of RSUs, the payout of performance units, and the exercise of stock options awarded (net of shares retained by us to satisfy associated tax withholding requirements and exercise price amounts) until such officer has reached his or her required stock ownership level.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b/>
          <w:color w:val="0171B9"/>
          <w:sz w:val="22"/>
        </w:rPr>
      </w:pPr>
      <w:r>
        <w:rPr>
          <w:rFonts w:ascii="arial" w:hAnsi="arial"/>
          <w:b/>
          <w:color w:val="0171B9"/>
          <w:sz w:val="22"/>
        </w:rPr>
        <w:t xml:space="preserve">Stock Ownership Guidelines Requirements </w:t>
      </w:r>
    </w:p>
    <w:p>
      <w:pPr>
        <w:pStyle w:val="TextBody"/>
        <w:bidi w:val="0"/>
        <w:spacing w:before="120" w:after="0"/>
        <w:jc w:val="both"/>
        <w:rPr>
          <w:rFonts w:ascii="arial" w:hAnsi="arial"/>
          <w:sz w:val="19"/>
        </w:rPr>
      </w:pPr>
      <w:r>
        <w:rPr>
          <w:rFonts w:ascii="arial" w:hAnsi="arial"/>
          <w:sz w:val="19"/>
        </w:rPr>
        <w:t xml:space="preserve">Our stock ownership guidelines are set forth in the table below. All executives currently employed by the Company and subject to stock ownership requirements were in compliance with their respective stock ownership requirement in 2023.(1) </w:t>
      </w:r>
    </w:p>
    <w:p>
      <w:pPr>
        <w:pStyle w:val="TextBody"/>
        <w:bidi w:val="0"/>
        <w:spacing w:before="0" w:after="0"/>
        <w:jc w:val="left"/>
        <w:rPr/>
      </w:pPr>
      <w:r>
        <w:rPr/>
        <w:t> </w:t>
      </w:r>
    </w:p>
    <w:tbl>
      <w:tblPr>
        <w:tblW w:w="6630" w:type="dxa"/>
        <w:jc w:val="left"/>
        <w:tblInd w:w="0" w:type="dxa"/>
        <w:tblLayout w:type="fixed"/>
        <w:tblCellMar>
          <w:top w:w="0" w:type="dxa"/>
          <w:left w:w="0" w:type="dxa"/>
          <w:bottom w:w="0" w:type="dxa"/>
          <w:right w:w="0" w:type="dxa"/>
        </w:tblCellMar>
      </w:tblPr>
      <w:tblGrid>
        <w:gridCol w:w="2105"/>
        <w:gridCol w:w="120"/>
        <w:gridCol w:w="3020"/>
        <w:gridCol w:w="240"/>
        <w:gridCol w:w="1145"/>
      </w:tblGrid>
      <w:tr>
        <w:trPr/>
        <w:tc>
          <w:tcPr>
            <w:tcW w:w="21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2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2105" w:type="dxa"/>
            <w:tcBorders>
              <w:bottom w:val="single" w:sz="8" w:space="0" w:color="FFFFFF"/>
            </w:tcBorders>
            <w:shd w:fill="0171B9" w:val="clear"/>
            <w:tcMar>
              <w:bottom w:w="28" w:type="dxa"/>
            </w:tcMar>
            <w:vAlign w:val="center"/>
          </w:tcPr>
          <w:p>
            <w:pPr>
              <w:pStyle w:val="TableContents"/>
              <w:bidi w:val="0"/>
              <w:spacing w:lineRule="atLeast" w:line="260" w:before="0" w:after="0"/>
              <w:jc w:val="left"/>
              <w:rPr>
                <w:rFonts w:ascii="arial" w:hAnsi="arial"/>
                <w:b/>
                <w:color w:val="FFFFFF"/>
                <w:sz w:val="18"/>
              </w:rPr>
            </w:pPr>
            <w:r>
              <w:rPr>
                <w:rFonts w:ascii="arial" w:hAnsi="arial"/>
                <w:b/>
                <w:color w:val="FFFFFF"/>
                <w:sz w:val="18"/>
              </w:rPr>
              <w:t>Position</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3020" w:type="dxa"/>
            <w:tcBorders>
              <w:bottom w:val="single" w:sz="8" w:space="0" w:color="FFFFFF"/>
            </w:tcBorders>
            <w:shd w:fill="0171B9" w:val="clear"/>
            <w:tcMar>
              <w:bottom w:w="28" w:type="dxa"/>
            </w:tcMar>
            <w:vAlign w:val="center"/>
          </w:tcPr>
          <w:p>
            <w:pPr>
              <w:pStyle w:val="TableContents"/>
              <w:bidi w:val="0"/>
              <w:spacing w:lineRule="atLeast" w:line="260" w:before="0" w:after="0"/>
              <w:jc w:val="right"/>
              <w:rPr>
                <w:rFonts w:ascii="arial" w:hAnsi="arial"/>
                <w:b/>
                <w:color w:val="FFFFFF"/>
                <w:sz w:val="18"/>
              </w:rPr>
            </w:pPr>
            <w:r>
              <w:rPr>
                <w:rFonts w:ascii="arial" w:hAnsi="arial"/>
                <w:b/>
                <w:color w:val="FFFFFF"/>
                <w:sz w:val="18"/>
              </w:rPr>
              <w:t>Stock Ownership Requirement   </w:t>
            </w:r>
          </w:p>
        </w:tc>
        <w:tc>
          <w:tcPr>
            <w:tcW w:w="24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145" w:type="dxa"/>
            <w:tcBorders>
              <w:bottom w:val="single" w:sz="8" w:space="0" w:color="FFFFFF"/>
            </w:tcBorders>
            <w:shd w:fill="0171B9" w:val="clear"/>
            <w:tcMar>
              <w:bottom w:w="28" w:type="dxa"/>
            </w:tcMar>
            <w:vAlign w:val="center"/>
          </w:tcPr>
          <w:p>
            <w:pPr>
              <w:pStyle w:val="TableContents"/>
              <w:bidi w:val="0"/>
              <w:spacing w:lineRule="atLeast" w:line="260" w:before="0" w:after="0"/>
              <w:jc w:val="right"/>
              <w:rPr>
                <w:rFonts w:ascii="arial" w:hAnsi="arial"/>
                <w:b/>
                <w:color w:val="FFFFFF"/>
                <w:sz w:val="18"/>
              </w:rPr>
            </w:pPr>
            <w:r>
              <w:rPr>
                <w:rFonts w:ascii="arial" w:hAnsi="arial"/>
                <w:b/>
                <w:color w:val="FFFFFF"/>
                <w:sz w:val="18"/>
              </w:rPr>
              <w:t>Compliance </w:t>
            </w:r>
          </w:p>
        </w:tc>
      </w:tr>
      <w:tr>
        <w:trPr/>
        <w:tc>
          <w:tcPr>
            <w:tcW w:w="2105" w:type="dxa"/>
            <w:tcBorders/>
            <w:shd w:fill="CCE2F1" w:val="clear"/>
            <w:vAlign w:val="center"/>
          </w:tcPr>
          <w:p>
            <w:pPr>
              <w:pStyle w:val="TableContents"/>
              <w:bidi w:val="0"/>
              <w:spacing w:lineRule="atLeast" w:line="220" w:before="0" w:after="0"/>
              <w:jc w:val="left"/>
              <w:rPr>
                <w:rFonts w:ascii="arial" w:hAnsi="arial"/>
                <w:sz w:val="18"/>
              </w:rPr>
            </w:pPr>
            <w:r>
              <w:rPr>
                <w:rFonts w:ascii="arial" w:hAnsi="arial"/>
                <w:sz w:val="18"/>
              </w:rPr>
              <w:t>Chief Executive Officer(2)</w:t>
            </w:r>
          </w:p>
        </w:tc>
        <w:tc>
          <w:tcPr>
            <w:tcW w:w="120" w:type="dxa"/>
            <w:tcBorders/>
            <w:shd w:fill="CCE2F1" w:val="clear"/>
            <w:vAlign w:val="center"/>
          </w:tcPr>
          <w:p>
            <w:pPr>
              <w:pStyle w:val="TableContents"/>
              <w:bidi w:val="0"/>
              <w:spacing w:before="0" w:after="283"/>
              <w:jc w:val="left"/>
              <w:rPr/>
            </w:pPr>
            <w:r>
              <w:rPr/>
              <w:t>  </w:t>
            </w:r>
          </w:p>
        </w:tc>
        <w:tc>
          <w:tcPr>
            <w:tcW w:w="3020" w:type="dxa"/>
            <w:tcBorders/>
            <w:shd w:fill="CCE2F1" w:val="clear"/>
            <w:vAlign w:val="center"/>
          </w:tcPr>
          <w:p>
            <w:pPr>
              <w:pStyle w:val="TableContents"/>
              <w:bidi w:val="0"/>
              <w:spacing w:lineRule="atLeast" w:line="280" w:before="0" w:after="0"/>
              <w:jc w:val="right"/>
              <w:rPr>
                <w:rFonts w:ascii="arial" w:hAnsi="arial"/>
                <w:sz w:val="18"/>
              </w:rPr>
            </w:pPr>
            <w:r>
              <w:rPr>
                <w:rFonts w:ascii="arial" w:hAnsi="arial"/>
                <w:sz w:val="18"/>
              </w:rPr>
              <w:t>6x base salary   </w:t>
            </w:r>
          </w:p>
        </w:tc>
        <w:tc>
          <w:tcPr>
            <w:tcW w:w="240" w:type="dxa"/>
            <w:tcBorders/>
            <w:shd w:fill="CCE2F1" w:val="clear"/>
            <w:vAlign w:val="center"/>
          </w:tcPr>
          <w:p>
            <w:pPr>
              <w:pStyle w:val="TableContents"/>
              <w:bidi w:val="0"/>
              <w:spacing w:before="0" w:after="283"/>
              <w:jc w:val="left"/>
              <w:rPr/>
            </w:pPr>
            <w:r>
              <w:rPr/>
              <w:t>    </w:t>
            </w:r>
          </w:p>
        </w:tc>
        <w:tc>
          <w:tcPr>
            <w:tcW w:w="1145" w:type="dxa"/>
            <w:tcBorders/>
            <w:shd w:fill="CCE2F1" w:val="clear"/>
            <w:vAlign w:val="center"/>
          </w:tcPr>
          <w:p>
            <w:pPr>
              <w:pStyle w:val="TableContents"/>
              <w:bidi w:val="0"/>
              <w:spacing w:lineRule="atLeast" w:line="280" w:before="0" w:after="0"/>
              <w:jc w:val="right"/>
              <w:rPr/>
            </w:pPr>
            <w:r>
              <w:rPr/>
              <w:t>✓ </w:t>
            </w:r>
          </w:p>
        </w:tc>
      </w:tr>
      <w:tr>
        <w:trPr/>
        <w:tc>
          <w:tcPr>
            <w:tcW w:w="2105" w:type="dxa"/>
            <w:tcBorders/>
            <w:vAlign w:val="center"/>
          </w:tcPr>
          <w:p>
            <w:pPr>
              <w:pStyle w:val="TableContents"/>
              <w:bidi w:val="0"/>
              <w:spacing w:lineRule="atLeast" w:line="280" w:before="0" w:after="0"/>
              <w:jc w:val="left"/>
              <w:rPr>
                <w:rFonts w:ascii="arial" w:hAnsi="arial"/>
                <w:sz w:val="18"/>
              </w:rPr>
            </w:pPr>
            <w:r>
              <w:rPr>
                <w:rFonts w:ascii="arial" w:hAnsi="arial"/>
                <w:sz w:val="18"/>
              </w:rPr>
              <w:t>Executive Vice President</w:t>
            </w:r>
          </w:p>
        </w:tc>
        <w:tc>
          <w:tcPr>
            <w:tcW w:w="12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lineRule="atLeast" w:line="280" w:before="0" w:after="0"/>
              <w:jc w:val="right"/>
              <w:rPr>
                <w:rFonts w:ascii="arial" w:hAnsi="arial"/>
                <w:sz w:val="18"/>
              </w:rPr>
            </w:pPr>
            <w:r>
              <w:rPr>
                <w:rFonts w:ascii="arial" w:hAnsi="arial"/>
                <w:sz w:val="18"/>
              </w:rPr>
              <w:t>3x base salary   </w:t>
            </w:r>
          </w:p>
        </w:tc>
        <w:tc>
          <w:tcPr>
            <w:tcW w:w="24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lineRule="atLeast" w:line="280" w:before="0" w:after="0"/>
              <w:jc w:val="right"/>
              <w:rPr/>
            </w:pPr>
            <w:r>
              <w:rPr/>
              <w:t>✓ </w:t>
            </w:r>
          </w:p>
        </w:tc>
      </w:tr>
      <w:tr>
        <w:trPr/>
        <w:tc>
          <w:tcPr>
            <w:tcW w:w="2105" w:type="dxa"/>
            <w:tcBorders/>
            <w:shd w:fill="CCE2F1" w:val="clear"/>
            <w:vAlign w:val="center"/>
          </w:tcPr>
          <w:p>
            <w:pPr>
              <w:pStyle w:val="TableContents"/>
              <w:bidi w:val="0"/>
              <w:spacing w:lineRule="atLeast" w:line="280" w:before="0" w:after="0"/>
              <w:jc w:val="left"/>
              <w:rPr>
                <w:rFonts w:ascii="arial" w:hAnsi="arial"/>
                <w:sz w:val="18"/>
              </w:rPr>
            </w:pPr>
            <w:r>
              <w:rPr>
                <w:rFonts w:ascii="arial" w:hAnsi="arial"/>
                <w:sz w:val="18"/>
              </w:rPr>
              <w:t>Senior Vice President</w:t>
            </w:r>
          </w:p>
        </w:tc>
        <w:tc>
          <w:tcPr>
            <w:tcW w:w="120" w:type="dxa"/>
            <w:tcBorders/>
            <w:shd w:fill="CCE2F1" w:val="clear"/>
            <w:vAlign w:val="center"/>
          </w:tcPr>
          <w:p>
            <w:pPr>
              <w:pStyle w:val="TableContents"/>
              <w:bidi w:val="0"/>
              <w:spacing w:before="0" w:after="283"/>
              <w:jc w:val="left"/>
              <w:rPr/>
            </w:pPr>
            <w:r>
              <w:rPr/>
              <w:t>  </w:t>
            </w:r>
          </w:p>
        </w:tc>
        <w:tc>
          <w:tcPr>
            <w:tcW w:w="3020" w:type="dxa"/>
            <w:tcBorders/>
            <w:shd w:fill="CCE2F1" w:val="clear"/>
            <w:vAlign w:val="center"/>
          </w:tcPr>
          <w:p>
            <w:pPr>
              <w:pStyle w:val="TableContents"/>
              <w:bidi w:val="0"/>
              <w:spacing w:lineRule="atLeast" w:line="280" w:before="0" w:after="0"/>
              <w:jc w:val="right"/>
              <w:rPr>
                <w:rFonts w:ascii="arial" w:hAnsi="arial"/>
                <w:sz w:val="18"/>
              </w:rPr>
            </w:pPr>
            <w:r>
              <w:rPr>
                <w:rFonts w:ascii="arial" w:hAnsi="arial"/>
                <w:sz w:val="18"/>
              </w:rPr>
              <w:t>2x base salary   </w:t>
            </w:r>
          </w:p>
        </w:tc>
        <w:tc>
          <w:tcPr>
            <w:tcW w:w="240" w:type="dxa"/>
            <w:tcBorders/>
            <w:shd w:fill="CCE2F1" w:val="clear"/>
            <w:vAlign w:val="center"/>
          </w:tcPr>
          <w:p>
            <w:pPr>
              <w:pStyle w:val="TableContents"/>
              <w:bidi w:val="0"/>
              <w:spacing w:before="0" w:after="283"/>
              <w:jc w:val="left"/>
              <w:rPr/>
            </w:pPr>
            <w:r>
              <w:rPr/>
              <w:t>    </w:t>
            </w:r>
          </w:p>
        </w:tc>
        <w:tc>
          <w:tcPr>
            <w:tcW w:w="1145" w:type="dxa"/>
            <w:tcBorders/>
            <w:shd w:fill="CCE2F1" w:val="clear"/>
            <w:vAlign w:val="center"/>
          </w:tcPr>
          <w:p>
            <w:pPr>
              <w:pStyle w:val="TableContents"/>
              <w:bidi w:val="0"/>
              <w:spacing w:lineRule="atLeast" w:line="280" w:before="0" w:after="0"/>
              <w:jc w:val="right"/>
              <w:rPr/>
            </w:pPr>
            <w:r>
              <w:rPr/>
              <w:t>✓ </w:t>
            </w:r>
          </w:p>
        </w:tc>
      </w:tr>
      <w:tr>
        <w:trPr/>
        <w:tc>
          <w:tcPr>
            <w:tcW w:w="2105" w:type="dxa"/>
            <w:tcBorders>
              <w:bottom w:val="single" w:sz="8" w:space="0" w:color="0171B9"/>
            </w:tcBorders>
            <w:tcMar>
              <w:bottom w:w="28" w:type="dxa"/>
            </w:tcMar>
            <w:vAlign w:val="center"/>
          </w:tcPr>
          <w:p>
            <w:pPr>
              <w:pStyle w:val="TableContents"/>
              <w:bidi w:val="0"/>
              <w:spacing w:lineRule="atLeast" w:line="280" w:before="0" w:after="0"/>
              <w:jc w:val="left"/>
              <w:rPr>
                <w:rFonts w:ascii="arial" w:hAnsi="arial"/>
                <w:sz w:val="18"/>
              </w:rPr>
            </w:pPr>
            <w:r>
              <w:rPr>
                <w:rFonts w:ascii="arial" w:hAnsi="arial"/>
                <w:sz w:val="18"/>
              </w:rPr>
              <w:t>Vice President</w:t>
            </w:r>
          </w:p>
        </w:tc>
        <w:tc>
          <w:tcPr>
            <w:tcW w:w="120" w:type="dxa"/>
            <w:tcBorders>
              <w:bottom w:val="single" w:sz="8" w:space="0" w:color="0171B9"/>
            </w:tcBorders>
            <w:tcMar>
              <w:bottom w:w="28" w:type="dxa"/>
            </w:tcMar>
            <w:vAlign w:val="center"/>
          </w:tcPr>
          <w:p>
            <w:pPr>
              <w:pStyle w:val="TableContents"/>
              <w:bidi w:val="0"/>
              <w:spacing w:before="0" w:after="283"/>
              <w:jc w:val="left"/>
              <w:rPr/>
            </w:pPr>
            <w:r>
              <w:rPr/>
              <w:t>  </w:t>
            </w:r>
          </w:p>
        </w:tc>
        <w:tc>
          <w:tcPr>
            <w:tcW w:w="3020" w:type="dxa"/>
            <w:tcBorders>
              <w:bottom w:val="single" w:sz="8" w:space="0" w:color="0171B9"/>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1x base salary   </w:t>
            </w:r>
          </w:p>
        </w:tc>
        <w:tc>
          <w:tcPr>
            <w:tcW w:w="240" w:type="dxa"/>
            <w:tcBorders>
              <w:bottom w:val="single" w:sz="8" w:space="0" w:color="0171B9"/>
            </w:tcBorders>
            <w:tcMar>
              <w:bottom w:w="28" w:type="dxa"/>
            </w:tcMar>
            <w:vAlign w:val="center"/>
          </w:tcPr>
          <w:p>
            <w:pPr>
              <w:pStyle w:val="TableContents"/>
              <w:bidi w:val="0"/>
              <w:spacing w:before="0" w:after="283"/>
              <w:jc w:val="left"/>
              <w:rPr/>
            </w:pPr>
            <w:r>
              <w:rPr/>
              <w:t>    </w:t>
            </w:r>
          </w:p>
        </w:tc>
        <w:tc>
          <w:tcPr>
            <w:tcW w:w="1145" w:type="dxa"/>
            <w:tcBorders>
              <w:bottom w:val="single" w:sz="8" w:space="0" w:color="0171B9"/>
            </w:tcBorders>
            <w:tcMar>
              <w:bottom w:w="28" w:type="dxa"/>
            </w:tcMar>
            <w:vAlign w:val="center"/>
          </w:tcPr>
          <w:p>
            <w:pPr>
              <w:pStyle w:val="TableContents"/>
              <w:bidi w:val="0"/>
              <w:spacing w:lineRule="atLeast" w:line="280" w:before="0" w:after="0"/>
              <w:jc w:val="right"/>
              <w:rPr/>
            </w:pPr>
            <w:r>
              <w:rPr/>
              <w:t>✓ </w:t>
            </w:r>
          </w:p>
        </w:tc>
      </w:tr>
    </w:tbl>
    <w:p>
      <w:pPr>
        <w:pStyle w:val="TextBody"/>
        <w:bidi w:val="0"/>
        <w:spacing w:before="0" w:after="0"/>
        <w:jc w:val="left"/>
        <w:rPr/>
      </w:pPr>
      <w:r>
        <w:rPr/>
        <w:t> </w:t>
      </w:r>
    </w:p>
    <w:tbl>
      <w:tblPr>
        <w:tblW w:w="5485" w:type="dxa"/>
        <w:jc w:val="left"/>
        <w:tblInd w:w="0" w:type="dxa"/>
        <w:tblLayout w:type="fixed"/>
        <w:tblCellMar>
          <w:top w:w="0" w:type="dxa"/>
          <w:left w:w="0" w:type="dxa"/>
          <w:bottom w:w="0" w:type="dxa"/>
          <w:right w:w="0" w:type="dxa"/>
        </w:tblCellMar>
      </w:tblPr>
      <w:tblGrid>
        <w:gridCol w:w="365"/>
        <w:gridCol w:w="5120"/>
      </w:tblGrid>
      <w:tr>
        <w:trPr/>
        <w:tc>
          <w:tcPr>
            <w:tcW w:w="365" w:type="dxa"/>
            <w:tcBorders/>
            <w:vAlign w:val="center"/>
          </w:tcPr>
          <w:p>
            <w:pPr>
              <w:pStyle w:val="TableContents"/>
              <w:bidi w:val="0"/>
              <w:spacing w:before="0" w:after="283"/>
              <w:jc w:val="left"/>
              <w:rPr/>
            </w:pPr>
            <w:r>
              <w:rPr/>
              <w:t>(1) </w:t>
            </w:r>
          </w:p>
        </w:tc>
        <w:tc>
          <w:tcPr>
            <w:tcW w:w="5120" w:type="dxa"/>
            <w:tcBorders/>
            <w:vAlign w:val="center"/>
          </w:tcPr>
          <w:p>
            <w:pPr>
              <w:pStyle w:val="TableContents"/>
              <w:bidi w:val="0"/>
              <w:spacing w:before="0" w:after="0"/>
              <w:jc w:val="both"/>
              <w:rPr>
                <w:rFonts w:ascii="arial" w:hAnsi="arial"/>
                <w:sz w:val="16"/>
              </w:rPr>
            </w:pPr>
            <w:r>
              <w:rPr>
                <w:rFonts w:ascii="arial" w:hAnsi="arial"/>
                <w:sz w:val="16"/>
              </w:rPr>
              <w:t xml:space="preserve">As of October 13, 2023 (the effective date of executive certifications). </w:t>
            </w:r>
          </w:p>
        </w:tc>
      </w:tr>
    </w:tbl>
    <w:tbl>
      <w:tblPr>
        <w:tblW w:w="10205" w:type="dxa"/>
        <w:jc w:val="left"/>
        <w:tblInd w:w="0" w:type="dxa"/>
        <w:tblLayout w:type="fixed"/>
        <w:tblCellMar>
          <w:top w:w="0" w:type="dxa"/>
          <w:left w:w="0" w:type="dxa"/>
          <w:bottom w:w="0" w:type="dxa"/>
          <w:right w:w="0" w:type="dxa"/>
        </w:tblCellMar>
      </w:tblPr>
      <w:tblGrid>
        <w:gridCol w:w="361"/>
        <w:gridCol w:w="9844"/>
      </w:tblGrid>
      <w:tr>
        <w:trPr/>
        <w:tc>
          <w:tcPr>
            <w:tcW w:w="361" w:type="dxa"/>
            <w:tcBorders/>
            <w:vAlign w:val="center"/>
          </w:tcPr>
          <w:p>
            <w:pPr>
              <w:pStyle w:val="TableContents"/>
              <w:bidi w:val="0"/>
              <w:spacing w:before="0" w:after="283"/>
              <w:jc w:val="left"/>
              <w:rPr/>
            </w:pPr>
            <w:r>
              <w:rPr/>
              <w:t>(2) </w:t>
            </w:r>
          </w:p>
        </w:tc>
        <w:tc>
          <w:tcPr>
            <w:tcW w:w="9844" w:type="dxa"/>
            <w:tcBorders/>
            <w:vAlign w:val="center"/>
          </w:tcPr>
          <w:p>
            <w:pPr>
              <w:pStyle w:val="TableContents"/>
              <w:bidi w:val="0"/>
              <w:spacing w:before="0" w:after="0"/>
              <w:jc w:val="both"/>
              <w:rPr>
                <w:rFonts w:ascii="arial" w:hAnsi="arial"/>
                <w:sz w:val="16"/>
              </w:rPr>
            </w:pPr>
            <w:r>
              <w:rPr>
                <w:rFonts w:ascii="arial" w:hAnsi="arial"/>
                <w:sz w:val="16"/>
              </w:rPr>
              <w:t xml:space="preserve">Mr. Bradway holds more than 96 times his base salary, or more than 16 times his stock ownership requirement as of December 31, 2023. </w:t>
            </w:r>
          </w:p>
        </w:tc>
      </w:tr>
    </w:tbl>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76">
                <wp:simplePos x="0" y="0"/>
                <wp:positionH relativeFrom="column">
                  <wp:align>left</wp:align>
                </wp:positionH>
                <wp:positionV relativeFrom="line">
                  <wp:posOffset>635</wp:posOffset>
                </wp:positionV>
                <wp:extent cx="3110230" cy="2042795"/>
                <wp:effectExtent l="0" t="0" r="0" b="0"/>
                <wp:wrapSquare wrapText="right"/>
                <wp:docPr id="291" name="Frame139"/>
                <a:graphic xmlns:a="http://schemas.openxmlformats.org/drawingml/2006/main">
                  <a:graphicData uri="http://schemas.microsoft.com/office/word/2010/wordprocessingShape">
                    <wps:wsp>
                      <wps:cNvSpPr txBox="1"/>
                      <wps:spPr>
                        <a:xfrm>
                          <a:off x="0" y="0"/>
                          <a:ext cx="3110230" cy="2042795"/>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The following holdings count towards satisfying these stock ownership requirements: </w:t>
                            </w:r>
                          </w:p>
                          <w:p>
                            <w:pPr>
                              <w:pStyle w:val="TextBody"/>
                              <w:bidi w:val="0"/>
                              <w:spacing w:before="0" w:after="0"/>
                              <w:jc w:val="left"/>
                              <w:rPr/>
                            </w:pPr>
                            <w:r>
                              <w:rPr/>
                              <w:t> </w:t>
                            </w:r>
                          </w:p>
                          <w:tbl>
                            <w:tblPr>
                              <w:tblW w:w="8185" w:type="dxa"/>
                              <w:jc w:val="left"/>
                              <w:tblInd w:w="0" w:type="dxa"/>
                              <w:tblLayout w:type="fixed"/>
                              <w:tblCellMar>
                                <w:top w:w="0" w:type="dxa"/>
                                <w:left w:w="0" w:type="dxa"/>
                                <w:bottom w:w="0" w:type="dxa"/>
                                <w:right w:w="0" w:type="dxa"/>
                              </w:tblCellMar>
                            </w:tblPr>
                            <w:tblGrid>
                              <w:gridCol w:w="125"/>
                              <w:gridCol w:w="60"/>
                              <w:gridCol w:w="800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8000" w:type="dxa"/>
                                  <w:tcBorders/>
                                  <w:vAlign w:val="center"/>
                                </w:tcPr>
                                <w:p>
                                  <w:pPr>
                                    <w:pStyle w:val="TableContents"/>
                                    <w:bidi w:val="0"/>
                                    <w:spacing w:before="0" w:after="0"/>
                                    <w:jc w:val="both"/>
                                    <w:rPr>
                                      <w:rFonts w:ascii="arial" w:hAnsi="arial"/>
                                      <w:sz w:val="19"/>
                                    </w:rPr>
                                  </w:pPr>
                                  <w:r>
                                    <w:rPr>
                                      <w:rFonts w:ascii="arial" w:hAnsi="arial"/>
                                      <w:sz w:val="19"/>
                                    </w:rPr>
                                    <w:t xml:space="preserve">Shares of our Common Stock beneficially held that are not subject to forfeiture restrictions; </w:t>
                                  </w:r>
                                </w:p>
                              </w:tc>
                            </w:tr>
                          </w:tbl>
                          <w:p>
                            <w:pPr>
                              <w:pStyle w:val="TextBody"/>
                              <w:bidi w:val="0"/>
                              <w:spacing w:before="0" w:after="0"/>
                              <w:jc w:val="left"/>
                              <w:rPr/>
                            </w:pPr>
                            <w:r>
                              <w:rPr/>
                              <w:t> </w:t>
                            </w:r>
                          </w:p>
                          <w:tbl>
                            <w:tblPr>
                              <w:tblW w:w="9670" w:type="dxa"/>
                              <w:jc w:val="left"/>
                              <w:tblInd w:w="0" w:type="dxa"/>
                              <w:tblLayout w:type="fixed"/>
                              <w:tblCellMar>
                                <w:top w:w="0" w:type="dxa"/>
                                <w:left w:w="0" w:type="dxa"/>
                                <w:bottom w:w="0" w:type="dxa"/>
                                <w:right w:w="0" w:type="dxa"/>
                              </w:tblCellMar>
                            </w:tblPr>
                            <w:tblGrid>
                              <w:gridCol w:w="125"/>
                              <w:gridCol w:w="60"/>
                              <w:gridCol w:w="9485"/>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0"/>
                                    <w:jc w:val="both"/>
                                    <w:rPr>
                                      <w:rFonts w:ascii="arial" w:hAnsi="arial"/>
                                      <w:sz w:val="19"/>
                                    </w:rPr>
                                  </w:pPr>
                                  <w:r>
                                    <w:rPr>
                                      <w:rFonts w:ascii="arial" w:hAnsi="arial"/>
                                      <w:sz w:val="19"/>
                                    </w:rPr>
                                    <w:t xml:space="preserve">Shares of our Common Stock held through a 401(k) plan or other qualified pension or profit-sharing plan; and </w:t>
                                  </w:r>
                                </w:p>
                              </w:tc>
                            </w:tr>
                          </w:tbl>
                          <w:p>
                            <w:pPr>
                              <w:pStyle w:val="TextBody"/>
                              <w:bidi w:val="0"/>
                              <w:spacing w:before="0" w:after="0"/>
                              <w:jc w:val="left"/>
                              <w:rPr/>
                            </w:pPr>
                            <w:r>
                              <w:rPr/>
                              <w:t> </w:t>
                            </w:r>
                          </w:p>
                          <w:tbl>
                            <w:tblPr>
                              <w:tblW w:w="7990" w:type="dxa"/>
                              <w:jc w:val="left"/>
                              <w:tblInd w:w="0" w:type="dxa"/>
                              <w:tblLayout w:type="fixed"/>
                              <w:tblCellMar>
                                <w:top w:w="0" w:type="dxa"/>
                                <w:left w:w="0" w:type="dxa"/>
                                <w:bottom w:w="0" w:type="dxa"/>
                                <w:right w:w="0" w:type="dxa"/>
                              </w:tblCellMar>
                            </w:tblPr>
                            <w:tblGrid>
                              <w:gridCol w:w="125"/>
                              <w:gridCol w:w="60"/>
                              <w:gridCol w:w="7805"/>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7805" w:type="dxa"/>
                                  <w:tcBorders/>
                                  <w:vAlign w:val="center"/>
                                </w:tcPr>
                                <w:p>
                                  <w:pPr>
                                    <w:pStyle w:val="TableContents"/>
                                    <w:bidi w:val="0"/>
                                    <w:spacing w:before="0" w:after="0"/>
                                    <w:jc w:val="both"/>
                                    <w:rPr>
                                      <w:rFonts w:ascii="arial" w:hAnsi="arial"/>
                                      <w:sz w:val="19"/>
                                    </w:rPr>
                                  </w:pPr>
                                  <w:r>
                                    <w:rPr>
                                      <w:rFonts w:ascii="arial" w:hAnsi="arial"/>
                                      <w:sz w:val="19"/>
                                    </w:rPr>
                                    <w:t xml:space="preserve">Shares purchasable with funds then allocated under our Employee Stock Purchase Plan.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60.8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The following holdings count towards satisfying these stock ownership requirements: </w:t>
                      </w:r>
                    </w:p>
                    <w:p>
                      <w:pPr>
                        <w:pStyle w:val="TextBody"/>
                        <w:bidi w:val="0"/>
                        <w:spacing w:before="0" w:after="0"/>
                        <w:jc w:val="left"/>
                        <w:rPr/>
                      </w:pPr>
                      <w:r>
                        <w:rPr/>
                        <w:t> </w:t>
                      </w:r>
                    </w:p>
                    <w:tbl>
                      <w:tblPr>
                        <w:tblW w:w="8185" w:type="dxa"/>
                        <w:jc w:val="left"/>
                        <w:tblInd w:w="0" w:type="dxa"/>
                        <w:tblLayout w:type="fixed"/>
                        <w:tblCellMar>
                          <w:top w:w="0" w:type="dxa"/>
                          <w:left w:w="0" w:type="dxa"/>
                          <w:bottom w:w="0" w:type="dxa"/>
                          <w:right w:w="0" w:type="dxa"/>
                        </w:tblCellMar>
                      </w:tblPr>
                      <w:tblGrid>
                        <w:gridCol w:w="125"/>
                        <w:gridCol w:w="60"/>
                        <w:gridCol w:w="800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8000" w:type="dxa"/>
                            <w:tcBorders/>
                            <w:vAlign w:val="center"/>
                          </w:tcPr>
                          <w:p>
                            <w:pPr>
                              <w:pStyle w:val="TableContents"/>
                              <w:bidi w:val="0"/>
                              <w:spacing w:before="0" w:after="0"/>
                              <w:jc w:val="both"/>
                              <w:rPr>
                                <w:rFonts w:ascii="arial" w:hAnsi="arial"/>
                                <w:sz w:val="19"/>
                              </w:rPr>
                            </w:pPr>
                            <w:r>
                              <w:rPr>
                                <w:rFonts w:ascii="arial" w:hAnsi="arial"/>
                                <w:sz w:val="19"/>
                              </w:rPr>
                              <w:t xml:space="preserve">Shares of our Common Stock beneficially held that are not subject to forfeiture restrictions; </w:t>
                            </w:r>
                          </w:p>
                        </w:tc>
                      </w:tr>
                    </w:tbl>
                    <w:p>
                      <w:pPr>
                        <w:pStyle w:val="TextBody"/>
                        <w:bidi w:val="0"/>
                        <w:spacing w:before="0" w:after="0"/>
                        <w:jc w:val="left"/>
                        <w:rPr/>
                      </w:pPr>
                      <w:r>
                        <w:rPr/>
                        <w:t> </w:t>
                      </w:r>
                    </w:p>
                    <w:tbl>
                      <w:tblPr>
                        <w:tblW w:w="9670" w:type="dxa"/>
                        <w:jc w:val="left"/>
                        <w:tblInd w:w="0" w:type="dxa"/>
                        <w:tblLayout w:type="fixed"/>
                        <w:tblCellMar>
                          <w:top w:w="0" w:type="dxa"/>
                          <w:left w:w="0" w:type="dxa"/>
                          <w:bottom w:w="0" w:type="dxa"/>
                          <w:right w:w="0" w:type="dxa"/>
                        </w:tblCellMar>
                      </w:tblPr>
                      <w:tblGrid>
                        <w:gridCol w:w="125"/>
                        <w:gridCol w:w="60"/>
                        <w:gridCol w:w="9485"/>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0"/>
                              <w:jc w:val="both"/>
                              <w:rPr>
                                <w:rFonts w:ascii="arial" w:hAnsi="arial"/>
                                <w:sz w:val="19"/>
                              </w:rPr>
                            </w:pPr>
                            <w:r>
                              <w:rPr>
                                <w:rFonts w:ascii="arial" w:hAnsi="arial"/>
                                <w:sz w:val="19"/>
                              </w:rPr>
                              <w:t xml:space="preserve">Shares of our Common Stock held through a 401(k) plan or other qualified pension or profit-sharing plan; and </w:t>
                            </w:r>
                          </w:p>
                        </w:tc>
                      </w:tr>
                    </w:tbl>
                    <w:p>
                      <w:pPr>
                        <w:pStyle w:val="TextBody"/>
                        <w:bidi w:val="0"/>
                        <w:spacing w:before="0" w:after="0"/>
                        <w:jc w:val="left"/>
                        <w:rPr/>
                      </w:pPr>
                      <w:r>
                        <w:rPr/>
                        <w:t> </w:t>
                      </w:r>
                    </w:p>
                    <w:tbl>
                      <w:tblPr>
                        <w:tblW w:w="7990" w:type="dxa"/>
                        <w:jc w:val="left"/>
                        <w:tblInd w:w="0" w:type="dxa"/>
                        <w:tblLayout w:type="fixed"/>
                        <w:tblCellMar>
                          <w:top w:w="0" w:type="dxa"/>
                          <w:left w:w="0" w:type="dxa"/>
                          <w:bottom w:w="0" w:type="dxa"/>
                          <w:right w:w="0" w:type="dxa"/>
                        </w:tblCellMar>
                      </w:tblPr>
                      <w:tblGrid>
                        <w:gridCol w:w="125"/>
                        <w:gridCol w:w="60"/>
                        <w:gridCol w:w="7805"/>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7805" w:type="dxa"/>
                            <w:tcBorders/>
                            <w:vAlign w:val="center"/>
                          </w:tcPr>
                          <w:p>
                            <w:pPr>
                              <w:pStyle w:val="TableContents"/>
                              <w:bidi w:val="0"/>
                              <w:spacing w:before="0" w:after="0"/>
                              <w:jc w:val="both"/>
                              <w:rPr>
                                <w:rFonts w:ascii="arial" w:hAnsi="arial"/>
                                <w:sz w:val="19"/>
                              </w:rPr>
                            </w:pPr>
                            <w:r>
                              <w:rPr>
                                <w:rFonts w:ascii="arial" w:hAnsi="arial"/>
                                <w:sz w:val="19"/>
                              </w:rPr>
                              <w:t xml:space="preserve">Shares purchasable with funds then allocated under our Employee Stock Purchase Plan.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77">
                <wp:simplePos x="0" y="0"/>
                <wp:positionH relativeFrom="column">
                  <wp:align>left</wp:align>
                </wp:positionH>
                <wp:positionV relativeFrom="line">
                  <wp:posOffset>635</wp:posOffset>
                </wp:positionV>
                <wp:extent cx="3175000" cy="1384300"/>
                <wp:effectExtent l="0" t="0" r="0" b="0"/>
                <wp:wrapSquare wrapText="right"/>
                <wp:docPr id="292" name="Frame140"/>
                <a:graphic xmlns:a="http://schemas.openxmlformats.org/drawingml/2006/main">
                  <a:graphicData uri="http://schemas.microsoft.com/office/word/2010/wordprocessingShape">
                    <wps:wsp>
                      <wps:cNvSpPr txBox="1"/>
                      <wps:spPr>
                        <a:xfrm>
                          <a:off x="0" y="0"/>
                          <a:ext cx="3175000" cy="138430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Executives are generally given until December 31 of the fifth year following their placement into a given job level to comply with these guidelines. Executives who are promoted to a status with a stock ownership level higher than the executive was previously required to satisfy, have until December 31 of the third year to comply with the new ownership level if the executive has been subject to the stock ownership guidelines for five or more years. Once these ownership guidelines are met, executives are required to maintain such ownership until they change job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09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Executives are generally given until December 31 of the fifth year following their placement into a given job level to comply with these guidelines. Executives who are promoted to a status with a stock ownership level higher than the executive was previously required to satisfy, have until December 31 of the third year to comply with the new ownership level if the executive has been subject to the stock ownership guidelines for five or more years. Once these ownership guidelines are met, executives are required to maintain such ownership until they change job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78  </w:t>
      </w:r>
      <w:r>
        <w:rPr>
          <w:rFonts w:ascii="arial" w:hAnsi="arial"/>
          <w:b/>
          <w:color w:val="474747"/>
          <w:sz w:val="22"/>
        </w:rPr>
        <w:drawing>
          <wp:inline distT="0" distB="0" distL="0" distR="0">
            <wp:extent cx="64770" cy="15240"/>
            <wp:effectExtent l="0" t="0" r="0" b="0"/>
            <wp:docPr id="293"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141" descr=""/>
                    <pic:cNvPicPr>
                      <a:picLocks noChangeAspect="1" noChangeArrowheads="1"/>
                    </pic:cNvPicPr>
                  </pic:nvPicPr>
                  <pic:blipFill>
                    <a:blip r:embed="rId154"/>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507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45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459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Compensation Discussion and Analysis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78">
                <wp:simplePos x="0" y="0"/>
                <wp:positionH relativeFrom="column">
                  <wp:align>left</wp:align>
                </wp:positionH>
                <wp:positionV relativeFrom="line">
                  <wp:posOffset>635</wp:posOffset>
                </wp:positionV>
                <wp:extent cx="3110230" cy="6785610"/>
                <wp:effectExtent l="0" t="0" r="0" b="0"/>
                <wp:wrapSquare wrapText="right"/>
                <wp:docPr id="294" name="Frame141"/>
                <a:graphic xmlns:a="http://schemas.openxmlformats.org/drawingml/2006/main">
                  <a:graphicData uri="http://schemas.microsoft.com/office/word/2010/wordprocessingShape">
                    <wps:wsp>
                      <wps:cNvSpPr txBox="1"/>
                      <wps:spPr>
                        <a:xfrm>
                          <a:off x="0" y="0"/>
                          <a:ext cx="3110230" cy="678561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levels or are no longer employed by us. As of October 13, 2023, the effective date of our executive certifications, all NEOs who were expected to meet such guidelines, were in compliance. </w:t>
                            </w:r>
                          </w:p>
                          <w:p>
                            <w:pPr>
                              <w:pStyle w:val="TextBody"/>
                              <w:bidi w:val="0"/>
                              <w:spacing w:before="240" w:after="0"/>
                              <w:jc w:val="left"/>
                              <w:rPr>
                                <w:rFonts w:ascii="arial" w:hAnsi="arial"/>
                                <w:b/>
                                <w:sz w:val="24"/>
                              </w:rPr>
                            </w:pPr>
                            <w:r>
                              <w:rPr>
                                <w:rFonts w:ascii="arial" w:hAnsi="arial"/>
                                <w:b/>
                                <w:sz w:val="24"/>
                              </w:rPr>
                              <w:t xml:space="preserve">Insider Trading Policy and Practices </w:t>
                            </w:r>
                          </w:p>
                          <w:p>
                            <w:pPr>
                              <w:pStyle w:val="TextBody"/>
                              <w:bidi w:val="0"/>
                              <w:spacing w:before="120" w:after="0"/>
                              <w:jc w:val="both"/>
                              <w:rPr>
                                <w:rFonts w:ascii="arial" w:hAnsi="arial"/>
                                <w:sz w:val="19"/>
                              </w:rPr>
                            </w:pPr>
                            <w:r>
                              <w:rPr>
                                <w:rFonts w:ascii="arial" w:hAnsi="arial"/>
                                <w:sz w:val="19"/>
                              </w:rPr>
                              <w:t xml:space="preserve">All staff members and our Board are prohibited from: (i) buying or selling our Common Stock while aware of any material nonpublic information; (ii) engaging in short sales with respect to our Common Stock; (iii) pledging or purchasing our Common Stock on margin(1); or (iv) entering into any derivative, hedging, or similar transactions with respect to our Common Stock, including any transactions that hedges or offsets, or is designed to hedge or offset, any decrease in the market value of Amgen stock. Examples of prohibited derivative transactions include, but are not limited to, purchases or sales of puts and calls (whether written or purchased or sold), options (whether “covered” or not), forward contracts, including but not limited to prepaid variable forward contracts; put and call “collars” (“European” or “American”), “equity” or “performance” swap or exchange agreements or any similar agreements or arrangements, however denominated, in our securities. </w:t>
                            </w:r>
                          </w:p>
                          <w:p>
                            <w:pPr>
                              <w:pStyle w:val="TextBody"/>
                              <w:bidi w:val="0"/>
                              <w:spacing w:before="240" w:after="0"/>
                              <w:jc w:val="left"/>
                              <w:rPr>
                                <w:rFonts w:ascii="arial" w:hAnsi="arial"/>
                                <w:b/>
                                <w:sz w:val="24"/>
                              </w:rPr>
                            </w:pPr>
                            <w:r>
                              <w:rPr>
                                <w:rFonts w:ascii="arial" w:hAnsi="arial"/>
                                <w:b/>
                                <w:sz w:val="24"/>
                              </w:rPr>
                              <w:t xml:space="preserve">Policies for Grants of Long-Term Incentive Equity Awards </w:t>
                            </w:r>
                          </w:p>
                          <w:p>
                            <w:pPr>
                              <w:pStyle w:val="TextBody"/>
                              <w:bidi w:val="0"/>
                              <w:spacing w:before="120" w:after="0"/>
                              <w:jc w:val="both"/>
                              <w:rPr>
                                <w:rFonts w:ascii="arial" w:hAnsi="arial"/>
                                <w:sz w:val="19"/>
                              </w:rPr>
                            </w:pPr>
                            <w:r>
                              <w:rPr>
                                <w:rFonts w:ascii="arial" w:hAnsi="arial"/>
                                <w:sz w:val="19"/>
                              </w:rPr>
                              <w:t xml:space="preserve">In accordance with our equity awards policy, our regular annual LTI equity award grants are typically approved by the Compensation Committee (for grants of equity awards to Senior Management, including our NEOs) or the Equity Award Committee (for grants to all other staff members) with a grant date that is the date that is two business days after the date of release of our first fiscal quarter earnings. Our NEOs may also receive special equity awards as determined by the Compensation Committee as new hires or for recognition and retention, promotions, or other purposes, but the effective date of such grants is generally also only on the date that is two business days after the date of release of our quarterly or annual earnings after the date of determination by our Compensation Committee. </w:t>
                            </w:r>
                          </w:p>
                          <w:p>
                            <w:pPr>
                              <w:pStyle w:val="TextBody"/>
                              <w:bidi w:val="0"/>
                              <w:spacing w:before="240" w:after="0"/>
                              <w:jc w:val="left"/>
                              <w:rPr>
                                <w:rFonts w:ascii="arial" w:hAnsi="arial"/>
                                <w:b/>
                                <w:sz w:val="24"/>
                              </w:rPr>
                            </w:pPr>
                            <w:r>
                              <w:rPr>
                                <w:rFonts w:ascii="arial" w:hAnsi="arial"/>
                                <w:b/>
                                <w:sz w:val="24"/>
                              </w:rPr>
                              <w:t xml:space="preserve">Tally Sheets </w:t>
                            </w:r>
                          </w:p>
                          <w:p>
                            <w:pPr>
                              <w:pStyle w:val="TextBody"/>
                              <w:bidi w:val="0"/>
                              <w:spacing w:before="120" w:after="0"/>
                              <w:jc w:val="both"/>
                              <w:rPr>
                                <w:rFonts w:ascii="arial" w:hAnsi="arial"/>
                                <w:sz w:val="19"/>
                              </w:rPr>
                            </w:pPr>
                            <w:r>
                              <w:rPr>
                                <w:rFonts w:ascii="arial" w:hAnsi="arial"/>
                                <w:sz w:val="19"/>
                              </w:rPr>
                              <w:t xml:space="preserve">The Compensation Committee annually reviews tally sheets for each NEO, setting forth all components of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34.3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levels or are no longer employed by us. As of October 13, 2023, the effective date of our executive certifications, all NEOs who were expected to meet such guidelines, were in compliance. </w:t>
                      </w:r>
                    </w:p>
                    <w:p>
                      <w:pPr>
                        <w:pStyle w:val="TextBody"/>
                        <w:bidi w:val="0"/>
                        <w:spacing w:before="240" w:after="0"/>
                        <w:jc w:val="left"/>
                        <w:rPr>
                          <w:rFonts w:ascii="arial" w:hAnsi="arial"/>
                          <w:b/>
                          <w:sz w:val="24"/>
                        </w:rPr>
                      </w:pPr>
                      <w:r>
                        <w:rPr>
                          <w:rFonts w:ascii="arial" w:hAnsi="arial"/>
                          <w:b/>
                          <w:sz w:val="24"/>
                        </w:rPr>
                        <w:t xml:space="preserve">Insider Trading Policy and Practices </w:t>
                      </w:r>
                    </w:p>
                    <w:p>
                      <w:pPr>
                        <w:pStyle w:val="TextBody"/>
                        <w:bidi w:val="0"/>
                        <w:spacing w:before="120" w:after="0"/>
                        <w:jc w:val="both"/>
                        <w:rPr>
                          <w:rFonts w:ascii="arial" w:hAnsi="arial"/>
                          <w:sz w:val="19"/>
                        </w:rPr>
                      </w:pPr>
                      <w:r>
                        <w:rPr>
                          <w:rFonts w:ascii="arial" w:hAnsi="arial"/>
                          <w:sz w:val="19"/>
                        </w:rPr>
                        <w:t xml:space="preserve">All staff members and our Board are prohibited from: (i) buying or selling our Common Stock while aware of any material nonpublic information; (ii) engaging in short sales with respect to our Common Stock; (iii) pledging or purchasing our Common Stock on margin(1); or (iv) entering into any derivative, hedging, or similar transactions with respect to our Common Stock, including any transactions that hedges or offsets, or is designed to hedge or offset, any decrease in the market value of Amgen stock. Examples of prohibited derivative transactions include, but are not limited to, purchases or sales of puts and calls (whether written or purchased or sold), options (whether “covered” or not), forward contracts, including but not limited to prepaid variable forward contracts; put and call “collars” (“European” or “American”), “equity” or “performance” swap or exchange agreements or any similar agreements or arrangements, however denominated, in our securities. </w:t>
                      </w:r>
                    </w:p>
                    <w:p>
                      <w:pPr>
                        <w:pStyle w:val="TextBody"/>
                        <w:bidi w:val="0"/>
                        <w:spacing w:before="240" w:after="0"/>
                        <w:jc w:val="left"/>
                        <w:rPr>
                          <w:rFonts w:ascii="arial" w:hAnsi="arial"/>
                          <w:b/>
                          <w:sz w:val="24"/>
                        </w:rPr>
                      </w:pPr>
                      <w:r>
                        <w:rPr>
                          <w:rFonts w:ascii="arial" w:hAnsi="arial"/>
                          <w:b/>
                          <w:sz w:val="24"/>
                        </w:rPr>
                        <w:t xml:space="preserve">Policies for Grants of Long-Term Incentive Equity Awards </w:t>
                      </w:r>
                    </w:p>
                    <w:p>
                      <w:pPr>
                        <w:pStyle w:val="TextBody"/>
                        <w:bidi w:val="0"/>
                        <w:spacing w:before="120" w:after="0"/>
                        <w:jc w:val="both"/>
                        <w:rPr>
                          <w:rFonts w:ascii="arial" w:hAnsi="arial"/>
                          <w:sz w:val="19"/>
                        </w:rPr>
                      </w:pPr>
                      <w:r>
                        <w:rPr>
                          <w:rFonts w:ascii="arial" w:hAnsi="arial"/>
                          <w:sz w:val="19"/>
                        </w:rPr>
                        <w:t xml:space="preserve">In accordance with our equity awards policy, our regular annual LTI equity award grants are typically approved by the Compensation Committee (for grants of equity awards to Senior Management, including our NEOs) or the Equity Award Committee (for grants to all other staff members) with a grant date that is the date that is two business days after the date of release of our first fiscal quarter earnings. Our NEOs may also receive special equity awards as determined by the Compensation Committee as new hires or for recognition and retention, promotions, or other purposes, but the effective date of such grants is generally also only on the date that is two business days after the date of release of our quarterly or annual earnings after the date of determination by our Compensation Committee. </w:t>
                      </w:r>
                    </w:p>
                    <w:p>
                      <w:pPr>
                        <w:pStyle w:val="TextBody"/>
                        <w:bidi w:val="0"/>
                        <w:spacing w:before="240" w:after="0"/>
                        <w:jc w:val="left"/>
                        <w:rPr>
                          <w:rFonts w:ascii="arial" w:hAnsi="arial"/>
                          <w:b/>
                          <w:sz w:val="24"/>
                        </w:rPr>
                      </w:pPr>
                      <w:r>
                        <w:rPr>
                          <w:rFonts w:ascii="arial" w:hAnsi="arial"/>
                          <w:b/>
                          <w:sz w:val="24"/>
                        </w:rPr>
                        <w:t xml:space="preserve">Tally Sheets </w:t>
                      </w:r>
                    </w:p>
                    <w:p>
                      <w:pPr>
                        <w:pStyle w:val="TextBody"/>
                        <w:bidi w:val="0"/>
                        <w:spacing w:before="120" w:after="0"/>
                        <w:jc w:val="both"/>
                        <w:rPr>
                          <w:rFonts w:ascii="arial" w:hAnsi="arial"/>
                          <w:sz w:val="19"/>
                        </w:rPr>
                      </w:pPr>
                      <w:r>
                        <w:rPr>
                          <w:rFonts w:ascii="arial" w:hAnsi="arial"/>
                          <w:sz w:val="19"/>
                        </w:rPr>
                        <w:t xml:space="preserve">The Compensation Committee annually reviews tally sheets for each NEO, setting forth all components of </w:t>
                      </w:r>
                    </w:p>
                  </w:txbxContent>
                </v:textbox>
                <w10:wrap type="square" side="right"/>
              </v:rect>
            </w:pict>
          </mc:Fallback>
        </mc:AlternateContent>
      </w:r>
      <w:r>
        <mc:AlternateContent>
          <mc:Choice Requires="wps">
            <w:drawing>
              <wp:anchor behindDoc="0" distT="0" distB="0" distL="0" distR="0" simplePos="0" locked="0" layoutInCell="1" allowOverlap="1" relativeHeight="379">
                <wp:simplePos x="0" y="0"/>
                <wp:positionH relativeFrom="column">
                  <wp:align>left</wp:align>
                </wp:positionH>
                <wp:positionV relativeFrom="line">
                  <wp:posOffset>635</wp:posOffset>
                </wp:positionV>
                <wp:extent cx="3175000" cy="6596380"/>
                <wp:effectExtent l="0" t="0" r="0" b="0"/>
                <wp:wrapSquare wrapText="right"/>
                <wp:docPr id="295" name="Frame142"/>
                <a:graphic xmlns:a="http://schemas.openxmlformats.org/drawingml/2006/main">
                  <a:graphicData uri="http://schemas.microsoft.com/office/word/2010/wordprocessingShape">
                    <wps:wsp>
                      <wps:cNvSpPr txBox="1"/>
                      <wps:spPr>
                        <a:xfrm>
                          <a:off x="0" y="0"/>
                          <a:ext cx="3175000" cy="659638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compensation, including compensation payable at termination, retirement, or a change of control. These tally sheets summarize the number of shares and the value at a given price of the LTI equity awards held by each NEO, as well as each NEO’s individual cumulative account balances in our benefit plans. These tools are employed by the Compensation Committee as a useful check on total annual compensation and the cumulative impact of our long-term programs and are considered important to understand both the overall and longer-term impact of compensation decisions. </w:t>
                            </w:r>
                          </w:p>
                          <w:p>
                            <w:pPr>
                              <w:pStyle w:val="TextBody"/>
                              <w:bidi w:val="0"/>
                              <w:spacing w:before="120" w:after="0"/>
                              <w:jc w:val="both"/>
                              <w:rPr>
                                <w:rFonts w:ascii="arial" w:hAnsi="arial"/>
                                <w:sz w:val="19"/>
                              </w:rPr>
                            </w:pPr>
                            <w:r>
                              <w:rPr>
                                <w:rFonts w:ascii="arial" w:hAnsi="arial"/>
                                <w:sz w:val="19"/>
                              </w:rPr>
                              <w:t xml:space="preserve">The Compensation Committee may increase or decrease certain individual elements of compensation to align total compensation with peer group market data and to promote internal equity among our NEOs, other than our CEO, and use the information provided by these tally sheets to make such determination. No material adjustments to total compensation for any of our NEOs were made as a result of the review of these tally sheets by the Compensation Committee in 2023. </w:t>
                            </w:r>
                          </w:p>
                          <w:p>
                            <w:pPr>
                              <w:pStyle w:val="TextBody"/>
                              <w:bidi w:val="0"/>
                              <w:spacing w:before="240" w:after="0"/>
                              <w:jc w:val="left"/>
                              <w:rPr>
                                <w:rFonts w:ascii="arial" w:hAnsi="arial"/>
                                <w:b/>
                                <w:sz w:val="24"/>
                              </w:rPr>
                            </w:pPr>
                            <w:r>
                              <w:rPr>
                                <w:rFonts w:ascii="arial" w:hAnsi="arial"/>
                                <w:b/>
                                <w:sz w:val="24"/>
                              </w:rPr>
                              <w:t xml:space="preserve">Stockholder Outreach—Executive Compensation Website </w:t>
                            </w:r>
                          </w:p>
                          <w:p>
                            <w:pPr>
                              <w:pStyle w:val="TextBody"/>
                              <w:bidi w:val="0"/>
                              <w:spacing w:before="120" w:after="0"/>
                              <w:jc w:val="both"/>
                              <w:rPr>
                                <w:rFonts w:ascii="arial" w:hAnsi="arial"/>
                                <w:sz w:val="19"/>
                              </w:rPr>
                            </w:pPr>
                            <w:r>
                              <w:rPr>
                                <w:rFonts w:ascii="arial" w:hAnsi="arial"/>
                                <w:sz w:val="19"/>
                              </w:rPr>
                              <w:t xml:space="preserve">We maintain a website accessible throughout the year at </w:t>
                            </w:r>
                            <w:r>
                              <w:rPr>
                                <w:rFonts w:ascii="arial" w:hAnsi="arial"/>
                                <w:i/>
                                <w:color w:val="0171B9"/>
                                <w:sz w:val="19"/>
                              </w:rPr>
                              <w:t>www.amgen.com/executivecompensation</w:t>
                            </w:r>
                            <w:r>
                              <w:rPr>
                                <w:rFonts w:ascii="arial" w:hAnsi="arial"/>
                                <w:sz w:val="19"/>
                              </w:rPr>
                              <w:t xml:space="preserve">(2) which provides a link to our most recent proxy statement and invites our stockholders to fill out a survey to provide input and feedback to the Compensation Committee regarding our executive compensation policies and practices. All input from our stockholders is valuable and the Compensation Committee reviews your input and appreciates your time and effort in completing the survey. </w:t>
                            </w:r>
                          </w:p>
                          <w:p>
                            <w:pPr>
                              <w:pStyle w:val="TextBody"/>
                              <w:bidi w:val="0"/>
                              <w:spacing w:before="240" w:after="0"/>
                              <w:jc w:val="left"/>
                              <w:rPr>
                                <w:rFonts w:ascii="arial" w:hAnsi="arial"/>
                                <w:b/>
                                <w:sz w:val="24"/>
                              </w:rPr>
                            </w:pPr>
                            <w:r>
                              <w:rPr>
                                <w:rFonts w:ascii="arial" w:hAnsi="arial"/>
                                <w:b/>
                                <w:sz w:val="24"/>
                              </w:rPr>
                              <w:t xml:space="preserve">Approach to Pricing Our Products </w:t>
                            </w:r>
                          </w:p>
                          <w:p>
                            <w:pPr>
                              <w:pStyle w:val="TextBody"/>
                              <w:bidi w:val="0"/>
                              <w:spacing w:before="120" w:after="0"/>
                              <w:jc w:val="both"/>
                              <w:rPr>
                                <w:rFonts w:ascii="arial" w:hAnsi="arial"/>
                                <w:sz w:val="19"/>
                              </w:rPr>
                            </w:pPr>
                            <w:r>
                              <w:rPr>
                                <w:rFonts w:ascii="arial" w:hAnsi="arial"/>
                                <w:sz w:val="19"/>
                              </w:rPr>
                              <w:t xml:space="preserve">We are committed to pricing our products according to the value they deliver and employ flexible pricing approaches to help promote patient access. Our drug pricing governance framework is designed to help ensure that our pricing actions around the globe are legally compliant, financially sound, and aligned with our values and corporate objectives. We have internal processes and controls in place to help ensure that pricing decisions are thoroughly and appropriately vetted prior to implementation with involvement from senior management. This process includes routine presentations to our Corporate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19.4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compensation, including compensation payable at termination, retirement, or a change of control. These tally sheets summarize the number of shares and the value at a given price of the LTI equity awards held by each NEO, as well as each NEO’s individual cumulative account balances in our benefit plans. These tools are employed by the Compensation Committee as a useful check on total annual compensation and the cumulative impact of our long-term programs and are considered important to understand both the overall and longer-term impact of compensation decisions. </w:t>
                      </w:r>
                    </w:p>
                    <w:p>
                      <w:pPr>
                        <w:pStyle w:val="TextBody"/>
                        <w:bidi w:val="0"/>
                        <w:spacing w:before="120" w:after="0"/>
                        <w:jc w:val="both"/>
                        <w:rPr>
                          <w:rFonts w:ascii="arial" w:hAnsi="arial"/>
                          <w:sz w:val="19"/>
                        </w:rPr>
                      </w:pPr>
                      <w:r>
                        <w:rPr>
                          <w:rFonts w:ascii="arial" w:hAnsi="arial"/>
                          <w:sz w:val="19"/>
                        </w:rPr>
                        <w:t xml:space="preserve">The Compensation Committee may increase or decrease certain individual elements of compensation to align total compensation with peer group market data and to promote internal equity among our NEOs, other than our CEO, and use the information provided by these tally sheets to make such determination. No material adjustments to total compensation for any of our NEOs were made as a result of the review of these tally sheets by the Compensation Committee in 2023. </w:t>
                      </w:r>
                    </w:p>
                    <w:p>
                      <w:pPr>
                        <w:pStyle w:val="TextBody"/>
                        <w:bidi w:val="0"/>
                        <w:spacing w:before="240" w:after="0"/>
                        <w:jc w:val="left"/>
                        <w:rPr>
                          <w:rFonts w:ascii="arial" w:hAnsi="arial"/>
                          <w:b/>
                          <w:sz w:val="24"/>
                        </w:rPr>
                      </w:pPr>
                      <w:r>
                        <w:rPr>
                          <w:rFonts w:ascii="arial" w:hAnsi="arial"/>
                          <w:b/>
                          <w:sz w:val="24"/>
                        </w:rPr>
                        <w:t xml:space="preserve">Stockholder Outreach—Executive Compensation Website </w:t>
                      </w:r>
                    </w:p>
                    <w:p>
                      <w:pPr>
                        <w:pStyle w:val="TextBody"/>
                        <w:bidi w:val="0"/>
                        <w:spacing w:before="120" w:after="0"/>
                        <w:jc w:val="both"/>
                        <w:rPr>
                          <w:rFonts w:ascii="arial" w:hAnsi="arial"/>
                          <w:sz w:val="19"/>
                        </w:rPr>
                      </w:pPr>
                      <w:r>
                        <w:rPr>
                          <w:rFonts w:ascii="arial" w:hAnsi="arial"/>
                          <w:sz w:val="19"/>
                        </w:rPr>
                        <w:t xml:space="preserve">We maintain a website accessible throughout the year at </w:t>
                      </w:r>
                      <w:r>
                        <w:rPr>
                          <w:rFonts w:ascii="arial" w:hAnsi="arial"/>
                          <w:i/>
                          <w:color w:val="0171B9"/>
                          <w:sz w:val="19"/>
                        </w:rPr>
                        <w:t>www.amgen.com/executivecompensation</w:t>
                      </w:r>
                      <w:r>
                        <w:rPr>
                          <w:rFonts w:ascii="arial" w:hAnsi="arial"/>
                          <w:sz w:val="19"/>
                        </w:rPr>
                        <w:t xml:space="preserve">(2) which provides a link to our most recent proxy statement and invites our stockholders to fill out a survey to provide input and feedback to the Compensation Committee regarding our executive compensation policies and practices. All input from our stockholders is valuable and the Compensation Committee reviews your input and appreciates your time and effort in completing the survey. </w:t>
                      </w:r>
                    </w:p>
                    <w:p>
                      <w:pPr>
                        <w:pStyle w:val="TextBody"/>
                        <w:bidi w:val="0"/>
                        <w:spacing w:before="240" w:after="0"/>
                        <w:jc w:val="left"/>
                        <w:rPr>
                          <w:rFonts w:ascii="arial" w:hAnsi="arial"/>
                          <w:b/>
                          <w:sz w:val="24"/>
                        </w:rPr>
                      </w:pPr>
                      <w:r>
                        <w:rPr>
                          <w:rFonts w:ascii="arial" w:hAnsi="arial"/>
                          <w:b/>
                          <w:sz w:val="24"/>
                        </w:rPr>
                        <w:t xml:space="preserve">Approach to Pricing Our Products </w:t>
                      </w:r>
                    </w:p>
                    <w:p>
                      <w:pPr>
                        <w:pStyle w:val="TextBody"/>
                        <w:bidi w:val="0"/>
                        <w:spacing w:before="120" w:after="0"/>
                        <w:jc w:val="both"/>
                        <w:rPr>
                          <w:rFonts w:ascii="arial" w:hAnsi="arial"/>
                          <w:sz w:val="19"/>
                        </w:rPr>
                      </w:pPr>
                      <w:r>
                        <w:rPr>
                          <w:rFonts w:ascii="arial" w:hAnsi="arial"/>
                          <w:sz w:val="19"/>
                        </w:rPr>
                        <w:t xml:space="preserve">We are committed to pricing our products according to the value they deliver and employ flexible pricing approaches to help promote patient access. Our drug pricing governance framework is designed to help ensure that our pricing actions around the globe are legally compliant, financially sound, and aligned with our values and corporate objectives. We have internal processes and controls in place to help ensure that pricing decisions are thoroughly and appropriately vetted prior to implementation with involvement from senior management. This process includes routine presentations to our Corporate </w:t>
                      </w:r>
                    </w:p>
                  </w:txbxContent>
                </v:textbox>
                <w10:wrap type="square" side="right"/>
              </v:rect>
            </w:pict>
          </mc:Fallback>
        </mc:AlternateContent>
      </w:r>
    </w:p>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321"/>
        <w:gridCol w:w="9884"/>
      </w:tblGrid>
      <w:tr>
        <w:trPr/>
        <w:tc>
          <w:tcPr>
            <w:tcW w:w="321" w:type="dxa"/>
            <w:tcBorders/>
            <w:vAlign w:val="center"/>
          </w:tcPr>
          <w:p>
            <w:pPr>
              <w:pStyle w:val="TableContents"/>
              <w:bidi w:val="0"/>
              <w:spacing w:before="0" w:after="283"/>
              <w:jc w:val="left"/>
              <w:rPr/>
            </w:pPr>
            <w:r>
              <w:rPr/>
              <w:t>(1) </w:t>
            </w:r>
          </w:p>
        </w:tc>
        <w:tc>
          <w:tcPr>
            <w:tcW w:w="9884" w:type="dxa"/>
            <w:tcBorders/>
            <w:vAlign w:val="center"/>
          </w:tcPr>
          <w:p>
            <w:pPr>
              <w:pStyle w:val="TableContents"/>
              <w:bidi w:val="0"/>
              <w:spacing w:before="0" w:after="0"/>
              <w:jc w:val="both"/>
              <w:rPr>
                <w:rFonts w:ascii="arial" w:hAnsi="arial"/>
                <w:sz w:val="18"/>
              </w:rPr>
            </w:pPr>
            <w:r>
              <w:rPr>
                <w:rFonts w:ascii="arial" w:hAnsi="arial"/>
                <w:sz w:val="18"/>
              </w:rPr>
              <w:t xml:space="preserve">With the exception of the use of a margin account to purchase our common stock in connection with the exercise of Amgen-granted stock options (i.e., “cashless exercises”). </w:t>
            </w:r>
          </w:p>
        </w:tc>
      </w:tr>
    </w:tbl>
    <w:tbl>
      <w:tblPr>
        <w:tblW w:w="10205" w:type="dxa"/>
        <w:jc w:val="left"/>
        <w:tblInd w:w="0" w:type="dxa"/>
        <w:tblLayout w:type="fixed"/>
        <w:tblCellMar>
          <w:top w:w="0" w:type="dxa"/>
          <w:left w:w="0" w:type="dxa"/>
          <w:bottom w:w="0" w:type="dxa"/>
          <w:right w:w="0" w:type="dxa"/>
        </w:tblCellMar>
      </w:tblPr>
      <w:tblGrid>
        <w:gridCol w:w="329"/>
        <w:gridCol w:w="9876"/>
      </w:tblGrid>
      <w:tr>
        <w:trPr/>
        <w:tc>
          <w:tcPr>
            <w:tcW w:w="329" w:type="dxa"/>
            <w:tcBorders/>
            <w:vAlign w:val="center"/>
          </w:tcPr>
          <w:p>
            <w:pPr>
              <w:pStyle w:val="TableContents"/>
              <w:bidi w:val="0"/>
              <w:spacing w:before="0" w:after="283"/>
              <w:jc w:val="left"/>
              <w:rPr/>
            </w:pPr>
            <w:r>
              <w:rPr/>
              <w:t>(2) </w:t>
            </w:r>
          </w:p>
        </w:tc>
        <w:tc>
          <w:tcPr>
            <w:tcW w:w="9876" w:type="dxa"/>
            <w:tcBorders/>
            <w:vAlign w:val="center"/>
          </w:tcPr>
          <w:p>
            <w:pPr>
              <w:pStyle w:val="TableContents"/>
              <w:bidi w:val="0"/>
              <w:spacing w:before="0" w:after="0"/>
              <w:jc w:val="both"/>
              <w:rPr>
                <w:rFonts w:ascii="arial" w:hAnsi="arial"/>
                <w:sz w:val="18"/>
              </w:rPr>
            </w:pPr>
            <w:r>
              <w:rPr>
                <w:rFonts w:ascii="arial" w:hAnsi="arial"/>
                <w:sz w:val="18"/>
              </w:rPr>
              <w:t xml:space="preserve">Reference to our website is not intended to function as a hyperlink and the information contained on our website is not intended to be part of this proxy statement. </w:t>
            </w:r>
          </w:p>
        </w:tc>
      </w:tr>
    </w:tbl>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296"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142" descr=""/>
                    <pic:cNvPicPr>
                      <a:picLocks noChangeAspect="1" noChangeArrowheads="1"/>
                    </pic:cNvPicPr>
                  </pic:nvPicPr>
                  <pic:blipFill>
                    <a:blip r:embed="rId155"/>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79</w:t>
      </w:r>
      <w:r>
        <w:rPr>
          <w:rFonts w:ascii="arial" w:hAnsi="arial"/>
          <w:b/>
          <w:sz w:val="22"/>
        </w:rPr>
        <w:t xml:space="preserve"> </w:t>
      </w:r>
      <w:r>
        <w:br w:type="page"/>
      </w:r>
    </w:p>
    <w:p>
      <w:pPr>
        <w:pStyle w:val="HorizontalLine"/>
        <w:bidi w:val="0"/>
        <w:jc w:val="left"/>
        <w:rPr/>
      </w:pPr>
      <w:r>
        <w:rPr/>
      </w:r>
    </w:p>
    <w:tbl>
      <w:tblPr>
        <w:tblW w:w="507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45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459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Compensation Discussion and Analysis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80">
                <wp:simplePos x="0" y="0"/>
                <wp:positionH relativeFrom="column">
                  <wp:align>left</wp:align>
                </wp:positionH>
                <wp:positionV relativeFrom="line">
                  <wp:posOffset>635</wp:posOffset>
                </wp:positionV>
                <wp:extent cx="3110230" cy="1938020"/>
                <wp:effectExtent l="0" t="0" r="0" b="0"/>
                <wp:wrapSquare wrapText="right"/>
                <wp:docPr id="297" name="Frame143"/>
                <a:graphic xmlns:a="http://schemas.openxmlformats.org/drawingml/2006/main">
                  <a:graphicData uri="http://schemas.microsoft.com/office/word/2010/wordprocessingShape">
                    <wps:wsp>
                      <wps:cNvSpPr txBox="1"/>
                      <wps:spPr>
                        <a:xfrm>
                          <a:off x="0" y="0"/>
                          <a:ext cx="3110230" cy="193802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Responsibility and Compliance Committee and our Board on drug pricing practices. Our strategy includes a focus on innovative drugs and biosimilars that can deliver volume-driven unit growth. In 2023, the average net price for Amgen medicines declined while our revenues benefited from volume-based growth at a portfolio level. We continue to disclose in our annual report on Form 10-K and our quarterly reports on Form 10-Q, the pricing trends significant to our business. We believe that we have the appropriate governance mechanisms, oversight and processes in place to ensure that pricing decisions are made in-line with our values and our mission to serve patients. In addition, our Compensation Committee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52.6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Responsibility and Compliance Committee and our Board on drug pricing practices. Our strategy includes a focus on innovative drugs and biosimilars that can deliver volume-driven unit growth. In 2023, the average net price for Amgen medicines declined while our revenues benefited from volume-based growth at a portfolio level. We continue to disclose in our annual report on Form 10-K and our quarterly reports on Form 10-Q, the pricing trends significant to our business. We believe that we have the appropriate governance mechanisms, oversight and processes in place to ensure that pricing decisions are made in-line with our values and our mission to serve patients. In addition, our Compensation Committee </w:t>
                      </w:r>
                    </w:p>
                  </w:txbxContent>
                </v:textbox>
                <w10:wrap type="square" side="right"/>
              </v:rect>
            </w:pict>
          </mc:Fallback>
        </mc:AlternateContent>
      </w:r>
      <w:r>
        <mc:AlternateContent>
          <mc:Choice Requires="wps">
            <w:drawing>
              <wp:anchor behindDoc="0" distT="0" distB="0" distL="0" distR="0" simplePos="0" locked="0" layoutInCell="1" allowOverlap="1" relativeHeight="381">
                <wp:simplePos x="0" y="0"/>
                <wp:positionH relativeFrom="column">
                  <wp:align>left</wp:align>
                </wp:positionH>
                <wp:positionV relativeFrom="line">
                  <wp:posOffset>635</wp:posOffset>
                </wp:positionV>
                <wp:extent cx="3175000" cy="1522730"/>
                <wp:effectExtent l="0" t="0" r="0" b="0"/>
                <wp:wrapSquare wrapText="right"/>
                <wp:docPr id="298" name="Frame144"/>
                <a:graphic xmlns:a="http://schemas.openxmlformats.org/drawingml/2006/main">
                  <a:graphicData uri="http://schemas.microsoft.com/office/word/2010/wordprocessingShape">
                    <wps:wsp>
                      <wps:cNvSpPr txBox="1"/>
                      <wps:spPr>
                        <a:xfrm>
                          <a:off x="0" y="0"/>
                          <a:ext cx="3175000" cy="152273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annually completes a thoughtful and rigorous evaluation of our executive compensation program for alignment with our mission to serve patients and deliver stockholder value without encouraging excessive or inappropriate risk-taking by our executives. A full description of compensation risk management by our Compensation Committee and our ESG efforts can be found in the “Corporate Governance” section, including the subsections “—Compensation Committee Risk Management” and “—Our Approach to Environmental Sustainability, Social Responsibility, and Human Capital Management.”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19.9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annually completes a thoughtful and rigorous evaluation of our executive compensation program for alignment with our mission to serve patients and deliver stockholder value without encouraging excessive or inappropriate risk-taking by our executives. A full description of compensation risk management by our Compensation Committee and our ESG efforts can be found in the “Corporate Governance” section, including the subsections “—Compensation Committee Risk Management” and “—Our Approach to Environmental Sustainability, Social Responsibility, and Human Capital Management.” </w:t>
                      </w:r>
                    </w:p>
                  </w:txbxContent>
                </v:textbox>
                <w10:wrap type="square" side="right"/>
              </v:rect>
            </w:pict>
          </mc:Fallback>
        </mc:AlternateContent>
      </w:r>
    </w:p>
    <w:p>
      <w:pPr>
        <w:pStyle w:val="TextBody"/>
        <w:bidi w:val="0"/>
        <w:spacing w:before="240" w:after="0"/>
        <w:jc w:val="left"/>
        <w:rPr>
          <w:rFonts w:ascii="arial" w:hAnsi="arial"/>
          <w:b/>
          <w:color w:val="0171B9"/>
          <w:sz w:val="28"/>
        </w:rPr>
      </w:pPr>
      <w:bookmarkStart w:id="56" w:name="txa445034_112"/>
      <w:bookmarkStart w:id="57" w:name="toc445034_41"/>
      <w:bookmarkEnd w:id="56"/>
      <w:bookmarkEnd w:id="57"/>
      <w:r>
        <w:rPr>
          <w:rFonts w:ascii="arial" w:hAnsi="arial"/>
          <w:b/>
          <w:color w:val="0171B9"/>
          <w:sz w:val="28"/>
        </w:rPr>
        <w:t xml:space="preserve">Non-Direct Compensation and Payouts in Certain Circumstances </w:t>
      </w:r>
    </w:p>
    <w:p>
      <w:pPr>
        <w:pStyle w:val="TextBody"/>
        <w:pBdr>
          <w:bottom w:val="single" w:sz="2" w:space="1" w:color="666666"/>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82">
                <wp:simplePos x="0" y="0"/>
                <wp:positionH relativeFrom="column">
                  <wp:align>left</wp:align>
                </wp:positionH>
                <wp:positionV relativeFrom="line">
                  <wp:posOffset>635</wp:posOffset>
                </wp:positionV>
                <wp:extent cx="3110230" cy="4827270"/>
                <wp:effectExtent l="0" t="0" r="0" b="0"/>
                <wp:wrapSquare wrapText="right"/>
                <wp:docPr id="299" name="Frame145"/>
                <a:graphic xmlns:a="http://schemas.openxmlformats.org/drawingml/2006/main">
                  <a:graphicData uri="http://schemas.microsoft.com/office/word/2010/wordprocessingShape">
                    <wps:wsp>
                      <wps:cNvSpPr txBox="1"/>
                      <wps:spPr>
                        <a:xfrm>
                          <a:off x="0" y="0"/>
                          <a:ext cx="3110230" cy="4827270"/>
                        </a:xfrm>
                        <a:prstGeom prst="rect"/>
                        <a:solidFill>
                          <a:srgbClr val="FFFFFF"/>
                        </a:solidFill>
                      </wps:spPr>
                      <wps:txbx>
                        <w:txbxContent>
                          <w:p>
                            <w:pPr>
                              <w:pStyle w:val="TextBody"/>
                              <w:bidi w:val="0"/>
                              <w:spacing w:before="0" w:after="0"/>
                              <w:jc w:val="left"/>
                              <w:rPr>
                                <w:rFonts w:ascii="arial" w:hAnsi="arial"/>
                                <w:b/>
                                <w:sz w:val="24"/>
                              </w:rPr>
                            </w:pPr>
                            <w:r>
                              <w:rPr>
                                <w:rFonts w:ascii="arial" w:hAnsi="arial"/>
                                <w:b/>
                                <w:sz w:val="24"/>
                              </w:rPr>
                              <w:t xml:space="preserve">Change of Control Benefits and Offer Letter With Limited Severance Benefits </w:t>
                            </w:r>
                          </w:p>
                          <w:p>
                            <w:pPr>
                              <w:pStyle w:val="TextBody"/>
                              <w:bidi w:val="0"/>
                              <w:spacing w:before="120" w:after="0"/>
                              <w:jc w:val="both"/>
                              <w:rPr>
                                <w:rFonts w:ascii="arial" w:hAnsi="arial"/>
                                <w:sz w:val="19"/>
                              </w:rPr>
                            </w:pPr>
                            <w:r>
                              <w:rPr>
                                <w:rFonts w:ascii="arial" w:hAnsi="arial"/>
                                <w:sz w:val="19"/>
                              </w:rPr>
                              <w:t xml:space="preserve">Our CEO and other NEOs are participants in our double-trigger Change of Control Severance Plan discussed below. In connection with new hires, we typically enter into offer letters detailing their initial compensation and requirements to pay back certain elements of compensation. To attract talented executives from outside the Company, our offer letters generally include severance terms that apply to terminations initiated by us and occur for reasons other than for “cause” within three years from the date of hire. These benefits are generally provided to officer-level candidates to provide an incentive for them to join us by reducing the risks and costs associated with making such a job change. Other than the foregoing, our CEO and NEOs are not covered by contractual arrangements that provide for severance or other benefits in the event of termination. </w:t>
                            </w:r>
                          </w:p>
                          <w:p>
                            <w:pPr>
                              <w:pStyle w:val="TextBody"/>
                              <w:bidi w:val="0"/>
                              <w:spacing w:before="240" w:after="0"/>
                              <w:jc w:val="left"/>
                              <w:rPr>
                                <w:rFonts w:ascii="arial" w:hAnsi="arial"/>
                                <w:b/>
                                <w:sz w:val="24"/>
                              </w:rPr>
                            </w:pPr>
                            <w:r>
                              <w:rPr>
                                <w:rFonts w:ascii="arial" w:hAnsi="arial"/>
                                <w:b/>
                                <w:sz w:val="24"/>
                              </w:rPr>
                              <w:t xml:space="preserve">Change of Control and Severance Benefits </w:t>
                            </w:r>
                          </w:p>
                          <w:p>
                            <w:pPr>
                              <w:pStyle w:val="TextBody"/>
                              <w:bidi w:val="0"/>
                              <w:spacing w:before="120" w:after="0"/>
                              <w:jc w:val="left"/>
                              <w:rPr>
                                <w:rFonts w:ascii="arial" w:hAnsi="arial"/>
                                <w:i/>
                                <w:color w:val="0171B9"/>
                                <w:sz w:val="22"/>
                              </w:rPr>
                            </w:pPr>
                            <w:r>
                              <w:rPr>
                                <w:rFonts w:ascii="arial" w:hAnsi="arial"/>
                                <w:i/>
                                <w:color w:val="0171B9"/>
                                <w:sz w:val="22"/>
                              </w:rPr>
                              <w:t xml:space="preserve">Double Trigger Change of Control Severance Plan </w:t>
                            </w:r>
                          </w:p>
                          <w:p>
                            <w:pPr>
                              <w:pStyle w:val="TextBody"/>
                              <w:bidi w:val="0"/>
                              <w:spacing w:before="120" w:after="0"/>
                              <w:jc w:val="both"/>
                              <w:rPr>
                                <w:rFonts w:ascii="arial" w:hAnsi="arial"/>
                                <w:sz w:val="19"/>
                              </w:rPr>
                            </w:pPr>
                            <w:r>
                              <w:rPr>
                                <w:rFonts w:ascii="arial" w:hAnsi="arial"/>
                                <w:sz w:val="19"/>
                              </w:rPr>
                              <w:t xml:space="preserve">In the event of a change of control and a qualifying termination, our Change of Control Severance Plan provides severance payments to 1,879 U.S. staff members (as of December 31, 2023), including each NEO. There are no tax gross-up payments provided under the plan. The plan is structured so that payments and benefits are provided only if there is both a change of control and a termination of employment, either by us other than for “cause” or “disability” or by the participant for “good reason” (as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80.1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sz w:val="24"/>
                        </w:rPr>
                      </w:pPr>
                      <w:r>
                        <w:rPr>
                          <w:rFonts w:ascii="arial" w:hAnsi="arial"/>
                          <w:b/>
                          <w:sz w:val="24"/>
                        </w:rPr>
                        <w:t xml:space="preserve">Change of Control Benefits and Offer Letter With Limited Severance Benefits </w:t>
                      </w:r>
                    </w:p>
                    <w:p>
                      <w:pPr>
                        <w:pStyle w:val="TextBody"/>
                        <w:bidi w:val="0"/>
                        <w:spacing w:before="120" w:after="0"/>
                        <w:jc w:val="both"/>
                        <w:rPr>
                          <w:rFonts w:ascii="arial" w:hAnsi="arial"/>
                          <w:sz w:val="19"/>
                        </w:rPr>
                      </w:pPr>
                      <w:r>
                        <w:rPr>
                          <w:rFonts w:ascii="arial" w:hAnsi="arial"/>
                          <w:sz w:val="19"/>
                        </w:rPr>
                        <w:t xml:space="preserve">Our CEO and other NEOs are participants in our double-trigger Change of Control Severance Plan discussed below. In connection with new hires, we typically enter into offer letters detailing their initial compensation and requirements to pay back certain elements of compensation. To attract talented executives from outside the Company, our offer letters generally include severance terms that apply to terminations initiated by us and occur for reasons other than for “cause” within three years from the date of hire. These benefits are generally provided to officer-level candidates to provide an incentive for them to join us by reducing the risks and costs associated with making such a job change. Other than the foregoing, our CEO and NEOs are not covered by contractual arrangements that provide for severance or other benefits in the event of termination. </w:t>
                      </w:r>
                    </w:p>
                    <w:p>
                      <w:pPr>
                        <w:pStyle w:val="TextBody"/>
                        <w:bidi w:val="0"/>
                        <w:spacing w:before="240" w:after="0"/>
                        <w:jc w:val="left"/>
                        <w:rPr>
                          <w:rFonts w:ascii="arial" w:hAnsi="arial"/>
                          <w:b/>
                          <w:sz w:val="24"/>
                        </w:rPr>
                      </w:pPr>
                      <w:r>
                        <w:rPr>
                          <w:rFonts w:ascii="arial" w:hAnsi="arial"/>
                          <w:b/>
                          <w:sz w:val="24"/>
                        </w:rPr>
                        <w:t xml:space="preserve">Change of Control and Severance Benefits </w:t>
                      </w:r>
                    </w:p>
                    <w:p>
                      <w:pPr>
                        <w:pStyle w:val="TextBody"/>
                        <w:bidi w:val="0"/>
                        <w:spacing w:before="120" w:after="0"/>
                        <w:jc w:val="left"/>
                        <w:rPr>
                          <w:rFonts w:ascii="arial" w:hAnsi="arial"/>
                          <w:i/>
                          <w:color w:val="0171B9"/>
                          <w:sz w:val="22"/>
                        </w:rPr>
                      </w:pPr>
                      <w:r>
                        <w:rPr>
                          <w:rFonts w:ascii="arial" w:hAnsi="arial"/>
                          <w:i/>
                          <w:color w:val="0171B9"/>
                          <w:sz w:val="22"/>
                        </w:rPr>
                        <w:t xml:space="preserve">Double Trigger Change of Control Severance Plan </w:t>
                      </w:r>
                    </w:p>
                    <w:p>
                      <w:pPr>
                        <w:pStyle w:val="TextBody"/>
                        <w:bidi w:val="0"/>
                        <w:spacing w:before="120" w:after="0"/>
                        <w:jc w:val="both"/>
                        <w:rPr>
                          <w:rFonts w:ascii="arial" w:hAnsi="arial"/>
                          <w:sz w:val="19"/>
                        </w:rPr>
                      </w:pPr>
                      <w:r>
                        <w:rPr>
                          <w:rFonts w:ascii="arial" w:hAnsi="arial"/>
                          <w:sz w:val="19"/>
                        </w:rPr>
                        <w:t xml:space="preserve">In the event of a change of control and a qualifying termination, our Change of Control Severance Plan provides severance payments to 1,879 U.S. staff members (as of December 31, 2023), including each NEO. There are no tax gross-up payments provided under the plan. The plan is structured so that payments and benefits are provided only if there is both a change of control and a termination of employment, either by us other than for “cause” or “disability” or by the participant for “good reason” (as </w:t>
                      </w:r>
                    </w:p>
                  </w:txbxContent>
                </v:textbox>
                <w10:wrap type="square" side="right"/>
              </v:rect>
            </w:pict>
          </mc:Fallback>
        </mc:AlternateContent>
      </w:r>
      <w:r>
        <mc:AlternateContent>
          <mc:Choice Requires="wps">
            <w:drawing>
              <wp:anchor behindDoc="0" distT="0" distB="0" distL="0" distR="0" simplePos="0" locked="0" layoutInCell="1" allowOverlap="1" relativeHeight="383">
                <wp:simplePos x="0" y="0"/>
                <wp:positionH relativeFrom="column">
                  <wp:align>left</wp:align>
                </wp:positionH>
                <wp:positionV relativeFrom="line">
                  <wp:posOffset>635</wp:posOffset>
                </wp:positionV>
                <wp:extent cx="3175000" cy="3487420"/>
                <wp:effectExtent l="0" t="0" r="0" b="0"/>
                <wp:wrapSquare wrapText="right"/>
                <wp:docPr id="300" name="Frame146"/>
                <a:graphic xmlns:a="http://schemas.openxmlformats.org/drawingml/2006/main">
                  <a:graphicData uri="http://schemas.microsoft.com/office/word/2010/wordprocessingShape">
                    <wps:wsp>
                      <wps:cNvSpPr txBox="1"/>
                      <wps:spPr>
                        <a:xfrm>
                          <a:off x="0" y="0"/>
                          <a:ext cx="3175000" cy="348742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each is defined in the plan)—sometimes referred to as a “double-trigger”—because the intent of the plan is to provide appropriate severance benefits in the event of a termination following a change of control, rather than to provide a change of control bonus. The cash severance multiple for our CEO and all other NEOs is two times annual cash compensation. The payments and benefit levels under the Change of Control Severance Plan do not influence and were not influenced by other elements of compensation. The Change of Control Severance Plan was adopted, and is continued by the Compensation Committee: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To reinforce and encourage the continued attention and dedication of members of management to their assigned duties without the distraction arising from the possibility of a change of control;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To enable and encourage management to focus their attention on obtaining the best possible deal for our stockholders and making an independent evaluation of all possible transactions, without being influenced by their personal concerns regarding the possible impact of various transactions on the security of their jobs and benefits;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To provide severance benefits to any participant who incurs a termination of employment under the circumstances described within a certain period following a change of control in recognition of their contributions to the Company.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74.6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each is defined in the plan)—sometimes referred to as a “double-trigger”—because the intent of the plan is to provide appropriate severance benefits in the event of a termination following a change of control, rather than to provide a change of control bonus. The cash severance multiple for our CEO and all other NEOs is two times annual cash compensation. The payments and benefit levels under the Change of Control Severance Plan do not influence and were not influenced by other elements of compensation. The Change of Control Severance Plan was adopted, and is continued by the Compensation Committee: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To reinforce and encourage the continued attention and dedication of members of management to their assigned duties without the distraction arising from the possibility of a change of control;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To enable and encourage management to focus their attention on obtaining the best possible deal for our stockholders and making an independent evaluation of all possible transactions, without being influenced by their personal concerns regarding the possible impact of various transactions on the security of their jobs and benefits;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To provide severance benefits to any participant who incurs a termination of employment under the circumstances described within a certain period following a change of control in recognition of their contributions to the Company.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80  </w:t>
      </w:r>
      <w:r>
        <w:rPr>
          <w:rFonts w:ascii="arial" w:hAnsi="arial"/>
          <w:b/>
          <w:color w:val="474747"/>
          <w:sz w:val="22"/>
        </w:rPr>
        <w:drawing>
          <wp:inline distT="0" distB="0" distL="0" distR="0">
            <wp:extent cx="64770" cy="15240"/>
            <wp:effectExtent l="0" t="0" r="0" b="0"/>
            <wp:docPr id="301"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143" descr=""/>
                    <pic:cNvPicPr>
                      <a:picLocks noChangeAspect="1" noChangeArrowheads="1"/>
                    </pic:cNvPicPr>
                  </pic:nvPicPr>
                  <pic:blipFill>
                    <a:blip r:embed="rId156"/>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507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45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459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Compensation Discussion and Analysis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84">
                <wp:simplePos x="0" y="0"/>
                <wp:positionH relativeFrom="column">
                  <wp:align>left</wp:align>
                </wp:positionH>
                <wp:positionV relativeFrom="line">
                  <wp:posOffset>635</wp:posOffset>
                </wp:positionV>
                <wp:extent cx="3110230" cy="7012940"/>
                <wp:effectExtent l="0" t="0" r="0" b="0"/>
                <wp:wrapSquare wrapText="right"/>
                <wp:docPr id="302" name="Frame147"/>
                <a:graphic xmlns:a="http://schemas.openxmlformats.org/drawingml/2006/main">
                  <a:graphicData uri="http://schemas.microsoft.com/office/word/2010/wordprocessingShape">
                    <wps:wsp>
                      <wps:cNvSpPr txBox="1"/>
                      <wps:spPr>
                        <a:xfrm>
                          <a:off x="0" y="0"/>
                          <a:ext cx="3110230" cy="7012940"/>
                        </a:xfrm>
                        <a:prstGeom prst="rect"/>
                        <a:solidFill>
                          <a:srgbClr val="FFFFFF"/>
                        </a:solidFill>
                      </wps:spPr>
                      <wps:txbx>
                        <w:txbxContent>
                          <w:p>
                            <w:pPr>
                              <w:pStyle w:val="TextBody"/>
                              <w:bidi w:val="0"/>
                              <w:spacing w:before="0" w:after="0"/>
                              <w:jc w:val="left"/>
                              <w:rPr>
                                <w:rFonts w:ascii="arial" w:hAnsi="arial"/>
                                <w:i/>
                                <w:color w:val="0171B9"/>
                                <w:sz w:val="22"/>
                              </w:rPr>
                            </w:pPr>
                            <w:r>
                              <w:rPr>
                                <w:rFonts w:ascii="arial" w:hAnsi="arial"/>
                                <w:i/>
                                <w:color w:val="0171B9"/>
                                <w:sz w:val="22"/>
                              </w:rPr>
                              <w:t xml:space="preserve">Change of Control and Severance Treatment of Long-Term Incentive Equity Awards </w:t>
                            </w:r>
                          </w:p>
                          <w:p>
                            <w:pPr>
                              <w:pStyle w:val="TextBody"/>
                              <w:bidi w:val="0"/>
                              <w:spacing w:before="120" w:after="0"/>
                              <w:jc w:val="left"/>
                              <w:rPr>
                                <w:rFonts w:ascii="arial" w:hAnsi="arial"/>
                                <w:b/>
                                <w:sz w:val="20"/>
                              </w:rPr>
                            </w:pPr>
                            <w:r>
                              <w:rPr>
                                <w:rFonts w:ascii="arial" w:hAnsi="arial"/>
                                <w:b/>
                                <w:sz w:val="20"/>
                              </w:rPr>
                              <w:t xml:space="preserve">Restricted Stock Units and Stock Options </w:t>
                            </w:r>
                          </w:p>
                          <w:p>
                            <w:pPr>
                              <w:pStyle w:val="TextBody"/>
                              <w:bidi w:val="0"/>
                              <w:spacing w:before="120" w:after="0"/>
                              <w:jc w:val="both"/>
                              <w:rPr>
                                <w:rFonts w:ascii="arial" w:hAnsi="arial"/>
                                <w:sz w:val="19"/>
                              </w:rPr>
                            </w:pPr>
                            <w:r>
                              <w:rPr>
                                <w:rFonts w:ascii="arial" w:hAnsi="arial"/>
                                <w:sz w:val="19"/>
                              </w:rPr>
                              <w:t xml:space="preserve">All unvested RSUs and stock options have “double-trigger” acceleration of vesting that requires a qualifying termination in connection with a change of control. All RSUs and stock options vest in full only if the grantee’s employment is involuntarily terminated (other than for “cause” or “disability”), or for staff members subject to the Change of Control Severance Plan, is voluntarily terminated with “good reason,” in each case within two years following a change of control. All RSUs and stock options also vest in the event of a termination of employment due to death or “disability” as follows: full vesting for grants made before the year of death or disability; and pro-rata vesting (based on months worked) for grants made during the year of death or disability. In the event of “retirement,” RSUs and stock options granted before the year of retirement continue vesting following retirement on their original vesting schedule, and for those awards granted in the year of retirement, they continue to vest pro-rata based on months worked. </w:t>
                            </w:r>
                          </w:p>
                          <w:p>
                            <w:pPr>
                              <w:pStyle w:val="TextBody"/>
                              <w:bidi w:val="0"/>
                              <w:spacing w:before="240" w:after="0"/>
                              <w:jc w:val="left"/>
                              <w:rPr>
                                <w:rFonts w:ascii="arial" w:hAnsi="arial"/>
                                <w:b/>
                                <w:sz w:val="24"/>
                              </w:rPr>
                            </w:pPr>
                            <w:r>
                              <w:rPr>
                                <w:rFonts w:ascii="arial" w:hAnsi="arial"/>
                                <w:b/>
                                <w:sz w:val="24"/>
                              </w:rPr>
                              <w:t xml:space="preserve">Performance Units </w:t>
                            </w:r>
                          </w:p>
                          <w:p>
                            <w:pPr>
                              <w:pStyle w:val="TextBody"/>
                              <w:bidi w:val="0"/>
                              <w:spacing w:before="120" w:after="0"/>
                              <w:jc w:val="both"/>
                              <w:rPr>
                                <w:rFonts w:ascii="arial" w:hAnsi="arial"/>
                                <w:sz w:val="19"/>
                              </w:rPr>
                            </w:pPr>
                            <w:r>
                              <w:rPr>
                                <w:rFonts w:ascii="arial" w:hAnsi="arial"/>
                                <w:sz w:val="19"/>
                              </w:rPr>
                              <w:t>The Compensation Committee has maintained change of control features for each of the performance periods under our performance award programs to ensure that these programs reward participants for our performance until the successful closing of any change of control. In general, the performance units are earned based on a truncated performance period ending on the quarter end immediately prior to any change of control (or target performance for the operating measures if the change of control occurs in the first year of a performance period). If the change of control occurs within the first six months of a performance period, the amount earned is pro-rated based on the number of months of the performance period prior to the change of control. In the event of a termination of employment due to death, disability, or retirement, our performance units provide for potential earn-out at the end of the performance period based on actual results with the amount earned pro-rated based on the termination date. For additional information on the levels of payout, see “Potential Payments Upon Termination or Change of Control—</w:t>
                            </w:r>
                            <w:r>
                              <w:rPr>
                                <w:rFonts w:ascii="arial" w:hAnsi="arial"/>
                                <w:i/>
                                <w:sz w:val="19"/>
                              </w:rPr>
                              <w:t>Long-Term Incentive Equity Awards—Performance Units</w:t>
                            </w:r>
                            <w:r>
                              <w:rPr>
                                <w:rFonts w:ascii="arial" w:hAnsi="arial"/>
                                <w:sz w:val="19"/>
                              </w:rPr>
                              <w:t xml:space="preserve">” in our Executive Compensation Tables. </w:t>
                            </w:r>
                          </w:p>
                          <w:p>
                            <w:pPr>
                              <w:pStyle w:val="TextBody"/>
                              <w:bidi w:val="0"/>
                              <w:spacing w:before="0" w:after="0"/>
                              <w:jc w:val="left"/>
                              <w:rPr/>
                            </w:pPr>
                            <w:r>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52.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i/>
                          <w:color w:val="0171B9"/>
                          <w:sz w:val="22"/>
                        </w:rPr>
                      </w:pPr>
                      <w:r>
                        <w:rPr>
                          <w:rFonts w:ascii="arial" w:hAnsi="arial"/>
                          <w:i/>
                          <w:color w:val="0171B9"/>
                          <w:sz w:val="22"/>
                        </w:rPr>
                        <w:t xml:space="preserve">Change of Control and Severance Treatment of Long-Term Incentive Equity Awards </w:t>
                      </w:r>
                    </w:p>
                    <w:p>
                      <w:pPr>
                        <w:pStyle w:val="TextBody"/>
                        <w:bidi w:val="0"/>
                        <w:spacing w:before="120" w:after="0"/>
                        <w:jc w:val="left"/>
                        <w:rPr>
                          <w:rFonts w:ascii="arial" w:hAnsi="arial"/>
                          <w:b/>
                          <w:sz w:val="20"/>
                        </w:rPr>
                      </w:pPr>
                      <w:r>
                        <w:rPr>
                          <w:rFonts w:ascii="arial" w:hAnsi="arial"/>
                          <w:b/>
                          <w:sz w:val="20"/>
                        </w:rPr>
                        <w:t xml:space="preserve">Restricted Stock Units and Stock Options </w:t>
                      </w:r>
                    </w:p>
                    <w:p>
                      <w:pPr>
                        <w:pStyle w:val="TextBody"/>
                        <w:bidi w:val="0"/>
                        <w:spacing w:before="120" w:after="0"/>
                        <w:jc w:val="both"/>
                        <w:rPr>
                          <w:rFonts w:ascii="arial" w:hAnsi="arial"/>
                          <w:sz w:val="19"/>
                        </w:rPr>
                      </w:pPr>
                      <w:r>
                        <w:rPr>
                          <w:rFonts w:ascii="arial" w:hAnsi="arial"/>
                          <w:sz w:val="19"/>
                        </w:rPr>
                        <w:t xml:space="preserve">All unvested RSUs and stock options have “double-trigger” acceleration of vesting that requires a qualifying termination in connection with a change of control. All RSUs and stock options vest in full only if the grantee’s employment is involuntarily terminated (other than for “cause” or “disability”), or for staff members subject to the Change of Control Severance Plan, is voluntarily terminated with “good reason,” in each case within two years following a change of control. All RSUs and stock options also vest in the event of a termination of employment due to death or “disability” as follows: full vesting for grants made before the year of death or disability; and pro-rata vesting (based on months worked) for grants made during the year of death or disability. In the event of “retirement,” RSUs and stock options granted before the year of retirement continue vesting following retirement on their original vesting schedule, and for those awards granted in the year of retirement, they continue to vest pro-rata based on months worked. </w:t>
                      </w:r>
                    </w:p>
                    <w:p>
                      <w:pPr>
                        <w:pStyle w:val="TextBody"/>
                        <w:bidi w:val="0"/>
                        <w:spacing w:before="240" w:after="0"/>
                        <w:jc w:val="left"/>
                        <w:rPr>
                          <w:rFonts w:ascii="arial" w:hAnsi="arial"/>
                          <w:b/>
                          <w:sz w:val="24"/>
                        </w:rPr>
                      </w:pPr>
                      <w:r>
                        <w:rPr>
                          <w:rFonts w:ascii="arial" w:hAnsi="arial"/>
                          <w:b/>
                          <w:sz w:val="24"/>
                        </w:rPr>
                        <w:t xml:space="preserve">Performance Units </w:t>
                      </w:r>
                    </w:p>
                    <w:p>
                      <w:pPr>
                        <w:pStyle w:val="TextBody"/>
                        <w:bidi w:val="0"/>
                        <w:spacing w:before="120" w:after="0"/>
                        <w:jc w:val="both"/>
                        <w:rPr>
                          <w:rFonts w:ascii="arial" w:hAnsi="arial"/>
                          <w:sz w:val="19"/>
                        </w:rPr>
                      </w:pPr>
                      <w:r>
                        <w:rPr>
                          <w:rFonts w:ascii="arial" w:hAnsi="arial"/>
                          <w:sz w:val="19"/>
                        </w:rPr>
                        <w:t>The Compensation Committee has maintained change of control features for each of the performance periods under our performance award programs to ensure that these programs reward participants for our performance until the successful closing of any change of control. In general, the performance units are earned based on a truncated performance period ending on the quarter end immediately prior to any change of control (or target performance for the operating measures if the change of control occurs in the first year of a performance period). If the change of control occurs within the first six months of a performance period, the amount earned is pro-rated based on the number of months of the performance period prior to the change of control. In the event of a termination of employment due to death, disability, or retirement, our performance units provide for potential earn-out at the end of the performance period based on actual results with the amount earned pro-rated based on the termination date. For additional information on the levels of payout, see “Potential Payments Upon Termination or Change of Control—</w:t>
                      </w:r>
                      <w:r>
                        <w:rPr>
                          <w:rFonts w:ascii="arial" w:hAnsi="arial"/>
                          <w:i/>
                          <w:sz w:val="19"/>
                        </w:rPr>
                        <w:t>Long-Term Incentive Equity Awards—Performance Units</w:t>
                      </w:r>
                      <w:r>
                        <w:rPr>
                          <w:rFonts w:ascii="arial" w:hAnsi="arial"/>
                          <w:sz w:val="19"/>
                        </w:rPr>
                        <w:t xml:space="preserve">” in our Executive Compensation Tables. </w:t>
                      </w:r>
                    </w:p>
                    <w:p>
                      <w:pPr>
                        <w:pStyle w:val="TextBody"/>
                        <w:bidi w:val="0"/>
                        <w:spacing w:before="0" w:after="0"/>
                        <w:jc w:val="left"/>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385">
                <wp:simplePos x="0" y="0"/>
                <wp:positionH relativeFrom="column">
                  <wp:align>left</wp:align>
                </wp:positionH>
                <wp:positionV relativeFrom="line">
                  <wp:posOffset>635</wp:posOffset>
                </wp:positionV>
                <wp:extent cx="3175000" cy="7139940"/>
                <wp:effectExtent l="0" t="0" r="0" b="0"/>
                <wp:wrapSquare wrapText="right"/>
                <wp:docPr id="303" name="Frame148"/>
                <a:graphic xmlns:a="http://schemas.openxmlformats.org/drawingml/2006/main">
                  <a:graphicData uri="http://schemas.microsoft.com/office/word/2010/wordprocessingShape">
                    <wps:wsp>
                      <wps:cNvSpPr txBox="1"/>
                      <wps:spPr>
                        <a:xfrm>
                          <a:off x="0" y="0"/>
                          <a:ext cx="3175000" cy="7139940"/>
                        </a:xfrm>
                        <a:prstGeom prst="rect"/>
                        <a:solidFill>
                          <a:srgbClr val="FFFFFF"/>
                        </a:solidFill>
                      </wps:spPr>
                      <wps:txbx>
                        <w:txbxContent>
                          <w:p>
                            <w:pPr>
                              <w:pStyle w:val="TextBody"/>
                              <w:bidi w:val="0"/>
                              <w:spacing w:before="0" w:after="0"/>
                              <w:jc w:val="left"/>
                              <w:rPr>
                                <w:rFonts w:ascii="arial" w:hAnsi="arial"/>
                                <w:b/>
                                <w:sz w:val="20"/>
                              </w:rPr>
                            </w:pPr>
                            <w:r>
                              <w:rPr>
                                <w:rFonts w:ascii="arial" w:hAnsi="arial"/>
                                <w:b/>
                                <w:sz w:val="20"/>
                              </w:rPr>
                              <w:t xml:space="preserve">Limited Retirement Benefits and Deferred Compensation Plan </w:t>
                            </w:r>
                          </w:p>
                          <w:p>
                            <w:pPr>
                              <w:pStyle w:val="TextBody"/>
                              <w:bidi w:val="0"/>
                              <w:spacing w:before="120" w:after="0"/>
                              <w:jc w:val="both"/>
                              <w:rPr>
                                <w:rFonts w:ascii="arial" w:hAnsi="arial"/>
                                <w:sz w:val="19"/>
                              </w:rPr>
                            </w:pPr>
                            <w:r>
                              <w:rPr>
                                <w:rFonts w:ascii="arial" w:hAnsi="arial"/>
                                <w:sz w:val="19"/>
                              </w:rPr>
                              <w:t>Health, retirement, and other benefits programs are generally available to our U.S.-based staff members, including our NEOs, with the overall benefit programs typically targeted to align in value with those programs offered by our peer group. The primary survey used to make this comparison is the Aon Benefit Index®, last updated as of May 2022</w:t>
                            </w:r>
                            <w:r>
                              <w:rPr>
                                <w:rFonts w:ascii="arial" w:hAnsi="arial"/>
                                <w:i/>
                                <w:sz w:val="19"/>
                              </w:rPr>
                              <w:t>,</w:t>
                            </w:r>
                            <w:r>
                              <w:rPr>
                                <w:rFonts w:ascii="arial" w:hAnsi="arial"/>
                                <w:sz w:val="19"/>
                              </w:rPr>
                              <w:t xml:space="preserve"> using a comparator group of 14 companies chosen by Amgen as representative of its peer group. The data generated from this survey is used by both the Compensation Committee and Company management in evaluating the competitive positioning and program design of these health, retirement, and other benefit programs. </w:t>
                            </w:r>
                          </w:p>
                          <w:p>
                            <w:pPr>
                              <w:pStyle w:val="TextBody"/>
                              <w:bidi w:val="0"/>
                              <w:spacing w:before="240" w:after="0"/>
                              <w:jc w:val="left"/>
                              <w:rPr>
                                <w:rFonts w:ascii="arial" w:hAnsi="arial"/>
                                <w:b/>
                                <w:sz w:val="20"/>
                              </w:rPr>
                            </w:pPr>
                            <w:r>
                              <w:rPr>
                                <w:rFonts w:ascii="arial" w:hAnsi="arial"/>
                                <w:b/>
                                <w:sz w:val="20"/>
                              </w:rPr>
                              <w:t xml:space="preserve">Retirement and Savings Plan, Supplemental Retirement Plan, and Nonqualified Deferred Compensation Plan </w:t>
                            </w:r>
                          </w:p>
                          <w:p>
                            <w:pPr>
                              <w:pStyle w:val="TextBody"/>
                              <w:bidi w:val="0"/>
                              <w:spacing w:before="120" w:after="0"/>
                              <w:jc w:val="both"/>
                              <w:rPr>
                                <w:rFonts w:ascii="arial" w:hAnsi="arial"/>
                                <w:sz w:val="19"/>
                              </w:rPr>
                            </w:pPr>
                            <w:r>
                              <w:rPr>
                                <w:rFonts w:ascii="arial" w:hAnsi="arial"/>
                                <w:sz w:val="19"/>
                              </w:rPr>
                              <w:t xml:space="preserve">Our Retirement and Savings Plan, or 401(k) Plan, is available to U.S.-based staff members of the Company and participating subsidiaries (except Puerto Rico). All 401(k) Plan participants are eligible to receive the same proportionate level of matching and core contributions from us. Under the 401(k) Plan, we provide to each staff member a 5% contribution on eligible compensation and up to a 5% matching contribution on voluntary deferrals. The Retirement and Savings Plan for Amgen Manufacturing Limited is available to staff members in Puerto Rico. </w:t>
                            </w:r>
                          </w:p>
                          <w:p>
                            <w:pPr>
                              <w:pStyle w:val="TextBody"/>
                              <w:bidi w:val="0"/>
                              <w:spacing w:before="120" w:after="0"/>
                              <w:jc w:val="both"/>
                              <w:rPr>
                                <w:rFonts w:ascii="arial" w:hAnsi="arial"/>
                                <w:sz w:val="19"/>
                              </w:rPr>
                            </w:pPr>
                            <w:r>
                              <w:rPr>
                                <w:rFonts w:ascii="arial" w:hAnsi="arial"/>
                                <w:sz w:val="19"/>
                              </w:rPr>
                              <w:t xml:space="preserve">Our Supplemental Retirement Plan, or SRP, is available to all 401(k) Plan participants and is designed to provide a “make whole” benefit to 401(k) Plan participants with eligible compensation in excess of the Internal Revenue Code’s qualified plan compensation limit. The Company credits to the SRP a 10% contribution on eligible compensation in excess of the qualified plan compensation limit to represent the equivalent percentage of Company contributions that would have been made to the 401(k) Plan if the compensation had been eligible for deferral into the 401(k) Plan. Company contributions to the SRP are subject to a three-year cliff vesting requirement, with vesting accelerated under certain circumstances. Company contributions to the SRP are fully vested on amounts voluntarily deferred by a participant into the Nonqualified Deferred Compensation Plan, or NDCP. </w:t>
                            </w:r>
                          </w:p>
                          <w:p>
                            <w:pPr>
                              <w:pStyle w:val="TextBody"/>
                              <w:bidi w:val="0"/>
                              <w:spacing w:before="120" w:after="0"/>
                              <w:jc w:val="both"/>
                              <w:rPr>
                                <w:rFonts w:ascii="arial" w:hAnsi="arial"/>
                                <w:sz w:val="19"/>
                              </w:rPr>
                            </w:pPr>
                            <w:r>
                              <w:rPr>
                                <w:rFonts w:ascii="arial" w:hAnsi="arial"/>
                                <w:sz w:val="19"/>
                              </w:rPr>
                              <w:t xml:space="preserve">The SRP enables us to provide the same percentage of base salary and annual cash incentive award as a retirement contribution to U.S.-based staff members at all levels.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62.2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sz w:val="20"/>
                        </w:rPr>
                      </w:pPr>
                      <w:r>
                        <w:rPr>
                          <w:rFonts w:ascii="arial" w:hAnsi="arial"/>
                          <w:b/>
                          <w:sz w:val="20"/>
                        </w:rPr>
                        <w:t xml:space="preserve">Limited Retirement Benefits and Deferred Compensation Plan </w:t>
                      </w:r>
                    </w:p>
                    <w:p>
                      <w:pPr>
                        <w:pStyle w:val="TextBody"/>
                        <w:bidi w:val="0"/>
                        <w:spacing w:before="120" w:after="0"/>
                        <w:jc w:val="both"/>
                        <w:rPr>
                          <w:rFonts w:ascii="arial" w:hAnsi="arial"/>
                          <w:sz w:val="19"/>
                        </w:rPr>
                      </w:pPr>
                      <w:r>
                        <w:rPr>
                          <w:rFonts w:ascii="arial" w:hAnsi="arial"/>
                          <w:sz w:val="19"/>
                        </w:rPr>
                        <w:t>Health, retirement, and other benefits programs are generally available to our U.S.-based staff members, including our NEOs, with the overall benefit programs typically targeted to align in value with those programs offered by our peer group. The primary survey used to make this comparison is the Aon Benefit Index®, last updated as of May 2022</w:t>
                      </w:r>
                      <w:r>
                        <w:rPr>
                          <w:rFonts w:ascii="arial" w:hAnsi="arial"/>
                          <w:i/>
                          <w:sz w:val="19"/>
                        </w:rPr>
                        <w:t>,</w:t>
                      </w:r>
                      <w:r>
                        <w:rPr>
                          <w:rFonts w:ascii="arial" w:hAnsi="arial"/>
                          <w:sz w:val="19"/>
                        </w:rPr>
                        <w:t xml:space="preserve"> using a comparator group of 14 companies chosen by Amgen as representative of its peer group. The data generated from this survey is used by both the Compensation Committee and Company management in evaluating the competitive positioning and program design of these health, retirement, and other benefit programs. </w:t>
                      </w:r>
                    </w:p>
                    <w:p>
                      <w:pPr>
                        <w:pStyle w:val="TextBody"/>
                        <w:bidi w:val="0"/>
                        <w:spacing w:before="240" w:after="0"/>
                        <w:jc w:val="left"/>
                        <w:rPr>
                          <w:rFonts w:ascii="arial" w:hAnsi="arial"/>
                          <w:b/>
                          <w:sz w:val="20"/>
                        </w:rPr>
                      </w:pPr>
                      <w:r>
                        <w:rPr>
                          <w:rFonts w:ascii="arial" w:hAnsi="arial"/>
                          <w:b/>
                          <w:sz w:val="20"/>
                        </w:rPr>
                        <w:t xml:space="preserve">Retirement and Savings Plan, Supplemental Retirement Plan, and Nonqualified Deferred Compensation Plan </w:t>
                      </w:r>
                    </w:p>
                    <w:p>
                      <w:pPr>
                        <w:pStyle w:val="TextBody"/>
                        <w:bidi w:val="0"/>
                        <w:spacing w:before="120" w:after="0"/>
                        <w:jc w:val="both"/>
                        <w:rPr>
                          <w:rFonts w:ascii="arial" w:hAnsi="arial"/>
                          <w:sz w:val="19"/>
                        </w:rPr>
                      </w:pPr>
                      <w:r>
                        <w:rPr>
                          <w:rFonts w:ascii="arial" w:hAnsi="arial"/>
                          <w:sz w:val="19"/>
                        </w:rPr>
                        <w:t xml:space="preserve">Our Retirement and Savings Plan, or 401(k) Plan, is available to U.S.-based staff members of the Company and participating subsidiaries (except Puerto Rico). All 401(k) Plan participants are eligible to receive the same proportionate level of matching and core contributions from us. Under the 401(k) Plan, we provide to each staff member a 5% contribution on eligible compensation and up to a 5% matching contribution on voluntary deferrals. The Retirement and Savings Plan for Amgen Manufacturing Limited is available to staff members in Puerto Rico. </w:t>
                      </w:r>
                    </w:p>
                    <w:p>
                      <w:pPr>
                        <w:pStyle w:val="TextBody"/>
                        <w:bidi w:val="0"/>
                        <w:spacing w:before="120" w:after="0"/>
                        <w:jc w:val="both"/>
                        <w:rPr>
                          <w:rFonts w:ascii="arial" w:hAnsi="arial"/>
                          <w:sz w:val="19"/>
                        </w:rPr>
                      </w:pPr>
                      <w:r>
                        <w:rPr>
                          <w:rFonts w:ascii="arial" w:hAnsi="arial"/>
                          <w:sz w:val="19"/>
                        </w:rPr>
                        <w:t xml:space="preserve">Our Supplemental Retirement Plan, or SRP, is available to all 401(k) Plan participants and is designed to provide a “make whole” benefit to 401(k) Plan participants with eligible compensation in excess of the Internal Revenue Code’s qualified plan compensation limit. The Company credits to the SRP a 10% contribution on eligible compensation in excess of the qualified plan compensation limit to represent the equivalent percentage of Company contributions that would have been made to the 401(k) Plan if the compensation had been eligible for deferral into the 401(k) Plan. Company contributions to the SRP are subject to a three-year cliff vesting requirement, with vesting accelerated under certain circumstances. Company contributions to the SRP are fully vested on amounts voluntarily deferred by a participant into the Nonqualified Deferred Compensation Plan, or NDCP. </w:t>
                      </w:r>
                    </w:p>
                    <w:p>
                      <w:pPr>
                        <w:pStyle w:val="TextBody"/>
                        <w:bidi w:val="0"/>
                        <w:spacing w:before="120" w:after="0"/>
                        <w:jc w:val="both"/>
                        <w:rPr>
                          <w:rFonts w:ascii="arial" w:hAnsi="arial"/>
                          <w:sz w:val="19"/>
                        </w:rPr>
                      </w:pPr>
                      <w:r>
                        <w:rPr>
                          <w:rFonts w:ascii="arial" w:hAnsi="arial"/>
                          <w:sz w:val="19"/>
                        </w:rPr>
                        <w:t xml:space="preserve">The SRP enables us to provide the same percentage of base salary and annual cash incentive award as a retirement contribution to U.S.-based staff members at all levels.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304"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144" descr=""/>
                    <pic:cNvPicPr>
                      <a:picLocks noChangeAspect="1" noChangeArrowheads="1"/>
                    </pic:cNvPicPr>
                  </pic:nvPicPr>
                  <pic:blipFill>
                    <a:blip r:embed="rId157"/>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81</w:t>
      </w:r>
      <w:r>
        <w:rPr>
          <w:rFonts w:ascii="arial" w:hAnsi="arial"/>
          <w:b/>
          <w:sz w:val="22"/>
        </w:rPr>
        <w:t xml:space="preserve"> </w:t>
      </w:r>
      <w:r>
        <w:br w:type="page"/>
      </w:r>
    </w:p>
    <w:p>
      <w:pPr>
        <w:pStyle w:val="HorizontalLine"/>
        <w:bidi w:val="0"/>
        <w:jc w:val="left"/>
        <w:rPr/>
      </w:pPr>
      <w:r>
        <w:rPr/>
      </w:r>
    </w:p>
    <w:tbl>
      <w:tblPr>
        <w:tblW w:w="507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459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459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Compensation Discussion and Analysis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86">
                <wp:simplePos x="0" y="0"/>
                <wp:positionH relativeFrom="column">
                  <wp:align>left</wp:align>
                </wp:positionH>
                <wp:positionV relativeFrom="line">
                  <wp:posOffset>635</wp:posOffset>
                </wp:positionV>
                <wp:extent cx="3110230" cy="3260090"/>
                <wp:effectExtent l="0" t="0" r="0" b="0"/>
                <wp:wrapSquare wrapText="right"/>
                <wp:docPr id="305" name="Frame149"/>
                <a:graphic xmlns:a="http://schemas.openxmlformats.org/drawingml/2006/main">
                  <a:graphicData uri="http://schemas.microsoft.com/office/word/2010/wordprocessingShape">
                    <wps:wsp>
                      <wps:cNvSpPr txBox="1"/>
                      <wps:spPr>
                        <a:xfrm>
                          <a:off x="0" y="0"/>
                          <a:ext cx="3110230" cy="326009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Earnings under the SRP and NDCP are market-based – there are no “above market” or guaranteed rates of returns offered in these plans. SRP and NDCP participants can direct notional account investments using the 401(k) Plan investing structure (excluding the self-direct brokerage and our Company stock) plus a variety of target date funds. Unlike a traditional pension plan, which generally provides a lifetime annuity that replaces a portion of a participant’s final pay, benefits from our 401(k) Plan and SRP are based on the investment return on the staff member’s own investment elections, with the participant bearing the risk of investment gains and losses. </w:t>
                            </w:r>
                          </w:p>
                          <w:p>
                            <w:pPr>
                              <w:pStyle w:val="TextBody"/>
                              <w:bidi w:val="0"/>
                              <w:spacing w:before="120" w:after="0"/>
                              <w:jc w:val="both"/>
                              <w:rPr>
                                <w:rFonts w:ascii="arial" w:hAnsi="arial"/>
                                <w:sz w:val="19"/>
                              </w:rPr>
                            </w:pPr>
                            <w:r>
                              <w:rPr>
                                <w:rFonts w:ascii="arial" w:hAnsi="arial"/>
                                <w:sz w:val="19"/>
                              </w:rPr>
                              <w:t xml:space="preserve">The NDCP offers all U.S.-based staff members (including Puerto Rico) at director level and above the opportunity to defer eligible base salary and/or annual cash incentive awards, up to maximum amounts typically permitted in similar plans sponsored by our peer group. We also have the discretion to make contributions to this plan, and we do not make such contributions on a regular basis. In 2023, no Company contributions were made to the NDCP accounts of any NEOs. We believe that offering the NDCP is appropriate because it provides participants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56.7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Earnings under the SRP and NDCP are market-based – there are no “above market” or guaranteed rates of returns offered in these plans. SRP and NDCP participants can direct notional account investments using the 401(k) Plan investing structure (excluding the self-direct brokerage and our Company stock) plus a variety of target date funds. Unlike a traditional pension plan, which generally provides a lifetime annuity that replaces a portion of a participant’s final pay, benefits from our 401(k) Plan and SRP are based on the investment return on the staff member’s own investment elections, with the participant bearing the risk of investment gains and losses. </w:t>
                      </w:r>
                    </w:p>
                    <w:p>
                      <w:pPr>
                        <w:pStyle w:val="TextBody"/>
                        <w:bidi w:val="0"/>
                        <w:spacing w:before="120" w:after="0"/>
                        <w:jc w:val="both"/>
                        <w:rPr>
                          <w:rFonts w:ascii="arial" w:hAnsi="arial"/>
                          <w:sz w:val="19"/>
                        </w:rPr>
                      </w:pPr>
                      <w:r>
                        <w:rPr>
                          <w:rFonts w:ascii="arial" w:hAnsi="arial"/>
                          <w:sz w:val="19"/>
                        </w:rPr>
                        <w:t xml:space="preserve">The NDCP offers all U.S.-based staff members (including Puerto Rico) at director level and above the opportunity to defer eligible base salary and/or annual cash incentive awards, up to maximum amounts typically permitted in similar plans sponsored by our peer group. We also have the discretion to make contributions to this plan, and we do not make such contributions on a regular basis. In 2023, no Company contributions were made to the NDCP accounts of any NEOs. We believe that offering the NDCP is appropriate because it provides participants </w:t>
                      </w:r>
                    </w:p>
                  </w:txbxContent>
                </v:textbox>
                <w10:wrap type="square" side="right"/>
              </v:rect>
            </w:pict>
          </mc:Fallback>
        </mc:AlternateContent>
      </w:r>
      <w:r>
        <mc:AlternateContent>
          <mc:Choice Requires="wps">
            <w:drawing>
              <wp:anchor behindDoc="0" distT="0" distB="0" distL="0" distR="0" simplePos="0" locked="0" layoutInCell="1" allowOverlap="1" relativeHeight="387">
                <wp:simplePos x="0" y="0"/>
                <wp:positionH relativeFrom="column">
                  <wp:align>left</wp:align>
                </wp:positionH>
                <wp:positionV relativeFrom="line">
                  <wp:posOffset>635</wp:posOffset>
                </wp:positionV>
                <wp:extent cx="3175000" cy="3296920"/>
                <wp:effectExtent l="0" t="0" r="0" b="0"/>
                <wp:wrapSquare wrapText="right"/>
                <wp:docPr id="306" name="Frame150"/>
                <a:graphic xmlns:a="http://schemas.openxmlformats.org/drawingml/2006/main">
                  <a:graphicData uri="http://schemas.microsoft.com/office/word/2010/wordprocessingShape">
                    <wps:wsp>
                      <wps:cNvSpPr txBox="1"/>
                      <wps:spPr>
                        <a:xfrm>
                          <a:off x="0" y="0"/>
                          <a:ext cx="3175000" cy="329692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the opportunity to save for retirement in a tax-effective fashion not readily available without our sponsorship. </w:t>
                            </w:r>
                          </w:p>
                          <w:p>
                            <w:pPr>
                              <w:pStyle w:val="TextBody"/>
                              <w:bidi w:val="0"/>
                              <w:spacing w:before="240" w:after="0"/>
                              <w:jc w:val="left"/>
                              <w:rPr>
                                <w:rFonts w:ascii="arial" w:hAnsi="arial"/>
                                <w:b/>
                                <w:sz w:val="20"/>
                              </w:rPr>
                            </w:pPr>
                            <w:r>
                              <w:rPr>
                                <w:rFonts w:ascii="arial" w:hAnsi="arial"/>
                                <w:b/>
                                <w:sz w:val="20"/>
                              </w:rPr>
                              <w:t xml:space="preserve">Health Savings Account and Retiree Medical Savings Account Plan for all U.S.-based Staff Members </w:t>
                            </w:r>
                          </w:p>
                          <w:p>
                            <w:pPr>
                              <w:pStyle w:val="TextBody"/>
                              <w:bidi w:val="0"/>
                              <w:spacing w:before="120" w:after="0"/>
                              <w:jc w:val="both"/>
                              <w:rPr>
                                <w:rFonts w:ascii="arial" w:hAnsi="arial"/>
                                <w:sz w:val="19"/>
                              </w:rPr>
                            </w:pPr>
                            <w:r>
                              <w:rPr>
                                <w:rFonts w:ascii="arial" w:hAnsi="arial"/>
                                <w:sz w:val="19"/>
                              </w:rPr>
                              <w:t xml:space="preserve">We offer a high deductible health plan and an associated health savings account that is generally available to U.S.-based (excluding Puerto Rico) staff members. We also maintain a Retiree Medical Savings Account Plan, or RMSA, available to U.S.-based (excluding Puerto Rico) staff members that allows all staff members to make after-tax deferrals to be used post-termination for reimbursement of eligible medical expenses. Under the RMSA, the Company credits all eligible staff members with an annual contribution ($1,000) and makes a matching contribution equal to 50% of a staff member’s own voluntary deferrals to the RMSA (to a maximum match of $1,500 per year). Company credits can be accessed to reimburse eligible medical expenses of staff members who terminate after having met the Company’s retirement criteria. We do not offer a traditional Company-paid retiree medical plan to our NEOs or other U.S.-based staff members.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59.6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the opportunity to save for retirement in a tax-effective fashion not readily available without our sponsorship. </w:t>
                      </w:r>
                    </w:p>
                    <w:p>
                      <w:pPr>
                        <w:pStyle w:val="TextBody"/>
                        <w:bidi w:val="0"/>
                        <w:spacing w:before="240" w:after="0"/>
                        <w:jc w:val="left"/>
                        <w:rPr>
                          <w:rFonts w:ascii="arial" w:hAnsi="arial"/>
                          <w:b/>
                          <w:sz w:val="20"/>
                        </w:rPr>
                      </w:pPr>
                      <w:r>
                        <w:rPr>
                          <w:rFonts w:ascii="arial" w:hAnsi="arial"/>
                          <w:b/>
                          <w:sz w:val="20"/>
                        </w:rPr>
                        <w:t xml:space="preserve">Health Savings Account and Retiree Medical Savings Account Plan for all U.S.-based Staff Members </w:t>
                      </w:r>
                    </w:p>
                    <w:p>
                      <w:pPr>
                        <w:pStyle w:val="TextBody"/>
                        <w:bidi w:val="0"/>
                        <w:spacing w:before="120" w:after="0"/>
                        <w:jc w:val="both"/>
                        <w:rPr>
                          <w:rFonts w:ascii="arial" w:hAnsi="arial"/>
                          <w:sz w:val="19"/>
                        </w:rPr>
                      </w:pPr>
                      <w:r>
                        <w:rPr>
                          <w:rFonts w:ascii="arial" w:hAnsi="arial"/>
                          <w:sz w:val="19"/>
                        </w:rPr>
                        <w:t xml:space="preserve">We offer a high deductible health plan and an associated health savings account that is generally available to U.S.-based (excluding Puerto Rico) staff members. We also maintain a Retiree Medical Savings Account Plan, or RMSA, available to U.S.-based (excluding Puerto Rico) staff members that allows all staff members to make after-tax deferrals to be used post-termination for reimbursement of eligible medical expenses. Under the RMSA, the Company credits all eligible staff members with an annual contribution ($1,000) and makes a matching contribution equal to 50% of a staff member’s own voluntary deferrals to the RMSA (to a maximum match of $1,500 per year). Company credits can be accessed to reimburse eligible medical expenses of staff members who terminate after having met the Company’s retirement criteria. We do not offer a traditional Company-paid retiree medical plan to our NEOs or other U.S.-based staff members.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b/>
          <w:color w:val="0171B9"/>
          <w:sz w:val="28"/>
        </w:rPr>
      </w:pPr>
      <w:bookmarkStart w:id="58" w:name="txa445034_113"/>
      <w:bookmarkStart w:id="59" w:name="toc445034_42"/>
      <w:bookmarkEnd w:id="58"/>
      <w:bookmarkEnd w:id="59"/>
      <w:r>
        <w:rPr>
          <w:rFonts w:ascii="arial" w:hAnsi="arial"/>
          <w:b/>
          <w:color w:val="0171B9"/>
          <w:sz w:val="28"/>
        </w:rPr>
        <w:t xml:space="preserve">Accounting Standards </w:t>
      </w:r>
    </w:p>
    <w:p>
      <w:pPr>
        <w:pStyle w:val="TextBody"/>
        <w:pBdr>
          <w:bottom w:val="single" w:sz="2" w:space="1" w:color="666666"/>
        </w:pBdr>
        <w:bidi w:val="0"/>
        <w:spacing w:lineRule="atLeast" w:line="142" w:before="0" w:after="4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88">
                <wp:simplePos x="0" y="0"/>
                <wp:positionH relativeFrom="column">
                  <wp:align>left</wp:align>
                </wp:positionH>
                <wp:positionV relativeFrom="line">
                  <wp:posOffset>635</wp:posOffset>
                </wp:positionV>
                <wp:extent cx="3110230" cy="1168400"/>
                <wp:effectExtent l="0" t="0" r="0" b="0"/>
                <wp:wrapSquare wrapText="right"/>
                <wp:docPr id="307" name="Frame151"/>
                <a:graphic xmlns:a="http://schemas.openxmlformats.org/drawingml/2006/main">
                  <a:graphicData uri="http://schemas.microsoft.com/office/word/2010/wordprocessingShape">
                    <wps:wsp>
                      <wps:cNvSpPr txBox="1"/>
                      <wps:spPr>
                        <a:xfrm>
                          <a:off x="0" y="0"/>
                          <a:ext cx="3110230" cy="1168400"/>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Financial Accounting Standards Board, or FASB, Accounting Standards Codification, or ASC, Topic 718 requires us to recognize an expense for the fair value of equity-based compensation awards. Grants of stock options, RSUs, and performance units under our LTI equity award program are accounted for under FASB ASC Topic 718. The Compensation Committee regularly considers the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9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Financial Accounting Standards Board, or FASB, Accounting Standards Codification, or ASC, Topic 718 requires us to recognize an expense for the fair value of equity-based compensation awards. Grants of stock options, RSUs, and performance units under our LTI equity award program are accounted for under FASB ASC Topic 718. The Compensation Committee regularly considers the </w:t>
                      </w:r>
                    </w:p>
                  </w:txbxContent>
                </v:textbox>
                <w10:wrap type="square" side="right"/>
              </v:rect>
            </w:pict>
          </mc:Fallback>
        </mc:AlternateContent>
      </w:r>
      <w:r>
        <mc:AlternateContent>
          <mc:Choice Requires="wps">
            <w:drawing>
              <wp:anchor behindDoc="0" distT="0" distB="0" distL="0" distR="0" simplePos="0" locked="0" layoutInCell="1" allowOverlap="1" relativeHeight="389">
                <wp:simplePos x="0" y="0"/>
                <wp:positionH relativeFrom="column">
                  <wp:align>left</wp:align>
                </wp:positionH>
                <wp:positionV relativeFrom="line">
                  <wp:posOffset>635</wp:posOffset>
                </wp:positionV>
                <wp:extent cx="3175000" cy="1022350"/>
                <wp:effectExtent l="0" t="0" r="0" b="0"/>
                <wp:wrapSquare wrapText="right"/>
                <wp:docPr id="308" name="Frame152"/>
                <a:graphic xmlns:a="http://schemas.openxmlformats.org/drawingml/2006/main">
                  <a:graphicData uri="http://schemas.microsoft.com/office/word/2010/wordprocessingShape">
                    <wps:wsp>
                      <wps:cNvSpPr txBox="1"/>
                      <wps:spPr>
                        <a:xfrm>
                          <a:off x="0" y="0"/>
                          <a:ext cx="3175000" cy="1022350"/>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accounting implications of significant compensation decisions, especially in connection with decisions that relate to our LTI equity award plans and programs. As accounting standards change, we may revise certain programs to appropriately align accounting expenses of our equity awards with our overall executive compensation philosophy and objectives.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80.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accounting implications of significant compensation decisions, especially in connection with decisions that relate to our LTI equity award plans and programs. As accounting standards change, we may revise certain programs to appropriately align accounting expenses of our equity awards with our overall executive compensation philosophy and objectives.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82  </w:t>
      </w:r>
      <w:r>
        <w:rPr>
          <w:rFonts w:ascii="arial" w:hAnsi="arial"/>
          <w:b/>
          <w:color w:val="474747"/>
          <w:sz w:val="22"/>
        </w:rPr>
        <w:drawing>
          <wp:inline distT="0" distB="0" distL="0" distR="0">
            <wp:extent cx="64770" cy="15240"/>
            <wp:effectExtent l="0" t="0" r="0" b="0"/>
            <wp:docPr id="309"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145" descr=""/>
                    <pic:cNvPicPr>
                      <a:picLocks noChangeAspect="1" noChangeArrowheads="1"/>
                    </pic:cNvPicPr>
                  </pic:nvPicPr>
                  <pic:blipFill>
                    <a:blip r:embed="rId158"/>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419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371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1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371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Executive Compensation Tables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171B9"/>
          <w:sz w:val="44"/>
        </w:rPr>
      </w:pPr>
      <w:bookmarkStart w:id="60" w:name="toc445034_43"/>
      <w:bookmarkEnd w:id="60"/>
      <w:r>
        <w:rPr>
          <w:rFonts w:ascii="arial" w:hAnsi="arial"/>
          <w:b/>
          <w:color w:val="0171B9"/>
          <w:sz w:val="44"/>
        </w:rPr>
        <w:t xml:space="preserve">Executive Compensation Tables </w:t>
      </w:r>
    </w:p>
    <w:p>
      <w:pPr>
        <w:pStyle w:val="TextBody"/>
        <w:bidi w:val="0"/>
        <w:spacing w:before="240" w:after="0"/>
        <w:jc w:val="left"/>
        <w:rPr>
          <w:rFonts w:ascii="arial" w:hAnsi="arial"/>
          <w:b/>
          <w:color w:val="0171B9"/>
          <w:sz w:val="28"/>
        </w:rPr>
      </w:pPr>
      <w:r>
        <w:rPr>
          <w:rFonts w:ascii="arial" w:hAnsi="arial"/>
          <w:b/>
          <w:color w:val="0171B9"/>
          <w:sz w:val="28"/>
        </w:rPr>
        <w:t xml:space="preserve">Summary Compensation Table </w:t>
      </w:r>
    </w:p>
    <w:p>
      <w:pPr>
        <w:pStyle w:val="TextBody"/>
        <w:pBdr>
          <w:bottom w:val="single" w:sz="2" w:space="1" w:color="666666"/>
        </w:pBdr>
        <w:bidi w:val="0"/>
        <w:spacing w:lineRule="atLeast" w:line="142" w:before="0" w:after="40"/>
        <w:jc w:val="left"/>
        <w:rPr/>
      </w:pPr>
      <w:r>
        <w:rPr/>
        <w:t> </w:t>
      </w:r>
    </w:p>
    <w:p>
      <w:pPr>
        <w:pStyle w:val="TextBody"/>
        <w:bidi w:val="0"/>
        <w:spacing w:before="120" w:after="0"/>
        <w:jc w:val="both"/>
        <w:rPr>
          <w:rFonts w:ascii="arial" w:hAnsi="arial"/>
          <w:sz w:val="19"/>
        </w:rPr>
      </w:pPr>
      <w:r>
        <w:rPr>
          <w:rFonts w:ascii="arial" w:hAnsi="arial"/>
          <w:sz w:val="19"/>
        </w:rPr>
        <w:t xml:space="preserve">The following table sets forth summary information concerning the compensation awarded to, paid to, or earned by each of our Named Executive Officers, or NEOs.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98"/>
        <w:gridCol w:w="60"/>
        <w:gridCol w:w="63"/>
        <w:gridCol w:w="467"/>
        <w:gridCol w:w="60"/>
        <w:gridCol w:w="60"/>
        <w:gridCol w:w="60"/>
        <w:gridCol w:w="938"/>
        <w:gridCol w:w="60"/>
        <w:gridCol w:w="60"/>
        <w:gridCol w:w="186"/>
        <w:gridCol w:w="389"/>
        <w:gridCol w:w="60"/>
        <w:gridCol w:w="60"/>
        <w:gridCol w:w="60"/>
        <w:gridCol w:w="1043"/>
        <w:gridCol w:w="60"/>
        <w:gridCol w:w="60"/>
        <w:gridCol w:w="60"/>
        <w:gridCol w:w="938"/>
        <w:gridCol w:w="60"/>
        <w:gridCol w:w="60"/>
        <w:gridCol w:w="73"/>
        <w:gridCol w:w="1161"/>
        <w:gridCol w:w="60"/>
        <w:gridCol w:w="60"/>
        <w:gridCol w:w="90"/>
        <w:gridCol w:w="1189"/>
        <w:gridCol w:w="60"/>
        <w:gridCol w:w="60"/>
        <w:gridCol w:w="60"/>
        <w:gridCol w:w="950"/>
        <w:gridCol w:w="80"/>
      </w:tblGrid>
      <w:tr>
        <w:trPr/>
        <w:tc>
          <w:tcPr>
            <w:tcW w:w="14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r>
      <w:tr>
        <w:trPr/>
        <w:tc>
          <w:tcPr>
            <w:tcW w:w="1498"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530" w:type="dxa"/>
            <w:gridSpan w:val="2"/>
            <w:tcBorders>
              <w:bottom w:val="single" w:sz="8" w:space="0" w:color="FFFFFF"/>
            </w:tcBorders>
            <w:shd w:fill="0171B9" w:val="clear"/>
            <w:tcMar>
              <w:bottom w:w="28" w:type="dxa"/>
            </w:tcMar>
            <w:vAlign w:val="center"/>
          </w:tcPr>
          <w:p>
            <w:pPr>
              <w:pStyle w:val="TableContents"/>
              <w:bidi w:val="0"/>
              <w:spacing w:before="0" w:after="283"/>
              <w:jc w:val="right"/>
              <w:rPr>
                <w:b/>
                <w:color w:val="FFFFFF"/>
              </w:rPr>
            </w:pPr>
            <w:r>
              <w:rPr>
                <w:b/>
                <w:color w:val="FFFFFF"/>
              </w:rPr>
              <w:t>Year</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998" w:type="dxa"/>
            <w:gridSpan w:val="2"/>
            <w:tcBorders>
              <w:bottom w:val="single" w:sz="8" w:space="0" w:color="FFFFFF"/>
            </w:tcBorders>
            <w:shd w:fill="0171B9" w:val="clear"/>
            <w:tcMar>
              <w:bottom w:w="28" w:type="dxa"/>
            </w:tcMar>
            <w:vAlign w:val="center"/>
          </w:tcPr>
          <w:p>
            <w:pPr>
              <w:pStyle w:val="TableContents"/>
              <w:bidi w:val="0"/>
              <w:spacing w:before="0" w:after="0"/>
              <w:jc w:val="right"/>
              <w:rPr>
                <w:rFonts w:ascii="arial" w:hAnsi="arial"/>
                <w:b/>
                <w:color w:val="FFFFFF"/>
                <w:sz w:val="18"/>
              </w:rPr>
            </w:pPr>
            <w:r>
              <w:rPr>
                <w:rFonts w:ascii="arial" w:hAnsi="arial"/>
                <w:b/>
                <w:color w:val="FFFFFF"/>
                <w:sz w:val="18"/>
              </w:rPr>
              <w:t>Salary  </w:t>
            </w:r>
          </w:p>
          <w:p>
            <w:pPr>
              <w:pStyle w:val="TableContents"/>
              <w:bidi w:val="0"/>
              <w:spacing w:before="0" w:after="20"/>
              <w:jc w:val="right"/>
              <w:rPr>
                <w:rFonts w:ascii="arial" w:hAnsi="arial"/>
                <w:b/>
                <w:color w:val="FFFFFF"/>
                <w:sz w:val="18"/>
              </w:rPr>
            </w:pPr>
            <w:r>
              <w:rPr>
                <w:rFonts w:ascii="arial" w:hAnsi="arial"/>
                <w:b/>
                <w:color w:val="FFFFFF"/>
                <w:sz w:val="18"/>
              </w:rPr>
              <w:t>($)(1)</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575" w:type="dxa"/>
            <w:gridSpan w:val="2"/>
            <w:tcBorders>
              <w:bottom w:val="single" w:sz="8" w:space="0" w:color="FFFFFF"/>
            </w:tcBorders>
            <w:shd w:fill="0171B9" w:val="clear"/>
            <w:tcMar>
              <w:bottom w:w="28" w:type="dxa"/>
            </w:tcMar>
            <w:vAlign w:val="center"/>
          </w:tcPr>
          <w:p>
            <w:pPr>
              <w:pStyle w:val="TableContents"/>
              <w:bidi w:val="0"/>
              <w:spacing w:before="0" w:after="0"/>
              <w:jc w:val="right"/>
              <w:rPr>
                <w:rFonts w:ascii="arial" w:hAnsi="arial"/>
                <w:b/>
                <w:color w:val="FFFFFF"/>
                <w:sz w:val="18"/>
              </w:rPr>
            </w:pPr>
            <w:r>
              <w:rPr>
                <w:rFonts w:ascii="arial" w:hAnsi="arial"/>
                <w:b/>
                <w:color w:val="FFFFFF"/>
                <w:sz w:val="18"/>
              </w:rPr>
              <w:t>Bonus</w:t>
            </w:r>
          </w:p>
          <w:p>
            <w:pPr>
              <w:pStyle w:val="TableContents"/>
              <w:bidi w:val="0"/>
              <w:spacing w:before="0" w:after="20"/>
              <w:jc w:val="right"/>
              <w:rPr>
                <w:rFonts w:ascii="arial" w:hAnsi="arial"/>
                <w:b/>
                <w:color w:val="FFFFFF"/>
                <w:sz w:val="18"/>
              </w:rPr>
            </w:pPr>
            <w:r>
              <w:rPr>
                <w:rFonts w:ascii="arial" w:hAnsi="arial"/>
                <w:b/>
                <w:color w:val="FFFFFF"/>
                <w:sz w:val="18"/>
              </w:rPr>
              <w:t>($)</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103" w:type="dxa"/>
            <w:gridSpan w:val="2"/>
            <w:tcBorders>
              <w:bottom w:val="single" w:sz="8" w:space="0" w:color="FFFFFF"/>
            </w:tcBorders>
            <w:shd w:fill="0171B9" w:val="clear"/>
            <w:tcMar>
              <w:bottom w:w="28" w:type="dxa"/>
            </w:tcMar>
            <w:vAlign w:val="center"/>
          </w:tcPr>
          <w:p>
            <w:pPr>
              <w:pStyle w:val="TableContents"/>
              <w:bidi w:val="0"/>
              <w:spacing w:before="0" w:after="0"/>
              <w:jc w:val="right"/>
              <w:rPr>
                <w:rFonts w:ascii="arial" w:hAnsi="arial"/>
                <w:b/>
                <w:color w:val="FFFFFF"/>
                <w:sz w:val="18"/>
              </w:rPr>
            </w:pPr>
            <w:r>
              <w:rPr>
                <w:rFonts w:ascii="arial" w:hAnsi="arial"/>
                <w:b/>
                <w:color w:val="FFFFFF"/>
                <w:sz w:val="18"/>
              </w:rPr>
              <w:t>Stock  </w:t>
            </w:r>
          </w:p>
          <w:p>
            <w:pPr>
              <w:pStyle w:val="TableContents"/>
              <w:bidi w:val="0"/>
              <w:spacing w:before="0" w:after="0"/>
              <w:jc w:val="right"/>
              <w:rPr>
                <w:rFonts w:ascii="arial" w:hAnsi="arial"/>
                <w:b/>
                <w:color w:val="FFFFFF"/>
                <w:sz w:val="18"/>
              </w:rPr>
            </w:pPr>
            <w:r>
              <w:rPr>
                <w:rFonts w:ascii="arial" w:hAnsi="arial"/>
                <w:b/>
                <w:color w:val="FFFFFF"/>
                <w:sz w:val="18"/>
              </w:rPr>
              <w:t>Awards  </w:t>
            </w:r>
          </w:p>
          <w:p>
            <w:pPr>
              <w:pStyle w:val="TableContents"/>
              <w:bidi w:val="0"/>
              <w:spacing w:before="0" w:after="20"/>
              <w:jc w:val="right"/>
              <w:rPr>
                <w:rFonts w:ascii="arial" w:hAnsi="arial"/>
                <w:b/>
                <w:color w:val="FFFFFF"/>
                <w:sz w:val="18"/>
              </w:rPr>
            </w:pPr>
            <w:r>
              <w:rPr>
                <w:rFonts w:ascii="arial" w:hAnsi="arial"/>
                <w:b/>
                <w:color w:val="FFFFFF"/>
                <w:sz w:val="18"/>
              </w:rPr>
              <w:t>($)(2)</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998" w:type="dxa"/>
            <w:gridSpan w:val="2"/>
            <w:tcBorders>
              <w:bottom w:val="single" w:sz="8" w:space="0" w:color="FFFFFF"/>
            </w:tcBorders>
            <w:shd w:fill="0171B9" w:val="clear"/>
            <w:tcMar>
              <w:bottom w:w="28" w:type="dxa"/>
            </w:tcMar>
            <w:vAlign w:val="center"/>
          </w:tcPr>
          <w:p>
            <w:pPr>
              <w:pStyle w:val="TableContents"/>
              <w:bidi w:val="0"/>
              <w:spacing w:before="0" w:after="0"/>
              <w:jc w:val="right"/>
              <w:rPr>
                <w:rFonts w:ascii="arial" w:hAnsi="arial"/>
                <w:b/>
                <w:color w:val="FFFFFF"/>
                <w:sz w:val="18"/>
              </w:rPr>
            </w:pPr>
            <w:r>
              <w:rPr>
                <w:rFonts w:ascii="arial" w:hAnsi="arial"/>
                <w:b/>
                <w:color w:val="FFFFFF"/>
                <w:sz w:val="18"/>
              </w:rPr>
              <w:t>Option  </w:t>
            </w:r>
          </w:p>
          <w:p>
            <w:pPr>
              <w:pStyle w:val="TableContents"/>
              <w:bidi w:val="0"/>
              <w:spacing w:before="0" w:after="0"/>
              <w:jc w:val="right"/>
              <w:rPr>
                <w:rFonts w:ascii="arial" w:hAnsi="arial"/>
                <w:b/>
                <w:color w:val="FFFFFF"/>
                <w:sz w:val="18"/>
              </w:rPr>
            </w:pPr>
            <w:r>
              <w:rPr>
                <w:rFonts w:ascii="arial" w:hAnsi="arial"/>
                <w:b/>
                <w:color w:val="FFFFFF"/>
                <w:sz w:val="18"/>
              </w:rPr>
              <w:t>Awards  </w:t>
            </w:r>
          </w:p>
          <w:p>
            <w:pPr>
              <w:pStyle w:val="TableContents"/>
              <w:bidi w:val="0"/>
              <w:spacing w:before="0" w:after="20"/>
              <w:jc w:val="right"/>
              <w:rPr>
                <w:rFonts w:ascii="arial" w:hAnsi="arial"/>
                <w:b/>
                <w:color w:val="FFFFFF"/>
                <w:sz w:val="18"/>
              </w:rPr>
            </w:pPr>
            <w:r>
              <w:rPr>
                <w:rFonts w:ascii="arial" w:hAnsi="arial"/>
                <w:b/>
                <w:color w:val="FFFFFF"/>
                <w:sz w:val="18"/>
              </w:rPr>
              <w:t>($)(3)</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34" w:type="dxa"/>
            <w:gridSpan w:val="2"/>
            <w:tcBorders>
              <w:bottom w:val="single" w:sz="8" w:space="0" w:color="FFFFFF"/>
            </w:tcBorders>
            <w:shd w:fill="0171B9" w:val="clear"/>
            <w:tcMar>
              <w:bottom w:w="28" w:type="dxa"/>
            </w:tcMar>
            <w:vAlign w:val="center"/>
          </w:tcPr>
          <w:p>
            <w:pPr>
              <w:pStyle w:val="TableContents"/>
              <w:bidi w:val="0"/>
              <w:spacing w:before="0" w:after="0"/>
              <w:jc w:val="right"/>
              <w:rPr>
                <w:rFonts w:ascii="arial" w:hAnsi="arial"/>
                <w:b/>
                <w:color w:val="FFFFFF"/>
                <w:sz w:val="18"/>
              </w:rPr>
            </w:pPr>
            <w:r>
              <w:rPr>
                <w:rFonts w:ascii="arial" w:hAnsi="arial"/>
                <w:b/>
                <w:color w:val="FFFFFF"/>
                <w:sz w:val="18"/>
              </w:rPr>
              <w:t>Non-Equity  </w:t>
            </w:r>
          </w:p>
          <w:p>
            <w:pPr>
              <w:pStyle w:val="TableContents"/>
              <w:bidi w:val="0"/>
              <w:spacing w:before="0" w:after="0"/>
              <w:jc w:val="right"/>
              <w:rPr>
                <w:rFonts w:ascii="arial" w:hAnsi="arial"/>
                <w:b/>
                <w:color w:val="FFFFFF"/>
                <w:sz w:val="18"/>
              </w:rPr>
            </w:pPr>
            <w:r>
              <w:rPr>
                <w:rFonts w:ascii="arial" w:hAnsi="arial"/>
                <w:b/>
                <w:color w:val="FFFFFF"/>
                <w:sz w:val="18"/>
              </w:rPr>
              <w:t>Incentive Plan  </w:t>
            </w:r>
          </w:p>
          <w:p>
            <w:pPr>
              <w:pStyle w:val="TableContents"/>
              <w:bidi w:val="0"/>
              <w:spacing w:before="0" w:after="20"/>
              <w:jc w:val="right"/>
              <w:rPr>
                <w:rFonts w:ascii="arial" w:hAnsi="arial"/>
                <w:b/>
                <w:color w:val="FFFFFF"/>
                <w:sz w:val="18"/>
              </w:rPr>
            </w:pPr>
            <w:r>
              <w:rPr>
                <w:rFonts w:ascii="arial" w:hAnsi="arial"/>
                <w:b/>
                <w:color w:val="FFFFFF"/>
                <w:sz w:val="18"/>
              </w:rPr>
              <w:t>($)(4)</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79" w:type="dxa"/>
            <w:gridSpan w:val="2"/>
            <w:tcBorders>
              <w:bottom w:val="single" w:sz="8" w:space="0" w:color="FFFFFF"/>
            </w:tcBorders>
            <w:shd w:fill="0171B9" w:val="clear"/>
            <w:tcMar>
              <w:bottom w:w="28" w:type="dxa"/>
            </w:tcMar>
            <w:vAlign w:val="center"/>
          </w:tcPr>
          <w:p>
            <w:pPr>
              <w:pStyle w:val="TableContents"/>
              <w:bidi w:val="0"/>
              <w:spacing w:before="0" w:after="0"/>
              <w:jc w:val="right"/>
              <w:rPr>
                <w:rFonts w:ascii="arial" w:hAnsi="arial"/>
                <w:b/>
                <w:color w:val="FFFFFF"/>
                <w:sz w:val="18"/>
              </w:rPr>
            </w:pPr>
            <w:r>
              <w:rPr>
                <w:rFonts w:ascii="arial" w:hAnsi="arial"/>
                <w:b/>
                <w:color w:val="FFFFFF"/>
                <w:sz w:val="18"/>
              </w:rPr>
              <w:t>All Other  </w:t>
            </w:r>
          </w:p>
          <w:p>
            <w:pPr>
              <w:pStyle w:val="TableContents"/>
              <w:bidi w:val="0"/>
              <w:spacing w:before="0" w:after="0"/>
              <w:jc w:val="right"/>
              <w:rPr>
                <w:rFonts w:ascii="arial" w:hAnsi="arial"/>
                <w:b/>
                <w:color w:val="FFFFFF"/>
                <w:sz w:val="18"/>
              </w:rPr>
            </w:pPr>
            <w:r>
              <w:rPr>
                <w:rFonts w:ascii="arial" w:hAnsi="arial"/>
                <w:b/>
                <w:color w:val="FFFFFF"/>
                <w:sz w:val="18"/>
              </w:rPr>
              <w:t>Compensation  </w:t>
            </w:r>
          </w:p>
          <w:p>
            <w:pPr>
              <w:pStyle w:val="TableContents"/>
              <w:bidi w:val="0"/>
              <w:spacing w:before="0" w:after="20"/>
              <w:jc w:val="right"/>
              <w:rPr>
                <w:rFonts w:ascii="arial" w:hAnsi="arial"/>
                <w:b/>
                <w:color w:val="FFFFFF"/>
                <w:sz w:val="18"/>
              </w:rPr>
            </w:pPr>
            <w:r>
              <w:rPr>
                <w:rFonts w:ascii="arial" w:hAnsi="arial"/>
                <w:b/>
                <w:color w:val="FFFFFF"/>
                <w:sz w:val="18"/>
              </w:rPr>
              <w:t>($)(5)</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010" w:type="dxa"/>
            <w:gridSpan w:val="2"/>
            <w:tcBorders>
              <w:bottom w:val="single" w:sz="8" w:space="0" w:color="FFFFFF"/>
            </w:tcBorders>
            <w:shd w:fill="0171B9" w:val="clear"/>
            <w:tcMar>
              <w:bottom w:w="28" w:type="dxa"/>
            </w:tcMar>
            <w:vAlign w:val="center"/>
          </w:tcPr>
          <w:p>
            <w:pPr>
              <w:pStyle w:val="TableContents"/>
              <w:bidi w:val="0"/>
              <w:spacing w:before="0" w:after="0"/>
              <w:jc w:val="right"/>
              <w:rPr>
                <w:rFonts w:ascii="arial" w:hAnsi="arial"/>
                <w:b/>
                <w:color w:val="FFFFFF"/>
                <w:sz w:val="18"/>
              </w:rPr>
            </w:pPr>
            <w:r>
              <w:rPr>
                <w:rFonts w:ascii="arial" w:hAnsi="arial"/>
                <w:b/>
                <w:color w:val="FFFFFF"/>
                <w:sz w:val="18"/>
              </w:rPr>
              <w:t>Total</w:t>
            </w:r>
          </w:p>
          <w:p>
            <w:pPr>
              <w:pStyle w:val="TableContents"/>
              <w:bidi w:val="0"/>
              <w:spacing w:before="0" w:after="20"/>
              <w:jc w:val="right"/>
              <w:rPr>
                <w:rFonts w:ascii="arial" w:hAnsi="arial"/>
                <w:b/>
                <w:color w:val="FFFFFF"/>
                <w:sz w:val="18"/>
              </w:rPr>
            </w:pPr>
            <w:r>
              <w:rPr>
                <w:rFonts w:ascii="arial" w:hAnsi="arial"/>
                <w:b/>
                <w:color w:val="FFFFFF"/>
                <w:sz w:val="18"/>
              </w:rPr>
              <w:t>($)</w:t>
            </w:r>
          </w:p>
        </w:tc>
        <w:tc>
          <w:tcPr>
            <w:tcW w:w="8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r>
      <w:tr>
        <w:trPr/>
        <w:tc>
          <w:tcPr>
            <w:tcW w:w="1498" w:type="dxa"/>
            <w:tcBorders/>
            <w:shd w:fill="CCE2F1" w:val="clear"/>
            <w:vAlign w:val="center"/>
          </w:tcPr>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Robert A. Bradway</w:t>
            </w:r>
          </w:p>
          <w:p>
            <w:pPr>
              <w:pStyle w:val="TableContents"/>
              <w:bidi w:val="0"/>
              <w:spacing w:before="0" w:after="0"/>
              <w:jc w:val="left"/>
              <w:rPr>
                <w:rFonts w:ascii="arial" w:hAnsi="arial"/>
                <w:sz w:val="18"/>
              </w:rPr>
            </w:pPr>
            <w:r>
              <w:rPr>
                <w:rFonts w:ascii="arial" w:hAnsi="arial"/>
                <w:sz w:val="18"/>
              </w:rPr>
              <w:t>Chief Executive Officer</w:t>
            </w:r>
          </w:p>
          <w:p>
            <w:pPr>
              <w:pStyle w:val="TableContents"/>
              <w:bidi w:val="0"/>
              <w:spacing w:before="0" w:after="0"/>
              <w:jc w:val="left"/>
              <w:rPr>
                <w:rFonts w:ascii="arial" w:hAnsi="arial"/>
                <w:sz w:val="18"/>
              </w:rPr>
            </w:pPr>
            <w:r>
              <w:rPr>
                <w:rFonts w:ascii="arial" w:hAnsi="arial"/>
                <w:sz w:val="18"/>
              </w:rPr>
              <w:t>and President</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3" w:type="dxa"/>
            <w:tcBorders/>
            <w:shd w:fill="CCE2F1" w:val="cle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467" w:type="dxa"/>
            <w:tcBorders/>
            <w:shd w:fill="CCE2F1" w:val="clear"/>
            <w:vAlign w:val="center"/>
          </w:tcPr>
          <w:p>
            <w:pPr>
              <w:pStyle w:val="TableContents"/>
              <w:bidi w:val="0"/>
              <w:spacing w:before="0" w:after="0"/>
              <w:jc w:val="left"/>
              <w:rPr/>
            </w:pPr>
            <w:r>
              <w:rPr/>
              <w:t> </w:t>
            </w:r>
          </w:p>
          <w:p>
            <w:pPr>
              <w:pStyle w:val="TableContents"/>
              <w:bidi w:val="0"/>
              <w:spacing w:before="0" w:after="20"/>
              <w:jc w:val="right"/>
              <w:rPr>
                <w:rFonts w:ascii="arial" w:hAnsi="arial"/>
                <w:sz w:val="18"/>
              </w:rPr>
            </w:pPr>
            <w:r>
              <w:rPr>
                <w:rFonts w:ascii="arial" w:hAnsi="arial"/>
                <w:sz w:val="18"/>
              </w:rPr>
              <w:t>2023</w:t>
              <w:br/>
              <w:t>2022</w:t>
              <w:br/>
              <w:t>2021</w:t>
            </w:r>
          </w:p>
        </w:tc>
        <w:tc>
          <w:tcPr>
            <w:tcW w:w="60" w:type="dxa"/>
            <w:tcBorders/>
            <w:shd w:fill="CCE2F1" w:val="clear"/>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18"/>
              </w:rPr>
              <w:br/>
              <w:t> </w:t>
              <w:b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938" w:type="dxa"/>
            <w:tcBorders/>
            <w:shd w:fill="CCE2F1" w:val="clear"/>
            <w:vAlign w:val="center"/>
          </w:tcPr>
          <w:p>
            <w:pPr>
              <w:pStyle w:val="TableContents"/>
              <w:bidi w:val="0"/>
              <w:spacing w:before="0" w:after="0"/>
              <w:jc w:val="left"/>
              <w:rPr/>
            </w:pPr>
            <w:r>
              <w:rPr/>
              <w:t> </w:t>
            </w:r>
          </w:p>
          <w:p>
            <w:pPr>
              <w:pStyle w:val="TableContents"/>
              <w:bidi w:val="0"/>
              <w:spacing w:before="0" w:after="20"/>
              <w:jc w:val="right"/>
              <w:rPr>
                <w:rFonts w:ascii="arial" w:hAnsi="arial"/>
                <w:sz w:val="18"/>
              </w:rPr>
            </w:pPr>
            <w:r>
              <w:rPr>
                <w:rFonts w:ascii="arial" w:hAnsi="arial"/>
                <w:sz w:val="18"/>
              </w:rPr>
              <w:t>1,786,977  </w:t>
              <w:br/>
              <w:t>1,722,300  </w:t>
              <w:br/>
              <w:t>1,674,061  </w:t>
            </w:r>
          </w:p>
        </w:tc>
        <w:tc>
          <w:tcPr>
            <w:tcW w:w="60" w:type="dxa"/>
            <w:tcBorders/>
            <w:shd w:fill="CCE2F1" w:val="clear"/>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18"/>
              </w:rPr>
              <w:br/>
              <w:t> </w:t>
              <w:br/>
              <w:t> </w:t>
            </w:r>
          </w:p>
        </w:tc>
        <w:tc>
          <w:tcPr>
            <w:tcW w:w="60" w:type="dxa"/>
            <w:tcBorders/>
            <w:shd w:fill="CCE2F1" w:val="clear"/>
            <w:vAlign w:val="center"/>
          </w:tcPr>
          <w:p>
            <w:pPr>
              <w:pStyle w:val="TableContents"/>
              <w:bidi w:val="0"/>
              <w:spacing w:before="0" w:after="283"/>
              <w:jc w:val="left"/>
              <w:rPr/>
            </w:pPr>
            <w:r>
              <w:rPr/>
              <w:t> </w:t>
            </w:r>
          </w:p>
        </w:tc>
        <w:tc>
          <w:tcPr>
            <w:tcW w:w="186" w:type="dxa"/>
            <w:tcBorders/>
            <w:shd w:fill="CCE2F1" w:val="clear"/>
            <w:vAlign w:val="center"/>
          </w:tcPr>
          <w:p>
            <w:pPr>
              <w:pStyle w:val="TableContents"/>
              <w:bidi w:val="0"/>
              <w:spacing w:before="0" w:after="0"/>
              <w:jc w:val="left"/>
              <w:rPr/>
            </w:pPr>
            <w:r>
              <w:rPr/>
              <w:t> </w:t>
            </w:r>
          </w:p>
          <w:p>
            <w:pPr>
              <w:pStyle w:val="TableContents"/>
              <w:bidi w:val="0"/>
              <w:spacing w:before="0" w:after="0"/>
              <w:jc w:val="left"/>
              <w:rPr/>
            </w:pPr>
            <w:r>
              <w:rPr/>
              <w:t> </w:t>
            </w:r>
          </w:p>
        </w:tc>
        <w:tc>
          <w:tcPr>
            <w:tcW w:w="389" w:type="dxa"/>
            <w:tcBorders/>
            <w:shd w:fill="CCE2F1" w:val="clear"/>
            <w:vAlign w:val="center"/>
          </w:tcPr>
          <w:p>
            <w:pPr>
              <w:pStyle w:val="TableContents"/>
              <w:bidi w:val="0"/>
              <w:spacing w:before="0" w:after="0"/>
              <w:jc w:val="left"/>
              <w:rPr/>
            </w:pPr>
            <w:r>
              <w:rPr/>
              <w:t> </w:t>
            </w:r>
          </w:p>
          <w:p>
            <w:pPr>
              <w:pStyle w:val="TableContents"/>
              <w:bidi w:val="0"/>
              <w:spacing w:before="0" w:after="0"/>
              <w:jc w:val="right"/>
              <w:rPr>
                <w:rFonts w:ascii="arial" w:hAnsi="arial"/>
                <w:sz w:val="18"/>
              </w:rPr>
            </w:pPr>
            <w:r>
              <w:rPr>
                <w:rFonts w:ascii="arial" w:hAnsi="arial"/>
                <w:sz w:val="18"/>
              </w:rPr>
              <w:t>0</w:t>
            </w:r>
          </w:p>
          <w:p>
            <w:pPr>
              <w:pStyle w:val="TableContents"/>
              <w:bidi w:val="0"/>
              <w:spacing w:before="0" w:after="0"/>
              <w:jc w:val="right"/>
              <w:rPr>
                <w:rFonts w:ascii="arial" w:hAnsi="arial"/>
                <w:sz w:val="18"/>
              </w:rPr>
            </w:pPr>
            <w:r>
              <w:rPr>
                <w:rFonts w:ascii="arial" w:hAnsi="arial"/>
                <w:sz w:val="18"/>
              </w:rPr>
              <w:t>0</w:t>
            </w:r>
          </w:p>
          <w:p>
            <w:pPr>
              <w:pStyle w:val="TableContents"/>
              <w:bidi w:val="0"/>
              <w:spacing w:before="0" w:after="20"/>
              <w:jc w:val="right"/>
              <w:rPr>
                <w:rFonts w:ascii="arial" w:hAnsi="arial"/>
                <w:sz w:val="18"/>
              </w:rPr>
            </w:pPr>
            <w:r>
              <w:rPr>
                <w:rFonts w:ascii="arial" w:hAnsi="arial"/>
                <w:sz w:val="18"/>
              </w:rPr>
              <w:t>0</w:t>
            </w:r>
          </w:p>
        </w:tc>
        <w:tc>
          <w:tcPr>
            <w:tcW w:w="60" w:type="dxa"/>
            <w:tcBorders/>
            <w:shd w:fill="CCE2F1"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043" w:type="dxa"/>
            <w:tcBorders/>
            <w:shd w:fill="CCE2F1" w:val="clear"/>
            <w:vAlign w:val="center"/>
          </w:tcPr>
          <w:p>
            <w:pPr>
              <w:pStyle w:val="TableContents"/>
              <w:bidi w:val="0"/>
              <w:spacing w:before="0" w:after="0"/>
              <w:jc w:val="left"/>
              <w:rPr/>
            </w:pPr>
            <w:r>
              <w:rPr/>
              <w:t> </w:t>
            </w:r>
          </w:p>
          <w:p>
            <w:pPr>
              <w:pStyle w:val="TableContents"/>
              <w:bidi w:val="0"/>
              <w:spacing w:before="0" w:after="20"/>
              <w:jc w:val="right"/>
              <w:rPr>
                <w:rFonts w:ascii="arial" w:hAnsi="arial"/>
                <w:sz w:val="18"/>
              </w:rPr>
            </w:pPr>
            <w:r>
              <w:rPr>
                <w:rFonts w:ascii="arial" w:hAnsi="arial"/>
                <w:sz w:val="18"/>
              </w:rPr>
              <w:t>11,138,503  </w:t>
              <w:br/>
              <w:t>11,138,544  </w:t>
              <w:br/>
              <w:t>11,138,622  </w:t>
            </w:r>
          </w:p>
        </w:tc>
        <w:tc>
          <w:tcPr>
            <w:tcW w:w="60" w:type="dxa"/>
            <w:tcBorders/>
            <w:shd w:fill="CCE2F1" w:val="clear"/>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18"/>
              </w:rPr>
              <w:br/>
              <w:t> </w:t>
              <w:b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938" w:type="dxa"/>
            <w:tcBorders/>
            <w:shd w:fill="CCE2F1" w:val="clear"/>
            <w:vAlign w:val="center"/>
          </w:tcPr>
          <w:p>
            <w:pPr>
              <w:pStyle w:val="TableContents"/>
              <w:bidi w:val="0"/>
              <w:spacing w:before="0" w:after="0"/>
              <w:jc w:val="left"/>
              <w:rPr/>
            </w:pPr>
            <w:r>
              <w:rPr/>
              <w:t> </w:t>
            </w:r>
          </w:p>
          <w:p>
            <w:pPr>
              <w:pStyle w:val="TableContents"/>
              <w:bidi w:val="0"/>
              <w:spacing w:before="0" w:after="20"/>
              <w:jc w:val="right"/>
              <w:rPr>
                <w:rFonts w:ascii="arial" w:hAnsi="arial"/>
                <w:sz w:val="18"/>
              </w:rPr>
            </w:pPr>
            <w:r>
              <w:rPr>
                <w:rFonts w:ascii="arial" w:hAnsi="arial"/>
                <w:sz w:val="18"/>
              </w:rPr>
              <w:t>4,773,714  </w:t>
              <w:br/>
              <w:t>4,773,714  </w:t>
              <w:br/>
              <w:t>4,773,710  </w:t>
            </w:r>
          </w:p>
        </w:tc>
        <w:tc>
          <w:tcPr>
            <w:tcW w:w="60" w:type="dxa"/>
            <w:tcBorders/>
            <w:shd w:fill="CCE2F1" w:val="clear"/>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18"/>
              </w:rPr>
              <w:br/>
              <w:t> </w:t>
              <w:br/>
              <w:t> </w:t>
            </w:r>
          </w:p>
        </w:tc>
        <w:tc>
          <w:tcPr>
            <w:tcW w:w="60" w:type="dxa"/>
            <w:tcBorders/>
            <w:shd w:fill="CCE2F1" w:val="clear"/>
            <w:vAlign w:val="center"/>
          </w:tcPr>
          <w:p>
            <w:pPr>
              <w:pStyle w:val="TableContents"/>
              <w:bidi w:val="0"/>
              <w:spacing w:before="0" w:after="283"/>
              <w:jc w:val="left"/>
              <w:rPr/>
            </w:pPr>
            <w:r>
              <w:rPr/>
              <w:t> </w:t>
            </w:r>
          </w:p>
        </w:tc>
        <w:tc>
          <w:tcPr>
            <w:tcW w:w="73" w:type="dxa"/>
            <w:tcBorders/>
            <w:shd w:fill="CCE2F1" w:val="cle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161" w:type="dxa"/>
            <w:tcBorders/>
            <w:shd w:fill="CCE2F1" w:val="clear"/>
            <w:vAlign w:val="center"/>
          </w:tcPr>
          <w:p>
            <w:pPr>
              <w:pStyle w:val="TableContents"/>
              <w:bidi w:val="0"/>
              <w:spacing w:before="0" w:after="0"/>
              <w:jc w:val="left"/>
              <w:rPr/>
            </w:pPr>
            <w:r>
              <w:rPr/>
              <w:t> </w:t>
            </w:r>
          </w:p>
          <w:p>
            <w:pPr>
              <w:pStyle w:val="TableContents"/>
              <w:bidi w:val="0"/>
              <w:spacing w:before="0" w:after="20"/>
              <w:jc w:val="right"/>
              <w:rPr>
                <w:rFonts w:ascii="arial" w:hAnsi="arial"/>
                <w:sz w:val="18"/>
              </w:rPr>
            </w:pPr>
            <w:r>
              <w:rPr>
                <w:rFonts w:ascii="arial" w:hAnsi="arial"/>
                <w:sz w:val="18"/>
              </w:rPr>
              <w:t>4,264,000  </w:t>
              <w:br/>
              <w:t>3,122,000  </w:t>
              <w:br/>
              <w:t>3,420,000  </w:t>
            </w:r>
          </w:p>
        </w:tc>
        <w:tc>
          <w:tcPr>
            <w:tcW w:w="60" w:type="dxa"/>
            <w:tcBorders/>
            <w:shd w:fill="CCE2F1" w:val="clear"/>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18"/>
              </w:rPr>
              <w:br/>
              <w:t> </w:t>
              <w:br/>
              <w:t> </w:t>
            </w:r>
          </w:p>
        </w:tc>
        <w:tc>
          <w:tcPr>
            <w:tcW w:w="60" w:type="dxa"/>
            <w:tcBorders/>
            <w:shd w:fill="CCE2F1" w:val="clear"/>
            <w:vAlign w:val="center"/>
          </w:tcPr>
          <w:p>
            <w:pPr>
              <w:pStyle w:val="TableContents"/>
              <w:bidi w:val="0"/>
              <w:spacing w:before="0" w:after="283"/>
              <w:jc w:val="left"/>
              <w:rPr/>
            </w:pPr>
            <w:r>
              <w:rPr/>
              <w:t> </w:t>
            </w:r>
          </w:p>
        </w:tc>
        <w:tc>
          <w:tcPr>
            <w:tcW w:w="90" w:type="dxa"/>
            <w:tcBorders/>
            <w:shd w:fill="CCE2F1" w:val="cle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189" w:type="dxa"/>
            <w:tcBorders/>
            <w:shd w:fill="CCE2F1" w:val="clear"/>
            <w:vAlign w:val="center"/>
          </w:tcPr>
          <w:p>
            <w:pPr>
              <w:pStyle w:val="TableContents"/>
              <w:bidi w:val="0"/>
              <w:spacing w:before="0" w:after="0"/>
              <w:jc w:val="left"/>
              <w:rPr/>
            </w:pPr>
            <w:r>
              <w:rPr/>
              <w:t> </w:t>
            </w:r>
          </w:p>
          <w:p>
            <w:pPr>
              <w:pStyle w:val="TableContents"/>
              <w:bidi w:val="0"/>
              <w:spacing w:before="0" w:after="20"/>
              <w:jc w:val="right"/>
              <w:rPr>
                <w:rFonts w:ascii="arial" w:hAnsi="arial"/>
                <w:sz w:val="18"/>
              </w:rPr>
            </w:pPr>
            <w:r>
              <w:rPr>
                <w:rFonts w:ascii="arial" w:hAnsi="arial"/>
                <w:sz w:val="18"/>
              </w:rPr>
              <w:t>680,456  </w:t>
              <w:br/>
              <w:t>643,175  </w:t>
              <w:br/>
              <w:t>714,761  </w:t>
            </w:r>
          </w:p>
        </w:tc>
        <w:tc>
          <w:tcPr>
            <w:tcW w:w="60" w:type="dxa"/>
            <w:tcBorders/>
            <w:shd w:fill="CCE2F1" w:val="clear"/>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18"/>
              </w:rPr>
              <w:br/>
              <w:t> </w:t>
              <w:b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950" w:type="dxa"/>
            <w:tcBorders/>
            <w:shd w:fill="CCE2F1" w:val="clear"/>
            <w:vAlign w:val="center"/>
          </w:tcPr>
          <w:p>
            <w:pPr>
              <w:pStyle w:val="TableContents"/>
              <w:bidi w:val="0"/>
              <w:spacing w:before="0" w:after="0"/>
              <w:jc w:val="left"/>
              <w:rPr/>
            </w:pPr>
            <w:r>
              <w:rPr/>
              <w:t> </w:t>
            </w:r>
          </w:p>
          <w:p>
            <w:pPr>
              <w:pStyle w:val="TableContents"/>
              <w:bidi w:val="0"/>
              <w:spacing w:before="0" w:after="20"/>
              <w:jc w:val="right"/>
              <w:rPr>
                <w:rFonts w:ascii="arial" w:hAnsi="arial"/>
                <w:sz w:val="18"/>
              </w:rPr>
            </w:pPr>
            <w:r>
              <w:rPr>
                <w:rFonts w:ascii="arial" w:hAnsi="arial"/>
                <w:sz w:val="18"/>
              </w:rPr>
              <w:t>22,643,650</w:t>
              <w:br/>
              <w:t>21,399,733</w:t>
              <w:br/>
              <w:t>21,721,154</w:t>
            </w:r>
          </w:p>
        </w:tc>
        <w:tc>
          <w:tcPr>
            <w:tcW w:w="80" w:type="dxa"/>
            <w:tcBorders/>
            <w:shd w:fill="CCE2F1" w:val="clear"/>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18"/>
              </w:rPr>
              <w:br/>
              <w:t> </w:t>
              <w:br/>
              <w:t> </w:t>
            </w:r>
          </w:p>
        </w:tc>
      </w:tr>
      <w:tr>
        <w:trPr/>
        <w:tc>
          <w:tcPr>
            <w:tcW w:w="1498" w:type="dxa"/>
            <w:tcBorders/>
            <w:vAlign w:val="center"/>
          </w:tcPr>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Murdo Gordon</w:t>
            </w:r>
          </w:p>
          <w:p>
            <w:pPr>
              <w:pStyle w:val="TableContents"/>
              <w:bidi w:val="0"/>
              <w:spacing w:before="0" w:after="0"/>
              <w:jc w:val="left"/>
              <w:rPr>
                <w:rFonts w:ascii="arial" w:hAnsi="arial"/>
                <w:sz w:val="18"/>
              </w:rPr>
            </w:pPr>
            <w:r>
              <w:rPr>
                <w:rFonts w:ascii="arial" w:hAnsi="arial"/>
                <w:sz w:val="18"/>
              </w:rPr>
              <w:t>EVP, Global</w:t>
            </w:r>
          </w:p>
          <w:p>
            <w:pPr>
              <w:pStyle w:val="TableContents"/>
              <w:bidi w:val="0"/>
              <w:spacing w:before="0" w:after="0"/>
              <w:jc w:val="left"/>
              <w:rPr>
                <w:rFonts w:ascii="arial" w:hAnsi="arial"/>
                <w:sz w:val="18"/>
              </w:rPr>
            </w:pPr>
            <w:r>
              <w:rPr>
                <w:rFonts w:ascii="arial" w:hAnsi="arial"/>
                <w:sz w:val="18"/>
              </w:rPr>
              <w:t>Commercial Operations</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pPr>
            <w:r>
              <w:rPr/>
              <w:t> </w:t>
            </w:r>
          </w:p>
          <w:p>
            <w:pPr>
              <w:pStyle w:val="TableContents"/>
              <w:bidi w:val="0"/>
              <w:spacing w:before="0" w:after="20"/>
              <w:jc w:val="left"/>
              <w:rPr/>
            </w:pPr>
            <w:r>
              <w:rPr/>
              <w:t> </w:t>
            </w:r>
          </w:p>
        </w:tc>
        <w:tc>
          <w:tcPr>
            <w:tcW w:w="467"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sz w:val="18"/>
              </w:rPr>
            </w:pPr>
            <w:r>
              <w:rPr>
                <w:rFonts w:ascii="arial" w:hAnsi="arial"/>
                <w:sz w:val="18"/>
              </w:rPr>
              <w:t>2023</w:t>
              <w:br/>
              <w:t>2022</w:t>
              <w:br/>
              <w:t>2021</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18"/>
              </w:rPr>
              <w:br/>
              <w:t> </w:t>
              <w:b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pPr>
            <w:r>
              <w:rPr/>
              <w:t> </w:t>
            </w:r>
          </w:p>
        </w:tc>
        <w:tc>
          <w:tcPr>
            <w:tcW w:w="938"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sz w:val="18"/>
              </w:rPr>
            </w:pPr>
            <w:r>
              <w:rPr>
                <w:rFonts w:ascii="arial" w:hAnsi="arial"/>
                <w:sz w:val="18"/>
              </w:rPr>
              <w:t>1,144,623  </w:t>
              <w:br/>
              <w:t>1,103,277  </w:t>
              <w:br/>
              <w:t>1,072,595  </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18"/>
              </w:rPr>
              <w:br/>
              <w:t> </w:t>
              <w:br/>
              <w:t> </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0"/>
              <w:jc w:val="left"/>
              <w:rPr/>
            </w:pPr>
            <w:r>
              <w:rPr/>
              <w:t> </w:t>
            </w:r>
          </w:p>
          <w:p>
            <w:pPr>
              <w:pStyle w:val="TableContents"/>
              <w:bidi w:val="0"/>
              <w:spacing w:before="0" w:after="0"/>
              <w:jc w:val="left"/>
              <w:rPr/>
            </w:pPr>
            <w:r>
              <w:rPr/>
              <w:t> </w:t>
            </w:r>
          </w:p>
        </w:tc>
        <w:tc>
          <w:tcPr>
            <w:tcW w:w="389" w:type="dxa"/>
            <w:tcBorders/>
            <w:vAlign w:val="center"/>
          </w:tcPr>
          <w:p>
            <w:pPr>
              <w:pStyle w:val="TableContents"/>
              <w:bidi w:val="0"/>
              <w:spacing w:before="0" w:after="0"/>
              <w:jc w:val="left"/>
              <w:rPr/>
            </w:pPr>
            <w:r>
              <w:rPr/>
              <w:t> </w:t>
            </w:r>
          </w:p>
          <w:p>
            <w:pPr>
              <w:pStyle w:val="TableContents"/>
              <w:bidi w:val="0"/>
              <w:spacing w:before="0" w:after="0"/>
              <w:jc w:val="right"/>
              <w:rPr>
                <w:rFonts w:ascii="arial" w:hAnsi="arial"/>
                <w:sz w:val="18"/>
              </w:rPr>
            </w:pPr>
            <w:r>
              <w:rPr>
                <w:rFonts w:ascii="arial" w:hAnsi="arial"/>
                <w:sz w:val="18"/>
              </w:rPr>
              <w:t>0</w:t>
            </w:r>
          </w:p>
          <w:p>
            <w:pPr>
              <w:pStyle w:val="TableContents"/>
              <w:bidi w:val="0"/>
              <w:spacing w:before="0" w:after="0"/>
              <w:jc w:val="right"/>
              <w:rPr>
                <w:rFonts w:ascii="arial" w:hAnsi="arial"/>
                <w:sz w:val="18"/>
              </w:rPr>
            </w:pPr>
            <w:r>
              <w:rPr>
                <w:rFonts w:ascii="arial" w:hAnsi="arial"/>
                <w:sz w:val="18"/>
              </w:rPr>
              <w:t>0</w:t>
            </w:r>
          </w:p>
          <w:p>
            <w:pPr>
              <w:pStyle w:val="TableContents"/>
              <w:bidi w:val="0"/>
              <w:spacing w:before="0" w:after="20"/>
              <w:jc w:val="right"/>
              <w:rPr>
                <w:rFonts w:ascii="arial" w:hAnsi="arial"/>
                <w:sz w:val="18"/>
              </w:rPr>
            </w:pPr>
            <w:r>
              <w:rPr>
                <w:rFonts w:ascii="arial" w:hAnsi="arial"/>
                <w:sz w:val="18"/>
              </w:rPr>
              <w:t>0</w:t>
            </w:r>
          </w:p>
        </w:tc>
        <w:tc>
          <w:tcPr>
            <w:tcW w:w="60"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pPr>
            <w:r>
              <w:rPr/>
              <w:t> </w:t>
            </w:r>
          </w:p>
        </w:tc>
        <w:tc>
          <w:tcPr>
            <w:tcW w:w="1043"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sz w:val="18"/>
              </w:rPr>
            </w:pPr>
            <w:r>
              <w:rPr>
                <w:rFonts w:ascii="arial" w:hAnsi="arial"/>
                <w:sz w:val="18"/>
              </w:rPr>
              <w:t>3,499,708  </w:t>
              <w:br/>
              <w:t>3,499,679  </w:t>
              <w:br/>
              <w:t>3,499,717  </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18"/>
              </w:rPr>
              <w:br/>
              <w:t> </w:t>
              <w:b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pPr>
            <w:r>
              <w:rPr/>
              <w:t> </w:t>
            </w:r>
          </w:p>
        </w:tc>
        <w:tc>
          <w:tcPr>
            <w:tcW w:w="938"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sz w:val="18"/>
              </w:rPr>
            </w:pPr>
            <w:r>
              <w:rPr>
                <w:rFonts w:ascii="arial" w:hAnsi="arial"/>
                <w:sz w:val="18"/>
              </w:rPr>
              <w:t>1,499,969  </w:t>
              <w:br/>
              <w:t>1,499,985  </w:t>
              <w:br/>
              <w:t>1,499,963  </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18"/>
              </w:rPr>
              <w:br/>
              <w:t> </w:t>
              <w:b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0"/>
              <w:jc w:val="left"/>
              <w:rPr/>
            </w:pPr>
            <w:r>
              <w:rPr/>
              <w:t> </w:t>
            </w:r>
          </w:p>
          <w:p>
            <w:pPr>
              <w:pStyle w:val="TableContents"/>
              <w:bidi w:val="0"/>
              <w:spacing w:before="0" w:after="20"/>
              <w:jc w:val="left"/>
              <w:rPr/>
            </w:pPr>
            <w:r>
              <w:rPr/>
              <w:t> </w:t>
            </w:r>
          </w:p>
        </w:tc>
        <w:tc>
          <w:tcPr>
            <w:tcW w:w="1161"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sz w:val="18"/>
              </w:rPr>
            </w:pPr>
            <w:r>
              <w:rPr>
                <w:rFonts w:ascii="arial" w:hAnsi="arial"/>
                <w:sz w:val="18"/>
              </w:rPr>
              <w:t>1,821,000  </w:t>
              <w:br/>
              <w:t>1,333,000  </w:t>
              <w:br/>
              <w:t>1,461,000  </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18"/>
              </w:rPr>
              <w:br/>
              <w:t> </w:t>
              <w:b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0"/>
              <w:jc w:val="left"/>
              <w:rPr/>
            </w:pPr>
            <w:r>
              <w:rPr/>
              <w:t> </w:t>
            </w:r>
          </w:p>
          <w:p>
            <w:pPr>
              <w:pStyle w:val="TableContents"/>
              <w:bidi w:val="0"/>
              <w:spacing w:before="0" w:after="20"/>
              <w:jc w:val="left"/>
              <w:rPr/>
            </w:pPr>
            <w:r>
              <w:rPr/>
              <w:t> </w:t>
            </w:r>
          </w:p>
        </w:tc>
        <w:tc>
          <w:tcPr>
            <w:tcW w:w="1189"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sz w:val="18"/>
              </w:rPr>
            </w:pPr>
            <w:r>
              <w:rPr>
                <w:rFonts w:ascii="arial" w:hAnsi="arial"/>
                <w:sz w:val="18"/>
              </w:rPr>
              <w:t>277,511  </w:t>
              <w:br/>
              <w:t>281,285  </w:t>
              <w:br/>
              <w:t>286,909  </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18"/>
              </w:rPr>
              <w:br/>
              <w:t> </w:t>
              <w:b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pPr>
            <w:r>
              <w:rPr/>
              <w:t> </w:t>
            </w:r>
          </w:p>
        </w:tc>
        <w:tc>
          <w:tcPr>
            <w:tcW w:w="950"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sz w:val="18"/>
              </w:rPr>
            </w:pPr>
            <w:r>
              <w:rPr>
                <w:rFonts w:ascii="arial" w:hAnsi="arial"/>
                <w:sz w:val="18"/>
              </w:rPr>
              <w:t>8,242,811</w:t>
              <w:br/>
              <w:t>7,717,226</w:t>
              <w:br/>
              <w:t>7,820,184</w:t>
            </w:r>
          </w:p>
        </w:tc>
        <w:tc>
          <w:tcPr>
            <w:tcW w:w="80" w:type="dxa"/>
            <w:tcBorders/>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18"/>
              </w:rPr>
              <w:br/>
              <w:t> </w:t>
              <w:br/>
              <w:t> </w:t>
            </w:r>
          </w:p>
        </w:tc>
      </w:tr>
      <w:tr>
        <w:trPr/>
        <w:tc>
          <w:tcPr>
            <w:tcW w:w="1498" w:type="dxa"/>
            <w:tcBorders/>
            <w:shd w:fill="CCE2F1" w:val="clear"/>
            <w:vAlign w:val="center"/>
          </w:tcPr>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David M. Reese</w:t>
            </w:r>
          </w:p>
          <w:p>
            <w:pPr>
              <w:pStyle w:val="TableContents"/>
              <w:bidi w:val="0"/>
              <w:spacing w:before="0" w:after="0"/>
              <w:jc w:val="left"/>
              <w:rPr>
                <w:rFonts w:ascii="arial" w:hAnsi="arial"/>
                <w:sz w:val="18"/>
              </w:rPr>
            </w:pPr>
            <w:r>
              <w:rPr>
                <w:rFonts w:ascii="arial" w:hAnsi="arial"/>
                <w:sz w:val="18"/>
              </w:rPr>
              <w:t>EVP and Chief Technology Officer</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3" w:type="dxa"/>
            <w:tcBorders/>
            <w:shd w:fill="CCE2F1" w:val="cle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467" w:type="dxa"/>
            <w:tcBorders/>
            <w:shd w:fill="CCE2F1" w:val="clear"/>
            <w:vAlign w:val="center"/>
          </w:tcPr>
          <w:p>
            <w:pPr>
              <w:pStyle w:val="TableContents"/>
              <w:bidi w:val="0"/>
              <w:spacing w:before="0" w:after="0"/>
              <w:jc w:val="left"/>
              <w:rPr/>
            </w:pPr>
            <w:r>
              <w:rPr/>
              <w:t> </w:t>
            </w:r>
          </w:p>
          <w:p>
            <w:pPr>
              <w:pStyle w:val="TableContents"/>
              <w:bidi w:val="0"/>
              <w:spacing w:before="0" w:after="20"/>
              <w:jc w:val="right"/>
              <w:rPr>
                <w:rFonts w:ascii="arial" w:hAnsi="arial"/>
                <w:sz w:val="18"/>
              </w:rPr>
            </w:pPr>
            <w:r>
              <w:rPr>
                <w:rFonts w:ascii="arial" w:hAnsi="arial"/>
                <w:sz w:val="18"/>
              </w:rPr>
              <w:t>2023</w:t>
              <w:br/>
              <w:t>2022</w:t>
              <w:br/>
              <w:t>2021</w:t>
            </w:r>
          </w:p>
        </w:tc>
        <w:tc>
          <w:tcPr>
            <w:tcW w:w="60" w:type="dxa"/>
            <w:tcBorders/>
            <w:shd w:fill="CCE2F1" w:val="clear"/>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18"/>
              </w:rPr>
              <w:br/>
              <w:t> </w:t>
              <w:b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938" w:type="dxa"/>
            <w:tcBorders/>
            <w:shd w:fill="CCE2F1" w:val="clear"/>
            <w:vAlign w:val="center"/>
          </w:tcPr>
          <w:p>
            <w:pPr>
              <w:pStyle w:val="TableContents"/>
              <w:bidi w:val="0"/>
              <w:spacing w:before="0" w:after="0"/>
              <w:jc w:val="left"/>
              <w:rPr/>
            </w:pPr>
            <w:r>
              <w:rPr/>
              <w:t> </w:t>
            </w:r>
          </w:p>
          <w:p>
            <w:pPr>
              <w:pStyle w:val="TableContents"/>
              <w:bidi w:val="0"/>
              <w:spacing w:before="0" w:after="20"/>
              <w:jc w:val="right"/>
              <w:rPr>
                <w:rFonts w:ascii="arial" w:hAnsi="arial"/>
                <w:sz w:val="18"/>
              </w:rPr>
            </w:pPr>
            <w:r>
              <w:rPr>
                <w:rFonts w:ascii="arial" w:hAnsi="arial"/>
                <w:sz w:val="18"/>
              </w:rPr>
              <w:t>1,212,823  </w:t>
              <w:br/>
              <w:t>1,158,846  </w:t>
              <w:br/>
              <w:t>1,065,127  </w:t>
            </w:r>
          </w:p>
        </w:tc>
        <w:tc>
          <w:tcPr>
            <w:tcW w:w="60" w:type="dxa"/>
            <w:tcBorders/>
            <w:shd w:fill="CCE2F1" w:val="clear"/>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18"/>
              </w:rPr>
              <w:br/>
              <w:t> </w:t>
              <w:br/>
              <w:t> </w:t>
            </w:r>
          </w:p>
        </w:tc>
        <w:tc>
          <w:tcPr>
            <w:tcW w:w="60" w:type="dxa"/>
            <w:tcBorders/>
            <w:shd w:fill="CCE2F1" w:val="clear"/>
            <w:vAlign w:val="center"/>
          </w:tcPr>
          <w:p>
            <w:pPr>
              <w:pStyle w:val="TableContents"/>
              <w:bidi w:val="0"/>
              <w:spacing w:before="0" w:after="283"/>
              <w:jc w:val="left"/>
              <w:rPr/>
            </w:pPr>
            <w:r>
              <w:rPr/>
              <w:t> </w:t>
            </w:r>
          </w:p>
        </w:tc>
        <w:tc>
          <w:tcPr>
            <w:tcW w:w="186" w:type="dxa"/>
            <w:tcBorders/>
            <w:shd w:fill="CCE2F1" w:val="clear"/>
            <w:vAlign w:val="center"/>
          </w:tcPr>
          <w:p>
            <w:pPr>
              <w:pStyle w:val="TableContents"/>
              <w:bidi w:val="0"/>
              <w:spacing w:before="0" w:after="0"/>
              <w:jc w:val="left"/>
              <w:rPr/>
            </w:pPr>
            <w:r>
              <w:rPr/>
              <w:t> </w:t>
            </w:r>
          </w:p>
          <w:p>
            <w:pPr>
              <w:pStyle w:val="TableContents"/>
              <w:bidi w:val="0"/>
              <w:spacing w:before="0" w:after="0"/>
              <w:jc w:val="left"/>
              <w:rPr/>
            </w:pPr>
            <w:r>
              <w:rPr/>
              <w:t> </w:t>
            </w:r>
          </w:p>
        </w:tc>
        <w:tc>
          <w:tcPr>
            <w:tcW w:w="389" w:type="dxa"/>
            <w:tcBorders/>
            <w:shd w:fill="CCE2F1" w:val="clear"/>
            <w:vAlign w:val="center"/>
          </w:tcPr>
          <w:p>
            <w:pPr>
              <w:pStyle w:val="TableContents"/>
              <w:bidi w:val="0"/>
              <w:spacing w:before="0" w:after="0"/>
              <w:jc w:val="left"/>
              <w:rPr/>
            </w:pPr>
            <w:r>
              <w:rPr/>
              <w:t> </w:t>
            </w:r>
          </w:p>
          <w:p>
            <w:pPr>
              <w:pStyle w:val="TableContents"/>
              <w:bidi w:val="0"/>
              <w:spacing w:before="0" w:after="0"/>
              <w:jc w:val="right"/>
              <w:rPr>
                <w:rFonts w:ascii="arial" w:hAnsi="arial"/>
                <w:sz w:val="18"/>
              </w:rPr>
            </w:pPr>
            <w:r>
              <w:rPr>
                <w:rFonts w:ascii="arial" w:hAnsi="arial"/>
                <w:sz w:val="18"/>
              </w:rPr>
              <w:t>0</w:t>
            </w:r>
          </w:p>
          <w:p>
            <w:pPr>
              <w:pStyle w:val="TableContents"/>
              <w:bidi w:val="0"/>
              <w:spacing w:before="0" w:after="0"/>
              <w:jc w:val="right"/>
              <w:rPr>
                <w:rFonts w:ascii="arial" w:hAnsi="arial"/>
                <w:sz w:val="18"/>
              </w:rPr>
            </w:pPr>
            <w:r>
              <w:rPr>
                <w:rFonts w:ascii="arial" w:hAnsi="arial"/>
                <w:sz w:val="18"/>
              </w:rPr>
              <w:t>0</w:t>
            </w:r>
          </w:p>
          <w:p>
            <w:pPr>
              <w:pStyle w:val="TableContents"/>
              <w:bidi w:val="0"/>
              <w:spacing w:before="0" w:after="20"/>
              <w:jc w:val="right"/>
              <w:rPr>
                <w:rFonts w:ascii="arial" w:hAnsi="arial"/>
                <w:sz w:val="18"/>
              </w:rPr>
            </w:pPr>
            <w:r>
              <w:rPr>
                <w:rFonts w:ascii="arial" w:hAnsi="arial"/>
                <w:sz w:val="18"/>
              </w:rPr>
              <w:t>0</w:t>
            </w:r>
          </w:p>
        </w:tc>
        <w:tc>
          <w:tcPr>
            <w:tcW w:w="60" w:type="dxa"/>
            <w:tcBorders/>
            <w:shd w:fill="CCE2F1"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043" w:type="dxa"/>
            <w:tcBorders/>
            <w:shd w:fill="CCE2F1" w:val="clear"/>
            <w:vAlign w:val="center"/>
          </w:tcPr>
          <w:p>
            <w:pPr>
              <w:pStyle w:val="TableContents"/>
              <w:bidi w:val="0"/>
              <w:spacing w:before="0" w:after="0"/>
              <w:jc w:val="left"/>
              <w:rPr/>
            </w:pPr>
            <w:r>
              <w:rPr/>
              <w:t> </w:t>
            </w:r>
          </w:p>
          <w:p>
            <w:pPr>
              <w:pStyle w:val="TableContents"/>
              <w:bidi w:val="0"/>
              <w:spacing w:before="0" w:after="20"/>
              <w:jc w:val="right"/>
              <w:rPr>
                <w:rFonts w:ascii="arial" w:hAnsi="arial"/>
                <w:sz w:val="18"/>
              </w:rPr>
            </w:pPr>
            <w:r>
              <w:rPr>
                <w:rFonts w:ascii="arial" w:hAnsi="arial"/>
                <w:sz w:val="18"/>
              </w:rPr>
              <w:t>3,149,928  </w:t>
              <w:br/>
              <w:t>3,149,736  </w:t>
              <w:br/>
              <w:t>3,359,848  </w:t>
            </w:r>
          </w:p>
        </w:tc>
        <w:tc>
          <w:tcPr>
            <w:tcW w:w="60" w:type="dxa"/>
            <w:tcBorders/>
            <w:shd w:fill="CCE2F1" w:val="clear"/>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18"/>
              </w:rPr>
              <w:br/>
              <w:t> </w:t>
              <w:b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938" w:type="dxa"/>
            <w:tcBorders/>
            <w:shd w:fill="CCE2F1" w:val="clear"/>
            <w:vAlign w:val="center"/>
          </w:tcPr>
          <w:p>
            <w:pPr>
              <w:pStyle w:val="TableContents"/>
              <w:bidi w:val="0"/>
              <w:spacing w:before="0" w:after="0"/>
              <w:jc w:val="left"/>
              <w:rPr/>
            </w:pPr>
            <w:r>
              <w:rPr/>
              <w:t> </w:t>
            </w:r>
          </w:p>
          <w:p>
            <w:pPr>
              <w:pStyle w:val="TableContents"/>
              <w:bidi w:val="0"/>
              <w:spacing w:before="0" w:after="20"/>
              <w:jc w:val="right"/>
              <w:rPr>
                <w:rFonts w:ascii="arial" w:hAnsi="arial"/>
                <w:sz w:val="18"/>
              </w:rPr>
            </w:pPr>
            <w:r>
              <w:rPr>
                <w:rFonts w:ascii="arial" w:hAnsi="arial"/>
                <w:sz w:val="18"/>
              </w:rPr>
              <w:t>1,349,985  </w:t>
              <w:br/>
              <w:t>1,349,995  </w:t>
              <w:br/>
              <w:t>1,439,975  </w:t>
            </w:r>
          </w:p>
        </w:tc>
        <w:tc>
          <w:tcPr>
            <w:tcW w:w="60" w:type="dxa"/>
            <w:tcBorders/>
            <w:shd w:fill="CCE2F1" w:val="clear"/>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18"/>
              </w:rPr>
              <w:br/>
              <w:t> </w:t>
              <w:br/>
              <w:t> </w:t>
            </w:r>
          </w:p>
        </w:tc>
        <w:tc>
          <w:tcPr>
            <w:tcW w:w="60" w:type="dxa"/>
            <w:tcBorders/>
            <w:shd w:fill="CCE2F1" w:val="clear"/>
            <w:vAlign w:val="center"/>
          </w:tcPr>
          <w:p>
            <w:pPr>
              <w:pStyle w:val="TableContents"/>
              <w:bidi w:val="0"/>
              <w:spacing w:before="0" w:after="283"/>
              <w:jc w:val="left"/>
              <w:rPr/>
            </w:pPr>
            <w:r>
              <w:rPr/>
              <w:t> </w:t>
            </w:r>
          </w:p>
        </w:tc>
        <w:tc>
          <w:tcPr>
            <w:tcW w:w="73" w:type="dxa"/>
            <w:tcBorders/>
            <w:shd w:fill="CCE2F1" w:val="cle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161" w:type="dxa"/>
            <w:tcBorders/>
            <w:shd w:fill="CCE2F1" w:val="clear"/>
            <w:vAlign w:val="center"/>
          </w:tcPr>
          <w:p>
            <w:pPr>
              <w:pStyle w:val="TableContents"/>
              <w:bidi w:val="0"/>
              <w:spacing w:before="0" w:after="0"/>
              <w:jc w:val="left"/>
              <w:rPr/>
            </w:pPr>
            <w:r>
              <w:rPr/>
              <w:t> </w:t>
            </w:r>
          </w:p>
          <w:p>
            <w:pPr>
              <w:pStyle w:val="TableContents"/>
              <w:bidi w:val="0"/>
              <w:spacing w:before="0" w:after="20"/>
              <w:jc w:val="right"/>
              <w:rPr>
                <w:rFonts w:ascii="arial" w:hAnsi="arial"/>
                <w:sz w:val="18"/>
              </w:rPr>
            </w:pPr>
            <w:r>
              <w:rPr>
                <w:rFonts w:ascii="arial" w:hAnsi="arial"/>
                <w:sz w:val="18"/>
              </w:rPr>
              <w:t>1,929,000  </w:t>
              <w:br/>
              <w:t>1,397,000  </w:t>
              <w:br/>
              <w:t>1,449,000  </w:t>
            </w:r>
          </w:p>
        </w:tc>
        <w:tc>
          <w:tcPr>
            <w:tcW w:w="60" w:type="dxa"/>
            <w:tcBorders/>
            <w:shd w:fill="CCE2F1" w:val="clear"/>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18"/>
              </w:rPr>
              <w:br/>
              <w:t> </w:t>
              <w:br/>
              <w:t> </w:t>
            </w:r>
          </w:p>
        </w:tc>
        <w:tc>
          <w:tcPr>
            <w:tcW w:w="60" w:type="dxa"/>
            <w:tcBorders/>
            <w:shd w:fill="CCE2F1" w:val="clear"/>
            <w:vAlign w:val="center"/>
          </w:tcPr>
          <w:p>
            <w:pPr>
              <w:pStyle w:val="TableContents"/>
              <w:bidi w:val="0"/>
              <w:spacing w:before="0" w:after="283"/>
              <w:jc w:val="left"/>
              <w:rPr/>
            </w:pPr>
            <w:r>
              <w:rPr/>
              <w:t> </w:t>
            </w:r>
          </w:p>
        </w:tc>
        <w:tc>
          <w:tcPr>
            <w:tcW w:w="90" w:type="dxa"/>
            <w:tcBorders/>
            <w:shd w:fill="CCE2F1" w:val="cle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189" w:type="dxa"/>
            <w:tcBorders/>
            <w:shd w:fill="CCE2F1" w:val="clear"/>
            <w:vAlign w:val="center"/>
          </w:tcPr>
          <w:p>
            <w:pPr>
              <w:pStyle w:val="TableContents"/>
              <w:bidi w:val="0"/>
              <w:spacing w:before="0" w:after="0"/>
              <w:jc w:val="left"/>
              <w:rPr/>
            </w:pPr>
            <w:r>
              <w:rPr/>
              <w:t> </w:t>
            </w:r>
          </w:p>
          <w:p>
            <w:pPr>
              <w:pStyle w:val="TableContents"/>
              <w:bidi w:val="0"/>
              <w:spacing w:before="0" w:after="20"/>
              <w:jc w:val="right"/>
              <w:rPr>
                <w:rFonts w:ascii="arial" w:hAnsi="arial"/>
                <w:sz w:val="18"/>
              </w:rPr>
            </w:pPr>
            <w:r>
              <w:rPr>
                <w:rFonts w:ascii="arial" w:hAnsi="arial"/>
                <w:sz w:val="18"/>
              </w:rPr>
              <w:t>260,919  </w:t>
              <w:br/>
              <w:t>277,547  </w:t>
              <w:br/>
              <w:t>271,734  </w:t>
            </w:r>
          </w:p>
        </w:tc>
        <w:tc>
          <w:tcPr>
            <w:tcW w:w="60" w:type="dxa"/>
            <w:tcBorders/>
            <w:shd w:fill="CCE2F1" w:val="clear"/>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18"/>
              </w:rPr>
              <w:br/>
              <w:t> </w:t>
              <w:b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950" w:type="dxa"/>
            <w:tcBorders/>
            <w:shd w:fill="CCE2F1" w:val="clear"/>
            <w:vAlign w:val="center"/>
          </w:tcPr>
          <w:p>
            <w:pPr>
              <w:pStyle w:val="TableContents"/>
              <w:bidi w:val="0"/>
              <w:spacing w:before="0" w:after="0"/>
              <w:jc w:val="left"/>
              <w:rPr/>
            </w:pPr>
            <w:r>
              <w:rPr/>
              <w:t> </w:t>
            </w:r>
          </w:p>
          <w:p>
            <w:pPr>
              <w:pStyle w:val="TableContents"/>
              <w:bidi w:val="0"/>
              <w:spacing w:before="0" w:after="20"/>
              <w:jc w:val="right"/>
              <w:rPr>
                <w:rFonts w:ascii="arial" w:hAnsi="arial"/>
                <w:sz w:val="18"/>
              </w:rPr>
            </w:pPr>
            <w:r>
              <w:rPr>
                <w:rFonts w:ascii="arial" w:hAnsi="arial"/>
                <w:sz w:val="18"/>
              </w:rPr>
              <w:t>7,902,655</w:t>
              <w:br/>
              <w:t>7,333,124</w:t>
              <w:br/>
              <w:t>7,585,684</w:t>
            </w:r>
          </w:p>
        </w:tc>
        <w:tc>
          <w:tcPr>
            <w:tcW w:w="80" w:type="dxa"/>
            <w:tcBorders/>
            <w:shd w:fill="CCE2F1" w:val="clear"/>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18"/>
              </w:rPr>
              <w:br/>
              <w:t> </w:t>
              <w:br/>
              <w:t> </w:t>
            </w:r>
          </w:p>
        </w:tc>
      </w:tr>
      <w:tr>
        <w:trPr/>
        <w:tc>
          <w:tcPr>
            <w:tcW w:w="1498" w:type="dxa"/>
            <w:tcBorders/>
            <w:vAlign w:val="center"/>
          </w:tcPr>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Peter H. Griffith</w:t>
            </w:r>
          </w:p>
          <w:p>
            <w:pPr>
              <w:pStyle w:val="TableContents"/>
              <w:bidi w:val="0"/>
              <w:spacing w:before="0" w:after="0"/>
              <w:jc w:val="left"/>
              <w:rPr>
                <w:rFonts w:ascii="arial" w:hAnsi="arial"/>
                <w:sz w:val="18"/>
              </w:rPr>
            </w:pPr>
            <w:r>
              <w:rPr>
                <w:rFonts w:ascii="arial" w:hAnsi="arial"/>
                <w:sz w:val="18"/>
              </w:rPr>
              <w:t>EVP and Chief Financial Officer</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pPr>
            <w:r>
              <w:rPr/>
              <w:t> </w:t>
            </w:r>
          </w:p>
          <w:p>
            <w:pPr>
              <w:pStyle w:val="TableContents"/>
              <w:bidi w:val="0"/>
              <w:spacing w:before="0" w:after="20"/>
              <w:jc w:val="left"/>
              <w:rPr/>
            </w:pPr>
            <w:r>
              <w:rPr/>
              <w:t> </w:t>
            </w:r>
          </w:p>
        </w:tc>
        <w:tc>
          <w:tcPr>
            <w:tcW w:w="467"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sz w:val="18"/>
              </w:rPr>
            </w:pPr>
            <w:r>
              <w:rPr>
                <w:rFonts w:ascii="arial" w:hAnsi="arial"/>
                <w:sz w:val="18"/>
              </w:rPr>
              <w:t>2023</w:t>
              <w:br/>
              <w:t>2022</w:t>
              <w:br/>
              <w:t>2021</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18"/>
              </w:rPr>
              <w:br/>
              <w:t> </w:t>
              <w:b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pPr>
            <w:r>
              <w:rPr/>
              <w:t> </w:t>
            </w:r>
          </w:p>
        </w:tc>
        <w:tc>
          <w:tcPr>
            <w:tcW w:w="938"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sz w:val="18"/>
              </w:rPr>
            </w:pPr>
            <w:r>
              <w:rPr>
                <w:rFonts w:ascii="arial" w:hAnsi="arial"/>
                <w:sz w:val="18"/>
              </w:rPr>
              <w:t>1,083,762  </w:t>
              <w:br/>
              <w:t>1,044,492  </w:t>
              <w:br/>
              <w:t>1,014,963  </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18"/>
              </w:rPr>
              <w:br/>
              <w:t> </w:t>
              <w:br/>
              <w:t> </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0"/>
              <w:jc w:val="left"/>
              <w:rPr/>
            </w:pPr>
            <w:r>
              <w:rPr/>
              <w:t> </w:t>
            </w:r>
          </w:p>
          <w:p>
            <w:pPr>
              <w:pStyle w:val="TableContents"/>
              <w:bidi w:val="0"/>
              <w:spacing w:before="0" w:after="0"/>
              <w:jc w:val="left"/>
              <w:rPr/>
            </w:pPr>
            <w:r>
              <w:rPr/>
              <w:t> </w:t>
            </w:r>
          </w:p>
        </w:tc>
        <w:tc>
          <w:tcPr>
            <w:tcW w:w="389" w:type="dxa"/>
            <w:tcBorders/>
            <w:vAlign w:val="center"/>
          </w:tcPr>
          <w:p>
            <w:pPr>
              <w:pStyle w:val="TableContents"/>
              <w:bidi w:val="0"/>
              <w:spacing w:before="0" w:after="0"/>
              <w:jc w:val="left"/>
              <w:rPr/>
            </w:pPr>
            <w:r>
              <w:rPr/>
              <w:t> </w:t>
            </w:r>
          </w:p>
          <w:p>
            <w:pPr>
              <w:pStyle w:val="TableContents"/>
              <w:bidi w:val="0"/>
              <w:spacing w:before="0" w:after="0"/>
              <w:jc w:val="right"/>
              <w:rPr>
                <w:rFonts w:ascii="arial" w:hAnsi="arial"/>
                <w:sz w:val="18"/>
              </w:rPr>
            </w:pPr>
            <w:r>
              <w:rPr>
                <w:rFonts w:ascii="arial" w:hAnsi="arial"/>
                <w:sz w:val="18"/>
              </w:rPr>
              <w:t>0</w:t>
            </w:r>
          </w:p>
          <w:p>
            <w:pPr>
              <w:pStyle w:val="TableContents"/>
              <w:bidi w:val="0"/>
              <w:spacing w:before="0" w:after="0"/>
              <w:jc w:val="right"/>
              <w:rPr>
                <w:rFonts w:ascii="arial" w:hAnsi="arial"/>
                <w:sz w:val="18"/>
              </w:rPr>
            </w:pPr>
            <w:r>
              <w:rPr>
                <w:rFonts w:ascii="arial" w:hAnsi="arial"/>
                <w:sz w:val="18"/>
              </w:rPr>
              <w:t>0</w:t>
            </w:r>
          </w:p>
          <w:p>
            <w:pPr>
              <w:pStyle w:val="TableContents"/>
              <w:bidi w:val="0"/>
              <w:spacing w:before="0" w:after="20"/>
              <w:jc w:val="right"/>
              <w:rPr>
                <w:rFonts w:ascii="arial" w:hAnsi="arial"/>
                <w:sz w:val="18"/>
              </w:rPr>
            </w:pPr>
            <w:r>
              <w:rPr>
                <w:rFonts w:ascii="arial" w:hAnsi="arial"/>
                <w:sz w:val="18"/>
              </w:rPr>
              <w:t>0</w:t>
            </w:r>
          </w:p>
        </w:tc>
        <w:tc>
          <w:tcPr>
            <w:tcW w:w="60"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pPr>
            <w:r>
              <w:rPr/>
              <w:t> </w:t>
            </w:r>
          </w:p>
        </w:tc>
        <w:tc>
          <w:tcPr>
            <w:tcW w:w="1043"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sz w:val="18"/>
              </w:rPr>
            </w:pPr>
            <w:r>
              <w:rPr>
                <w:rFonts w:ascii="arial" w:hAnsi="arial"/>
                <w:sz w:val="18"/>
              </w:rPr>
              <w:t>3,149,928  </w:t>
              <w:br/>
              <w:t>3,149,736  </w:t>
              <w:br/>
              <w:t>2,799,665  </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18"/>
              </w:rPr>
              <w:br/>
              <w:t> </w:t>
              <w:b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pPr>
            <w:r>
              <w:rPr/>
              <w:t> </w:t>
            </w:r>
          </w:p>
        </w:tc>
        <w:tc>
          <w:tcPr>
            <w:tcW w:w="938"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sz w:val="18"/>
              </w:rPr>
            </w:pPr>
            <w:r>
              <w:rPr>
                <w:rFonts w:ascii="arial" w:hAnsi="arial"/>
                <w:sz w:val="18"/>
              </w:rPr>
              <w:t>1,349,985  </w:t>
              <w:br/>
              <w:t>1,349,995  </w:t>
              <w:br/>
              <w:t>1,199,979  </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18"/>
              </w:rPr>
              <w:br/>
              <w:t> </w:t>
              <w:b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0"/>
              <w:jc w:val="left"/>
              <w:rPr/>
            </w:pPr>
            <w:r>
              <w:rPr/>
              <w:t> </w:t>
            </w:r>
          </w:p>
          <w:p>
            <w:pPr>
              <w:pStyle w:val="TableContents"/>
              <w:bidi w:val="0"/>
              <w:spacing w:before="0" w:after="20"/>
              <w:jc w:val="left"/>
              <w:rPr/>
            </w:pPr>
            <w:r>
              <w:rPr/>
              <w:t> </w:t>
            </w:r>
          </w:p>
        </w:tc>
        <w:tc>
          <w:tcPr>
            <w:tcW w:w="1161"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sz w:val="18"/>
              </w:rPr>
            </w:pPr>
            <w:r>
              <w:rPr>
                <w:rFonts w:ascii="arial" w:hAnsi="arial"/>
                <w:sz w:val="18"/>
              </w:rPr>
              <w:t>1,724,000  </w:t>
              <w:br/>
              <w:t>1,262,000  </w:t>
              <w:br/>
              <w:t>1,382,000  </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18"/>
              </w:rPr>
              <w:br/>
              <w:t> </w:t>
              <w:b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0"/>
              <w:jc w:val="left"/>
              <w:rPr/>
            </w:pPr>
            <w:r>
              <w:rPr/>
              <w:t> </w:t>
            </w:r>
          </w:p>
          <w:p>
            <w:pPr>
              <w:pStyle w:val="TableContents"/>
              <w:bidi w:val="0"/>
              <w:spacing w:before="0" w:after="20"/>
              <w:jc w:val="left"/>
              <w:rPr/>
            </w:pPr>
            <w:r>
              <w:rPr/>
              <w:t> </w:t>
            </w:r>
          </w:p>
        </w:tc>
        <w:tc>
          <w:tcPr>
            <w:tcW w:w="1189"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sz w:val="18"/>
              </w:rPr>
            </w:pPr>
            <w:r>
              <w:rPr>
                <w:rFonts w:ascii="arial" w:hAnsi="arial"/>
                <w:sz w:val="18"/>
              </w:rPr>
              <w:t>261,623  </w:t>
              <w:br/>
              <w:t>267,512  </w:t>
              <w:br/>
              <w:t>267,427  </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18"/>
              </w:rPr>
              <w:br/>
              <w:t> </w:t>
              <w:b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20"/>
              <w:jc w:val="left"/>
              <w:rPr/>
            </w:pPr>
            <w:r>
              <w:rPr/>
              <w:t> </w:t>
            </w:r>
          </w:p>
        </w:tc>
        <w:tc>
          <w:tcPr>
            <w:tcW w:w="950" w:type="dxa"/>
            <w:tcBorders/>
            <w:vAlign w:val="center"/>
          </w:tcPr>
          <w:p>
            <w:pPr>
              <w:pStyle w:val="TableContents"/>
              <w:bidi w:val="0"/>
              <w:spacing w:before="0" w:after="0"/>
              <w:jc w:val="left"/>
              <w:rPr/>
            </w:pPr>
            <w:r>
              <w:rPr/>
              <w:t> </w:t>
            </w:r>
          </w:p>
          <w:p>
            <w:pPr>
              <w:pStyle w:val="TableContents"/>
              <w:bidi w:val="0"/>
              <w:spacing w:before="0" w:after="20"/>
              <w:jc w:val="right"/>
              <w:rPr>
                <w:rFonts w:ascii="arial" w:hAnsi="arial"/>
                <w:sz w:val="18"/>
              </w:rPr>
            </w:pPr>
            <w:r>
              <w:rPr>
                <w:rFonts w:ascii="arial" w:hAnsi="arial"/>
                <w:sz w:val="18"/>
              </w:rPr>
              <w:t>7,569,298</w:t>
              <w:br/>
              <w:t>7,073,735</w:t>
              <w:br/>
              <w:t>6,664,034</w:t>
            </w:r>
          </w:p>
        </w:tc>
        <w:tc>
          <w:tcPr>
            <w:tcW w:w="80" w:type="dxa"/>
            <w:tcBorders/>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18"/>
              </w:rPr>
              <w:br/>
              <w:t> </w:t>
              <w:br/>
              <w:t> </w:t>
            </w:r>
          </w:p>
        </w:tc>
      </w:tr>
      <w:tr>
        <w:trPr/>
        <w:tc>
          <w:tcPr>
            <w:tcW w:w="1498" w:type="dxa"/>
            <w:tcBorders>
              <w:bottom w:val="single" w:sz="8" w:space="0" w:color="0171B9"/>
            </w:tcBorders>
            <w:shd w:fill="CCE2F1"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Esteban Santos</w:t>
            </w:r>
          </w:p>
          <w:p>
            <w:pPr>
              <w:pStyle w:val="TableContents"/>
              <w:bidi w:val="0"/>
              <w:spacing w:before="0" w:after="0"/>
              <w:jc w:val="left"/>
              <w:rPr>
                <w:rFonts w:ascii="arial" w:hAnsi="arial"/>
                <w:sz w:val="18"/>
              </w:rPr>
            </w:pPr>
            <w:r>
              <w:rPr>
                <w:rFonts w:ascii="arial" w:hAnsi="arial"/>
                <w:sz w:val="18"/>
              </w:rPr>
              <w:t>EVP, Operations</w:t>
            </w:r>
          </w:p>
          <w:p>
            <w:pPr>
              <w:pStyle w:val="TableContents"/>
              <w:bidi w:val="0"/>
              <w:spacing w:before="0" w:after="20"/>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3" w:type="dxa"/>
            <w:tcBorders>
              <w:bottom w:val="single" w:sz="8" w:space="0" w:color="0171B9"/>
            </w:tcBorders>
            <w:shd w:fill="CCE2F1" w:val="clear"/>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467" w:type="dxa"/>
            <w:tcBorders>
              <w:bottom w:val="single" w:sz="8" w:space="0" w:color="0171B9"/>
            </w:tcBorders>
            <w:shd w:fill="CCE2F1" w:val="clear"/>
            <w:tcMar>
              <w:bottom w:w="28" w:type="dxa"/>
            </w:tcMar>
            <w:vAlign w:val="center"/>
          </w:tcPr>
          <w:p>
            <w:pPr>
              <w:pStyle w:val="TableContents"/>
              <w:bidi w:val="0"/>
              <w:spacing w:before="0" w:after="0"/>
              <w:jc w:val="left"/>
              <w:rPr/>
            </w:pPr>
            <w:r>
              <w:rPr/>
              <w:t> </w:t>
            </w:r>
          </w:p>
          <w:p>
            <w:pPr>
              <w:pStyle w:val="TableContents"/>
              <w:bidi w:val="0"/>
              <w:spacing w:before="0" w:after="20"/>
              <w:jc w:val="right"/>
              <w:rPr>
                <w:rFonts w:ascii="arial" w:hAnsi="arial"/>
                <w:sz w:val="18"/>
              </w:rPr>
            </w:pPr>
            <w:r>
              <w:rPr>
                <w:rFonts w:ascii="arial" w:hAnsi="arial"/>
                <w:sz w:val="18"/>
              </w:rPr>
              <w:t>2023</w:t>
              <w:br/>
              <w:t>2022</w:t>
              <w:br/>
              <w:t>2021</w:t>
            </w:r>
          </w:p>
        </w:tc>
        <w:tc>
          <w:tcPr>
            <w:tcW w:w="60" w:type="dxa"/>
            <w:tcBorders>
              <w:bottom w:val="single" w:sz="8" w:space="0" w:color="0171B9"/>
            </w:tcBorders>
            <w:shd w:fill="CCE2F1" w:val="clear"/>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18"/>
              </w:rPr>
              <w:br/>
              <w:t> </w:t>
              <w:b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938" w:type="dxa"/>
            <w:tcBorders>
              <w:bottom w:val="single" w:sz="8" w:space="0" w:color="0171B9"/>
            </w:tcBorders>
            <w:shd w:fill="CCE2F1" w:val="clear"/>
            <w:tcMar>
              <w:bottom w:w="28" w:type="dxa"/>
            </w:tcMar>
            <w:vAlign w:val="center"/>
          </w:tcPr>
          <w:p>
            <w:pPr>
              <w:pStyle w:val="TableContents"/>
              <w:bidi w:val="0"/>
              <w:spacing w:before="0" w:after="0"/>
              <w:jc w:val="left"/>
              <w:rPr/>
            </w:pPr>
            <w:r>
              <w:rPr/>
              <w:t> </w:t>
            </w:r>
          </w:p>
          <w:p>
            <w:pPr>
              <w:pStyle w:val="TableContents"/>
              <w:bidi w:val="0"/>
              <w:spacing w:before="0" w:after="20"/>
              <w:jc w:val="right"/>
              <w:rPr>
                <w:rFonts w:ascii="arial" w:hAnsi="arial"/>
                <w:sz w:val="18"/>
              </w:rPr>
            </w:pPr>
            <w:r>
              <w:rPr>
                <w:rFonts w:ascii="arial" w:hAnsi="arial"/>
                <w:sz w:val="18"/>
              </w:rPr>
              <w:t>1,061,385  </w:t>
              <w:br/>
              <w:t>1,022,946  </w:t>
              <w:br/>
              <w:t>994,246  </w:t>
            </w:r>
          </w:p>
        </w:tc>
        <w:tc>
          <w:tcPr>
            <w:tcW w:w="60" w:type="dxa"/>
            <w:tcBorders>
              <w:bottom w:val="single" w:sz="8" w:space="0" w:color="0171B9"/>
            </w:tcBorders>
            <w:shd w:fill="CCE2F1" w:val="clear"/>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18"/>
              </w:rPr>
              <w:br/>
              <w:t> </w:t>
              <w:b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186" w:type="dxa"/>
            <w:tcBorders>
              <w:bottom w:val="single" w:sz="8" w:space="0" w:color="0171B9"/>
            </w:tcBorders>
            <w:shd w:fill="CCE2F1"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tc>
        <w:tc>
          <w:tcPr>
            <w:tcW w:w="389" w:type="dxa"/>
            <w:tcBorders>
              <w:bottom w:val="single" w:sz="8" w:space="0" w:color="0171B9"/>
            </w:tcBorders>
            <w:shd w:fill="CCE2F1" w:val="clear"/>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sz w:val="18"/>
              </w:rPr>
            </w:pPr>
            <w:r>
              <w:rPr>
                <w:rFonts w:ascii="arial" w:hAnsi="arial"/>
                <w:sz w:val="18"/>
              </w:rPr>
              <w:t>0</w:t>
            </w:r>
          </w:p>
          <w:p>
            <w:pPr>
              <w:pStyle w:val="TableContents"/>
              <w:bidi w:val="0"/>
              <w:spacing w:before="0" w:after="0"/>
              <w:jc w:val="right"/>
              <w:rPr>
                <w:rFonts w:ascii="arial" w:hAnsi="arial"/>
                <w:sz w:val="18"/>
              </w:rPr>
            </w:pPr>
            <w:r>
              <w:rPr>
                <w:rFonts w:ascii="arial" w:hAnsi="arial"/>
                <w:sz w:val="18"/>
              </w:rPr>
              <w:t>0</w:t>
            </w:r>
          </w:p>
          <w:p>
            <w:pPr>
              <w:pStyle w:val="TableContents"/>
              <w:bidi w:val="0"/>
              <w:spacing w:before="0" w:after="20"/>
              <w:jc w:val="right"/>
              <w:rPr>
                <w:rFonts w:ascii="arial" w:hAnsi="arial"/>
                <w:sz w:val="18"/>
              </w:rPr>
            </w:pPr>
            <w:r>
              <w:rPr>
                <w:rFonts w:ascii="arial" w:hAnsi="arial"/>
                <w:sz w:val="18"/>
              </w:rPr>
              <w:t>0</w:t>
            </w:r>
          </w:p>
        </w:tc>
        <w:tc>
          <w:tcPr>
            <w:tcW w:w="60" w:type="dxa"/>
            <w:tcBorders>
              <w:bottom w:val="single" w:sz="8" w:space="0" w:color="0171B9"/>
            </w:tcBorders>
            <w:shd w:fill="CCE2F1"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043" w:type="dxa"/>
            <w:tcBorders>
              <w:bottom w:val="single" w:sz="8" w:space="0" w:color="0171B9"/>
            </w:tcBorders>
            <w:shd w:fill="CCE2F1" w:val="clear"/>
            <w:tcMar>
              <w:bottom w:w="28" w:type="dxa"/>
            </w:tcMar>
            <w:vAlign w:val="center"/>
          </w:tcPr>
          <w:p>
            <w:pPr>
              <w:pStyle w:val="TableContents"/>
              <w:bidi w:val="0"/>
              <w:spacing w:before="0" w:after="0"/>
              <w:jc w:val="left"/>
              <w:rPr/>
            </w:pPr>
            <w:r>
              <w:rPr/>
              <w:t> </w:t>
            </w:r>
          </w:p>
          <w:p>
            <w:pPr>
              <w:pStyle w:val="TableContents"/>
              <w:bidi w:val="0"/>
              <w:spacing w:before="0" w:after="20"/>
              <w:jc w:val="right"/>
              <w:rPr>
                <w:rFonts w:ascii="arial" w:hAnsi="arial"/>
                <w:sz w:val="18"/>
              </w:rPr>
            </w:pPr>
            <w:r>
              <w:rPr>
                <w:rFonts w:ascii="arial" w:hAnsi="arial"/>
                <w:sz w:val="18"/>
              </w:rPr>
              <w:t>2,939,776  </w:t>
              <w:br/>
              <w:t>2,939,724  </w:t>
              <w:br/>
              <w:t>3,324,824  </w:t>
            </w:r>
          </w:p>
        </w:tc>
        <w:tc>
          <w:tcPr>
            <w:tcW w:w="60" w:type="dxa"/>
            <w:tcBorders>
              <w:bottom w:val="single" w:sz="8" w:space="0" w:color="0171B9"/>
            </w:tcBorders>
            <w:shd w:fill="CCE2F1" w:val="clear"/>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18"/>
              </w:rPr>
              <w:br/>
              <w:t> </w:t>
              <w:b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938" w:type="dxa"/>
            <w:tcBorders>
              <w:bottom w:val="single" w:sz="8" w:space="0" w:color="0171B9"/>
            </w:tcBorders>
            <w:shd w:fill="CCE2F1" w:val="clear"/>
            <w:tcMar>
              <w:bottom w:w="28" w:type="dxa"/>
            </w:tcMar>
            <w:vAlign w:val="center"/>
          </w:tcPr>
          <w:p>
            <w:pPr>
              <w:pStyle w:val="TableContents"/>
              <w:bidi w:val="0"/>
              <w:spacing w:before="0" w:after="0"/>
              <w:jc w:val="left"/>
              <w:rPr/>
            </w:pPr>
            <w:r>
              <w:rPr/>
              <w:t> </w:t>
            </w:r>
          </w:p>
          <w:p>
            <w:pPr>
              <w:pStyle w:val="TableContents"/>
              <w:bidi w:val="0"/>
              <w:spacing w:before="0" w:after="20"/>
              <w:jc w:val="right"/>
              <w:rPr>
                <w:rFonts w:ascii="arial" w:hAnsi="arial"/>
                <w:sz w:val="18"/>
              </w:rPr>
            </w:pPr>
            <w:r>
              <w:rPr>
                <w:rFonts w:ascii="arial" w:hAnsi="arial"/>
                <w:sz w:val="18"/>
              </w:rPr>
              <w:t>1,259,986  </w:t>
              <w:br/>
              <w:t>1,259,959  </w:t>
              <w:br/>
              <w:t>1,424,988  </w:t>
            </w:r>
          </w:p>
        </w:tc>
        <w:tc>
          <w:tcPr>
            <w:tcW w:w="60" w:type="dxa"/>
            <w:tcBorders>
              <w:bottom w:val="single" w:sz="8" w:space="0" w:color="0171B9"/>
            </w:tcBorders>
            <w:shd w:fill="CCE2F1" w:val="clear"/>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18"/>
              </w:rPr>
              <w:br/>
              <w:t> </w:t>
              <w:b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73" w:type="dxa"/>
            <w:tcBorders>
              <w:bottom w:val="single" w:sz="8" w:space="0" w:color="0171B9"/>
            </w:tcBorders>
            <w:shd w:fill="CCE2F1" w:val="clear"/>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161" w:type="dxa"/>
            <w:tcBorders>
              <w:bottom w:val="single" w:sz="8" w:space="0" w:color="0171B9"/>
            </w:tcBorders>
            <w:shd w:fill="CCE2F1" w:val="clear"/>
            <w:tcMar>
              <w:bottom w:w="28" w:type="dxa"/>
            </w:tcMar>
            <w:vAlign w:val="center"/>
          </w:tcPr>
          <w:p>
            <w:pPr>
              <w:pStyle w:val="TableContents"/>
              <w:bidi w:val="0"/>
              <w:spacing w:before="0" w:after="0"/>
              <w:jc w:val="left"/>
              <w:rPr/>
            </w:pPr>
            <w:r>
              <w:rPr/>
              <w:t> </w:t>
            </w:r>
          </w:p>
          <w:p>
            <w:pPr>
              <w:pStyle w:val="TableContents"/>
              <w:bidi w:val="0"/>
              <w:spacing w:before="0" w:after="20"/>
              <w:jc w:val="right"/>
              <w:rPr>
                <w:rFonts w:ascii="arial" w:hAnsi="arial"/>
                <w:sz w:val="18"/>
              </w:rPr>
            </w:pPr>
            <w:r>
              <w:rPr>
                <w:rFonts w:ascii="arial" w:hAnsi="arial"/>
                <w:sz w:val="18"/>
              </w:rPr>
              <w:t>1,688,000  </w:t>
              <w:br/>
              <w:t>1,236,000  </w:t>
              <w:br/>
              <w:t>1,354,000  </w:t>
            </w:r>
          </w:p>
        </w:tc>
        <w:tc>
          <w:tcPr>
            <w:tcW w:w="60" w:type="dxa"/>
            <w:tcBorders>
              <w:bottom w:val="single" w:sz="8" w:space="0" w:color="0171B9"/>
            </w:tcBorders>
            <w:shd w:fill="CCE2F1" w:val="clear"/>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18"/>
              </w:rPr>
              <w:br/>
              <w:t> </w:t>
              <w:b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90" w:type="dxa"/>
            <w:tcBorders>
              <w:bottom w:val="single" w:sz="8" w:space="0" w:color="0171B9"/>
            </w:tcBorders>
            <w:shd w:fill="CCE2F1" w:val="clear"/>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189" w:type="dxa"/>
            <w:tcBorders>
              <w:bottom w:val="single" w:sz="8" w:space="0" w:color="0171B9"/>
            </w:tcBorders>
            <w:shd w:fill="CCE2F1" w:val="clear"/>
            <w:tcMar>
              <w:bottom w:w="28" w:type="dxa"/>
            </w:tcMar>
            <w:vAlign w:val="center"/>
          </w:tcPr>
          <w:p>
            <w:pPr>
              <w:pStyle w:val="TableContents"/>
              <w:bidi w:val="0"/>
              <w:spacing w:before="0" w:after="0"/>
              <w:jc w:val="left"/>
              <w:rPr/>
            </w:pPr>
            <w:r>
              <w:rPr/>
              <w:t> </w:t>
            </w:r>
          </w:p>
          <w:p>
            <w:pPr>
              <w:pStyle w:val="TableContents"/>
              <w:bidi w:val="0"/>
              <w:spacing w:before="0" w:after="20"/>
              <w:jc w:val="right"/>
              <w:rPr>
                <w:rFonts w:ascii="arial" w:hAnsi="arial"/>
                <w:sz w:val="18"/>
              </w:rPr>
            </w:pPr>
            <w:r>
              <w:rPr>
                <w:rFonts w:ascii="arial" w:hAnsi="arial"/>
                <w:sz w:val="18"/>
              </w:rPr>
              <w:t>256,689  </w:t>
              <w:br/>
              <w:t>262,995  </w:t>
              <w:br/>
              <w:t>264,575  </w:t>
            </w:r>
          </w:p>
        </w:tc>
        <w:tc>
          <w:tcPr>
            <w:tcW w:w="60" w:type="dxa"/>
            <w:tcBorders>
              <w:bottom w:val="single" w:sz="8" w:space="0" w:color="0171B9"/>
            </w:tcBorders>
            <w:shd w:fill="CCE2F1" w:val="clear"/>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18"/>
              </w:rPr>
              <w:br/>
              <w:t> </w:t>
              <w:b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950" w:type="dxa"/>
            <w:tcBorders>
              <w:bottom w:val="single" w:sz="8" w:space="0" w:color="0171B9"/>
            </w:tcBorders>
            <w:shd w:fill="CCE2F1" w:val="clear"/>
            <w:tcMar>
              <w:bottom w:w="28" w:type="dxa"/>
            </w:tcMar>
            <w:vAlign w:val="center"/>
          </w:tcPr>
          <w:p>
            <w:pPr>
              <w:pStyle w:val="TableContents"/>
              <w:bidi w:val="0"/>
              <w:spacing w:before="0" w:after="0"/>
              <w:jc w:val="left"/>
              <w:rPr/>
            </w:pPr>
            <w:r>
              <w:rPr/>
              <w:t> </w:t>
            </w:r>
          </w:p>
          <w:p>
            <w:pPr>
              <w:pStyle w:val="TableContents"/>
              <w:bidi w:val="0"/>
              <w:spacing w:before="0" w:after="20"/>
              <w:jc w:val="right"/>
              <w:rPr>
                <w:rFonts w:ascii="arial" w:hAnsi="arial"/>
                <w:sz w:val="18"/>
              </w:rPr>
            </w:pPr>
            <w:r>
              <w:rPr>
                <w:rFonts w:ascii="arial" w:hAnsi="arial"/>
                <w:sz w:val="18"/>
              </w:rPr>
              <w:t>7,205,836</w:t>
              <w:br/>
              <w:t>6,721,624</w:t>
              <w:br/>
              <w:t>7,362,633</w:t>
            </w:r>
          </w:p>
        </w:tc>
        <w:tc>
          <w:tcPr>
            <w:tcW w:w="80" w:type="dxa"/>
            <w:tcBorders>
              <w:bottom w:val="single" w:sz="8" w:space="0" w:color="0171B9"/>
            </w:tcBorders>
            <w:shd w:fill="CCE2F1" w:val="clear"/>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18"/>
              </w:rPr>
              <w:br/>
              <w:t> </w:t>
              <w:b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(1) </w:t>
            </w:r>
          </w:p>
        </w:tc>
        <w:tc>
          <w:tcPr>
            <w:tcW w:w="9941" w:type="dxa"/>
            <w:tcBorders/>
            <w:vAlign w:val="center"/>
          </w:tcPr>
          <w:p>
            <w:pPr>
              <w:pStyle w:val="TableContents"/>
              <w:bidi w:val="0"/>
              <w:spacing w:before="0" w:after="0"/>
              <w:jc w:val="both"/>
              <w:rPr>
                <w:rFonts w:ascii="arial" w:hAnsi="arial"/>
                <w:sz w:val="16"/>
              </w:rPr>
            </w:pPr>
            <w:r>
              <w:rPr>
                <w:rFonts w:ascii="arial" w:hAnsi="arial"/>
                <w:sz w:val="16"/>
              </w:rPr>
              <w:t xml:space="preserve">Reflects base salary earned in each bi-weekly pay period (or portion thereof) during each fiscal year before pre-tax contributions and, therefore, includes compensation deferred under our nonqualified deferred compensation plan, or NDCP. Under payroll practices for salaried staff members of our U.S. entities, including our NEOs, base salary earned in a pay period is computed by dividing the annual base salary then in effect by 26, which is the number of full bi-weekly pay periods in a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pPr>
            <w:r>
              <w:rPr/>
              <w:t>(2) </w:t>
            </w:r>
          </w:p>
        </w:tc>
        <w:tc>
          <w:tcPr>
            <w:tcW w:w="9929" w:type="dxa"/>
            <w:tcBorders/>
            <w:vAlign w:val="center"/>
          </w:tcPr>
          <w:p>
            <w:pPr>
              <w:pStyle w:val="TableContents"/>
              <w:bidi w:val="0"/>
              <w:spacing w:before="0" w:after="0"/>
              <w:jc w:val="both"/>
              <w:rPr>
                <w:rFonts w:ascii="arial" w:hAnsi="arial"/>
                <w:sz w:val="16"/>
              </w:rPr>
            </w:pPr>
            <w:r>
              <w:rPr>
                <w:rFonts w:ascii="arial" w:hAnsi="arial"/>
                <w:sz w:val="16"/>
              </w:rPr>
              <w:t xml:space="preserve">For 2023, reflects the grant date fair values of performance units for the 2023-2025 performance period and restricted stock units, or RSUs, granted during 2023 determined in accordance with Accounting Standards Codification, or ASC, Topic 718 (see footnotes 6 and 7 to the “Grants of Plan-Based Awards” table for information on how these amounts were determined). </w:t>
            </w:r>
          </w:p>
        </w:tc>
      </w:tr>
    </w:tbl>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310"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146" descr=""/>
                    <pic:cNvPicPr>
                      <a:picLocks noChangeAspect="1" noChangeArrowheads="1"/>
                    </pic:cNvPicPr>
                  </pic:nvPicPr>
                  <pic:blipFill>
                    <a:blip r:embed="rId159"/>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83</w:t>
      </w:r>
      <w:r>
        <w:rPr>
          <w:rFonts w:ascii="arial" w:hAnsi="arial"/>
          <w:b/>
          <w:sz w:val="22"/>
        </w:rPr>
        <w:t xml:space="preserve"> </w:t>
      </w:r>
      <w:r>
        <w:br w:type="page"/>
      </w:r>
    </w:p>
    <w:p>
      <w:pPr>
        <w:pStyle w:val="HorizontalLine"/>
        <w:bidi w:val="0"/>
        <w:jc w:val="left"/>
        <w:rPr/>
      </w:pPr>
      <w:r>
        <w:rPr/>
      </w:r>
    </w:p>
    <w:tbl>
      <w:tblPr>
        <w:tblW w:w="419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371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1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371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Executive Compensation Tables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 </w:t>
            </w:r>
          </w:p>
        </w:tc>
        <w:tc>
          <w:tcPr>
            <w:tcW w:w="10050" w:type="dxa"/>
            <w:tcBorders/>
            <w:vAlign w:val="center"/>
          </w:tcPr>
          <w:p>
            <w:pPr>
              <w:pStyle w:val="TableContents"/>
              <w:bidi w:val="0"/>
              <w:spacing w:before="0" w:after="0"/>
              <w:jc w:val="both"/>
              <w:rPr>
                <w:rFonts w:ascii="arial" w:hAnsi="arial"/>
                <w:sz w:val="16"/>
              </w:rPr>
            </w:pPr>
            <w:r>
              <w:rPr>
                <w:rFonts w:ascii="arial" w:hAnsi="arial"/>
                <w:sz w:val="16"/>
              </w:rPr>
              <w:t xml:space="preserve">The number of units to be earned for the performance units granted during 2023 is based on the average of our performance against two annual non-GAAP financial operating performance measures established at the commencement of the three year performance period, with the payout from performance against such measures modified up or down by our total shareholder return, or TSR, relative to the TSRs of the companies in the Standard &amp; Poor’s 500 Index, or S&amp;P 500, all computed over the three-year performance period. These operating performance measures are performance conditions, as defined under ASC 718, while the relative TSR measure is a market condition under ASC 718. The values shown in this table and the “Grants of Plan-Based Awards” table are based on probable outcomes of these performance conditions as of the grant date, and target performance of the TSR market condition. The table below shows the grant date fair values under ASC 718 of these performance unit awards: (1) if the maximum is achieved with regard to all of the operating performance measures which would result in an earnout of 170% based on the operating performance measures with the TSR market condition at target, with no increase or decrease based on the market condition; and (2) if the maximum is achieved with regard to all of the operating performance measures and maximum performance occurs under the TSR market condition which results in an additional 30% earnout, for total earned payout of 200% of performance units granted. </w:t>
            </w:r>
          </w:p>
        </w:tc>
      </w:tr>
    </w:tbl>
    <w:p>
      <w:pPr>
        <w:pStyle w:val="TextBody"/>
        <w:bidi w:val="0"/>
        <w:spacing w:before="0" w:after="0"/>
        <w:jc w:val="left"/>
        <w:rPr/>
      </w:pPr>
      <w:r>
        <w:rPr/>
        <w:t> </w:t>
      </w:r>
    </w:p>
    <w:tbl>
      <w:tblPr>
        <w:tblW w:w="10500" w:type="dxa"/>
        <w:jc w:val="left"/>
        <w:tblInd w:w="0" w:type="dxa"/>
        <w:tblLayout w:type="fixed"/>
        <w:tblCellMar>
          <w:top w:w="0" w:type="dxa"/>
          <w:left w:w="0" w:type="dxa"/>
          <w:bottom w:w="0" w:type="dxa"/>
          <w:right w:w="0" w:type="dxa"/>
        </w:tblCellMar>
      </w:tblPr>
      <w:tblGrid>
        <w:gridCol w:w="755"/>
        <w:gridCol w:w="120"/>
        <w:gridCol w:w="274"/>
        <w:gridCol w:w="4351"/>
        <w:gridCol w:w="60"/>
        <w:gridCol w:w="120"/>
        <w:gridCol w:w="281"/>
        <w:gridCol w:w="4464"/>
        <w:gridCol w:w="75"/>
      </w:tblGrid>
      <w:tr>
        <w:trPr/>
        <w:tc>
          <w:tcPr>
            <w:tcW w:w="7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3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46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425" w:type="dxa"/>
            <w:gridSpan w:val="8"/>
            <w:tcBorders>
              <w:bottom w:val="single" w:sz="8" w:space="0" w:color="FFFFFF"/>
            </w:tcBorders>
            <w:shd w:fill="0171B9" w:val="clear"/>
            <w:tcMar>
              <w:bottom w:w="28" w:type="dxa"/>
            </w:tcMar>
            <w:vAlign w:val="center"/>
          </w:tcPr>
          <w:p>
            <w:pPr>
              <w:pStyle w:val="TableContents"/>
              <w:bidi w:val="0"/>
              <w:spacing w:lineRule="atLeast" w:line="280" w:before="0" w:after="0"/>
              <w:jc w:val="center"/>
              <w:rPr>
                <w:rFonts w:ascii="arial" w:hAnsi="arial"/>
                <w:b/>
                <w:color w:val="FFFFFF"/>
                <w:sz w:val="18"/>
              </w:rPr>
            </w:pPr>
            <w:r>
              <w:rPr>
                <w:rFonts w:ascii="arial" w:hAnsi="arial"/>
                <w:b/>
                <w:color w:val="FFFFFF"/>
                <w:sz w:val="18"/>
              </w:rPr>
              <w:t>Value of Performance Units for the 2023-2025 Performance Period </w:t>
            </w:r>
          </w:p>
        </w:tc>
        <w:tc>
          <w:tcPr>
            <w:tcW w:w="75"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r>
      <w:tr>
        <w:trPr/>
        <w:tc>
          <w:tcPr>
            <w:tcW w:w="755" w:type="dxa"/>
            <w:tcBorders/>
            <w:shd w:fill="0171B9" w:val="clear"/>
            <w:vAlign w:val="center"/>
          </w:tcPr>
          <w:p>
            <w:pPr>
              <w:pStyle w:val="TableContents"/>
              <w:bidi w:val="0"/>
              <w:spacing w:before="0" w:after="283"/>
              <w:jc w:val="left"/>
              <w:rPr>
                <w:sz w:val="4"/>
                <w:szCs w:val="4"/>
              </w:rPr>
            </w:pPr>
            <w:r>
              <w:rPr>
                <w:sz w:val="4"/>
                <w:szCs w:val="4"/>
              </w:rPr>
            </w:r>
          </w:p>
        </w:tc>
        <w:tc>
          <w:tcPr>
            <w:tcW w:w="4805" w:type="dxa"/>
            <w:gridSpan w:val="4"/>
            <w:tcBorders/>
            <w:shd w:fill="0171B9" w:val="clear"/>
            <w:vAlign w:val="center"/>
          </w:tcPr>
          <w:p>
            <w:pPr>
              <w:pStyle w:val="TableContents"/>
              <w:bidi w:val="0"/>
              <w:spacing w:before="0" w:after="283"/>
              <w:jc w:val="left"/>
              <w:rPr>
                <w:sz w:val="4"/>
                <w:szCs w:val="4"/>
              </w:rPr>
            </w:pPr>
            <w:r>
              <w:rPr>
                <w:sz w:val="4"/>
                <w:szCs w:val="4"/>
              </w:rPr>
            </w:r>
          </w:p>
        </w:tc>
        <w:tc>
          <w:tcPr>
            <w:tcW w:w="4940" w:type="dxa"/>
            <w:gridSpan w:val="4"/>
            <w:tcBorders/>
            <w:shd w:fill="0171B9" w:val="clear"/>
            <w:vAlign w:val="center"/>
          </w:tcPr>
          <w:p>
            <w:pPr>
              <w:pStyle w:val="TableContents"/>
              <w:bidi w:val="0"/>
              <w:spacing w:before="0" w:after="283"/>
              <w:jc w:val="left"/>
              <w:rPr>
                <w:sz w:val="4"/>
                <w:szCs w:val="4"/>
              </w:rPr>
            </w:pPr>
            <w:r>
              <w:rPr>
                <w:sz w:val="4"/>
                <w:szCs w:val="4"/>
              </w:rPr>
            </w:r>
          </w:p>
        </w:tc>
      </w:tr>
      <w:tr>
        <w:trPr/>
        <w:tc>
          <w:tcPr>
            <w:tcW w:w="755" w:type="dxa"/>
            <w:tcBorders>
              <w:bottom w:val="single" w:sz="8" w:space="0" w:color="FFFFFF"/>
            </w:tcBorders>
            <w:shd w:fill="0171B9" w:val="clear"/>
            <w:tcMar>
              <w:bottom w:w="80" w:type="dxa"/>
            </w:tcMar>
            <w:vAlign w:val="center"/>
          </w:tcPr>
          <w:p>
            <w:pPr>
              <w:pStyle w:val="TableContents"/>
              <w:bidi w:val="0"/>
              <w:spacing w:before="0" w:after="283"/>
              <w:jc w:val="left"/>
              <w:rPr>
                <w:color w:val="FFFFFF"/>
              </w:rPr>
            </w:pPr>
            <w:r>
              <w:rPr>
                <w:color w:val="FFFFFF"/>
              </w:rPr>
              <w:t> </w:t>
            </w:r>
            <w:r>
              <w:rPr>
                <w:b/>
                <w:color w:val="FFFFFF"/>
              </w:rPr>
              <w:t>Name</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4625" w:type="dxa"/>
            <w:gridSpan w:val="2"/>
            <w:tcBorders>
              <w:bottom w:val="single" w:sz="8" w:space="0" w:color="FFFFFF"/>
            </w:tcBorders>
            <w:shd w:fill="0171B9" w:val="clear"/>
            <w:tcMar>
              <w:bottom w:w="80" w:type="dxa"/>
            </w:tcMar>
            <w:vAlign w:val="center"/>
          </w:tcPr>
          <w:p>
            <w:pPr>
              <w:pStyle w:val="TableContents"/>
              <w:bidi w:val="0"/>
              <w:spacing w:before="0" w:after="283"/>
              <w:jc w:val="right"/>
              <w:rPr>
                <w:b/>
                <w:color w:val="FFFFFF"/>
              </w:rPr>
            </w:pPr>
            <w:r>
              <w:rPr>
                <w:b/>
                <w:color w:val="FFFFFF"/>
              </w:rPr>
              <w:t>Maximum Performance of Operating Metrics</w:t>
              <w:br/>
              <w:t>and Target TSR Performance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4745" w:type="dxa"/>
            <w:gridSpan w:val="2"/>
            <w:tcBorders>
              <w:bottom w:val="single" w:sz="8" w:space="0" w:color="FFFFFF"/>
            </w:tcBorders>
            <w:shd w:fill="0171B9" w:val="clear"/>
            <w:tcMar>
              <w:bottom w:w="80" w:type="dxa"/>
            </w:tcMar>
            <w:vAlign w:val="center"/>
          </w:tcPr>
          <w:p>
            <w:pPr>
              <w:pStyle w:val="TableContents"/>
              <w:bidi w:val="0"/>
              <w:spacing w:before="0" w:after="283"/>
              <w:jc w:val="right"/>
              <w:rPr>
                <w:b/>
                <w:color w:val="FFFFFF"/>
              </w:rPr>
            </w:pPr>
            <w:r>
              <w:rPr>
                <w:b/>
                <w:color w:val="FFFFFF"/>
              </w:rPr>
              <w:t>Maximum Performance of Operating Metrics </w:t>
              <w:br/>
              <w:t>and TSR Metrics ($) </w:t>
            </w:r>
          </w:p>
        </w:tc>
        <w:tc>
          <w:tcPr>
            <w:tcW w:w="75"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r>
      <w:tr>
        <w:trPr/>
        <w:tc>
          <w:tcPr>
            <w:tcW w:w="755" w:type="dxa"/>
            <w:tcBorders/>
            <w:shd w:fill="CCE2F1" w:val="clear"/>
            <w:vAlign w:val="center"/>
          </w:tcPr>
          <w:p>
            <w:pPr>
              <w:pStyle w:val="TableContents"/>
              <w:bidi w:val="0"/>
              <w:spacing w:lineRule="atLeast" w:line="300" w:before="0" w:after="0"/>
              <w:jc w:val="left"/>
              <w:rPr/>
            </w:pPr>
            <w:r>
              <w:rPr/>
              <w:t> </w:t>
            </w:r>
            <w:r>
              <w:rPr>
                <w:rFonts w:ascii="arial" w:hAnsi="arial"/>
                <w:sz w:val="18"/>
              </w:rPr>
              <w:t>Robert A. Bradway</w:t>
            </w:r>
          </w:p>
        </w:tc>
        <w:tc>
          <w:tcPr>
            <w:tcW w:w="120" w:type="dxa"/>
            <w:tcBorders/>
            <w:shd w:fill="CCE2F1" w:val="clear"/>
            <w:vAlign w:val="center"/>
          </w:tcPr>
          <w:p>
            <w:pPr>
              <w:pStyle w:val="TableContents"/>
              <w:bidi w:val="0"/>
              <w:spacing w:before="0" w:after="283"/>
              <w:jc w:val="left"/>
              <w:rPr/>
            </w:pPr>
            <w:r>
              <w:rPr/>
              <w:t>  </w:t>
            </w:r>
          </w:p>
        </w:tc>
        <w:tc>
          <w:tcPr>
            <w:tcW w:w="274" w:type="dxa"/>
            <w:tcBorders/>
            <w:shd w:fill="CCE2F1" w:val="clear"/>
            <w:vAlign w:val="center"/>
          </w:tcPr>
          <w:p>
            <w:pPr>
              <w:pStyle w:val="TableContents"/>
              <w:bidi w:val="0"/>
              <w:spacing w:lineRule="atLeast" w:line="300" w:before="0" w:after="0"/>
              <w:jc w:val="left"/>
              <w:rPr/>
            </w:pPr>
            <w:r>
              <w:rPr/>
              <w:t> </w:t>
            </w:r>
          </w:p>
        </w:tc>
        <w:tc>
          <w:tcPr>
            <w:tcW w:w="4351" w:type="dxa"/>
            <w:tcBorders/>
            <w:shd w:fill="CCE2F1" w:val="clear"/>
            <w:vAlign w:val="center"/>
          </w:tcPr>
          <w:p>
            <w:pPr>
              <w:pStyle w:val="TableContents"/>
              <w:bidi w:val="0"/>
              <w:spacing w:lineRule="atLeast" w:line="300" w:before="0" w:after="0"/>
              <w:jc w:val="right"/>
              <w:rPr>
                <w:rFonts w:ascii="arial" w:hAnsi="arial"/>
                <w:sz w:val="18"/>
              </w:rPr>
            </w:pPr>
            <w:r>
              <w:rPr>
                <w:rFonts w:ascii="arial" w:hAnsi="arial"/>
                <w:sz w:val="18"/>
              </w:rPr>
              <w:t>13,525,384</w:t>
            </w:r>
          </w:p>
        </w:tc>
        <w:tc>
          <w:tcPr>
            <w:tcW w:w="60" w:type="dxa"/>
            <w:tcBorders/>
            <w:shd w:fill="CCE2F1" w:val="clear"/>
            <w:vAlign w:val="center"/>
          </w:tcPr>
          <w:p>
            <w:pPr>
              <w:pStyle w:val="TableContents"/>
              <w:bidi w:val="0"/>
              <w:spacing w:lineRule="atLeast" w:line="300" w:before="0" w:after="0"/>
              <w:jc w:val="left"/>
              <w:rPr/>
            </w:pPr>
            <w:r>
              <w:rPr/>
              <w:t> </w:t>
            </w:r>
          </w:p>
        </w:tc>
        <w:tc>
          <w:tcPr>
            <w:tcW w:w="120" w:type="dxa"/>
            <w:tcBorders/>
            <w:shd w:fill="CCE2F1" w:val="clear"/>
            <w:vAlign w:val="center"/>
          </w:tcPr>
          <w:p>
            <w:pPr>
              <w:pStyle w:val="TableContents"/>
              <w:bidi w:val="0"/>
              <w:spacing w:before="0" w:after="283"/>
              <w:jc w:val="left"/>
              <w:rPr/>
            </w:pPr>
            <w:r>
              <w:rPr/>
              <w:t>  </w:t>
            </w:r>
          </w:p>
        </w:tc>
        <w:tc>
          <w:tcPr>
            <w:tcW w:w="281" w:type="dxa"/>
            <w:tcBorders/>
            <w:shd w:fill="CCE2F1" w:val="clear"/>
            <w:vAlign w:val="center"/>
          </w:tcPr>
          <w:p>
            <w:pPr>
              <w:pStyle w:val="TableContents"/>
              <w:bidi w:val="0"/>
              <w:spacing w:lineRule="atLeast" w:line="300" w:before="0" w:after="0"/>
              <w:jc w:val="left"/>
              <w:rPr/>
            </w:pPr>
            <w:r>
              <w:rPr/>
              <w:t> </w:t>
            </w:r>
          </w:p>
        </w:tc>
        <w:tc>
          <w:tcPr>
            <w:tcW w:w="4464" w:type="dxa"/>
            <w:tcBorders/>
            <w:shd w:fill="CCE2F1" w:val="clear"/>
            <w:vAlign w:val="center"/>
          </w:tcPr>
          <w:p>
            <w:pPr>
              <w:pStyle w:val="TableContents"/>
              <w:bidi w:val="0"/>
              <w:spacing w:lineRule="atLeast" w:line="300" w:before="0" w:after="0"/>
              <w:jc w:val="right"/>
              <w:rPr>
                <w:rFonts w:ascii="arial" w:hAnsi="arial"/>
                <w:sz w:val="18"/>
              </w:rPr>
            </w:pPr>
            <w:r>
              <w:rPr>
                <w:rFonts w:ascii="arial" w:hAnsi="arial"/>
                <w:sz w:val="18"/>
              </w:rPr>
              <w:t>15,912,425 </w:t>
            </w:r>
          </w:p>
        </w:tc>
        <w:tc>
          <w:tcPr>
            <w:tcW w:w="75" w:type="dxa"/>
            <w:tcBorders/>
            <w:shd w:fill="CCE2F1" w:val="clear"/>
            <w:vAlign w:val="center"/>
          </w:tcPr>
          <w:p>
            <w:pPr>
              <w:pStyle w:val="TableContents"/>
              <w:bidi w:val="0"/>
              <w:spacing w:lineRule="atLeast" w:line="300" w:before="0" w:after="0"/>
              <w:jc w:val="left"/>
              <w:rPr/>
            </w:pPr>
            <w:r>
              <w:rPr/>
              <w:t> </w:t>
            </w:r>
          </w:p>
        </w:tc>
      </w:tr>
      <w:tr>
        <w:trPr/>
        <w:tc>
          <w:tcPr>
            <w:tcW w:w="755" w:type="dxa"/>
            <w:tcBorders/>
            <w:vAlign w:val="center"/>
          </w:tcPr>
          <w:p>
            <w:pPr>
              <w:pStyle w:val="TableContents"/>
              <w:bidi w:val="0"/>
              <w:spacing w:lineRule="atLeast" w:line="300" w:before="0" w:after="0"/>
              <w:jc w:val="left"/>
              <w:rPr/>
            </w:pPr>
            <w:r>
              <w:rPr/>
              <w:t> </w:t>
            </w:r>
            <w:r>
              <w:rPr>
                <w:rFonts w:ascii="arial" w:hAnsi="arial"/>
                <w:sz w:val="18"/>
              </w:rPr>
              <w:t>Murdo Gordon</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lineRule="atLeast" w:line="300" w:before="0" w:after="0"/>
              <w:jc w:val="left"/>
              <w:rPr/>
            </w:pPr>
            <w:r>
              <w:rPr/>
              <w:t> </w:t>
            </w:r>
          </w:p>
        </w:tc>
        <w:tc>
          <w:tcPr>
            <w:tcW w:w="4351" w:type="dxa"/>
            <w:tcBorders/>
            <w:vAlign w:val="center"/>
          </w:tcPr>
          <w:p>
            <w:pPr>
              <w:pStyle w:val="TableContents"/>
              <w:bidi w:val="0"/>
              <w:spacing w:lineRule="atLeast" w:line="300" w:before="0" w:after="0"/>
              <w:jc w:val="right"/>
              <w:rPr>
                <w:rFonts w:ascii="arial" w:hAnsi="arial"/>
                <w:sz w:val="18"/>
              </w:rPr>
            </w:pPr>
            <w:r>
              <w:rPr>
                <w:rFonts w:ascii="arial" w:hAnsi="arial"/>
                <w:sz w:val="18"/>
              </w:rPr>
              <w:t>4,249,659</w:t>
            </w:r>
          </w:p>
        </w:tc>
        <w:tc>
          <w:tcPr>
            <w:tcW w:w="60" w:type="dxa"/>
            <w:tcBorders/>
            <w:vAlign w:val="center"/>
          </w:tcPr>
          <w:p>
            <w:pPr>
              <w:pStyle w:val="TableContents"/>
              <w:bidi w:val="0"/>
              <w:spacing w:lineRule="atLeast" w:line="300" w:before="0" w:after="0"/>
              <w:jc w:val="left"/>
              <w:rPr/>
            </w:pPr>
            <w:r>
              <w:rPr/>
              <w:t> </w:t>
            </w:r>
          </w:p>
        </w:tc>
        <w:tc>
          <w:tcPr>
            <w:tcW w:w="12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lineRule="atLeast" w:line="300" w:before="0" w:after="0"/>
              <w:jc w:val="left"/>
              <w:rPr/>
            </w:pPr>
            <w:r>
              <w:rPr/>
              <w:t> </w:t>
            </w:r>
          </w:p>
        </w:tc>
        <w:tc>
          <w:tcPr>
            <w:tcW w:w="4464" w:type="dxa"/>
            <w:tcBorders/>
            <w:vAlign w:val="center"/>
          </w:tcPr>
          <w:p>
            <w:pPr>
              <w:pStyle w:val="TableContents"/>
              <w:bidi w:val="0"/>
              <w:spacing w:lineRule="atLeast" w:line="300" w:before="0" w:after="0"/>
              <w:jc w:val="right"/>
              <w:rPr>
                <w:rFonts w:ascii="arial" w:hAnsi="arial"/>
                <w:sz w:val="18"/>
              </w:rPr>
            </w:pPr>
            <w:r>
              <w:rPr>
                <w:rFonts w:ascii="arial" w:hAnsi="arial"/>
                <w:sz w:val="18"/>
              </w:rPr>
              <w:t>4,999,807 </w:t>
            </w:r>
          </w:p>
        </w:tc>
        <w:tc>
          <w:tcPr>
            <w:tcW w:w="75" w:type="dxa"/>
            <w:tcBorders/>
            <w:vAlign w:val="center"/>
          </w:tcPr>
          <w:p>
            <w:pPr>
              <w:pStyle w:val="TableContents"/>
              <w:bidi w:val="0"/>
              <w:spacing w:lineRule="atLeast" w:line="300" w:before="0" w:after="0"/>
              <w:jc w:val="left"/>
              <w:rPr/>
            </w:pPr>
            <w:r>
              <w:rPr/>
              <w:t> </w:t>
            </w:r>
          </w:p>
        </w:tc>
      </w:tr>
      <w:tr>
        <w:trPr/>
        <w:tc>
          <w:tcPr>
            <w:tcW w:w="755" w:type="dxa"/>
            <w:tcBorders/>
            <w:shd w:fill="CCE2F1" w:val="clear"/>
            <w:vAlign w:val="center"/>
          </w:tcPr>
          <w:p>
            <w:pPr>
              <w:pStyle w:val="TableContents"/>
              <w:bidi w:val="0"/>
              <w:spacing w:lineRule="atLeast" w:line="300" w:before="0" w:after="0"/>
              <w:jc w:val="left"/>
              <w:rPr/>
            </w:pPr>
            <w:r>
              <w:rPr/>
              <w:t> </w:t>
            </w:r>
            <w:r>
              <w:rPr>
                <w:rFonts w:ascii="arial" w:hAnsi="arial"/>
                <w:sz w:val="18"/>
              </w:rPr>
              <w:t>David M. Reese</w:t>
            </w:r>
          </w:p>
        </w:tc>
        <w:tc>
          <w:tcPr>
            <w:tcW w:w="120" w:type="dxa"/>
            <w:tcBorders/>
            <w:shd w:fill="CCE2F1" w:val="clear"/>
            <w:vAlign w:val="center"/>
          </w:tcPr>
          <w:p>
            <w:pPr>
              <w:pStyle w:val="TableContents"/>
              <w:bidi w:val="0"/>
              <w:spacing w:before="0" w:after="283"/>
              <w:jc w:val="left"/>
              <w:rPr/>
            </w:pPr>
            <w:r>
              <w:rPr/>
              <w:t>  </w:t>
            </w:r>
          </w:p>
        </w:tc>
        <w:tc>
          <w:tcPr>
            <w:tcW w:w="274" w:type="dxa"/>
            <w:tcBorders/>
            <w:shd w:fill="CCE2F1" w:val="clear"/>
            <w:vAlign w:val="center"/>
          </w:tcPr>
          <w:p>
            <w:pPr>
              <w:pStyle w:val="TableContents"/>
              <w:bidi w:val="0"/>
              <w:spacing w:lineRule="atLeast" w:line="300" w:before="0" w:after="0"/>
              <w:jc w:val="left"/>
              <w:rPr/>
            </w:pPr>
            <w:r>
              <w:rPr/>
              <w:t> </w:t>
            </w:r>
          </w:p>
        </w:tc>
        <w:tc>
          <w:tcPr>
            <w:tcW w:w="4351" w:type="dxa"/>
            <w:tcBorders/>
            <w:shd w:fill="CCE2F1" w:val="clear"/>
            <w:vAlign w:val="center"/>
          </w:tcPr>
          <w:p>
            <w:pPr>
              <w:pStyle w:val="TableContents"/>
              <w:bidi w:val="0"/>
              <w:spacing w:lineRule="atLeast" w:line="300" w:before="0" w:after="0"/>
              <w:jc w:val="right"/>
              <w:rPr>
                <w:rFonts w:ascii="arial" w:hAnsi="arial"/>
                <w:sz w:val="18"/>
              </w:rPr>
            </w:pPr>
            <w:r>
              <w:rPr>
                <w:rFonts w:ascii="arial" w:hAnsi="arial"/>
                <w:sz w:val="18"/>
              </w:rPr>
              <w:t>3,824,719</w:t>
            </w:r>
          </w:p>
        </w:tc>
        <w:tc>
          <w:tcPr>
            <w:tcW w:w="60" w:type="dxa"/>
            <w:tcBorders/>
            <w:shd w:fill="CCE2F1" w:val="clear"/>
            <w:vAlign w:val="center"/>
          </w:tcPr>
          <w:p>
            <w:pPr>
              <w:pStyle w:val="TableContents"/>
              <w:bidi w:val="0"/>
              <w:spacing w:lineRule="atLeast" w:line="300" w:before="0" w:after="0"/>
              <w:jc w:val="left"/>
              <w:rPr/>
            </w:pPr>
            <w:r>
              <w:rPr/>
              <w:t> </w:t>
            </w:r>
          </w:p>
        </w:tc>
        <w:tc>
          <w:tcPr>
            <w:tcW w:w="120" w:type="dxa"/>
            <w:tcBorders/>
            <w:shd w:fill="CCE2F1" w:val="clear"/>
            <w:vAlign w:val="center"/>
          </w:tcPr>
          <w:p>
            <w:pPr>
              <w:pStyle w:val="TableContents"/>
              <w:bidi w:val="0"/>
              <w:spacing w:before="0" w:after="283"/>
              <w:jc w:val="left"/>
              <w:rPr/>
            </w:pPr>
            <w:r>
              <w:rPr/>
              <w:t>  </w:t>
            </w:r>
          </w:p>
        </w:tc>
        <w:tc>
          <w:tcPr>
            <w:tcW w:w="281" w:type="dxa"/>
            <w:tcBorders/>
            <w:shd w:fill="CCE2F1" w:val="clear"/>
            <w:vAlign w:val="center"/>
          </w:tcPr>
          <w:p>
            <w:pPr>
              <w:pStyle w:val="TableContents"/>
              <w:bidi w:val="0"/>
              <w:spacing w:lineRule="atLeast" w:line="300" w:before="0" w:after="0"/>
              <w:jc w:val="left"/>
              <w:rPr/>
            </w:pPr>
            <w:r>
              <w:rPr/>
              <w:t> </w:t>
            </w:r>
          </w:p>
        </w:tc>
        <w:tc>
          <w:tcPr>
            <w:tcW w:w="4464" w:type="dxa"/>
            <w:tcBorders/>
            <w:shd w:fill="CCE2F1" w:val="clear"/>
            <w:vAlign w:val="center"/>
          </w:tcPr>
          <w:p>
            <w:pPr>
              <w:pStyle w:val="TableContents"/>
              <w:bidi w:val="0"/>
              <w:spacing w:lineRule="atLeast" w:line="300" w:before="0" w:after="0"/>
              <w:jc w:val="right"/>
              <w:rPr>
                <w:rFonts w:ascii="arial" w:hAnsi="arial"/>
                <w:sz w:val="18"/>
              </w:rPr>
            </w:pPr>
            <w:r>
              <w:rPr>
                <w:rFonts w:ascii="arial" w:hAnsi="arial"/>
                <w:sz w:val="18"/>
              </w:rPr>
              <w:t>4,499,877 </w:t>
            </w:r>
          </w:p>
        </w:tc>
        <w:tc>
          <w:tcPr>
            <w:tcW w:w="75" w:type="dxa"/>
            <w:tcBorders/>
            <w:shd w:fill="CCE2F1" w:val="clear"/>
            <w:vAlign w:val="center"/>
          </w:tcPr>
          <w:p>
            <w:pPr>
              <w:pStyle w:val="TableContents"/>
              <w:bidi w:val="0"/>
              <w:spacing w:lineRule="atLeast" w:line="300" w:before="0" w:after="0"/>
              <w:jc w:val="left"/>
              <w:rPr/>
            </w:pPr>
            <w:r>
              <w:rPr/>
              <w:t> </w:t>
            </w:r>
          </w:p>
        </w:tc>
      </w:tr>
      <w:tr>
        <w:trPr/>
        <w:tc>
          <w:tcPr>
            <w:tcW w:w="755" w:type="dxa"/>
            <w:tcBorders/>
            <w:vAlign w:val="center"/>
          </w:tcPr>
          <w:p>
            <w:pPr>
              <w:pStyle w:val="TableContents"/>
              <w:bidi w:val="0"/>
              <w:spacing w:lineRule="atLeast" w:line="300" w:before="0" w:after="0"/>
              <w:jc w:val="left"/>
              <w:rPr/>
            </w:pPr>
            <w:r>
              <w:rPr/>
              <w:t> </w:t>
            </w:r>
            <w:r>
              <w:rPr>
                <w:rFonts w:ascii="arial" w:hAnsi="arial"/>
                <w:sz w:val="18"/>
              </w:rPr>
              <w:t>Peter H. Griffith</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lineRule="atLeast" w:line="300" w:before="0" w:after="0"/>
              <w:jc w:val="left"/>
              <w:rPr/>
            </w:pPr>
            <w:r>
              <w:rPr/>
              <w:t> </w:t>
            </w:r>
          </w:p>
        </w:tc>
        <w:tc>
          <w:tcPr>
            <w:tcW w:w="4351" w:type="dxa"/>
            <w:tcBorders/>
            <w:vAlign w:val="center"/>
          </w:tcPr>
          <w:p>
            <w:pPr>
              <w:pStyle w:val="TableContents"/>
              <w:bidi w:val="0"/>
              <w:spacing w:lineRule="atLeast" w:line="300" w:before="0" w:after="0"/>
              <w:jc w:val="right"/>
              <w:rPr>
                <w:rFonts w:ascii="arial" w:hAnsi="arial"/>
                <w:sz w:val="18"/>
              </w:rPr>
            </w:pPr>
            <w:r>
              <w:rPr>
                <w:rFonts w:ascii="arial" w:hAnsi="arial"/>
                <w:sz w:val="18"/>
              </w:rPr>
              <w:t>3,824,719</w:t>
            </w:r>
          </w:p>
        </w:tc>
        <w:tc>
          <w:tcPr>
            <w:tcW w:w="60" w:type="dxa"/>
            <w:tcBorders/>
            <w:vAlign w:val="center"/>
          </w:tcPr>
          <w:p>
            <w:pPr>
              <w:pStyle w:val="TableContents"/>
              <w:bidi w:val="0"/>
              <w:spacing w:lineRule="atLeast" w:line="300" w:before="0" w:after="0"/>
              <w:jc w:val="left"/>
              <w:rPr/>
            </w:pPr>
            <w:r>
              <w:rPr/>
              <w:t> </w:t>
            </w:r>
          </w:p>
        </w:tc>
        <w:tc>
          <w:tcPr>
            <w:tcW w:w="12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lineRule="atLeast" w:line="300" w:before="0" w:after="0"/>
              <w:jc w:val="left"/>
              <w:rPr/>
            </w:pPr>
            <w:r>
              <w:rPr/>
              <w:t> </w:t>
            </w:r>
          </w:p>
        </w:tc>
        <w:tc>
          <w:tcPr>
            <w:tcW w:w="4464" w:type="dxa"/>
            <w:tcBorders/>
            <w:vAlign w:val="center"/>
          </w:tcPr>
          <w:p>
            <w:pPr>
              <w:pStyle w:val="TableContents"/>
              <w:bidi w:val="0"/>
              <w:spacing w:lineRule="atLeast" w:line="300" w:before="0" w:after="0"/>
              <w:jc w:val="right"/>
              <w:rPr>
                <w:rFonts w:ascii="arial" w:hAnsi="arial"/>
                <w:sz w:val="18"/>
              </w:rPr>
            </w:pPr>
            <w:r>
              <w:rPr>
                <w:rFonts w:ascii="arial" w:hAnsi="arial"/>
                <w:sz w:val="18"/>
              </w:rPr>
              <w:t>4,499,877 </w:t>
            </w:r>
          </w:p>
        </w:tc>
        <w:tc>
          <w:tcPr>
            <w:tcW w:w="75" w:type="dxa"/>
            <w:tcBorders/>
            <w:vAlign w:val="center"/>
          </w:tcPr>
          <w:p>
            <w:pPr>
              <w:pStyle w:val="TableContents"/>
              <w:bidi w:val="0"/>
              <w:spacing w:lineRule="atLeast" w:line="300" w:before="0" w:after="0"/>
              <w:jc w:val="left"/>
              <w:rPr/>
            </w:pPr>
            <w:r>
              <w:rPr/>
              <w:t> </w:t>
            </w:r>
          </w:p>
        </w:tc>
      </w:tr>
      <w:tr>
        <w:trPr/>
        <w:tc>
          <w:tcPr>
            <w:tcW w:w="755"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r>
              <w:rPr>
                <w:rFonts w:ascii="arial" w:hAnsi="arial"/>
                <w:sz w:val="18"/>
              </w:rPr>
              <w:t>Esteban Santos</w:t>
            </w:r>
          </w:p>
        </w:tc>
        <w:tc>
          <w:tcPr>
            <w:tcW w:w="12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274"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c>
          <w:tcPr>
            <w:tcW w:w="4351" w:type="dxa"/>
            <w:tcBorders>
              <w:bottom w:val="single" w:sz="8" w:space="0" w:color="0171B9"/>
            </w:tcBorders>
            <w:shd w:fill="CCE2F1" w:val="clear"/>
            <w:tcMar>
              <w:bottom w:w="28" w:type="dxa"/>
            </w:tcMar>
            <w:vAlign w:val="center"/>
          </w:tcPr>
          <w:p>
            <w:pPr>
              <w:pStyle w:val="TableContents"/>
              <w:bidi w:val="0"/>
              <w:spacing w:lineRule="atLeast" w:line="300" w:before="0" w:after="0"/>
              <w:jc w:val="right"/>
              <w:rPr>
                <w:rFonts w:ascii="arial" w:hAnsi="arial"/>
                <w:sz w:val="18"/>
              </w:rPr>
            </w:pPr>
            <w:r>
              <w:rPr>
                <w:rFonts w:ascii="arial" w:hAnsi="arial"/>
                <w:sz w:val="18"/>
              </w:rPr>
              <w:t>3,569,704</w:t>
            </w:r>
          </w:p>
        </w:tc>
        <w:tc>
          <w:tcPr>
            <w:tcW w:w="60"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c>
          <w:tcPr>
            <w:tcW w:w="12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281"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c>
          <w:tcPr>
            <w:tcW w:w="4464" w:type="dxa"/>
            <w:tcBorders>
              <w:bottom w:val="single" w:sz="8" w:space="0" w:color="0171B9"/>
            </w:tcBorders>
            <w:shd w:fill="CCE2F1" w:val="clear"/>
            <w:tcMar>
              <w:bottom w:w="28" w:type="dxa"/>
            </w:tcMar>
            <w:vAlign w:val="center"/>
          </w:tcPr>
          <w:p>
            <w:pPr>
              <w:pStyle w:val="TableContents"/>
              <w:bidi w:val="0"/>
              <w:spacing w:lineRule="atLeast" w:line="300" w:before="0" w:after="0"/>
              <w:jc w:val="right"/>
              <w:rPr>
                <w:rFonts w:ascii="arial" w:hAnsi="arial"/>
                <w:sz w:val="18"/>
              </w:rPr>
            </w:pPr>
            <w:r>
              <w:rPr>
                <w:rFonts w:ascii="arial" w:hAnsi="arial"/>
                <w:sz w:val="18"/>
              </w:rPr>
              <w:t>4,199,919 </w:t>
            </w:r>
          </w:p>
        </w:tc>
        <w:tc>
          <w:tcPr>
            <w:tcW w:w="75"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pPr>
            <w:r>
              <w:rPr/>
              <w:t>(3) </w:t>
            </w:r>
          </w:p>
        </w:tc>
        <w:tc>
          <w:tcPr>
            <w:tcW w:w="9906" w:type="dxa"/>
            <w:tcBorders/>
            <w:vAlign w:val="center"/>
          </w:tcPr>
          <w:p>
            <w:pPr>
              <w:pStyle w:val="TableContents"/>
              <w:bidi w:val="0"/>
              <w:spacing w:before="0" w:after="0"/>
              <w:jc w:val="both"/>
              <w:rPr>
                <w:rFonts w:ascii="arial" w:hAnsi="arial"/>
                <w:sz w:val="16"/>
              </w:rPr>
            </w:pPr>
            <w:r>
              <w:rPr>
                <w:rFonts w:ascii="arial" w:hAnsi="arial"/>
                <w:sz w:val="16"/>
              </w:rPr>
              <w:t xml:space="preserve">For 2023, reflects the grant date fair values of non-qualified stock options granted during 2023 determined in accordance with ASC 718 (see footnote 8 to the “Grants of Plan-Based Awards” table for information on how these amounts were determined).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(4) </w:t>
            </w:r>
          </w:p>
        </w:tc>
        <w:tc>
          <w:tcPr>
            <w:tcW w:w="9937" w:type="dxa"/>
            <w:tcBorders/>
            <w:vAlign w:val="center"/>
          </w:tcPr>
          <w:p>
            <w:pPr>
              <w:pStyle w:val="TableContents"/>
              <w:bidi w:val="0"/>
              <w:spacing w:before="0" w:after="0"/>
              <w:jc w:val="both"/>
              <w:rPr>
                <w:rFonts w:ascii="arial" w:hAnsi="arial"/>
                <w:sz w:val="16"/>
              </w:rPr>
            </w:pPr>
            <w:r>
              <w:rPr>
                <w:rFonts w:ascii="arial" w:hAnsi="arial"/>
                <w:sz w:val="16"/>
              </w:rPr>
              <w:t>Reflects amounts that were earned under our Executive Incentive Plan, or EIP, for 2023 performance which were determined and paid in March 2024 (see footnote 2 to the “Grants of Plan-Based Awards” table for information on how these amounts were determined). For a description of our EIP, see “Elements of Compensation and Specific Compensation Decisions—</w:t>
            </w:r>
            <w:r>
              <w:rPr>
                <w:rFonts w:ascii="arial" w:hAnsi="arial"/>
                <w:i/>
                <w:sz w:val="16"/>
              </w:rPr>
              <w:t>Annual Cash Incentive Awards</w:t>
            </w:r>
            <w:r>
              <w:rPr>
                <w:rFonts w:ascii="arial" w:hAnsi="arial"/>
                <w:sz w:val="16"/>
              </w:rPr>
              <w:t xml:space="preserve">” in our Compensation Discussion and Analysis. </w:t>
            </w:r>
          </w:p>
        </w:tc>
      </w:tr>
    </w:tbl>
    <w:p>
      <w:pPr>
        <w:pStyle w:val="TextBody"/>
        <w:bidi w:val="0"/>
        <w:spacing w:before="0" w:after="0"/>
        <w:jc w:val="left"/>
        <w:rPr/>
      </w:pPr>
      <w:r>
        <w:rPr/>
        <w:t> </w:t>
      </w:r>
    </w:p>
    <w:tbl>
      <w:tblPr>
        <w:tblW w:w="9355" w:type="dxa"/>
        <w:jc w:val="left"/>
        <w:tblInd w:w="0" w:type="dxa"/>
        <w:tblLayout w:type="fixed"/>
        <w:tblCellMar>
          <w:top w:w="0" w:type="dxa"/>
          <w:left w:w="0" w:type="dxa"/>
          <w:bottom w:w="0" w:type="dxa"/>
          <w:right w:w="0" w:type="dxa"/>
        </w:tblCellMar>
      </w:tblPr>
      <w:tblGrid>
        <w:gridCol w:w="365"/>
        <w:gridCol w:w="8990"/>
      </w:tblGrid>
      <w:tr>
        <w:trPr/>
        <w:tc>
          <w:tcPr>
            <w:tcW w:w="365" w:type="dxa"/>
            <w:tcBorders/>
            <w:vAlign w:val="center"/>
          </w:tcPr>
          <w:p>
            <w:pPr>
              <w:pStyle w:val="TableContents"/>
              <w:bidi w:val="0"/>
              <w:spacing w:before="0" w:after="283"/>
              <w:jc w:val="left"/>
              <w:rPr/>
            </w:pPr>
            <w:r>
              <w:rPr/>
              <w:t>(5) </w:t>
            </w:r>
          </w:p>
        </w:tc>
        <w:tc>
          <w:tcPr>
            <w:tcW w:w="8990" w:type="dxa"/>
            <w:tcBorders/>
            <w:vAlign w:val="center"/>
          </w:tcPr>
          <w:p>
            <w:pPr>
              <w:pStyle w:val="TableContents"/>
              <w:bidi w:val="0"/>
              <w:spacing w:before="0" w:after="0"/>
              <w:jc w:val="both"/>
              <w:rPr>
                <w:rFonts w:ascii="arial" w:hAnsi="arial"/>
                <w:sz w:val="16"/>
              </w:rPr>
            </w:pPr>
            <w:r>
              <w:rPr>
                <w:rFonts w:ascii="arial" w:hAnsi="arial"/>
                <w:sz w:val="16"/>
              </w:rPr>
              <w:t xml:space="preserve">See the subsection “All Other Compensation—Perquisites and Other Compensation” immediately following these footnotes. </w:t>
            </w:r>
          </w:p>
        </w:tc>
      </w:tr>
    </w:tbl>
    <w:p>
      <w:pPr>
        <w:pStyle w:val="TextBody"/>
        <w:bidi w:val="0"/>
        <w:spacing w:before="360" w:after="0"/>
        <w:jc w:val="left"/>
        <w:rPr>
          <w:rFonts w:ascii="arial" w:hAnsi="arial"/>
          <w:b/>
          <w:color w:val="0171B9"/>
          <w:sz w:val="28"/>
        </w:rPr>
      </w:pPr>
      <w:r>
        <w:rPr>
          <w:rFonts w:ascii="arial" w:hAnsi="arial"/>
          <w:b/>
          <w:color w:val="0171B9"/>
          <w:sz w:val="28"/>
        </w:rPr>
        <w:t xml:space="preserve">All Other Compensation—Perquisites and Other Compensation </w:t>
      </w:r>
    </w:p>
    <w:p>
      <w:pPr>
        <w:pStyle w:val="TextBody"/>
        <w:pBdr>
          <w:bottom w:val="single" w:sz="2" w:space="1" w:color="666666"/>
        </w:pBdr>
        <w:bidi w:val="0"/>
        <w:spacing w:lineRule="atLeast" w:line="142" w:before="0" w:after="40"/>
        <w:jc w:val="left"/>
        <w:rPr/>
      </w:pPr>
      <w:r>
        <w:rPr/>
        <w:t> </w:t>
      </w:r>
    </w:p>
    <w:p>
      <w:pPr>
        <w:pStyle w:val="TextBody"/>
        <w:bidi w:val="0"/>
        <w:spacing w:before="120" w:after="0"/>
        <w:jc w:val="both"/>
        <w:rPr>
          <w:rFonts w:ascii="arial" w:hAnsi="arial"/>
          <w:sz w:val="19"/>
        </w:rPr>
      </w:pPr>
      <w:r>
        <w:rPr>
          <w:rFonts w:ascii="arial" w:hAnsi="arial"/>
          <w:i/>
          <w:color w:val="0171B9"/>
          <w:sz w:val="19"/>
        </w:rPr>
        <w:t>Perquisites.</w:t>
      </w:r>
      <w:r>
        <w:rPr>
          <w:rFonts w:ascii="arial" w:hAnsi="arial"/>
          <w:sz w:val="19"/>
        </w:rPr>
        <w:t xml:space="preserve"> The amounts reported reflect the aggregate incremental cost of perquisites and other personal benefits provided to our NEOs and are included in the “All Other Compensation” column of the “Summary Compensation Table.” The following table sets forth the perquisites provided to our NEOs in 2023. </w:t>
      </w:r>
    </w:p>
    <w:p>
      <w:pPr>
        <w:pStyle w:val="TextBody"/>
        <w:bidi w:val="0"/>
        <w:spacing w:before="0" w:after="0"/>
        <w:jc w:val="left"/>
        <w:rPr/>
      </w:pPr>
      <w:r>
        <w:rPr/>
        <w:t> </w:t>
      </w:r>
    </w:p>
    <w:tbl>
      <w:tblPr>
        <w:tblW w:w="7889" w:type="dxa"/>
        <w:jc w:val="left"/>
        <w:tblInd w:w="0" w:type="dxa"/>
        <w:tblLayout w:type="fixed"/>
        <w:tblCellMar>
          <w:top w:w="0" w:type="dxa"/>
          <w:left w:w="0" w:type="dxa"/>
          <w:bottom w:w="0" w:type="dxa"/>
          <w:right w:w="0" w:type="dxa"/>
        </w:tblCellMar>
      </w:tblPr>
      <w:tblGrid>
        <w:gridCol w:w="1565"/>
        <w:gridCol w:w="60"/>
        <w:gridCol w:w="123"/>
        <w:gridCol w:w="1217"/>
        <w:gridCol w:w="60"/>
        <w:gridCol w:w="60"/>
        <w:gridCol w:w="147"/>
        <w:gridCol w:w="1193"/>
        <w:gridCol w:w="60"/>
        <w:gridCol w:w="60"/>
        <w:gridCol w:w="95"/>
        <w:gridCol w:w="945"/>
        <w:gridCol w:w="60"/>
        <w:gridCol w:w="60"/>
        <w:gridCol w:w="82"/>
        <w:gridCol w:w="958"/>
        <w:gridCol w:w="60"/>
        <w:gridCol w:w="60"/>
        <w:gridCol w:w="67"/>
        <w:gridCol w:w="882"/>
        <w:gridCol w:w="75"/>
      </w:tblGrid>
      <w:tr>
        <w:trPr/>
        <w:tc>
          <w:tcPr>
            <w:tcW w:w="15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65" w:type="dxa"/>
            <w:tcBorders/>
            <w:shd w:fill="0171B9" w:val="clear"/>
            <w:vAlign w:val="center"/>
          </w:tcPr>
          <w:p>
            <w:pPr>
              <w:pStyle w:val="TableContents"/>
              <w:bidi w:val="0"/>
              <w:spacing w:before="0" w:after="283"/>
              <w:jc w:val="left"/>
              <w:rPr>
                <w:sz w:val="4"/>
                <w:szCs w:val="4"/>
              </w:rPr>
            </w:pPr>
            <w:r>
              <w:rPr>
                <w:sz w:val="4"/>
                <w:szCs w:val="4"/>
              </w:rPr>
            </w:r>
          </w:p>
        </w:tc>
        <w:tc>
          <w:tcPr>
            <w:tcW w:w="1460" w:type="dxa"/>
            <w:gridSpan w:val="4"/>
            <w:tcBorders/>
            <w:shd w:fill="0171B9" w:val="clear"/>
            <w:vAlign w:val="center"/>
          </w:tcPr>
          <w:p>
            <w:pPr>
              <w:pStyle w:val="TableContents"/>
              <w:bidi w:val="0"/>
              <w:spacing w:before="0" w:after="283"/>
              <w:jc w:val="left"/>
              <w:rPr>
                <w:sz w:val="4"/>
                <w:szCs w:val="4"/>
              </w:rPr>
            </w:pPr>
            <w:r>
              <w:rPr>
                <w:sz w:val="4"/>
                <w:szCs w:val="4"/>
              </w:rPr>
            </w:r>
          </w:p>
        </w:tc>
        <w:tc>
          <w:tcPr>
            <w:tcW w:w="1460" w:type="dxa"/>
            <w:gridSpan w:val="4"/>
            <w:tcBorders/>
            <w:shd w:fill="0171B9" w:val="clear"/>
            <w:vAlign w:val="center"/>
          </w:tcPr>
          <w:p>
            <w:pPr>
              <w:pStyle w:val="TableContents"/>
              <w:bidi w:val="0"/>
              <w:spacing w:before="0" w:after="283"/>
              <w:jc w:val="left"/>
              <w:rPr>
                <w:sz w:val="4"/>
                <w:szCs w:val="4"/>
              </w:rPr>
            </w:pPr>
            <w:r>
              <w:rPr>
                <w:sz w:val="4"/>
                <w:szCs w:val="4"/>
              </w:rPr>
            </w:r>
          </w:p>
        </w:tc>
        <w:tc>
          <w:tcPr>
            <w:tcW w:w="1160" w:type="dxa"/>
            <w:gridSpan w:val="4"/>
            <w:tcBorders/>
            <w:shd w:fill="0171B9" w:val="clear"/>
            <w:vAlign w:val="center"/>
          </w:tcPr>
          <w:p>
            <w:pPr>
              <w:pStyle w:val="TableContents"/>
              <w:bidi w:val="0"/>
              <w:spacing w:before="0" w:after="283"/>
              <w:jc w:val="left"/>
              <w:rPr>
                <w:sz w:val="4"/>
                <w:szCs w:val="4"/>
              </w:rPr>
            </w:pPr>
            <w:r>
              <w:rPr>
                <w:sz w:val="4"/>
                <w:szCs w:val="4"/>
              </w:rPr>
            </w:r>
          </w:p>
        </w:tc>
        <w:tc>
          <w:tcPr>
            <w:tcW w:w="1160" w:type="dxa"/>
            <w:gridSpan w:val="4"/>
            <w:tcBorders/>
            <w:shd w:fill="0171B9" w:val="clear"/>
            <w:vAlign w:val="center"/>
          </w:tcPr>
          <w:p>
            <w:pPr>
              <w:pStyle w:val="TableContents"/>
              <w:bidi w:val="0"/>
              <w:spacing w:before="0" w:after="283"/>
              <w:jc w:val="left"/>
              <w:rPr>
                <w:sz w:val="4"/>
                <w:szCs w:val="4"/>
              </w:rPr>
            </w:pPr>
            <w:r>
              <w:rPr>
                <w:sz w:val="4"/>
                <w:szCs w:val="4"/>
              </w:rPr>
            </w:r>
          </w:p>
        </w:tc>
        <w:tc>
          <w:tcPr>
            <w:tcW w:w="1084" w:type="dxa"/>
            <w:gridSpan w:val="4"/>
            <w:tcBorders/>
            <w:shd w:fill="0171B9" w:val="clear"/>
            <w:vAlign w:val="center"/>
          </w:tcPr>
          <w:p>
            <w:pPr>
              <w:pStyle w:val="TableContents"/>
              <w:bidi w:val="0"/>
              <w:spacing w:before="0" w:after="283"/>
              <w:jc w:val="left"/>
              <w:rPr>
                <w:sz w:val="4"/>
                <w:szCs w:val="4"/>
              </w:rPr>
            </w:pPr>
            <w:r>
              <w:rPr>
                <w:sz w:val="4"/>
                <w:szCs w:val="4"/>
              </w:rPr>
            </w:r>
          </w:p>
        </w:tc>
      </w:tr>
      <w:tr>
        <w:trPr/>
        <w:tc>
          <w:tcPr>
            <w:tcW w:w="1565"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1340" w:type="dxa"/>
            <w:gridSpan w:val="2"/>
            <w:tcBorders>
              <w:bottom w:val="single" w:sz="8" w:space="0" w:color="FFFFFF"/>
            </w:tcBorders>
            <w:shd w:fill="0171B9" w:val="clear"/>
            <w:tcMar>
              <w:bottom w:w="28" w:type="dxa"/>
            </w:tcMar>
            <w:vAlign w:val="center"/>
          </w:tcPr>
          <w:p>
            <w:pPr>
              <w:pStyle w:val="TableContents"/>
              <w:bidi w:val="0"/>
              <w:spacing w:before="0" w:after="283"/>
              <w:jc w:val="center"/>
              <w:rPr>
                <w:b/>
                <w:color w:val="FFFFFF"/>
              </w:rPr>
            </w:pPr>
            <w:r>
              <w:rPr>
                <w:b/>
                <w:color w:val="FFFFFF"/>
              </w:rPr>
              <w:t>Personal Use</w:t>
              <w:br/>
              <w:t>of Company</w:t>
              <w:br/>
              <w:t>Aircraft(1)</w:t>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1340" w:type="dxa"/>
            <w:gridSpan w:val="2"/>
            <w:tcBorders>
              <w:bottom w:val="single" w:sz="8" w:space="0" w:color="FFFFFF"/>
            </w:tcBorders>
            <w:shd w:fill="0171B9" w:val="clear"/>
            <w:tcMar>
              <w:bottom w:w="28" w:type="dxa"/>
            </w:tcMar>
            <w:vAlign w:val="center"/>
          </w:tcPr>
          <w:p>
            <w:pPr>
              <w:pStyle w:val="TableContents"/>
              <w:bidi w:val="0"/>
              <w:spacing w:before="0" w:after="283"/>
              <w:jc w:val="center"/>
              <w:rPr>
                <w:b/>
                <w:color w:val="FFFFFF"/>
              </w:rPr>
            </w:pPr>
            <w:r>
              <w:rPr>
                <w:b/>
                <w:color w:val="FFFFFF"/>
              </w:rPr>
              <w:t>Personal Use</w:t>
              <w:br/>
              <w:t>of Company</w:t>
              <w:br/>
              <w:t>Car and</w:t>
              <w:br/>
              <w:t>Driver(2)</w:t>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1040" w:type="dxa"/>
            <w:gridSpan w:val="2"/>
            <w:tcBorders>
              <w:bottom w:val="single" w:sz="8" w:space="0" w:color="FFFFFF"/>
            </w:tcBorders>
            <w:shd w:fill="0171B9" w:val="clear"/>
            <w:tcMar>
              <w:bottom w:w="28" w:type="dxa"/>
            </w:tcMar>
            <w:vAlign w:val="center"/>
          </w:tcPr>
          <w:p>
            <w:pPr>
              <w:pStyle w:val="TableContents"/>
              <w:bidi w:val="0"/>
              <w:spacing w:before="0" w:after="283"/>
              <w:jc w:val="center"/>
              <w:rPr>
                <w:b/>
                <w:color w:val="FFFFFF"/>
              </w:rPr>
            </w:pPr>
            <w:r>
              <w:rPr>
                <w:b/>
                <w:color w:val="FFFFFF"/>
              </w:rPr>
              <w:t>Personal</w:t>
              <w:br/>
              <w:t>Financial</w:t>
              <w:br/>
              <w:t>Planning</w:t>
              <w:br/>
              <w:t>Services</w:t>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1040" w:type="dxa"/>
            <w:gridSpan w:val="2"/>
            <w:tcBorders>
              <w:bottom w:val="single" w:sz="8" w:space="0" w:color="FFFFFF"/>
            </w:tcBorders>
            <w:shd w:fill="0171B9" w:val="clear"/>
            <w:tcMar>
              <w:bottom w:w="28" w:type="dxa"/>
            </w:tcMar>
            <w:vAlign w:val="center"/>
          </w:tcPr>
          <w:p>
            <w:pPr>
              <w:pStyle w:val="TableContents"/>
              <w:bidi w:val="0"/>
              <w:spacing w:before="0" w:after="283"/>
              <w:jc w:val="center"/>
              <w:rPr>
                <w:b/>
                <w:color w:val="FFFFFF"/>
              </w:rPr>
            </w:pPr>
            <w:r>
              <w:rPr>
                <w:b/>
                <w:color w:val="FFFFFF"/>
              </w:rPr>
              <w:t>Other(3)</w:t>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949" w:type="dxa"/>
            <w:gridSpan w:val="2"/>
            <w:tcBorders/>
            <w:shd w:fill="0171B9" w:val="clear"/>
            <w:vAlign w:val="center"/>
          </w:tcPr>
          <w:p>
            <w:pPr>
              <w:pStyle w:val="TableContents"/>
              <w:bidi w:val="0"/>
              <w:spacing w:before="0" w:after="283"/>
              <w:jc w:val="left"/>
              <w:rPr/>
            </w:pPr>
            <w:r>
              <w:rPr/>
              <w:t> </w:t>
            </w:r>
          </w:p>
        </w:tc>
        <w:tc>
          <w:tcPr>
            <w:tcW w:w="75" w:type="dxa"/>
            <w:tcBorders/>
            <w:shd w:fill="0171B9" w:val="clear"/>
            <w:vAlign w:val="center"/>
          </w:tcPr>
          <w:p>
            <w:pPr>
              <w:pStyle w:val="TableContents"/>
              <w:bidi w:val="0"/>
              <w:spacing w:before="0" w:after="283"/>
              <w:jc w:val="left"/>
              <w:rPr/>
            </w:pPr>
            <w:r>
              <w:rPr/>
              <w:t> </w:t>
            </w:r>
          </w:p>
        </w:tc>
      </w:tr>
      <w:tr>
        <w:trPr/>
        <w:tc>
          <w:tcPr>
            <w:tcW w:w="1565" w:type="dxa"/>
            <w:tcBorders/>
            <w:shd w:fill="0171B9" w:val="clear"/>
            <w:vAlign w:val="center"/>
          </w:tcPr>
          <w:p>
            <w:pPr>
              <w:pStyle w:val="TableContents"/>
              <w:bidi w:val="0"/>
              <w:spacing w:before="0" w:after="283"/>
              <w:jc w:val="left"/>
              <w:rPr>
                <w:sz w:val="4"/>
                <w:szCs w:val="4"/>
              </w:rPr>
            </w:pPr>
            <w:r>
              <w:rPr>
                <w:sz w:val="4"/>
                <w:szCs w:val="4"/>
              </w:rPr>
            </w:r>
          </w:p>
        </w:tc>
        <w:tc>
          <w:tcPr>
            <w:tcW w:w="1460" w:type="dxa"/>
            <w:gridSpan w:val="4"/>
            <w:tcBorders/>
            <w:shd w:fill="0171B9" w:val="clear"/>
            <w:vAlign w:val="center"/>
          </w:tcPr>
          <w:p>
            <w:pPr>
              <w:pStyle w:val="TableContents"/>
              <w:bidi w:val="0"/>
              <w:spacing w:before="0" w:after="283"/>
              <w:jc w:val="left"/>
              <w:rPr>
                <w:sz w:val="4"/>
                <w:szCs w:val="4"/>
              </w:rPr>
            </w:pPr>
            <w:r>
              <w:rPr>
                <w:sz w:val="4"/>
                <w:szCs w:val="4"/>
              </w:rPr>
            </w:r>
          </w:p>
        </w:tc>
        <w:tc>
          <w:tcPr>
            <w:tcW w:w="1460" w:type="dxa"/>
            <w:gridSpan w:val="4"/>
            <w:tcBorders/>
            <w:shd w:fill="0171B9" w:val="clear"/>
            <w:vAlign w:val="center"/>
          </w:tcPr>
          <w:p>
            <w:pPr>
              <w:pStyle w:val="TableContents"/>
              <w:bidi w:val="0"/>
              <w:spacing w:before="0" w:after="283"/>
              <w:jc w:val="left"/>
              <w:rPr>
                <w:sz w:val="4"/>
                <w:szCs w:val="4"/>
              </w:rPr>
            </w:pPr>
            <w:r>
              <w:rPr>
                <w:sz w:val="4"/>
                <w:szCs w:val="4"/>
              </w:rPr>
            </w:r>
          </w:p>
        </w:tc>
        <w:tc>
          <w:tcPr>
            <w:tcW w:w="1160" w:type="dxa"/>
            <w:gridSpan w:val="4"/>
            <w:tcBorders/>
            <w:shd w:fill="0171B9" w:val="clear"/>
            <w:vAlign w:val="center"/>
          </w:tcPr>
          <w:p>
            <w:pPr>
              <w:pStyle w:val="TableContents"/>
              <w:bidi w:val="0"/>
              <w:spacing w:before="0" w:after="283"/>
              <w:jc w:val="left"/>
              <w:rPr>
                <w:sz w:val="4"/>
                <w:szCs w:val="4"/>
              </w:rPr>
            </w:pPr>
            <w:r>
              <w:rPr>
                <w:sz w:val="4"/>
                <w:szCs w:val="4"/>
              </w:rPr>
            </w:r>
          </w:p>
        </w:tc>
        <w:tc>
          <w:tcPr>
            <w:tcW w:w="1160" w:type="dxa"/>
            <w:gridSpan w:val="4"/>
            <w:tcBorders/>
            <w:shd w:fill="0171B9" w:val="clear"/>
            <w:vAlign w:val="center"/>
          </w:tcPr>
          <w:p>
            <w:pPr>
              <w:pStyle w:val="TableContents"/>
              <w:bidi w:val="0"/>
              <w:spacing w:before="0" w:after="283"/>
              <w:jc w:val="left"/>
              <w:rPr>
                <w:sz w:val="4"/>
                <w:szCs w:val="4"/>
              </w:rPr>
            </w:pPr>
            <w:r>
              <w:rPr>
                <w:sz w:val="4"/>
                <w:szCs w:val="4"/>
              </w:rPr>
            </w:r>
          </w:p>
        </w:tc>
        <w:tc>
          <w:tcPr>
            <w:tcW w:w="1084" w:type="dxa"/>
            <w:gridSpan w:val="4"/>
            <w:tcBorders/>
            <w:shd w:fill="0171B9" w:val="clear"/>
            <w:vAlign w:val="center"/>
          </w:tcPr>
          <w:p>
            <w:pPr>
              <w:pStyle w:val="TableContents"/>
              <w:bidi w:val="0"/>
              <w:spacing w:before="0" w:after="283"/>
              <w:jc w:val="left"/>
              <w:rPr>
                <w:sz w:val="4"/>
                <w:szCs w:val="4"/>
              </w:rPr>
            </w:pPr>
            <w:r>
              <w:rPr>
                <w:sz w:val="4"/>
                <w:szCs w:val="4"/>
              </w:rPr>
            </w:r>
          </w:p>
        </w:tc>
      </w:tr>
      <w:tr>
        <w:trPr/>
        <w:tc>
          <w:tcPr>
            <w:tcW w:w="1565" w:type="dxa"/>
            <w:tcBorders>
              <w:bottom w:val="single" w:sz="8" w:space="0" w:color="FFFFFF"/>
            </w:tcBorders>
            <w:shd w:fill="0171B9" w:val="clear"/>
            <w:tcMar>
              <w:bottom w:w="40" w:type="dxa"/>
            </w:tcMar>
            <w:vAlign w:val="center"/>
          </w:tcPr>
          <w:p>
            <w:pPr>
              <w:pStyle w:val="TableContents"/>
              <w:bidi w:val="0"/>
              <w:spacing w:before="0" w:after="283"/>
              <w:jc w:val="left"/>
              <w:rPr>
                <w:color w:val="FFFFFF"/>
              </w:rPr>
            </w:pPr>
            <w:r>
              <w:rPr>
                <w:color w:val="FFFFFF"/>
              </w:rPr>
              <w:t> </w:t>
            </w:r>
            <w:r>
              <w:rPr>
                <w:b/>
                <w:color w:val="FFFFFF"/>
              </w:rPr>
              <w:t>Name</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340" w:type="dxa"/>
            <w:gridSpan w:val="2"/>
            <w:tcBorders>
              <w:bottom w:val="single" w:sz="8" w:space="0" w:color="FFFFFF"/>
            </w:tcBorders>
            <w:shd w:fill="0171B9" w:val="clear"/>
            <w:tcMar>
              <w:bottom w:w="40" w:type="dxa"/>
            </w:tcMar>
            <w:vAlign w:val="center"/>
          </w:tcPr>
          <w:p>
            <w:pPr>
              <w:pStyle w:val="TableContents"/>
              <w:bidi w:val="0"/>
              <w:spacing w:before="0" w:after="0"/>
              <w:jc w:val="right"/>
              <w:rPr>
                <w:rFonts w:ascii="arial" w:hAnsi="arial"/>
                <w:b/>
                <w:color w:val="FFFFFF"/>
                <w:sz w:val="18"/>
              </w:rPr>
            </w:pPr>
            <w:r>
              <w:rPr>
                <w:rFonts w:ascii="arial" w:hAnsi="arial"/>
                <w:b/>
                <w:color w:val="FFFFFF"/>
                <w:sz w:val="18"/>
              </w:rPr>
              <w:t>Aggregate</w:t>
            </w:r>
          </w:p>
          <w:p>
            <w:pPr>
              <w:pStyle w:val="TableContents"/>
              <w:bidi w:val="0"/>
              <w:spacing w:before="0" w:after="0"/>
              <w:jc w:val="right"/>
              <w:rPr>
                <w:rFonts w:ascii="arial" w:hAnsi="arial"/>
                <w:b/>
                <w:color w:val="FFFFFF"/>
                <w:sz w:val="18"/>
              </w:rPr>
            </w:pPr>
            <w:r>
              <w:rPr>
                <w:rFonts w:ascii="arial" w:hAnsi="arial"/>
                <w:b/>
                <w:color w:val="FFFFFF"/>
                <w:sz w:val="18"/>
              </w:rPr>
              <w:t>Incremental</w:t>
            </w:r>
          </w:p>
          <w:p>
            <w:pPr>
              <w:pStyle w:val="TableContents"/>
              <w:bidi w:val="0"/>
              <w:spacing w:before="0" w:after="20"/>
              <w:jc w:val="right"/>
              <w:rPr>
                <w:rFonts w:ascii="arial" w:hAnsi="arial"/>
                <w:b/>
                <w:color w:val="FFFFFF"/>
                <w:sz w:val="18"/>
              </w:rPr>
            </w:pPr>
            <w:r>
              <w:rPr>
                <w:rFonts w:ascii="arial" w:hAnsi="arial"/>
                <w:b/>
                <w:color w:val="FFFFFF"/>
                <w:sz w:val="18"/>
              </w:rPr>
              <w:t>Cost($)</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340" w:type="dxa"/>
            <w:gridSpan w:val="2"/>
            <w:tcBorders>
              <w:bottom w:val="single" w:sz="8" w:space="0" w:color="FFFFFF"/>
            </w:tcBorders>
            <w:shd w:fill="0171B9" w:val="clear"/>
            <w:tcMar>
              <w:bottom w:w="40" w:type="dxa"/>
            </w:tcMar>
            <w:vAlign w:val="center"/>
          </w:tcPr>
          <w:p>
            <w:pPr>
              <w:pStyle w:val="TableContents"/>
              <w:bidi w:val="0"/>
              <w:spacing w:before="0" w:after="0"/>
              <w:jc w:val="right"/>
              <w:rPr>
                <w:rFonts w:ascii="arial" w:hAnsi="arial"/>
                <w:b/>
                <w:color w:val="FFFFFF"/>
                <w:sz w:val="18"/>
              </w:rPr>
            </w:pPr>
            <w:r>
              <w:rPr>
                <w:rFonts w:ascii="arial" w:hAnsi="arial"/>
                <w:b/>
                <w:color w:val="FFFFFF"/>
                <w:sz w:val="18"/>
              </w:rPr>
              <w:t>Aggregate</w:t>
            </w:r>
          </w:p>
          <w:p>
            <w:pPr>
              <w:pStyle w:val="TableContents"/>
              <w:bidi w:val="0"/>
              <w:spacing w:before="0" w:after="0"/>
              <w:jc w:val="right"/>
              <w:rPr>
                <w:rFonts w:ascii="arial" w:hAnsi="arial"/>
                <w:b/>
                <w:color w:val="FFFFFF"/>
                <w:sz w:val="18"/>
              </w:rPr>
            </w:pPr>
            <w:r>
              <w:rPr>
                <w:rFonts w:ascii="arial" w:hAnsi="arial"/>
                <w:b/>
                <w:color w:val="FFFFFF"/>
                <w:sz w:val="18"/>
              </w:rPr>
              <w:t>Incremental</w:t>
            </w:r>
          </w:p>
          <w:p>
            <w:pPr>
              <w:pStyle w:val="TableContents"/>
              <w:bidi w:val="0"/>
              <w:spacing w:before="0" w:after="20"/>
              <w:jc w:val="right"/>
              <w:rPr>
                <w:rFonts w:ascii="arial" w:hAnsi="arial"/>
                <w:b/>
                <w:color w:val="FFFFFF"/>
                <w:sz w:val="18"/>
              </w:rPr>
            </w:pPr>
            <w:r>
              <w:rPr>
                <w:rFonts w:ascii="arial" w:hAnsi="arial"/>
                <w:b/>
                <w:color w:val="FFFFFF"/>
                <w:sz w:val="18"/>
              </w:rPr>
              <w:t>Cost($)</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040" w:type="dxa"/>
            <w:gridSpan w:val="2"/>
            <w:tcBorders>
              <w:bottom w:val="single" w:sz="8" w:space="0" w:color="FFFFFF"/>
            </w:tcBorders>
            <w:shd w:fill="0171B9" w:val="clear"/>
            <w:tcMar>
              <w:bottom w:w="40" w:type="dxa"/>
            </w:tcMar>
            <w:vAlign w:val="center"/>
          </w:tcPr>
          <w:p>
            <w:pPr>
              <w:pStyle w:val="TableContents"/>
              <w:bidi w:val="0"/>
              <w:spacing w:before="0" w:after="0"/>
              <w:jc w:val="right"/>
              <w:rPr>
                <w:rFonts w:ascii="arial" w:hAnsi="arial"/>
                <w:b/>
                <w:color w:val="FFFFFF"/>
                <w:sz w:val="18"/>
              </w:rPr>
            </w:pPr>
            <w:r>
              <w:rPr>
                <w:rFonts w:ascii="arial" w:hAnsi="arial"/>
                <w:b/>
                <w:color w:val="FFFFFF"/>
                <w:sz w:val="18"/>
              </w:rPr>
              <w:t>Aggregate</w:t>
            </w:r>
          </w:p>
          <w:p>
            <w:pPr>
              <w:pStyle w:val="TableContents"/>
              <w:bidi w:val="0"/>
              <w:spacing w:before="0" w:after="0"/>
              <w:jc w:val="right"/>
              <w:rPr>
                <w:rFonts w:ascii="arial" w:hAnsi="arial"/>
                <w:b/>
                <w:color w:val="FFFFFF"/>
                <w:sz w:val="18"/>
              </w:rPr>
            </w:pPr>
            <w:r>
              <w:rPr>
                <w:rFonts w:ascii="arial" w:hAnsi="arial"/>
                <w:b/>
                <w:color w:val="FFFFFF"/>
                <w:sz w:val="18"/>
              </w:rPr>
              <w:t>Incremental</w:t>
            </w:r>
          </w:p>
          <w:p>
            <w:pPr>
              <w:pStyle w:val="TableContents"/>
              <w:bidi w:val="0"/>
              <w:spacing w:before="0" w:after="20"/>
              <w:jc w:val="right"/>
              <w:rPr>
                <w:rFonts w:ascii="arial" w:hAnsi="arial"/>
                <w:b/>
                <w:color w:val="FFFFFF"/>
                <w:sz w:val="18"/>
              </w:rPr>
            </w:pPr>
            <w:r>
              <w:rPr>
                <w:rFonts w:ascii="arial" w:hAnsi="arial"/>
                <w:b/>
                <w:color w:val="FFFFFF"/>
                <w:sz w:val="18"/>
              </w:rPr>
              <w:t>Cost($)</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040" w:type="dxa"/>
            <w:gridSpan w:val="2"/>
            <w:tcBorders>
              <w:bottom w:val="single" w:sz="8" w:space="0" w:color="FFFFFF"/>
            </w:tcBorders>
            <w:shd w:fill="0171B9" w:val="clear"/>
            <w:tcMar>
              <w:bottom w:w="40" w:type="dxa"/>
            </w:tcMar>
            <w:vAlign w:val="center"/>
          </w:tcPr>
          <w:p>
            <w:pPr>
              <w:pStyle w:val="TableContents"/>
              <w:bidi w:val="0"/>
              <w:spacing w:before="0" w:after="0"/>
              <w:jc w:val="right"/>
              <w:rPr>
                <w:rFonts w:ascii="arial" w:hAnsi="arial"/>
                <w:b/>
                <w:color w:val="FFFFFF"/>
                <w:sz w:val="18"/>
              </w:rPr>
            </w:pPr>
            <w:r>
              <w:rPr>
                <w:rFonts w:ascii="arial" w:hAnsi="arial"/>
                <w:b/>
                <w:color w:val="FFFFFF"/>
                <w:sz w:val="18"/>
              </w:rPr>
              <w:t>Aggregate</w:t>
            </w:r>
          </w:p>
          <w:p>
            <w:pPr>
              <w:pStyle w:val="TableContents"/>
              <w:bidi w:val="0"/>
              <w:spacing w:before="0" w:after="0"/>
              <w:jc w:val="right"/>
              <w:rPr>
                <w:rFonts w:ascii="arial" w:hAnsi="arial"/>
                <w:b/>
                <w:color w:val="FFFFFF"/>
                <w:sz w:val="18"/>
              </w:rPr>
            </w:pPr>
            <w:r>
              <w:rPr>
                <w:rFonts w:ascii="arial" w:hAnsi="arial"/>
                <w:b/>
                <w:color w:val="FFFFFF"/>
                <w:sz w:val="18"/>
              </w:rPr>
              <w:t>Incremental</w:t>
            </w:r>
          </w:p>
          <w:p>
            <w:pPr>
              <w:pStyle w:val="TableContents"/>
              <w:bidi w:val="0"/>
              <w:spacing w:before="0" w:after="20"/>
              <w:jc w:val="right"/>
              <w:rPr>
                <w:rFonts w:ascii="arial" w:hAnsi="arial"/>
                <w:b/>
                <w:color w:val="FFFFFF"/>
                <w:sz w:val="18"/>
              </w:rPr>
            </w:pPr>
            <w:r>
              <w:rPr>
                <w:rFonts w:ascii="arial" w:hAnsi="arial"/>
                <w:b/>
                <w:color w:val="FFFFFF"/>
                <w:sz w:val="18"/>
              </w:rPr>
              <w:t>Cost($)</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949" w:type="dxa"/>
            <w:gridSpan w:val="2"/>
            <w:tcBorders>
              <w:bottom w:val="single" w:sz="8" w:space="0" w:color="FFFFFF"/>
            </w:tcBorders>
            <w:shd w:fill="0171B9" w:val="clear"/>
            <w:tcMar>
              <w:bottom w:w="40" w:type="dxa"/>
            </w:tcMar>
            <w:vAlign w:val="center"/>
          </w:tcPr>
          <w:p>
            <w:pPr>
              <w:pStyle w:val="TableContents"/>
              <w:bidi w:val="0"/>
              <w:spacing w:before="0" w:after="283"/>
              <w:jc w:val="right"/>
              <w:rPr>
                <w:b/>
                <w:color w:val="FFFFFF"/>
              </w:rPr>
            </w:pPr>
            <w:r>
              <w:rPr>
                <w:b/>
                <w:color w:val="FFFFFF"/>
              </w:rPr>
              <w:t>Total($) </w:t>
            </w:r>
          </w:p>
        </w:tc>
        <w:tc>
          <w:tcPr>
            <w:tcW w:w="75"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r>
      <w:tr>
        <w:trPr/>
        <w:tc>
          <w:tcPr>
            <w:tcW w:w="1565" w:type="dxa"/>
            <w:tcBorders/>
            <w:shd w:fill="CCE2F1" w:val="clear"/>
            <w:vAlign w:val="center"/>
          </w:tcPr>
          <w:p>
            <w:pPr>
              <w:pStyle w:val="TableContents"/>
              <w:bidi w:val="0"/>
              <w:spacing w:lineRule="atLeast" w:line="300" w:before="0" w:after="0"/>
              <w:jc w:val="left"/>
              <w:rPr>
                <w:rFonts w:ascii="arial" w:hAnsi="arial"/>
                <w:sz w:val="18"/>
              </w:rPr>
            </w:pPr>
            <w:r>
              <w:rPr>
                <w:rFonts w:ascii="arial" w:hAnsi="arial"/>
                <w:sz w:val="18"/>
              </w:rPr>
              <w:t>Robert A. Bradway</w:t>
            </w:r>
          </w:p>
        </w:tc>
        <w:tc>
          <w:tcPr>
            <w:tcW w:w="60" w:type="dxa"/>
            <w:tcBorders/>
            <w:shd w:fill="CCE2F1" w:val="clear"/>
            <w:vAlign w:val="center"/>
          </w:tcPr>
          <w:p>
            <w:pPr>
              <w:pStyle w:val="TableContents"/>
              <w:bidi w:val="0"/>
              <w:spacing w:before="0" w:after="283"/>
              <w:jc w:val="left"/>
              <w:rPr/>
            </w:pPr>
            <w:r>
              <w:rPr/>
              <w:t> </w:t>
            </w:r>
          </w:p>
        </w:tc>
        <w:tc>
          <w:tcPr>
            <w:tcW w:w="123" w:type="dxa"/>
            <w:tcBorders/>
            <w:shd w:fill="CCE2F1" w:val="clear"/>
            <w:vAlign w:val="center"/>
          </w:tcPr>
          <w:p>
            <w:pPr>
              <w:pStyle w:val="TableContents"/>
              <w:bidi w:val="0"/>
              <w:spacing w:lineRule="atLeast" w:line="300" w:before="0" w:after="0"/>
              <w:jc w:val="left"/>
              <w:rPr/>
            </w:pPr>
            <w:r>
              <w:rPr/>
              <w:t> </w:t>
            </w:r>
          </w:p>
        </w:tc>
        <w:tc>
          <w:tcPr>
            <w:tcW w:w="1217" w:type="dxa"/>
            <w:tcBorders/>
            <w:shd w:fill="CCE2F1" w:val="clear"/>
            <w:vAlign w:val="center"/>
          </w:tcPr>
          <w:p>
            <w:pPr>
              <w:pStyle w:val="TableContents"/>
              <w:bidi w:val="0"/>
              <w:spacing w:lineRule="atLeast" w:line="300" w:before="0" w:after="0"/>
              <w:jc w:val="right"/>
              <w:rPr>
                <w:rFonts w:ascii="arial" w:hAnsi="arial"/>
                <w:sz w:val="18"/>
              </w:rPr>
            </w:pPr>
            <w:r>
              <w:rPr>
                <w:rFonts w:ascii="arial" w:hAnsi="arial"/>
                <w:sz w:val="18"/>
              </w:rPr>
              <w:t>56,692</w:t>
            </w:r>
          </w:p>
        </w:tc>
        <w:tc>
          <w:tcPr>
            <w:tcW w:w="60" w:type="dxa"/>
            <w:tcBorders/>
            <w:shd w:fill="CCE2F1" w:val="clear"/>
            <w:vAlign w:val="center"/>
          </w:tcPr>
          <w:p>
            <w:pPr>
              <w:pStyle w:val="TableContents"/>
              <w:bidi w:val="0"/>
              <w:spacing w:lineRule="atLeast" w:line="300" w:before="0" w:after="0"/>
              <w:jc w:val="left"/>
              <w:rPr/>
            </w:pPr>
            <w:r>
              <w:rPr/>
              <w:t> </w:t>
            </w:r>
          </w:p>
        </w:tc>
        <w:tc>
          <w:tcPr>
            <w:tcW w:w="60" w:type="dxa"/>
            <w:tcBorders/>
            <w:shd w:fill="CCE2F1" w:val="clear"/>
            <w:vAlign w:val="center"/>
          </w:tcPr>
          <w:p>
            <w:pPr>
              <w:pStyle w:val="TableContents"/>
              <w:bidi w:val="0"/>
              <w:spacing w:before="0" w:after="283"/>
              <w:jc w:val="left"/>
              <w:rPr/>
            </w:pPr>
            <w:r>
              <w:rPr/>
              <w:t> </w:t>
            </w:r>
          </w:p>
        </w:tc>
        <w:tc>
          <w:tcPr>
            <w:tcW w:w="147" w:type="dxa"/>
            <w:tcBorders/>
            <w:shd w:fill="CCE2F1" w:val="clear"/>
            <w:vAlign w:val="center"/>
          </w:tcPr>
          <w:p>
            <w:pPr>
              <w:pStyle w:val="TableContents"/>
              <w:bidi w:val="0"/>
              <w:spacing w:lineRule="atLeast" w:line="300" w:before="0" w:after="0"/>
              <w:jc w:val="left"/>
              <w:rPr/>
            </w:pPr>
            <w:r>
              <w:rPr/>
              <w:t> </w:t>
            </w:r>
          </w:p>
        </w:tc>
        <w:tc>
          <w:tcPr>
            <w:tcW w:w="1193" w:type="dxa"/>
            <w:tcBorders/>
            <w:shd w:fill="CCE2F1" w:val="clear"/>
            <w:vAlign w:val="center"/>
          </w:tcPr>
          <w:p>
            <w:pPr>
              <w:pStyle w:val="TableContents"/>
              <w:bidi w:val="0"/>
              <w:spacing w:lineRule="atLeast" w:line="300" w:before="0" w:after="0"/>
              <w:jc w:val="right"/>
              <w:rPr>
                <w:rFonts w:ascii="arial" w:hAnsi="arial"/>
                <w:sz w:val="18"/>
              </w:rPr>
            </w:pPr>
            <w:r>
              <w:rPr>
                <w:rFonts w:ascii="arial" w:hAnsi="arial"/>
                <w:sz w:val="18"/>
              </w:rPr>
              <w:t>6,155</w:t>
            </w:r>
          </w:p>
        </w:tc>
        <w:tc>
          <w:tcPr>
            <w:tcW w:w="60" w:type="dxa"/>
            <w:tcBorders/>
            <w:shd w:fill="CCE2F1" w:val="clear"/>
            <w:vAlign w:val="center"/>
          </w:tcPr>
          <w:p>
            <w:pPr>
              <w:pStyle w:val="TableContents"/>
              <w:bidi w:val="0"/>
              <w:spacing w:lineRule="atLeast" w:line="300" w:before="0" w:after="0"/>
              <w:jc w:val="left"/>
              <w:rPr/>
            </w:pPr>
            <w:r>
              <w:rPr/>
              <w:t> </w:t>
            </w:r>
          </w:p>
        </w:tc>
        <w:tc>
          <w:tcPr>
            <w:tcW w:w="60" w:type="dxa"/>
            <w:tcBorders/>
            <w:shd w:fill="CCE2F1" w:val="clear"/>
            <w:vAlign w:val="center"/>
          </w:tcPr>
          <w:p>
            <w:pPr>
              <w:pStyle w:val="TableContents"/>
              <w:bidi w:val="0"/>
              <w:spacing w:before="0" w:after="283"/>
              <w:jc w:val="left"/>
              <w:rPr/>
            </w:pPr>
            <w:r>
              <w:rPr/>
              <w:t> </w:t>
            </w:r>
          </w:p>
        </w:tc>
        <w:tc>
          <w:tcPr>
            <w:tcW w:w="95" w:type="dxa"/>
            <w:tcBorders/>
            <w:shd w:fill="CCE2F1" w:val="clear"/>
            <w:vAlign w:val="center"/>
          </w:tcPr>
          <w:p>
            <w:pPr>
              <w:pStyle w:val="TableContents"/>
              <w:bidi w:val="0"/>
              <w:spacing w:lineRule="atLeast" w:line="300" w:before="0" w:after="0"/>
              <w:jc w:val="left"/>
              <w:rPr/>
            </w:pPr>
            <w:r>
              <w:rPr/>
              <w:t> </w:t>
            </w:r>
          </w:p>
        </w:tc>
        <w:tc>
          <w:tcPr>
            <w:tcW w:w="945" w:type="dxa"/>
            <w:tcBorders/>
            <w:shd w:fill="CCE2F1" w:val="clear"/>
            <w:vAlign w:val="center"/>
          </w:tcPr>
          <w:p>
            <w:pPr>
              <w:pStyle w:val="TableContents"/>
              <w:bidi w:val="0"/>
              <w:spacing w:lineRule="atLeast" w:line="300" w:before="0" w:after="0"/>
              <w:jc w:val="right"/>
              <w:rPr>
                <w:rFonts w:ascii="arial" w:hAnsi="arial"/>
                <w:sz w:val="18"/>
              </w:rPr>
            </w:pPr>
            <w:r>
              <w:rPr>
                <w:rFonts w:ascii="arial" w:hAnsi="arial"/>
                <w:sz w:val="18"/>
              </w:rPr>
              <w:t>15,000</w:t>
            </w:r>
          </w:p>
        </w:tc>
        <w:tc>
          <w:tcPr>
            <w:tcW w:w="60" w:type="dxa"/>
            <w:tcBorders/>
            <w:shd w:fill="CCE2F1" w:val="clear"/>
            <w:vAlign w:val="center"/>
          </w:tcPr>
          <w:p>
            <w:pPr>
              <w:pStyle w:val="TableContents"/>
              <w:bidi w:val="0"/>
              <w:spacing w:lineRule="atLeast" w:line="300" w:before="0" w:after="0"/>
              <w:jc w:val="left"/>
              <w:rPr/>
            </w:pPr>
            <w:r>
              <w:rPr/>
              <w:t> </w:t>
            </w:r>
          </w:p>
        </w:tc>
        <w:tc>
          <w:tcPr>
            <w:tcW w:w="60" w:type="dxa"/>
            <w:tcBorders/>
            <w:shd w:fill="CCE2F1" w:val="clear"/>
            <w:vAlign w:val="center"/>
          </w:tcPr>
          <w:p>
            <w:pPr>
              <w:pStyle w:val="TableContents"/>
              <w:bidi w:val="0"/>
              <w:spacing w:before="0" w:after="283"/>
              <w:jc w:val="left"/>
              <w:rPr/>
            </w:pPr>
            <w:r>
              <w:rPr/>
              <w:t> </w:t>
            </w:r>
          </w:p>
        </w:tc>
        <w:tc>
          <w:tcPr>
            <w:tcW w:w="82" w:type="dxa"/>
            <w:tcBorders/>
            <w:shd w:fill="CCE2F1" w:val="clear"/>
            <w:vAlign w:val="center"/>
          </w:tcPr>
          <w:p>
            <w:pPr>
              <w:pStyle w:val="TableContents"/>
              <w:bidi w:val="0"/>
              <w:spacing w:lineRule="atLeast" w:line="300" w:before="0" w:after="0"/>
              <w:jc w:val="left"/>
              <w:rPr/>
            </w:pPr>
            <w:r>
              <w:rPr/>
              <w:t> </w:t>
            </w:r>
          </w:p>
        </w:tc>
        <w:tc>
          <w:tcPr>
            <w:tcW w:w="958" w:type="dxa"/>
            <w:tcBorders/>
            <w:shd w:fill="CCE2F1" w:val="clear"/>
            <w:vAlign w:val="center"/>
          </w:tcPr>
          <w:p>
            <w:pPr>
              <w:pStyle w:val="TableContents"/>
              <w:bidi w:val="0"/>
              <w:spacing w:lineRule="atLeast" w:line="300" w:before="0" w:after="0"/>
              <w:jc w:val="right"/>
              <w:rPr>
                <w:rFonts w:ascii="arial" w:hAnsi="arial"/>
                <w:sz w:val="18"/>
              </w:rPr>
            </w:pPr>
            <w:r>
              <w:rPr>
                <w:rFonts w:ascii="arial" w:hAnsi="arial"/>
                <w:sz w:val="18"/>
              </w:rPr>
              <w:t>111,964</w:t>
            </w:r>
          </w:p>
        </w:tc>
        <w:tc>
          <w:tcPr>
            <w:tcW w:w="60" w:type="dxa"/>
            <w:tcBorders/>
            <w:shd w:fill="CCE2F1" w:val="clear"/>
            <w:vAlign w:val="center"/>
          </w:tcPr>
          <w:p>
            <w:pPr>
              <w:pStyle w:val="TableContents"/>
              <w:bidi w:val="0"/>
              <w:spacing w:lineRule="atLeast" w:line="300" w:before="0" w:after="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7" w:type="dxa"/>
            <w:tcBorders/>
            <w:shd w:fill="CCE2F1" w:val="clear"/>
            <w:vAlign w:val="center"/>
          </w:tcPr>
          <w:p>
            <w:pPr>
              <w:pStyle w:val="TableContents"/>
              <w:bidi w:val="0"/>
              <w:spacing w:lineRule="atLeast" w:line="300" w:before="0" w:after="0"/>
              <w:jc w:val="left"/>
              <w:rPr/>
            </w:pPr>
            <w:r>
              <w:rPr/>
              <w:t> </w:t>
            </w:r>
          </w:p>
        </w:tc>
        <w:tc>
          <w:tcPr>
            <w:tcW w:w="882" w:type="dxa"/>
            <w:tcBorders/>
            <w:shd w:fill="CCE2F1" w:val="clear"/>
            <w:vAlign w:val="center"/>
          </w:tcPr>
          <w:p>
            <w:pPr>
              <w:pStyle w:val="TableContents"/>
              <w:bidi w:val="0"/>
              <w:spacing w:lineRule="atLeast" w:line="300" w:before="0" w:after="0"/>
              <w:jc w:val="right"/>
              <w:rPr>
                <w:rFonts w:ascii="arial" w:hAnsi="arial"/>
                <w:sz w:val="18"/>
              </w:rPr>
            </w:pPr>
            <w:r>
              <w:rPr>
                <w:rFonts w:ascii="arial" w:hAnsi="arial"/>
                <w:sz w:val="18"/>
              </w:rPr>
              <w:t>189,811 </w:t>
            </w:r>
          </w:p>
        </w:tc>
        <w:tc>
          <w:tcPr>
            <w:tcW w:w="75" w:type="dxa"/>
            <w:tcBorders/>
            <w:shd w:fill="CCE2F1" w:val="clear"/>
            <w:vAlign w:val="center"/>
          </w:tcPr>
          <w:p>
            <w:pPr>
              <w:pStyle w:val="TableContents"/>
              <w:bidi w:val="0"/>
              <w:spacing w:lineRule="atLeast" w:line="300" w:before="0" w:after="0"/>
              <w:jc w:val="left"/>
              <w:rPr/>
            </w:pPr>
            <w:r>
              <w:rPr/>
              <w:t> </w:t>
            </w:r>
          </w:p>
        </w:tc>
      </w:tr>
      <w:tr>
        <w:trPr/>
        <w:tc>
          <w:tcPr>
            <w:tcW w:w="1565" w:type="dxa"/>
            <w:tcBorders/>
            <w:vAlign w:val="center"/>
          </w:tcPr>
          <w:p>
            <w:pPr>
              <w:pStyle w:val="TableContents"/>
              <w:bidi w:val="0"/>
              <w:spacing w:lineRule="atLeast" w:line="300" w:before="0" w:after="0"/>
              <w:jc w:val="left"/>
              <w:rPr>
                <w:rFonts w:ascii="arial" w:hAnsi="arial"/>
                <w:sz w:val="18"/>
              </w:rPr>
            </w:pPr>
            <w:r>
              <w:rPr>
                <w:rFonts w:ascii="arial" w:hAnsi="arial"/>
                <w:sz w:val="18"/>
              </w:rPr>
              <w:t>Murdo Gordon</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lineRule="atLeast" w:line="300" w:before="0" w:after="0"/>
              <w:jc w:val="left"/>
              <w:rPr/>
            </w:pPr>
            <w:r>
              <w:rPr/>
              <w:t> </w:t>
            </w:r>
          </w:p>
        </w:tc>
        <w:tc>
          <w:tcPr>
            <w:tcW w:w="1217" w:type="dxa"/>
            <w:tcBorders/>
            <w:vAlign w:val="center"/>
          </w:tcPr>
          <w:p>
            <w:pPr>
              <w:pStyle w:val="TableContents"/>
              <w:bidi w:val="0"/>
              <w:spacing w:lineRule="atLeast" w:line="300" w:before="0" w:after="0"/>
              <w:jc w:val="right"/>
              <w:rPr>
                <w:rFonts w:ascii="arial" w:hAnsi="arial"/>
                <w:sz w:val="18"/>
              </w:rPr>
            </w:pPr>
            <w:r>
              <w:rPr>
                <w:rFonts w:ascii="arial" w:hAnsi="arial"/>
                <w:sz w:val="18"/>
              </w:rPr>
              <w:t>3,211</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lineRule="atLeast" w:line="300" w:before="0" w:after="0"/>
              <w:jc w:val="left"/>
              <w:rPr/>
            </w:pPr>
            <w:r>
              <w:rPr/>
              <w:t> </w:t>
            </w:r>
          </w:p>
        </w:tc>
        <w:tc>
          <w:tcPr>
            <w:tcW w:w="1193" w:type="dxa"/>
            <w:tcBorders/>
            <w:vAlign w:val="center"/>
          </w:tcPr>
          <w:p>
            <w:pPr>
              <w:pStyle w:val="TableContents"/>
              <w:bidi w:val="0"/>
              <w:spacing w:lineRule="atLeast" w:line="300" w:before="0" w:after="0"/>
              <w:jc w:val="right"/>
              <w:rPr>
                <w:rFonts w:ascii="arial" w:hAnsi="arial"/>
                <w:sz w:val="18"/>
              </w:rPr>
            </w:pPr>
            <w:r>
              <w:rPr>
                <w:rFonts w:ascii="arial" w:hAnsi="arial"/>
                <w:sz w:val="18"/>
              </w:rPr>
              <w:t>0</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lineRule="atLeast" w:line="300" w:before="0" w:after="0"/>
              <w:jc w:val="left"/>
              <w:rPr/>
            </w:pPr>
            <w:r>
              <w:rPr/>
              <w:t> </w:t>
            </w:r>
          </w:p>
        </w:tc>
        <w:tc>
          <w:tcPr>
            <w:tcW w:w="945" w:type="dxa"/>
            <w:tcBorders/>
            <w:vAlign w:val="center"/>
          </w:tcPr>
          <w:p>
            <w:pPr>
              <w:pStyle w:val="TableContents"/>
              <w:bidi w:val="0"/>
              <w:spacing w:lineRule="atLeast" w:line="300" w:before="0" w:after="0"/>
              <w:jc w:val="right"/>
              <w:rPr>
                <w:rFonts w:ascii="arial" w:hAnsi="arial"/>
                <w:sz w:val="18"/>
              </w:rPr>
            </w:pPr>
            <w:r>
              <w:rPr>
                <w:rFonts w:ascii="arial" w:hAnsi="arial"/>
                <w:sz w:val="18"/>
              </w:rPr>
              <w:t>15,000</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lineRule="atLeast" w:line="300" w:before="0" w:after="0"/>
              <w:jc w:val="left"/>
              <w:rPr/>
            </w:pPr>
            <w:r>
              <w:rPr/>
              <w:t> </w:t>
            </w:r>
          </w:p>
        </w:tc>
        <w:tc>
          <w:tcPr>
            <w:tcW w:w="958" w:type="dxa"/>
            <w:tcBorders/>
            <w:vAlign w:val="center"/>
          </w:tcPr>
          <w:p>
            <w:pPr>
              <w:pStyle w:val="TableContents"/>
              <w:bidi w:val="0"/>
              <w:spacing w:lineRule="atLeast" w:line="300" w:before="0" w:after="0"/>
              <w:jc w:val="right"/>
              <w:rPr>
                <w:rFonts w:ascii="arial" w:hAnsi="arial"/>
                <w:sz w:val="18"/>
              </w:rPr>
            </w:pPr>
            <w:r>
              <w:rPr>
                <w:rFonts w:ascii="arial" w:hAnsi="arial"/>
                <w:sz w:val="18"/>
              </w:rPr>
              <w:t>11,700</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lineRule="atLeast" w:line="300" w:before="0" w:after="0"/>
              <w:jc w:val="left"/>
              <w:rPr/>
            </w:pPr>
            <w:r>
              <w:rPr/>
              <w:t> </w:t>
            </w:r>
          </w:p>
        </w:tc>
        <w:tc>
          <w:tcPr>
            <w:tcW w:w="882" w:type="dxa"/>
            <w:tcBorders/>
            <w:vAlign w:val="center"/>
          </w:tcPr>
          <w:p>
            <w:pPr>
              <w:pStyle w:val="TableContents"/>
              <w:bidi w:val="0"/>
              <w:spacing w:lineRule="atLeast" w:line="300" w:before="0" w:after="0"/>
              <w:jc w:val="right"/>
              <w:rPr>
                <w:rFonts w:ascii="arial" w:hAnsi="arial"/>
                <w:sz w:val="18"/>
              </w:rPr>
            </w:pPr>
            <w:r>
              <w:rPr>
                <w:rFonts w:ascii="arial" w:hAnsi="arial"/>
                <w:sz w:val="18"/>
              </w:rPr>
              <w:t>29,911 </w:t>
            </w:r>
          </w:p>
        </w:tc>
        <w:tc>
          <w:tcPr>
            <w:tcW w:w="75" w:type="dxa"/>
            <w:tcBorders/>
            <w:vAlign w:val="center"/>
          </w:tcPr>
          <w:p>
            <w:pPr>
              <w:pStyle w:val="TableContents"/>
              <w:bidi w:val="0"/>
              <w:spacing w:lineRule="atLeast" w:line="300" w:before="0" w:after="0"/>
              <w:jc w:val="left"/>
              <w:rPr/>
            </w:pPr>
            <w:r>
              <w:rPr/>
              <w:t> </w:t>
            </w:r>
          </w:p>
        </w:tc>
      </w:tr>
      <w:tr>
        <w:trPr/>
        <w:tc>
          <w:tcPr>
            <w:tcW w:w="1565" w:type="dxa"/>
            <w:tcBorders/>
            <w:shd w:fill="CCE2F1" w:val="clear"/>
            <w:vAlign w:val="center"/>
          </w:tcPr>
          <w:p>
            <w:pPr>
              <w:pStyle w:val="TableContents"/>
              <w:bidi w:val="0"/>
              <w:spacing w:lineRule="atLeast" w:line="300" w:before="0" w:after="0"/>
              <w:jc w:val="left"/>
              <w:rPr>
                <w:rFonts w:ascii="arial" w:hAnsi="arial"/>
                <w:sz w:val="18"/>
              </w:rPr>
            </w:pPr>
            <w:r>
              <w:rPr>
                <w:rFonts w:ascii="arial" w:hAnsi="arial"/>
                <w:sz w:val="18"/>
              </w:rPr>
              <w:t>David M. Reese</w:t>
            </w:r>
          </w:p>
        </w:tc>
        <w:tc>
          <w:tcPr>
            <w:tcW w:w="60" w:type="dxa"/>
            <w:tcBorders/>
            <w:shd w:fill="CCE2F1" w:val="clear"/>
            <w:vAlign w:val="center"/>
          </w:tcPr>
          <w:p>
            <w:pPr>
              <w:pStyle w:val="TableContents"/>
              <w:bidi w:val="0"/>
              <w:spacing w:before="0" w:after="283"/>
              <w:jc w:val="left"/>
              <w:rPr/>
            </w:pPr>
            <w:r>
              <w:rPr/>
              <w:t> </w:t>
            </w:r>
          </w:p>
        </w:tc>
        <w:tc>
          <w:tcPr>
            <w:tcW w:w="123" w:type="dxa"/>
            <w:tcBorders/>
            <w:shd w:fill="CCE2F1" w:val="clear"/>
            <w:vAlign w:val="center"/>
          </w:tcPr>
          <w:p>
            <w:pPr>
              <w:pStyle w:val="TableContents"/>
              <w:bidi w:val="0"/>
              <w:spacing w:lineRule="atLeast" w:line="300" w:before="0" w:after="0"/>
              <w:jc w:val="left"/>
              <w:rPr/>
            </w:pPr>
            <w:r>
              <w:rPr/>
              <w:t> </w:t>
            </w:r>
          </w:p>
        </w:tc>
        <w:tc>
          <w:tcPr>
            <w:tcW w:w="1217" w:type="dxa"/>
            <w:tcBorders/>
            <w:shd w:fill="CCE2F1" w:val="clear"/>
            <w:vAlign w:val="center"/>
          </w:tcPr>
          <w:p>
            <w:pPr>
              <w:pStyle w:val="TableContents"/>
              <w:bidi w:val="0"/>
              <w:spacing w:lineRule="atLeast" w:line="300" w:before="0" w:after="0"/>
              <w:jc w:val="right"/>
              <w:rPr>
                <w:rFonts w:ascii="arial" w:hAnsi="arial"/>
                <w:sz w:val="18"/>
              </w:rPr>
            </w:pPr>
            <w:r>
              <w:rPr>
                <w:rFonts w:ascii="arial" w:hAnsi="arial"/>
                <w:sz w:val="18"/>
              </w:rPr>
              <w:t>0</w:t>
            </w:r>
          </w:p>
        </w:tc>
        <w:tc>
          <w:tcPr>
            <w:tcW w:w="60" w:type="dxa"/>
            <w:tcBorders/>
            <w:shd w:fill="CCE2F1" w:val="clear"/>
            <w:vAlign w:val="center"/>
          </w:tcPr>
          <w:p>
            <w:pPr>
              <w:pStyle w:val="TableContents"/>
              <w:bidi w:val="0"/>
              <w:spacing w:lineRule="atLeast" w:line="300" w:before="0" w:after="0"/>
              <w:jc w:val="left"/>
              <w:rPr/>
            </w:pPr>
            <w:r>
              <w:rPr/>
              <w:t> </w:t>
            </w:r>
          </w:p>
        </w:tc>
        <w:tc>
          <w:tcPr>
            <w:tcW w:w="60" w:type="dxa"/>
            <w:tcBorders/>
            <w:shd w:fill="CCE2F1" w:val="clear"/>
            <w:vAlign w:val="center"/>
          </w:tcPr>
          <w:p>
            <w:pPr>
              <w:pStyle w:val="TableContents"/>
              <w:bidi w:val="0"/>
              <w:spacing w:before="0" w:after="283"/>
              <w:jc w:val="left"/>
              <w:rPr/>
            </w:pPr>
            <w:r>
              <w:rPr/>
              <w:t> </w:t>
            </w:r>
          </w:p>
        </w:tc>
        <w:tc>
          <w:tcPr>
            <w:tcW w:w="147" w:type="dxa"/>
            <w:tcBorders/>
            <w:shd w:fill="CCE2F1" w:val="clear"/>
            <w:vAlign w:val="center"/>
          </w:tcPr>
          <w:p>
            <w:pPr>
              <w:pStyle w:val="TableContents"/>
              <w:bidi w:val="0"/>
              <w:spacing w:lineRule="atLeast" w:line="300" w:before="0" w:after="0"/>
              <w:jc w:val="left"/>
              <w:rPr/>
            </w:pPr>
            <w:r>
              <w:rPr/>
              <w:t> </w:t>
            </w:r>
          </w:p>
        </w:tc>
        <w:tc>
          <w:tcPr>
            <w:tcW w:w="1193" w:type="dxa"/>
            <w:tcBorders/>
            <w:shd w:fill="CCE2F1" w:val="clear"/>
            <w:vAlign w:val="center"/>
          </w:tcPr>
          <w:p>
            <w:pPr>
              <w:pStyle w:val="TableContents"/>
              <w:bidi w:val="0"/>
              <w:spacing w:lineRule="atLeast" w:line="300" w:before="0" w:after="0"/>
              <w:jc w:val="right"/>
              <w:rPr>
                <w:rFonts w:ascii="arial" w:hAnsi="arial"/>
                <w:sz w:val="18"/>
              </w:rPr>
            </w:pPr>
            <w:r>
              <w:rPr>
                <w:rFonts w:ascii="arial" w:hAnsi="arial"/>
                <w:sz w:val="18"/>
              </w:rPr>
              <w:t>109</w:t>
            </w:r>
          </w:p>
        </w:tc>
        <w:tc>
          <w:tcPr>
            <w:tcW w:w="60" w:type="dxa"/>
            <w:tcBorders/>
            <w:shd w:fill="CCE2F1" w:val="clear"/>
            <w:vAlign w:val="center"/>
          </w:tcPr>
          <w:p>
            <w:pPr>
              <w:pStyle w:val="TableContents"/>
              <w:bidi w:val="0"/>
              <w:spacing w:lineRule="atLeast" w:line="300" w:before="0" w:after="0"/>
              <w:jc w:val="left"/>
              <w:rPr/>
            </w:pPr>
            <w:r>
              <w:rPr/>
              <w:t> </w:t>
            </w:r>
          </w:p>
        </w:tc>
        <w:tc>
          <w:tcPr>
            <w:tcW w:w="60" w:type="dxa"/>
            <w:tcBorders/>
            <w:shd w:fill="CCE2F1" w:val="clear"/>
            <w:vAlign w:val="center"/>
          </w:tcPr>
          <w:p>
            <w:pPr>
              <w:pStyle w:val="TableContents"/>
              <w:bidi w:val="0"/>
              <w:spacing w:before="0" w:after="283"/>
              <w:jc w:val="left"/>
              <w:rPr/>
            </w:pPr>
            <w:r>
              <w:rPr/>
              <w:t> </w:t>
            </w:r>
          </w:p>
        </w:tc>
        <w:tc>
          <w:tcPr>
            <w:tcW w:w="95" w:type="dxa"/>
            <w:tcBorders/>
            <w:shd w:fill="CCE2F1" w:val="clear"/>
            <w:vAlign w:val="center"/>
          </w:tcPr>
          <w:p>
            <w:pPr>
              <w:pStyle w:val="TableContents"/>
              <w:bidi w:val="0"/>
              <w:spacing w:lineRule="atLeast" w:line="300" w:before="0" w:after="0"/>
              <w:jc w:val="left"/>
              <w:rPr/>
            </w:pPr>
            <w:r>
              <w:rPr/>
              <w:t> </w:t>
            </w:r>
          </w:p>
        </w:tc>
        <w:tc>
          <w:tcPr>
            <w:tcW w:w="945" w:type="dxa"/>
            <w:tcBorders/>
            <w:shd w:fill="CCE2F1" w:val="clear"/>
            <w:vAlign w:val="center"/>
          </w:tcPr>
          <w:p>
            <w:pPr>
              <w:pStyle w:val="TableContents"/>
              <w:bidi w:val="0"/>
              <w:spacing w:lineRule="atLeast" w:line="300" w:before="0" w:after="0"/>
              <w:jc w:val="right"/>
              <w:rPr>
                <w:rFonts w:ascii="arial" w:hAnsi="arial"/>
                <w:sz w:val="18"/>
              </w:rPr>
            </w:pPr>
            <w:r>
              <w:rPr>
                <w:rFonts w:ascii="arial" w:hAnsi="arial"/>
                <w:sz w:val="18"/>
              </w:rPr>
              <w:t>0</w:t>
            </w:r>
          </w:p>
        </w:tc>
        <w:tc>
          <w:tcPr>
            <w:tcW w:w="60" w:type="dxa"/>
            <w:tcBorders/>
            <w:shd w:fill="CCE2F1" w:val="clear"/>
            <w:vAlign w:val="center"/>
          </w:tcPr>
          <w:p>
            <w:pPr>
              <w:pStyle w:val="TableContents"/>
              <w:bidi w:val="0"/>
              <w:spacing w:lineRule="atLeast" w:line="300" w:before="0" w:after="0"/>
              <w:jc w:val="left"/>
              <w:rPr/>
            </w:pPr>
            <w:r>
              <w:rPr/>
              <w:t> </w:t>
            </w:r>
          </w:p>
        </w:tc>
        <w:tc>
          <w:tcPr>
            <w:tcW w:w="60" w:type="dxa"/>
            <w:tcBorders/>
            <w:shd w:fill="CCE2F1" w:val="clear"/>
            <w:vAlign w:val="center"/>
          </w:tcPr>
          <w:p>
            <w:pPr>
              <w:pStyle w:val="TableContents"/>
              <w:bidi w:val="0"/>
              <w:spacing w:before="0" w:after="283"/>
              <w:jc w:val="left"/>
              <w:rPr/>
            </w:pPr>
            <w:r>
              <w:rPr/>
              <w:t> </w:t>
            </w:r>
          </w:p>
        </w:tc>
        <w:tc>
          <w:tcPr>
            <w:tcW w:w="82" w:type="dxa"/>
            <w:tcBorders/>
            <w:shd w:fill="CCE2F1" w:val="clear"/>
            <w:vAlign w:val="center"/>
          </w:tcPr>
          <w:p>
            <w:pPr>
              <w:pStyle w:val="TableContents"/>
              <w:bidi w:val="0"/>
              <w:spacing w:lineRule="atLeast" w:line="300" w:before="0" w:after="0"/>
              <w:jc w:val="left"/>
              <w:rPr/>
            </w:pPr>
            <w:r>
              <w:rPr/>
              <w:t> </w:t>
            </w:r>
          </w:p>
        </w:tc>
        <w:tc>
          <w:tcPr>
            <w:tcW w:w="958" w:type="dxa"/>
            <w:tcBorders/>
            <w:shd w:fill="CCE2F1" w:val="clear"/>
            <w:vAlign w:val="center"/>
          </w:tcPr>
          <w:p>
            <w:pPr>
              <w:pStyle w:val="TableContents"/>
              <w:bidi w:val="0"/>
              <w:spacing w:lineRule="atLeast" w:line="300" w:before="0" w:after="0"/>
              <w:jc w:val="right"/>
              <w:rPr>
                <w:rFonts w:ascii="arial" w:hAnsi="arial"/>
                <w:sz w:val="18"/>
              </w:rPr>
            </w:pPr>
            <w:r>
              <w:rPr>
                <w:rFonts w:ascii="arial" w:hAnsi="arial"/>
                <w:sz w:val="18"/>
              </w:rPr>
              <w:t>0</w:t>
            </w:r>
          </w:p>
        </w:tc>
        <w:tc>
          <w:tcPr>
            <w:tcW w:w="60" w:type="dxa"/>
            <w:tcBorders/>
            <w:shd w:fill="CCE2F1" w:val="clear"/>
            <w:vAlign w:val="center"/>
          </w:tcPr>
          <w:p>
            <w:pPr>
              <w:pStyle w:val="TableContents"/>
              <w:bidi w:val="0"/>
              <w:spacing w:lineRule="atLeast" w:line="300" w:before="0" w:after="0"/>
              <w:jc w:val="left"/>
              <w:rPr/>
            </w:pPr>
            <w:r>
              <w:rPr/>
              <w:t> </w:t>
            </w:r>
          </w:p>
        </w:tc>
        <w:tc>
          <w:tcPr>
            <w:tcW w:w="60" w:type="dxa"/>
            <w:tcBorders/>
            <w:shd w:fill="CCE2F1" w:val="clear"/>
            <w:vAlign w:val="center"/>
          </w:tcPr>
          <w:p>
            <w:pPr>
              <w:pStyle w:val="TableContents"/>
              <w:bidi w:val="0"/>
              <w:spacing w:before="0" w:after="283"/>
              <w:jc w:val="left"/>
              <w:rPr/>
            </w:pPr>
            <w:r>
              <w:rPr/>
              <w:t> </w:t>
            </w:r>
          </w:p>
        </w:tc>
        <w:tc>
          <w:tcPr>
            <w:tcW w:w="67" w:type="dxa"/>
            <w:tcBorders/>
            <w:shd w:fill="CCE2F1" w:val="clear"/>
            <w:vAlign w:val="center"/>
          </w:tcPr>
          <w:p>
            <w:pPr>
              <w:pStyle w:val="TableContents"/>
              <w:bidi w:val="0"/>
              <w:spacing w:lineRule="atLeast" w:line="300" w:before="0" w:after="0"/>
              <w:jc w:val="left"/>
              <w:rPr/>
            </w:pPr>
            <w:r>
              <w:rPr/>
              <w:t> </w:t>
            </w:r>
          </w:p>
        </w:tc>
        <w:tc>
          <w:tcPr>
            <w:tcW w:w="882" w:type="dxa"/>
            <w:tcBorders/>
            <w:shd w:fill="CCE2F1" w:val="clear"/>
            <w:vAlign w:val="center"/>
          </w:tcPr>
          <w:p>
            <w:pPr>
              <w:pStyle w:val="TableContents"/>
              <w:bidi w:val="0"/>
              <w:spacing w:lineRule="atLeast" w:line="300" w:before="0" w:after="0"/>
              <w:jc w:val="right"/>
              <w:rPr>
                <w:rFonts w:ascii="arial" w:hAnsi="arial"/>
                <w:sz w:val="18"/>
              </w:rPr>
            </w:pPr>
            <w:r>
              <w:rPr>
                <w:rFonts w:ascii="arial" w:hAnsi="arial"/>
                <w:sz w:val="18"/>
              </w:rPr>
              <w:t>109 </w:t>
            </w:r>
          </w:p>
        </w:tc>
        <w:tc>
          <w:tcPr>
            <w:tcW w:w="75" w:type="dxa"/>
            <w:tcBorders/>
            <w:shd w:fill="CCE2F1" w:val="clear"/>
            <w:vAlign w:val="center"/>
          </w:tcPr>
          <w:p>
            <w:pPr>
              <w:pStyle w:val="TableContents"/>
              <w:bidi w:val="0"/>
              <w:spacing w:lineRule="atLeast" w:line="300" w:before="0" w:after="0"/>
              <w:jc w:val="left"/>
              <w:rPr/>
            </w:pPr>
            <w:r>
              <w:rPr/>
              <w:t> </w:t>
            </w:r>
          </w:p>
        </w:tc>
      </w:tr>
      <w:tr>
        <w:trPr/>
        <w:tc>
          <w:tcPr>
            <w:tcW w:w="1565" w:type="dxa"/>
            <w:tcBorders/>
            <w:vAlign w:val="center"/>
          </w:tcPr>
          <w:p>
            <w:pPr>
              <w:pStyle w:val="TableContents"/>
              <w:bidi w:val="0"/>
              <w:spacing w:lineRule="atLeast" w:line="300" w:before="0" w:after="0"/>
              <w:jc w:val="left"/>
              <w:rPr>
                <w:rFonts w:ascii="arial" w:hAnsi="arial"/>
                <w:sz w:val="18"/>
              </w:rPr>
            </w:pPr>
            <w:r>
              <w:rPr>
                <w:rFonts w:ascii="arial" w:hAnsi="arial"/>
                <w:sz w:val="18"/>
              </w:rPr>
              <w:t>Peter H. Griffith</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lineRule="atLeast" w:line="300" w:before="0" w:after="0"/>
              <w:jc w:val="left"/>
              <w:rPr/>
            </w:pPr>
            <w:r>
              <w:rPr/>
              <w:t> </w:t>
            </w:r>
          </w:p>
        </w:tc>
        <w:tc>
          <w:tcPr>
            <w:tcW w:w="1217" w:type="dxa"/>
            <w:tcBorders/>
            <w:vAlign w:val="center"/>
          </w:tcPr>
          <w:p>
            <w:pPr>
              <w:pStyle w:val="TableContents"/>
              <w:bidi w:val="0"/>
              <w:spacing w:lineRule="atLeast" w:line="300" w:before="0" w:after="0"/>
              <w:jc w:val="right"/>
              <w:rPr>
                <w:rFonts w:ascii="arial" w:hAnsi="arial"/>
                <w:sz w:val="18"/>
              </w:rPr>
            </w:pPr>
            <w:r>
              <w:rPr>
                <w:rFonts w:ascii="arial" w:hAnsi="arial"/>
                <w:sz w:val="18"/>
              </w:rPr>
              <w:t>0</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lineRule="atLeast" w:line="300" w:before="0" w:after="0"/>
              <w:jc w:val="left"/>
              <w:rPr/>
            </w:pPr>
            <w:r>
              <w:rPr/>
              <w:t> </w:t>
            </w:r>
          </w:p>
        </w:tc>
        <w:tc>
          <w:tcPr>
            <w:tcW w:w="1193" w:type="dxa"/>
            <w:tcBorders/>
            <w:vAlign w:val="center"/>
          </w:tcPr>
          <w:p>
            <w:pPr>
              <w:pStyle w:val="TableContents"/>
              <w:bidi w:val="0"/>
              <w:spacing w:lineRule="atLeast" w:line="300" w:before="0" w:after="0"/>
              <w:jc w:val="right"/>
              <w:rPr>
                <w:rFonts w:ascii="arial" w:hAnsi="arial"/>
                <w:sz w:val="18"/>
              </w:rPr>
            </w:pPr>
            <w:r>
              <w:rPr>
                <w:rFonts w:ascii="arial" w:hAnsi="arial"/>
                <w:sz w:val="18"/>
              </w:rPr>
              <w:t>0</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lineRule="atLeast" w:line="300" w:before="0" w:after="0"/>
              <w:jc w:val="left"/>
              <w:rPr/>
            </w:pPr>
            <w:r>
              <w:rPr/>
              <w:t> </w:t>
            </w:r>
          </w:p>
        </w:tc>
        <w:tc>
          <w:tcPr>
            <w:tcW w:w="945" w:type="dxa"/>
            <w:tcBorders/>
            <w:vAlign w:val="center"/>
          </w:tcPr>
          <w:p>
            <w:pPr>
              <w:pStyle w:val="TableContents"/>
              <w:bidi w:val="0"/>
              <w:spacing w:lineRule="atLeast" w:line="300" w:before="0" w:after="0"/>
              <w:jc w:val="right"/>
              <w:rPr>
                <w:rFonts w:ascii="arial" w:hAnsi="arial"/>
                <w:sz w:val="18"/>
              </w:rPr>
            </w:pPr>
            <w:r>
              <w:rPr>
                <w:rFonts w:ascii="arial" w:hAnsi="arial"/>
                <w:sz w:val="18"/>
              </w:rPr>
              <w:t>15,000</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lineRule="atLeast" w:line="300" w:before="0" w:after="0"/>
              <w:jc w:val="left"/>
              <w:rPr/>
            </w:pPr>
            <w:r>
              <w:rPr/>
              <w:t> </w:t>
            </w:r>
          </w:p>
        </w:tc>
        <w:tc>
          <w:tcPr>
            <w:tcW w:w="958" w:type="dxa"/>
            <w:tcBorders/>
            <w:vAlign w:val="center"/>
          </w:tcPr>
          <w:p>
            <w:pPr>
              <w:pStyle w:val="TableContents"/>
              <w:bidi w:val="0"/>
              <w:spacing w:lineRule="atLeast" w:line="300" w:before="0" w:after="0"/>
              <w:jc w:val="right"/>
              <w:rPr>
                <w:rFonts w:ascii="arial" w:hAnsi="arial"/>
                <w:sz w:val="18"/>
              </w:rPr>
            </w:pPr>
            <w:r>
              <w:rPr>
                <w:rFonts w:ascii="arial" w:hAnsi="arial"/>
                <w:sz w:val="18"/>
              </w:rPr>
              <w:t>12,200</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lineRule="atLeast" w:line="300" w:before="0" w:after="0"/>
              <w:jc w:val="left"/>
              <w:rPr/>
            </w:pPr>
            <w:r>
              <w:rPr/>
              <w:t> </w:t>
            </w:r>
          </w:p>
        </w:tc>
        <w:tc>
          <w:tcPr>
            <w:tcW w:w="882" w:type="dxa"/>
            <w:tcBorders/>
            <w:vAlign w:val="center"/>
          </w:tcPr>
          <w:p>
            <w:pPr>
              <w:pStyle w:val="TableContents"/>
              <w:bidi w:val="0"/>
              <w:spacing w:lineRule="atLeast" w:line="300" w:before="0" w:after="0"/>
              <w:jc w:val="right"/>
              <w:rPr>
                <w:rFonts w:ascii="arial" w:hAnsi="arial"/>
                <w:sz w:val="18"/>
              </w:rPr>
            </w:pPr>
            <w:r>
              <w:rPr>
                <w:rFonts w:ascii="arial" w:hAnsi="arial"/>
                <w:sz w:val="18"/>
              </w:rPr>
              <w:t>27,200 </w:t>
            </w:r>
          </w:p>
        </w:tc>
        <w:tc>
          <w:tcPr>
            <w:tcW w:w="75" w:type="dxa"/>
            <w:tcBorders/>
            <w:vAlign w:val="center"/>
          </w:tcPr>
          <w:p>
            <w:pPr>
              <w:pStyle w:val="TableContents"/>
              <w:bidi w:val="0"/>
              <w:spacing w:lineRule="atLeast" w:line="300" w:before="0" w:after="0"/>
              <w:jc w:val="left"/>
              <w:rPr/>
            </w:pPr>
            <w:r>
              <w:rPr/>
              <w:t> </w:t>
            </w:r>
          </w:p>
        </w:tc>
      </w:tr>
      <w:tr>
        <w:trPr/>
        <w:tc>
          <w:tcPr>
            <w:tcW w:w="1565"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rFonts w:ascii="arial" w:hAnsi="arial"/>
                <w:sz w:val="18"/>
              </w:rPr>
            </w:pPr>
            <w:r>
              <w:rPr>
                <w:rFonts w:ascii="arial" w:hAnsi="arial"/>
                <w:sz w:val="18"/>
              </w:rPr>
              <w:t>Esteban Santos</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123"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c>
          <w:tcPr>
            <w:tcW w:w="1217" w:type="dxa"/>
            <w:tcBorders>
              <w:bottom w:val="single" w:sz="8" w:space="0" w:color="0171B9"/>
            </w:tcBorders>
            <w:shd w:fill="CCE2F1" w:val="clear"/>
            <w:tcMar>
              <w:bottom w:w="28" w:type="dxa"/>
            </w:tcMar>
            <w:vAlign w:val="center"/>
          </w:tcPr>
          <w:p>
            <w:pPr>
              <w:pStyle w:val="TableContents"/>
              <w:bidi w:val="0"/>
              <w:spacing w:lineRule="atLeast" w:line="300" w:before="0" w:after="0"/>
              <w:jc w:val="right"/>
              <w:rPr>
                <w:rFonts w:ascii="arial" w:hAnsi="arial"/>
                <w:sz w:val="18"/>
              </w:rPr>
            </w:pPr>
            <w:r>
              <w:rPr>
                <w:rFonts w:ascii="arial" w:hAnsi="arial"/>
                <w:sz w:val="18"/>
              </w:rPr>
              <w:t>0</w:t>
            </w:r>
          </w:p>
        </w:tc>
        <w:tc>
          <w:tcPr>
            <w:tcW w:w="60"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147"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c>
          <w:tcPr>
            <w:tcW w:w="1193" w:type="dxa"/>
            <w:tcBorders>
              <w:bottom w:val="single" w:sz="8" w:space="0" w:color="0171B9"/>
            </w:tcBorders>
            <w:shd w:fill="CCE2F1" w:val="clear"/>
            <w:tcMar>
              <w:bottom w:w="28" w:type="dxa"/>
            </w:tcMar>
            <w:vAlign w:val="center"/>
          </w:tcPr>
          <w:p>
            <w:pPr>
              <w:pStyle w:val="TableContents"/>
              <w:bidi w:val="0"/>
              <w:spacing w:lineRule="atLeast" w:line="300" w:before="0" w:after="0"/>
              <w:jc w:val="right"/>
              <w:rPr>
                <w:rFonts w:ascii="arial" w:hAnsi="arial"/>
                <w:sz w:val="18"/>
              </w:rPr>
            </w:pPr>
            <w:r>
              <w:rPr>
                <w:rFonts w:ascii="arial" w:hAnsi="arial"/>
                <w:sz w:val="18"/>
              </w:rPr>
              <w:t>0</w:t>
            </w:r>
          </w:p>
        </w:tc>
        <w:tc>
          <w:tcPr>
            <w:tcW w:w="60"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95"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c>
          <w:tcPr>
            <w:tcW w:w="945" w:type="dxa"/>
            <w:tcBorders>
              <w:bottom w:val="single" w:sz="8" w:space="0" w:color="0171B9"/>
            </w:tcBorders>
            <w:shd w:fill="CCE2F1" w:val="clear"/>
            <w:tcMar>
              <w:bottom w:w="28" w:type="dxa"/>
            </w:tcMar>
            <w:vAlign w:val="center"/>
          </w:tcPr>
          <w:p>
            <w:pPr>
              <w:pStyle w:val="TableContents"/>
              <w:bidi w:val="0"/>
              <w:spacing w:lineRule="atLeast" w:line="300" w:before="0" w:after="0"/>
              <w:jc w:val="right"/>
              <w:rPr>
                <w:rFonts w:ascii="arial" w:hAnsi="arial"/>
                <w:sz w:val="18"/>
              </w:rPr>
            </w:pPr>
            <w:r>
              <w:rPr>
                <w:rFonts w:ascii="arial" w:hAnsi="arial"/>
                <w:sz w:val="18"/>
              </w:rPr>
              <w:t>15,000</w:t>
            </w:r>
          </w:p>
        </w:tc>
        <w:tc>
          <w:tcPr>
            <w:tcW w:w="60"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82"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c>
          <w:tcPr>
            <w:tcW w:w="958" w:type="dxa"/>
            <w:tcBorders>
              <w:bottom w:val="single" w:sz="8" w:space="0" w:color="0171B9"/>
            </w:tcBorders>
            <w:shd w:fill="CCE2F1" w:val="clear"/>
            <w:tcMar>
              <w:bottom w:w="28" w:type="dxa"/>
            </w:tcMar>
            <w:vAlign w:val="center"/>
          </w:tcPr>
          <w:p>
            <w:pPr>
              <w:pStyle w:val="TableContents"/>
              <w:bidi w:val="0"/>
              <w:spacing w:lineRule="atLeast" w:line="300" w:before="0" w:after="0"/>
              <w:jc w:val="right"/>
              <w:rPr>
                <w:rFonts w:ascii="arial" w:hAnsi="arial"/>
                <w:sz w:val="18"/>
              </w:rPr>
            </w:pPr>
            <w:r>
              <w:rPr>
                <w:rFonts w:ascii="arial" w:hAnsi="arial"/>
                <w:sz w:val="18"/>
              </w:rPr>
              <w:t>12,101</w:t>
            </w:r>
          </w:p>
        </w:tc>
        <w:tc>
          <w:tcPr>
            <w:tcW w:w="60"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7"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c>
          <w:tcPr>
            <w:tcW w:w="882" w:type="dxa"/>
            <w:tcBorders>
              <w:bottom w:val="single" w:sz="8" w:space="0" w:color="0171B9"/>
            </w:tcBorders>
            <w:shd w:fill="CCE2F1" w:val="clear"/>
            <w:tcMar>
              <w:bottom w:w="28" w:type="dxa"/>
            </w:tcMar>
            <w:vAlign w:val="center"/>
          </w:tcPr>
          <w:p>
            <w:pPr>
              <w:pStyle w:val="TableContents"/>
              <w:bidi w:val="0"/>
              <w:spacing w:lineRule="atLeast" w:line="300" w:before="0" w:after="0"/>
              <w:jc w:val="right"/>
              <w:rPr>
                <w:rFonts w:ascii="arial" w:hAnsi="arial"/>
                <w:sz w:val="18"/>
              </w:rPr>
            </w:pPr>
            <w:r>
              <w:rPr>
                <w:rFonts w:ascii="arial" w:hAnsi="arial"/>
                <w:sz w:val="18"/>
              </w:rPr>
              <w:t>27,101 </w:t>
            </w:r>
          </w:p>
        </w:tc>
        <w:tc>
          <w:tcPr>
            <w:tcW w:w="75"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(1) </w:t>
            </w:r>
          </w:p>
        </w:tc>
        <w:tc>
          <w:tcPr>
            <w:tcW w:w="9956" w:type="dxa"/>
            <w:tcBorders/>
            <w:vAlign w:val="center"/>
          </w:tcPr>
          <w:p>
            <w:pPr>
              <w:pStyle w:val="TableContents"/>
              <w:bidi w:val="0"/>
              <w:spacing w:before="0" w:after="0"/>
              <w:jc w:val="both"/>
              <w:rPr>
                <w:rFonts w:ascii="arial" w:hAnsi="arial"/>
                <w:sz w:val="16"/>
              </w:rPr>
            </w:pPr>
            <w:r>
              <w:rPr>
                <w:rFonts w:ascii="arial" w:hAnsi="arial"/>
                <w:sz w:val="16"/>
              </w:rPr>
              <w:t xml:space="preserve">The aggregate incremental cost of use of our aircraft for personal travel by our NEOs is allocated entirely to the highest ranking NEO present on the flight (except for on-board catering costs which are allocated equally to each NEO present). If each NEO present on the flight is the same level, the aggregate incremental costs of use of our aircraft for personal travel is allocated equally to each NEO present. The aggregate incremental cost for personal use of our aircraft is calculated based on our variable operating costs, which include crew travel expenses, on-board catering, landing fees, trip-related hangar/parking costs, fuel, trip-related maintenance, and other smaller variable costs. In determining the incremental cost relating to fuel and trip-related maintenance, we applied an estimate derived from our average costs, consistent with prior years. We believe that the use of this </w:t>
            </w:r>
          </w:p>
        </w:tc>
      </w:tr>
    </w:tbl>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84  </w:t>
      </w:r>
      <w:r>
        <w:rPr>
          <w:rFonts w:ascii="arial" w:hAnsi="arial"/>
          <w:b/>
          <w:color w:val="474747"/>
          <w:sz w:val="22"/>
        </w:rPr>
        <w:drawing>
          <wp:inline distT="0" distB="0" distL="0" distR="0">
            <wp:extent cx="64770" cy="15240"/>
            <wp:effectExtent l="0" t="0" r="0" b="0"/>
            <wp:docPr id="311"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147" descr=""/>
                    <pic:cNvPicPr>
                      <a:picLocks noChangeAspect="1" noChangeArrowheads="1"/>
                    </pic:cNvPicPr>
                  </pic:nvPicPr>
                  <pic:blipFill>
                    <a:blip r:embed="rId160"/>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419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371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1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371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Executive Compensation Tables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arial" w:hAnsi="arial"/>
                <w:sz w:val="16"/>
              </w:rPr>
            </w:pPr>
            <w:r>
              <w:rPr>
                <w:rFonts w:ascii="arial" w:hAnsi="arial"/>
                <w:sz w:val="16"/>
              </w:rPr>
              <w:t xml:space="preserve">methodology for 2023 is a reasonably accurate method for calculating fuel and trip-related maintenance costs. Because our aircraft are used primarily for business travel, we do not include the fixed costs that do not change based on usage, such as pilot salaries, our aircraft purchase costs, and the cost of maintenance not related to trips.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pPr>
            <w:r>
              <w:rPr/>
              <w:t>(2) </w:t>
            </w:r>
          </w:p>
        </w:tc>
        <w:tc>
          <w:tcPr>
            <w:tcW w:w="9942" w:type="dxa"/>
            <w:tcBorders/>
            <w:vAlign w:val="center"/>
          </w:tcPr>
          <w:p>
            <w:pPr>
              <w:pStyle w:val="TableContents"/>
              <w:bidi w:val="0"/>
              <w:spacing w:before="0" w:after="0"/>
              <w:jc w:val="both"/>
              <w:rPr>
                <w:rFonts w:ascii="arial" w:hAnsi="arial"/>
                <w:sz w:val="16"/>
              </w:rPr>
            </w:pPr>
            <w:r>
              <w:rPr>
                <w:rFonts w:ascii="arial" w:hAnsi="arial"/>
                <w:sz w:val="16"/>
              </w:rPr>
              <w:t xml:space="preserve">The aggregate incremental cost for personal use of the car and driver provided by us is determined as the sum of the cost of fuel, driver overtime costs allocable to personal usage, and maintenance costs for the total number of personal miles driven. Personal miles include travel to and from work from home. As the cars are used primarily for business travel, fixed costs that would be incurred by us to operate the Company’s cars for business use such as car lease or rental costs and driver salaries are not included. </w:t>
            </w:r>
          </w:p>
        </w:tc>
      </w:tr>
    </w:tbl>
    <w:p>
      <w:pPr>
        <w:pStyle w:val="TextBody"/>
        <w:bidi w:val="0"/>
        <w:spacing w:before="0" w:after="0"/>
        <w:jc w:val="left"/>
        <w:rPr/>
      </w:pPr>
      <w:r>
        <w:rPr/>
        <w:t> </w:t>
      </w:r>
    </w:p>
    <w:tbl>
      <w:tblPr>
        <w:tblW w:w="2230" w:type="dxa"/>
        <w:jc w:val="left"/>
        <w:tblInd w:w="0" w:type="dxa"/>
        <w:tblLayout w:type="fixed"/>
        <w:tblCellMar>
          <w:top w:w="0" w:type="dxa"/>
          <w:left w:w="0" w:type="dxa"/>
          <w:bottom w:w="0" w:type="dxa"/>
          <w:right w:w="0" w:type="dxa"/>
        </w:tblCellMar>
      </w:tblPr>
      <w:tblGrid>
        <w:gridCol w:w="365"/>
        <w:gridCol w:w="1865"/>
      </w:tblGrid>
      <w:tr>
        <w:trPr/>
        <w:tc>
          <w:tcPr>
            <w:tcW w:w="365" w:type="dxa"/>
            <w:tcBorders/>
            <w:vAlign w:val="center"/>
          </w:tcPr>
          <w:p>
            <w:pPr>
              <w:pStyle w:val="TableContents"/>
              <w:bidi w:val="0"/>
              <w:spacing w:before="0" w:after="283"/>
              <w:jc w:val="left"/>
              <w:rPr/>
            </w:pPr>
            <w:r>
              <w:rPr/>
              <w:t>(3) </w:t>
            </w:r>
          </w:p>
        </w:tc>
        <w:tc>
          <w:tcPr>
            <w:tcW w:w="1865" w:type="dxa"/>
            <w:tcBorders/>
            <w:vAlign w:val="center"/>
          </w:tcPr>
          <w:p>
            <w:pPr>
              <w:pStyle w:val="TableContents"/>
              <w:bidi w:val="0"/>
              <w:spacing w:before="0" w:after="0"/>
              <w:jc w:val="both"/>
              <w:rPr>
                <w:rFonts w:ascii="arial" w:hAnsi="arial"/>
                <w:sz w:val="16"/>
              </w:rPr>
            </w:pPr>
            <w:r>
              <w:rPr>
                <w:rFonts w:ascii="arial" w:hAnsi="arial"/>
                <w:sz w:val="16"/>
              </w:rPr>
              <w:t xml:space="preserve">Other expenses include: </w:t>
            </w:r>
          </w:p>
        </w:tc>
      </w:tr>
    </w:tbl>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(a) </w:t>
            </w:r>
          </w:p>
        </w:tc>
        <w:tc>
          <w:tcPr>
            <w:tcW w:w="9916" w:type="dxa"/>
            <w:tcBorders/>
            <w:vAlign w:val="center"/>
          </w:tcPr>
          <w:p>
            <w:pPr>
              <w:pStyle w:val="TableContents"/>
              <w:bidi w:val="0"/>
              <w:spacing w:before="0" w:after="0"/>
              <w:jc w:val="both"/>
              <w:rPr>
                <w:rFonts w:ascii="arial" w:hAnsi="arial"/>
                <w:sz w:val="16"/>
              </w:rPr>
            </w:pPr>
            <w:r>
              <w:rPr>
                <w:rFonts w:ascii="arial" w:hAnsi="arial"/>
                <w:sz w:val="16"/>
              </w:rPr>
              <w:t xml:space="preserve">Other expenses for Mr. Bradway reflect our payment of the required filing fee of $100,000 incurred by Mr. Bradway under the Hart-Scott-Rodino Antitrust Improvements Act of 1976, or HSR Act, as approved by the Compensation and Management Development Committee, or Compensation Committee. During 2023, Mr. Bradway submitted filings under the HSR Act based on his then-current and anticipated future holdings of Amgen Common Stock approaching the reporting threshold under the HSR Act. The Compensation Committee reviewed the legal requirements under the HSR Act. Based on this review, the Compensation Committee approved that the payment of the HSR Act filing fee be made by the Company on Mr. Bradway’s behalf because the stock giving rise to the reporting requirements was granted as part of Mr. Bradway’s compensation for services to the Company and such requirements were triggered because of Mr. Bradway’s election to continue to hold such stock. Mr. Bradway was responsible for any taxes due as a result of the Company paying the HSR Act filing fee and was not provided a tax gross-up payment. </w:t>
            </w:r>
          </w:p>
        </w:tc>
      </w:tr>
    </w:tbl>
    <w:tbl>
      <w:tblPr>
        <w:tblW w:w="10205" w:type="dxa"/>
        <w:jc w:val="left"/>
        <w:tblInd w:w="0" w:type="dxa"/>
        <w:tblLayout w:type="fixed"/>
        <w:tblCellMar>
          <w:top w:w="0" w:type="dxa"/>
          <w:left w:w="0" w:type="dxa"/>
          <w:bottom w:w="0" w:type="dxa"/>
          <w:right w:w="0" w:type="dxa"/>
        </w:tblCellMar>
      </w:tblPr>
      <w:tblGrid>
        <w:gridCol w:w="75"/>
        <w:gridCol w:w="333"/>
        <w:gridCol w:w="9797"/>
      </w:tblGrid>
      <w:tr>
        <w:trPr/>
        <w:tc>
          <w:tcPr>
            <w:tcW w:w="75"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(b) </w:t>
            </w:r>
          </w:p>
        </w:tc>
        <w:tc>
          <w:tcPr>
            <w:tcW w:w="9797" w:type="dxa"/>
            <w:tcBorders/>
            <w:vAlign w:val="center"/>
          </w:tcPr>
          <w:p>
            <w:pPr>
              <w:pStyle w:val="TableContents"/>
              <w:bidi w:val="0"/>
              <w:spacing w:before="0" w:after="0"/>
              <w:jc w:val="both"/>
              <w:rPr>
                <w:rFonts w:ascii="arial" w:hAnsi="arial"/>
                <w:sz w:val="16"/>
              </w:rPr>
            </w:pPr>
            <w:r>
              <w:rPr>
                <w:rFonts w:ascii="arial" w:hAnsi="arial"/>
                <w:sz w:val="16"/>
              </w:rPr>
              <w:t xml:space="preserve">Company contributions to non-profit charities designated by the executive in the amount of $10,000 for Messrs. Bradway, Gordon, Griffith, and Santos. </w:t>
            </w:r>
          </w:p>
        </w:tc>
      </w:tr>
    </w:tbl>
    <w:tbl>
      <w:tblPr>
        <w:tblW w:w="1990" w:type="dxa"/>
        <w:jc w:val="left"/>
        <w:tblInd w:w="0" w:type="dxa"/>
        <w:tblLayout w:type="fixed"/>
        <w:tblCellMar>
          <w:top w:w="0" w:type="dxa"/>
          <w:left w:w="0" w:type="dxa"/>
          <w:bottom w:w="0" w:type="dxa"/>
          <w:right w:w="0" w:type="dxa"/>
        </w:tblCellMar>
      </w:tblPr>
      <w:tblGrid>
        <w:gridCol w:w="75"/>
        <w:gridCol w:w="335"/>
        <w:gridCol w:w="1580"/>
      </w:tblGrid>
      <w:tr>
        <w:trPr/>
        <w:tc>
          <w:tcPr>
            <w:tcW w:w="7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(c) </w:t>
            </w:r>
          </w:p>
        </w:tc>
        <w:tc>
          <w:tcPr>
            <w:tcW w:w="1580" w:type="dxa"/>
            <w:tcBorders/>
            <w:vAlign w:val="center"/>
          </w:tcPr>
          <w:p>
            <w:pPr>
              <w:pStyle w:val="TableContents"/>
              <w:bidi w:val="0"/>
              <w:spacing w:before="0" w:after="0"/>
              <w:jc w:val="both"/>
              <w:rPr>
                <w:rFonts w:ascii="arial" w:hAnsi="arial"/>
                <w:sz w:val="16"/>
              </w:rPr>
            </w:pPr>
            <w:r>
              <w:rPr>
                <w:rFonts w:ascii="arial" w:hAnsi="arial"/>
                <w:sz w:val="16"/>
              </w:rPr>
              <w:t xml:space="preserve">Executive physicals. </w:t>
            </w:r>
          </w:p>
        </w:tc>
      </w:tr>
    </w:tbl>
    <w:p>
      <w:pPr>
        <w:pStyle w:val="TextBody"/>
        <w:bidi w:val="0"/>
        <w:spacing w:before="120" w:after="0"/>
        <w:jc w:val="both"/>
        <w:rPr>
          <w:rFonts w:ascii="arial" w:hAnsi="arial"/>
          <w:sz w:val="19"/>
        </w:rPr>
      </w:pPr>
      <w:r>
        <w:rPr>
          <w:rFonts w:ascii="arial" w:hAnsi="arial"/>
          <w:i/>
          <w:color w:val="0171B9"/>
          <w:sz w:val="19"/>
        </w:rPr>
        <w:t>Other Compensation.</w:t>
      </w:r>
      <w:r>
        <w:rPr>
          <w:rFonts w:ascii="arial" w:hAnsi="arial"/>
          <w:sz w:val="19"/>
        </w:rPr>
        <w:t xml:space="preserve"> The following table sets forth compensation for our NEOs in 2023 incurred in connection with our 401(k) Retirement and Savings Plan, or 401(k) Plan, our NDCP, and our Supplemental Retirement Plan, or SRP. These amounts, along with the perquisites and other compensation discussed above, are included in the “All Other Compensation” column of the “Summary Compensation Table.” See “Nonqualified Deferred Compensation” below for a description of these plans. </w:t>
      </w:r>
    </w:p>
    <w:p>
      <w:pPr>
        <w:pStyle w:val="TextBody"/>
        <w:bidi w:val="0"/>
        <w:spacing w:before="0" w:after="0"/>
        <w:jc w:val="left"/>
        <w:rPr/>
      </w:pPr>
      <w:r>
        <w:rPr/>
        <w:t> </w:t>
      </w:r>
    </w:p>
    <w:tbl>
      <w:tblPr>
        <w:tblW w:w="9474" w:type="dxa"/>
        <w:jc w:val="left"/>
        <w:tblInd w:w="0" w:type="dxa"/>
        <w:tblLayout w:type="fixed"/>
        <w:tblCellMar>
          <w:top w:w="0" w:type="dxa"/>
          <w:left w:w="0" w:type="dxa"/>
          <w:bottom w:w="0" w:type="dxa"/>
          <w:right w:w="0" w:type="dxa"/>
        </w:tblCellMar>
      </w:tblPr>
      <w:tblGrid>
        <w:gridCol w:w="1565"/>
        <w:gridCol w:w="120"/>
        <w:gridCol w:w="255"/>
        <w:gridCol w:w="2510"/>
        <w:gridCol w:w="60"/>
        <w:gridCol w:w="120"/>
        <w:gridCol w:w="561"/>
        <w:gridCol w:w="1169"/>
        <w:gridCol w:w="60"/>
        <w:gridCol w:w="120"/>
        <w:gridCol w:w="137"/>
        <w:gridCol w:w="1593"/>
        <w:gridCol w:w="60"/>
        <w:gridCol w:w="120"/>
        <w:gridCol w:w="67"/>
        <w:gridCol w:w="882"/>
        <w:gridCol w:w="75"/>
      </w:tblGrid>
      <w:tr>
        <w:trPr/>
        <w:tc>
          <w:tcPr>
            <w:tcW w:w="1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65" w:type="dxa"/>
            <w:tcBorders>
              <w:bottom w:val="single" w:sz="8" w:space="0" w:color="FFFFFF"/>
            </w:tcBorders>
            <w:shd w:fill="0171B9" w:val="clear"/>
            <w:tcMar>
              <w:bottom w:w="28" w:type="dxa"/>
            </w:tcMar>
            <w:vAlign w:val="center"/>
          </w:tcPr>
          <w:p>
            <w:pPr>
              <w:pStyle w:val="TableContents"/>
              <w:bidi w:val="0"/>
              <w:spacing w:before="0" w:after="283"/>
              <w:jc w:val="left"/>
              <w:rPr>
                <w:color w:val="FFFFFF"/>
              </w:rPr>
            </w:pPr>
            <w:r>
              <w:rPr>
                <w:color w:val="FFFFFF"/>
              </w:rPr>
              <w:t> </w:t>
            </w:r>
            <w:r>
              <w:rPr>
                <w:b/>
                <w:color w:val="FFFFFF"/>
              </w:rPr>
              <w:t>Name</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2765" w:type="dxa"/>
            <w:gridSpan w:val="2"/>
            <w:tcBorders>
              <w:bottom w:val="single" w:sz="8" w:space="0" w:color="FFFFFF"/>
            </w:tcBorders>
            <w:shd w:fill="0171B9" w:val="clear"/>
            <w:tcMar>
              <w:bottom w:w="28" w:type="dxa"/>
            </w:tcMar>
            <w:vAlign w:val="center"/>
          </w:tcPr>
          <w:p>
            <w:pPr>
              <w:pStyle w:val="TableContents"/>
              <w:bidi w:val="0"/>
              <w:spacing w:before="0" w:after="283"/>
              <w:jc w:val="right"/>
              <w:rPr>
                <w:b/>
                <w:color w:val="FFFFFF"/>
              </w:rPr>
            </w:pPr>
            <w:r>
              <w:rPr>
                <w:b/>
                <w:color w:val="FFFFFF"/>
              </w:rPr>
              <w:t>Company Contributions to</w:t>
              <w:br/>
              <w:t>401(k) and Savings</w:t>
              <w:br/>
              <w:t>Plan($)</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730" w:type="dxa"/>
            <w:gridSpan w:val="2"/>
            <w:tcBorders>
              <w:bottom w:val="single" w:sz="8" w:space="0" w:color="FFFFFF"/>
            </w:tcBorders>
            <w:shd w:fill="0171B9" w:val="clear"/>
            <w:tcMar>
              <w:bottom w:w="28" w:type="dxa"/>
            </w:tcMar>
            <w:vAlign w:val="center"/>
          </w:tcPr>
          <w:p>
            <w:pPr>
              <w:pStyle w:val="TableContents"/>
              <w:bidi w:val="0"/>
              <w:spacing w:before="0" w:after="0"/>
              <w:jc w:val="left"/>
              <w:rPr/>
            </w:pPr>
            <w:r>
              <w:rPr/>
              <w:t> </w:t>
            </w:r>
          </w:p>
          <w:p>
            <w:pPr>
              <w:pStyle w:val="TableContents"/>
              <w:bidi w:val="0"/>
              <w:spacing w:before="0" w:after="20"/>
              <w:jc w:val="right"/>
              <w:rPr>
                <w:rFonts w:ascii="arial" w:hAnsi="arial"/>
                <w:b/>
                <w:color w:val="FFFFFF"/>
                <w:sz w:val="18"/>
              </w:rPr>
            </w:pPr>
            <w:r>
              <w:rPr>
                <w:rFonts w:ascii="arial" w:hAnsi="arial"/>
                <w:b/>
                <w:color w:val="FFFFFF"/>
                <w:sz w:val="18"/>
              </w:rPr>
              <w:t>Company Credits to</w:t>
              <w:br/>
              <w:t>Non-Qualified</w:t>
              <w:br/>
              <w:t>Deferred</w:t>
              <w:br/>
              <w:t>Compensation Plan</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730" w:type="dxa"/>
            <w:gridSpan w:val="2"/>
            <w:tcBorders>
              <w:bottom w:val="single" w:sz="8" w:space="0" w:color="FFFFFF"/>
            </w:tcBorders>
            <w:shd w:fill="0171B9" w:val="clear"/>
            <w:tcMar>
              <w:bottom w:w="28" w:type="dxa"/>
            </w:tcMar>
            <w:vAlign w:val="center"/>
          </w:tcPr>
          <w:p>
            <w:pPr>
              <w:pStyle w:val="TableContents"/>
              <w:bidi w:val="0"/>
              <w:spacing w:before="0" w:after="0"/>
              <w:jc w:val="left"/>
              <w:rPr/>
            </w:pPr>
            <w:r>
              <w:rPr/>
              <w:t> </w:t>
            </w:r>
          </w:p>
          <w:p>
            <w:pPr>
              <w:pStyle w:val="TableContents"/>
              <w:bidi w:val="0"/>
              <w:spacing w:before="0" w:after="20"/>
              <w:jc w:val="right"/>
              <w:rPr>
                <w:rFonts w:ascii="arial" w:hAnsi="arial"/>
                <w:b/>
                <w:color w:val="FFFFFF"/>
                <w:sz w:val="18"/>
              </w:rPr>
            </w:pPr>
            <w:r>
              <w:rPr>
                <w:rFonts w:ascii="arial" w:hAnsi="arial"/>
                <w:b/>
                <w:color w:val="FFFFFF"/>
                <w:sz w:val="18"/>
              </w:rPr>
              <w:t>Company Credits to</w:t>
              <w:br/>
              <w:t>Supplemental</w:t>
              <w:br/>
              <w:t>Retirement</w:t>
              <w:br/>
              <w:t>Plan($)</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949" w:type="dxa"/>
            <w:gridSpan w:val="2"/>
            <w:tcBorders>
              <w:bottom w:val="single" w:sz="8" w:space="0" w:color="FFFFFF"/>
            </w:tcBorders>
            <w:shd w:fill="0171B9" w:val="clear"/>
            <w:tcMar>
              <w:bottom w:w="28" w:type="dxa"/>
            </w:tcMar>
            <w:vAlign w:val="center"/>
          </w:tcPr>
          <w:p>
            <w:pPr>
              <w:pStyle w:val="TableContents"/>
              <w:bidi w:val="0"/>
              <w:spacing w:before="0" w:after="283"/>
              <w:jc w:val="right"/>
              <w:rPr>
                <w:b/>
                <w:color w:val="FFFFFF"/>
              </w:rPr>
            </w:pPr>
            <w:r>
              <w:rPr>
                <w:b/>
                <w:color w:val="FFFFFF"/>
              </w:rPr>
              <w:t>Total($) </w:t>
            </w:r>
          </w:p>
        </w:tc>
        <w:tc>
          <w:tcPr>
            <w:tcW w:w="75"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r>
      <w:tr>
        <w:trPr/>
        <w:tc>
          <w:tcPr>
            <w:tcW w:w="1565" w:type="dxa"/>
            <w:tcBorders/>
            <w:shd w:fill="CCE2F1" w:val="clear"/>
            <w:vAlign w:val="center"/>
          </w:tcPr>
          <w:p>
            <w:pPr>
              <w:pStyle w:val="TableContents"/>
              <w:bidi w:val="0"/>
              <w:spacing w:lineRule="atLeast" w:line="300" w:before="0" w:after="0"/>
              <w:jc w:val="left"/>
              <w:rPr>
                <w:rFonts w:ascii="arial" w:hAnsi="arial"/>
                <w:sz w:val="18"/>
              </w:rPr>
            </w:pPr>
            <w:r>
              <w:rPr>
                <w:rFonts w:ascii="arial" w:hAnsi="arial"/>
                <w:sz w:val="18"/>
              </w:rPr>
              <w:t>Robert A. Bradway</w:t>
            </w:r>
          </w:p>
        </w:tc>
        <w:tc>
          <w:tcPr>
            <w:tcW w:w="120" w:type="dxa"/>
            <w:tcBorders/>
            <w:shd w:fill="CCE2F1" w:val="clear"/>
            <w:vAlign w:val="center"/>
          </w:tcPr>
          <w:p>
            <w:pPr>
              <w:pStyle w:val="TableContents"/>
              <w:bidi w:val="0"/>
              <w:spacing w:before="0" w:after="283"/>
              <w:jc w:val="left"/>
              <w:rPr/>
            </w:pPr>
            <w:r>
              <w:rPr/>
              <w:t>  </w:t>
            </w:r>
          </w:p>
        </w:tc>
        <w:tc>
          <w:tcPr>
            <w:tcW w:w="255" w:type="dxa"/>
            <w:tcBorders/>
            <w:shd w:fill="CCE2F1" w:val="clear"/>
            <w:vAlign w:val="center"/>
          </w:tcPr>
          <w:p>
            <w:pPr>
              <w:pStyle w:val="TableContents"/>
              <w:bidi w:val="0"/>
              <w:spacing w:lineRule="atLeast" w:line="300" w:before="0" w:after="0"/>
              <w:jc w:val="left"/>
              <w:rPr/>
            </w:pPr>
            <w:r>
              <w:rPr/>
              <w:t> </w:t>
            </w:r>
          </w:p>
        </w:tc>
        <w:tc>
          <w:tcPr>
            <w:tcW w:w="2510" w:type="dxa"/>
            <w:tcBorders/>
            <w:shd w:fill="CCE2F1" w:val="clear"/>
            <w:vAlign w:val="center"/>
          </w:tcPr>
          <w:p>
            <w:pPr>
              <w:pStyle w:val="TableContents"/>
              <w:bidi w:val="0"/>
              <w:spacing w:lineRule="atLeast" w:line="300" w:before="0" w:after="0"/>
              <w:jc w:val="right"/>
              <w:rPr>
                <w:rFonts w:ascii="arial" w:hAnsi="arial"/>
                <w:sz w:val="18"/>
              </w:rPr>
            </w:pPr>
            <w:r>
              <w:rPr>
                <w:rFonts w:ascii="arial" w:hAnsi="arial"/>
                <w:sz w:val="18"/>
              </w:rPr>
              <w:t>33,000</w:t>
            </w:r>
          </w:p>
        </w:tc>
        <w:tc>
          <w:tcPr>
            <w:tcW w:w="60" w:type="dxa"/>
            <w:tcBorders/>
            <w:shd w:fill="CCE2F1" w:val="clear"/>
            <w:vAlign w:val="center"/>
          </w:tcPr>
          <w:p>
            <w:pPr>
              <w:pStyle w:val="TableContents"/>
              <w:bidi w:val="0"/>
              <w:spacing w:lineRule="atLeast" w:line="300" w:before="0" w:after="0"/>
              <w:jc w:val="left"/>
              <w:rPr/>
            </w:pPr>
            <w:r>
              <w:rPr/>
              <w:t> </w:t>
            </w:r>
          </w:p>
        </w:tc>
        <w:tc>
          <w:tcPr>
            <w:tcW w:w="120" w:type="dxa"/>
            <w:tcBorders/>
            <w:shd w:fill="CCE2F1" w:val="clear"/>
            <w:vAlign w:val="center"/>
          </w:tcPr>
          <w:p>
            <w:pPr>
              <w:pStyle w:val="TableContents"/>
              <w:bidi w:val="0"/>
              <w:spacing w:before="0" w:after="283"/>
              <w:jc w:val="left"/>
              <w:rPr/>
            </w:pPr>
            <w:r>
              <w:rPr/>
              <w:t>  </w:t>
            </w:r>
          </w:p>
        </w:tc>
        <w:tc>
          <w:tcPr>
            <w:tcW w:w="561" w:type="dxa"/>
            <w:tcBorders/>
            <w:shd w:fill="CCE2F1" w:val="clear"/>
            <w:vAlign w:val="center"/>
          </w:tcPr>
          <w:p>
            <w:pPr>
              <w:pStyle w:val="TableContents"/>
              <w:bidi w:val="0"/>
              <w:spacing w:lineRule="atLeast" w:line="300" w:before="0" w:after="0"/>
              <w:jc w:val="left"/>
              <w:rPr/>
            </w:pPr>
            <w:r>
              <w:rPr/>
              <w:t> </w:t>
            </w:r>
          </w:p>
        </w:tc>
        <w:tc>
          <w:tcPr>
            <w:tcW w:w="1169" w:type="dxa"/>
            <w:tcBorders/>
            <w:shd w:fill="CCE2F1" w:val="clear"/>
            <w:vAlign w:val="center"/>
          </w:tcPr>
          <w:p>
            <w:pPr>
              <w:pStyle w:val="TableContents"/>
              <w:bidi w:val="0"/>
              <w:spacing w:lineRule="atLeast" w:line="300" w:before="0" w:after="0"/>
              <w:jc w:val="right"/>
              <w:rPr>
                <w:rFonts w:ascii="arial" w:hAnsi="arial"/>
                <w:sz w:val="18"/>
              </w:rPr>
            </w:pPr>
            <w:r>
              <w:rPr>
                <w:rFonts w:ascii="arial" w:hAnsi="arial"/>
                <w:sz w:val="18"/>
              </w:rPr>
              <w:t>0</w:t>
            </w:r>
          </w:p>
        </w:tc>
        <w:tc>
          <w:tcPr>
            <w:tcW w:w="60" w:type="dxa"/>
            <w:tcBorders/>
            <w:shd w:fill="CCE2F1" w:val="clear"/>
            <w:vAlign w:val="center"/>
          </w:tcPr>
          <w:p>
            <w:pPr>
              <w:pStyle w:val="TableContents"/>
              <w:bidi w:val="0"/>
              <w:spacing w:lineRule="atLeast" w:line="300" w:before="0" w:after="0"/>
              <w:jc w:val="left"/>
              <w:rPr/>
            </w:pPr>
            <w:r>
              <w:rPr/>
              <w:t> </w:t>
            </w:r>
          </w:p>
        </w:tc>
        <w:tc>
          <w:tcPr>
            <w:tcW w:w="120" w:type="dxa"/>
            <w:tcBorders/>
            <w:shd w:fill="CCE2F1" w:val="clear"/>
            <w:vAlign w:val="center"/>
          </w:tcPr>
          <w:p>
            <w:pPr>
              <w:pStyle w:val="TableContents"/>
              <w:bidi w:val="0"/>
              <w:spacing w:before="0" w:after="283"/>
              <w:jc w:val="left"/>
              <w:rPr/>
            </w:pPr>
            <w:r>
              <w:rPr/>
              <w:t>  </w:t>
            </w:r>
          </w:p>
        </w:tc>
        <w:tc>
          <w:tcPr>
            <w:tcW w:w="137" w:type="dxa"/>
            <w:tcBorders/>
            <w:shd w:fill="CCE2F1" w:val="clear"/>
            <w:vAlign w:val="center"/>
          </w:tcPr>
          <w:p>
            <w:pPr>
              <w:pStyle w:val="TableContents"/>
              <w:bidi w:val="0"/>
              <w:spacing w:lineRule="atLeast" w:line="300" w:before="0" w:after="0"/>
              <w:jc w:val="left"/>
              <w:rPr/>
            </w:pPr>
            <w:r>
              <w:rPr/>
              <w:t> </w:t>
            </w:r>
          </w:p>
        </w:tc>
        <w:tc>
          <w:tcPr>
            <w:tcW w:w="1593" w:type="dxa"/>
            <w:tcBorders/>
            <w:shd w:fill="CCE2F1" w:val="clear"/>
            <w:vAlign w:val="center"/>
          </w:tcPr>
          <w:p>
            <w:pPr>
              <w:pStyle w:val="TableContents"/>
              <w:bidi w:val="0"/>
              <w:spacing w:lineRule="atLeast" w:line="300" w:before="0" w:after="0"/>
              <w:jc w:val="right"/>
              <w:rPr>
                <w:rFonts w:ascii="arial" w:hAnsi="arial"/>
                <w:sz w:val="18"/>
              </w:rPr>
            </w:pPr>
            <w:r>
              <w:rPr>
                <w:rFonts w:ascii="arial" w:hAnsi="arial"/>
                <w:sz w:val="18"/>
              </w:rPr>
              <w:t>457,645</w:t>
            </w:r>
          </w:p>
        </w:tc>
        <w:tc>
          <w:tcPr>
            <w:tcW w:w="60" w:type="dxa"/>
            <w:tcBorders/>
            <w:shd w:fill="CCE2F1" w:val="clear"/>
            <w:vAlign w:val="center"/>
          </w:tcPr>
          <w:p>
            <w:pPr>
              <w:pStyle w:val="TableContents"/>
              <w:bidi w:val="0"/>
              <w:spacing w:lineRule="atLeast" w:line="300" w:before="0" w:after="0"/>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7" w:type="dxa"/>
            <w:tcBorders/>
            <w:shd w:fill="CCE2F1" w:val="clear"/>
            <w:vAlign w:val="center"/>
          </w:tcPr>
          <w:p>
            <w:pPr>
              <w:pStyle w:val="TableContents"/>
              <w:bidi w:val="0"/>
              <w:spacing w:lineRule="atLeast" w:line="300" w:before="0" w:after="0"/>
              <w:jc w:val="left"/>
              <w:rPr/>
            </w:pPr>
            <w:r>
              <w:rPr/>
              <w:t> </w:t>
            </w:r>
          </w:p>
        </w:tc>
        <w:tc>
          <w:tcPr>
            <w:tcW w:w="882" w:type="dxa"/>
            <w:tcBorders/>
            <w:shd w:fill="CCE2F1" w:val="clear"/>
            <w:vAlign w:val="center"/>
          </w:tcPr>
          <w:p>
            <w:pPr>
              <w:pStyle w:val="TableContents"/>
              <w:bidi w:val="0"/>
              <w:spacing w:lineRule="atLeast" w:line="300" w:before="0" w:after="0"/>
              <w:jc w:val="right"/>
              <w:rPr>
                <w:rFonts w:ascii="arial" w:hAnsi="arial"/>
                <w:sz w:val="18"/>
              </w:rPr>
            </w:pPr>
            <w:r>
              <w:rPr>
                <w:rFonts w:ascii="arial" w:hAnsi="arial"/>
                <w:sz w:val="18"/>
              </w:rPr>
              <w:t>490,645 </w:t>
            </w:r>
          </w:p>
        </w:tc>
        <w:tc>
          <w:tcPr>
            <w:tcW w:w="75" w:type="dxa"/>
            <w:tcBorders/>
            <w:shd w:fill="CCE2F1" w:val="clear"/>
            <w:vAlign w:val="center"/>
          </w:tcPr>
          <w:p>
            <w:pPr>
              <w:pStyle w:val="TableContents"/>
              <w:bidi w:val="0"/>
              <w:spacing w:lineRule="atLeast" w:line="300" w:before="0" w:after="0"/>
              <w:jc w:val="left"/>
              <w:rPr/>
            </w:pPr>
            <w:r>
              <w:rPr/>
              <w:t> </w:t>
            </w:r>
          </w:p>
        </w:tc>
      </w:tr>
      <w:tr>
        <w:trPr/>
        <w:tc>
          <w:tcPr>
            <w:tcW w:w="1565" w:type="dxa"/>
            <w:tcBorders/>
            <w:vAlign w:val="center"/>
          </w:tcPr>
          <w:p>
            <w:pPr>
              <w:pStyle w:val="TableContents"/>
              <w:bidi w:val="0"/>
              <w:spacing w:lineRule="atLeast" w:line="300" w:before="0" w:after="0"/>
              <w:jc w:val="left"/>
              <w:rPr>
                <w:rFonts w:ascii="arial" w:hAnsi="arial"/>
                <w:sz w:val="18"/>
              </w:rPr>
            </w:pPr>
            <w:r>
              <w:rPr>
                <w:rFonts w:ascii="arial" w:hAnsi="arial"/>
                <w:sz w:val="18"/>
              </w:rPr>
              <w:t>Murdo Gordon</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lineRule="atLeast" w:line="300" w:before="0" w:after="0"/>
              <w:jc w:val="left"/>
              <w:rPr/>
            </w:pPr>
            <w:r>
              <w:rPr/>
              <w:t> </w:t>
            </w:r>
          </w:p>
        </w:tc>
        <w:tc>
          <w:tcPr>
            <w:tcW w:w="2510" w:type="dxa"/>
            <w:tcBorders/>
            <w:vAlign w:val="center"/>
          </w:tcPr>
          <w:p>
            <w:pPr>
              <w:pStyle w:val="TableContents"/>
              <w:bidi w:val="0"/>
              <w:spacing w:lineRule="atLeast" w:line="300" w:before="0" w:after="0"/>
              <w:jc w:val="right"/>
              <w:rPr>
                <w:rFonts w:ascii="arial" w:hAnsi="arial"/>
                <w:sz w:val="18"/>
              </w:rPr>
            </w:pPr>
            <w:r>
              <w:rPr>
                <w:rFonts w:ascii="arial" w:hAnsi="arial"/>
                <w:sz w:val="18"/>
              </w:rPr>
              <w:t>33,000</w:t>
            </w:r>
          </w:p>
        </w:tc>
        <w:tc>
          <w:tcPr>
            <w:tcW w:w="60" w:type="dxa"/>
            <w:tcBorders/>
            <w:vAlign w:val="center"/>
          </w:tcPr>
          <w:p>
            <w:pPr>
              <w:pStyle w:val="TableContents"/>
              <w:bidi w:val="0"/>
              <w:spacing w:lineRule="atLeast" w:line="300" w:before="0" w:after="0"/>
              <w:jc w:val="left"/>
              <w:rPr/>
            </w:pPr>
            <w:r>
              <w:rPr/>
              <w:t> </w:t>
            </w:r>
          </w:p>
        </w:tc>
        <w:tc>
          <w:tcPr>
            <w:tcW w:w="120" w:type="dxa"/>
            <w:tcBorders/>
            <w:vAlign w:val="center"/>
          </w:tcPr>
          <w:p>
            <w:pPr>
              <w:pStyle w:val="TableContents"/>
              <w:bidi w:val="0"/>
              <w:spacing w:before="0" w:after="283"/>
              <w:jc w:val="left"/>
              <w:rPr/>
            </w:pPr>
            <w:r>
              <w:rPr/>
              <w:t>  </w:t>
            </w:r>
          </w:p>
        </w:tc>
        <w:tc>
          <w:tcPr>
            <w:tcW w:w="561" w:type="dxa"/>
            <w:tcBorders/>
            <w:vAlign w:val="center"/>
          </w:tcPr>
          <w:p>
            <w:pPr>
              <w:pStyle w:val="TableContents"/>
              <w:bidi w:val="0"/>
              <w:spacing w:lineRule="atLeast" w:line="300" w:before="0" w:after="0"/>
              <w:jc w:val="left"/>
              <w:rPr/>
            </w:pPr>
            <w:r>
              <w:rPr/>
              <w:t> </w:t>
            </w:r>
          </w:p>
        </w:tc>
        <w:tc>
          <w:tcPr>
            <w:tcW w:w="1169" w:type="dxa"/>
            <w:tcBorders/>
            <w:vAlign w:val="center"/>
          </w:tcPr>
          <w:p>
            <w:pPr>
              <w:pStyle w:val="TableContents"/>
              <w:bidi w:val="0"/>
              <w:spacing w:lineRule="atLeast" w:line="300" w:before="0" w:after="0"/>
              <w:jc w:val="right"/>
              <w:rPr>
                <w:rFonts w:ascii="arial" w:hAnsi="arial"/>
                <w:sz w:val="18"/>
              </w:rPr>
            </w:pPr>
            <w:r>
              <w:rPr>
                <w:rFonts w:ascii="arial" w:hAnsi="arial"/>
                <w:sz w:val="18"/>
              </w:rPr>
              <w:t>0</w:t>
            </w:r>
          </w:p>
        </w:tc>
        <w:tc>
          <w:tcPr>
            <w:tcW w:w="60" w:type="dxa"/>
            <w:tcBorders/>
            <w:vAlign w:val="center"/>
          </w:tcPr>
          <w:p>
            <w:pPr>
              <w:pStyle w:val="TableContents"/>
              <w:bidi w:val="0"/>
              <w:spacing w:lineRule="atLeast" w:line="300" w:before="0" w:after="0"/>
              <w:jc w:val="left"/>
              <w:rPr/>
            </w:pPr>
            <w:r>
              <w:rPr/>
              <w:t> </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lineRule="atLeast" w:line="300" w:before="0" w:after="0"/>
              <w:jc w:val="left"/>
              <w:rPr/>
            </w:pPr>
            <w:r>
              <w:rPr/>
              <w:t> </w:t>
            </w:r>
          </w:p>
        </w:tc>
        <w:tc>
          <w:tcPr>
            <w:tcW w:w="1593" w:type="dxa"/>
            <w:tcBorders/>
            <w:vAlign w:val="center"/>
          </w:tcPr>
          <w:p>
            <w:pPr>
              <w:pStyle w:val="TableContents"/>
              <w:bidi w:val="0"/>
              <w:spacing w:lineRule="atLeast" w:line="300" w:before="0" w:after="0"/>
              <w:jc w:val="right"/>
              <w:rPr>
                <w:rFonts w:ascii="arial" w:hAnsi="arial"/>
                <w:sz w:val="18"/>
              </w:rPr>
            </w:pPr>
            <w:r>
              <w:rPr>
                <w:rFonts w:ascii="arial" w:hAnsi="arial"/>
                <w:sz w:val="18"/>
              </w:rPr>
              <w:t>214,600</w:t>
            </w:r>
          </w:p>
        </w:tc>
        <w:tc>
          <w:tcPr>
            <w:tcW w:w="60" w:type="dxa"/>
            <w:tcBorders/>
            <w:vAlign w:val="center"/>
          </w:tcPr>
          <w:p>
            <w:pPr>
              <w:pStyle w:val="TableContents"/>
              <w:bidi w:val="0"/>
              <w:spacing w:lineRule="atLeast" w:line="300" w:before="0" w:after="0"/>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lineRule="atLeast" w:line="300" w:before="0" w:after="0"/>
              <w:jc w:val="left"/>
              <w:rPr/>
            </w:pPr>
            <w:r>
              <w:rPr/>
              <w:t> </w:t>
            </w:r>
          </w:p>
        </w:tc>
        <w:tc>
          <w:tcPr>
            <w:tcW w:w="882" w:type="dxa"/>
            <w:tcBorders/>
            <w:vAlign w:val="center"/>
          </w:tcPr>
          <w:p>
            <w:pPr>
              <w:pStyle w:val="TableContents"/>
              <w:bidi w:val="0"/>
              <w:spacing w:lineRule="atLeast" w:line="300" w:before="0" w:after="0"/>
              <w:jc w:val="right"/>
              <w:rPr>
                <w:rFonts w:ascii="arial" w:hAnsi="arial"/>
                <w:sz w:val="18"/>
              </w:rPr>
            </w:pPr>
            <w:r>
              <w:rPr>
                <w:rFonts w:ascii="arial" w:hAnsi="arial"/>
                <w:sz w:val="18"/>
              </w:rPr>
              <w:t>247,600 </w:t>
            </w:r>
          </w:p>
        </w:tc>
        <w:tc>
          <w:tcPr>
            <w:tcW w:w="75" w:type="dxa"/>
            <w:tcBorders/>
            <w:vAlign w:val="center"/>
          </w:tcPr>
          <w:p>
            <w:pPr>
              <w:pStyle w:val="TableContents"/>
              <w:bidi w:val="0"/>
              <w:spacing w:lineRule="atLeast" w:line="300" w:before="0" w:after="0"/>
              <w:jc w:val="left"/>
              <w:rPr/>
            </w:pPr>
            <w:r>
              <w:rPr/>
              <w:t> </w:t>
            </w:r>
          </w:p>
        </w:tc>
      </w:tr>
      <w:tr>
        <w:trPr/>
        <w:tc>
          <w:tcPr>
            <w:tcW w:w="1565" w:type="dxa"/>
            <w:tcBorders/>
            <w:shd w:fill="CCE2F1" w:val="clear"/>
            <w:vAlign w:val="center"/>
          </w:tcPr>
          <w:p>
            <w:pPr>
              <w:pStyle w:val="TableContents"/>
              <w:bidi w:val="0"/>
              <w:spacing w:lineRule="atLeast" w:line="300" w:before="0" w:after="0"/>
              <w:jc w:val="left"/>
              <w:rPr>
                <w:rFonts w:ascii="arial" w:hAnsi="arial"/>
                <w:sz w:val="18"/>
              </w:rPr>
            </w:pPr>
            <w:r>
              <w:rPr>
                <w:rFonts w:ascii="arial" w:hAnsi="arial"/>
                <w:sz w:val="18"/>
              </w:rPr>
              <w:t>David M. Reese</w:t>
            </w:r>
          </w:p>
        </w:tc>
        <w:tc>
          <w:tcPr>
            <w:tcW w:w="120" w:type="dxa"/>
            <w:tcBorders/>
            <w:shd w:fill="CCE2F1" w:val="clear"/>
            <w:vAlign w:val="center"/>
          </w:tcPr>
          <w:p>
            <w:pPr>
              <w:pStyle w:val="TableContents"/>
              <w:bidi w:val="0"/>
              <w:spacing w:before="0" w:after="283"/>
              <w:jc w:val="left"/>
              <w:rPr/>
            </w:pPr>
            <w:r>
              <w:rPr/>
              <w:t>  </w:t>
            </w:r>
          </w:p>
        </w:tc>
        <w:tc>
          <w:tcPr>
            <w:tcW w:w="255" w:type="dxa"/>
            <w:tcBorders/>
            <w:shd w:fill="CCE2F1" w:val="clear"/>
            <w:vAlign w:val="center"/>
          </w:tcPr>
          <w:p>
            <w:pPr>
              <w:pStyle w:val="TableContents"/>
              <w:bidi w:val="0"/>
              <w:spacing w:lineRule="atLeast" w:line="300" w:before="0" w:after="0"/>
              <w:jc w:val="left"/>
              <w:rPr/>
            </w:pPr>
            <w:r>
              <w:rPr/>
              <w:t> </w:t>
            </w:r>
          </w:p>
        </w:tc>
        <w:tc>
          <w:tcPr>
            <w:tcW w:w="2510" w:type="dxa"/>
            <w:tcBorders/>
            <w:shd w:fill="CCE2F1" w:val="clear"/>
            <w:vAlign w:val="center"/>
          </w:tcPr>
          <w:p>
            <w:pPr>
              <w:pStyle w:val="TableContents"/>
              <w:bidi w:val="0"/>
              <w:spacing w:lineRule="atLeast" w:line="300" w:before="0" w:after="0"/>
              <w:jc w:val="right"/>
              <w:rPr>
                <w:rFonts w:ascii="arial" w:hAnsi="arial"/>
                <w:sz w:val="18"/>
              </w:rPr>
            </w:pPr>
            <w:r>
              <w:rPr>
                <w:rFonts w:ascii="arial" w:hAnsi="arial"/>
                <w:sz w:val="18"/>
              </w:rPr>
              <w:t>33,000</w:t>
            </w:r>
          </w:p>
        </w:tc>
        <w:tc>
          <w:tcPr>
            <w:tcW w:w="60" w:type="dxa"/>
            <w:tcBorders/>
            <w:shd w:fill="CCE2F1" w:val="clear"/>
            <w:vAlign w:val="center"/>
          </w:tcPr>
          <w:p>
            <w:pPr>
              <w:pStyle w:val="TableContents"/>
              <w:bidi w:val="0"/>
              <w:spacing w:lineRule="atLeast" w:line="300" w:before="0" w:after="0"/>
              <w:jc w:val="left"/>
              <w:rPr/>
            </w:pPr>
            <w:r>
              <w:rPr/>
              <w:t> </w:t>
            </w:r>
          </w:p>
        </w:tc>
        <w:tc>
          <w:tcPr>
            <w:tcW w:w="120" w:type="dxa"/>
            <w:tcBorders/>
            <w:shd w:fill="CCE2F1" w:val="clear"/>
            <w:vAlign w:val="center"/>
          </w:tcPr>
          <w:p>
            <w:pPr>
              <w:pStyle w:val="TableContents"/>
              <w:bidi w:val="0"/>
              <w:spacing w:before="0" w:after="283"/>
              <w:jc w:val="left"/>
              <w:rPr/>
            </w:pPr>
            <w:r>
              <w:rPr/>
              <w:t>  </w:t>
            </w:r>
          </w:p>
        </w:tc>
        <w:tc>
          <w:tcPr>
            <w:tcW w:w="561" w:type="dxa"/>
            <w:tcBorders/>
            <w:shd w:fill="CCE2F1" w:val="clear"/>
            <w:vAlign w:val="center"/>
          </w:tcPr>
          <w:p>
            <w:pPr>
              <w:pStyle w:val="TableContents"/>
              <w:bidi w:val="0"/>
              <w:spacing w:lineRule="atLeast" w:line="300" w:before="0" w:after="0"/>
              <w:jc w:val="left"/>
              <w:rPr/>
            </w:pPr>
            <w:r>
              <w:rPr/>
              <w:t> </w:t>
            </w:r>
          </w:p>
        </w:tc>
        <w:tc>
          <w:tcPr>
            <w:tcW w:w="1169" w:type="dxa"/>
            <w:tcBorders/>
            <w:shd w:fill="CCE2F1" w:val="clear"/>
            <w:vAlign w:val="center"/>
          </w:tcPr>
          <w:p>
            <w:pPr>
              <w:pStyle w:val="TableContents"/>
              <w:bidi w:val="0"/>
              <w:spacing w:lineRule="atLeast" w:line="300" w:before="0" w:after="0"/>
              <w:jc w:val="right"/>
              <w:rPr>
                <w:rFonts w:ascii="arial" w:hAnsi="arial"/>
                <w:sz w:val="18"/>
              </w:rPr>
            </w:pPr>
            <w:r>
              <w:rPr>
                <w:rFonts w:ascii="arial" w:hAnsi="arial"/>
                <w:sz w:val="18"/>
              </w:rPr>
              <w:t>0</w:t>
            </w:r>
          </w:p>
        </w:tc>
        <w:tc>
          <w:tcPr>
            <w:tcW w:w="60" w:type="dxa"/>
            <w:tcBorders/>
            <w:shd w:fill="CCE2F1" w:val="clear"/>
            <w:vAlign w:val="center"/>
          </w:tcPr>
          <w:p>
            <w:pPr>
              <w:pStyle w:val="TableContents"/>
              <w:bidi w:val="0"/>
              <w:spacing w:lineRule="atLeast" w:line="300" w:before="0" w:after="0"/>
              <w:jc w:val="left"/>
              <w:rPr/>
            </w:pPr>
            <w:r>
              <w:rPr/>
              <w:t> </w:t>
            </w:r>
          </w:p>
        </w:tc>
        <w:tc>
          <w:tcPr>
            <w:tcW w:w="120" w:type="dxa"/>
            <w:tcBorders/>
            <w:shd w:fill="CCE2F1" w:val="clear"/>
            <w:vAlign w:val="center"/>
          </w:tcPr>
          <w:p>
            <w:pPr>
              <w:pStyle w:val="TableContents"/>
              <w:bidi w:val="0"/>
              <w:spacing w:before="0" w:after="283"/>
              <w:jc w:val="left"/>
              <w:rPr/>
            </w:pPr>
            <w:r>
              <w:rPr/>
              <w:t>  </w:t>
            </w:r>
          </w:p>
        </w:tc>
        <w:tc>
          <w:tcPr>
            <w:tcW w:w="137" w:type="dxa"/>
            <w:tcBorders/>
            <w:shd w:fill="CCE2F1" w:val="clear"/>
            <w:vAlign w:val="center"/>
          </w:tcPr>
          <w:p>
            <w:pPr>
              <w:pStyle w:val="TableContents"/>
              <w:bidi w:val="0"/>
              <w:spacing w:lineRule="atLeast" w:line="300" w:before="0" w:after="0"/>
              <w:jc w:val="left"/>
              <w:rPr/>
            </w:pPr>
            <w:r>
              <w:rPr/>
              <w:t> </w:t>
            </w:r>
          </w:p>
        </w:tc>
        <w:tc>
          <w:tcPr>
            <w:tcW w:w="1593" w:type="dxa"/>
            <w:tcBorders/>
            <w:shd w:fill="CCE2F1" w:val="clear"/>
            <w:vAlign w:val="center"/>
          </w:tcPr>
          <w:p>
            <w:pPr>
              <w:pStyle w:val="TableContents"/>
              <w:bidi w:val="0"/>
              <w:spacing w:lineRule="atLeast" w:line="300" w:before="0" w:after="0"/>
              <w:jc w:val="right"/>
              <w:rPr>
                <w:rFonts w:ascii="arial" w:hAnsi="arial"/>
                <w:sz w:val="18"/>
              </w:rPr>
            </w:pPr>
            <w:r>
              <w:rPr>
                <w:rFonts w:ascii="arial" w:hAnsi="arial"/>
                <w:sz w:val="18"/>
              </w:rPr>
              <w:t>227,810</w:t>
            </w:r>
          </w:p>
        </w:tc>
        <w:tc>
          <w:tcPr>
            <w:tcW w:w="60" w:type="dxa"/>
            <w:tcBorders/>
            <w:shd w:fill="CCE2F1" w:val="clear"/>
            <w:vAlign w:val="center"/>
          </w:tcPr>
          <w:p>
            <w:pPr>
              <w:pStyle w:val="TableContents"/>
              <w:bidi w:val="0"/>
              <w:spacing w:lineRule="atLeast" w:line="300" w:before="0" w:after="0"/>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7" w:type="dxa"/>
            <w:tcBorders/>
            <w:shd w:fill="CCE2F1" w:val="clear"/>
            <w:vAlign w:val="center"/>
          </w:tcPr>
          <w:p>
            <w:pPr>
              <w:pStyle w:val="TableContents"/>
              <w:bidi w:val="0"/>
              <w:spacing w:lineRule="atLeast" w:line="300" w:before="0" w:after="0"/>
              <w:jc w:val="left"/>
              <w:rPr/>
            </w:pPr>
            <w:r>
              <w:rPr/>
              <w:t> </w:t>
            </w:r>
          </w:p>
        </w:tc>
        <w:tc>
          <w:tcPr>
            <w:tcW w:w="882" w:type="dxa"/>
            <w:tcBorders/>
            <w:shd w:fill="CCE2F1" w:val="clear"/>
            <w:vAlign w:val="center"/>
          </w:tcPr>
          <w:p>
            <w:pPr>
              <w:pStyle w:val="TableContents"/>
              <w:bidi w:val="0"/>
              <w:spacing w:lineRule="atLeast" w:line="300" w:before="0" w:after="0"/>
              <w:jc w:val="right"/>
              <w:rPr>
                <w:rFonts w:ascii="arial" w:hAnsi="arial"/>
                <w:sz w:val="18"/>
              </w:rPr>
            </w:pPr>
            <w:r>
              <w:rPr>
                <w:rFonts w:ascii="arial" w:hAnsi="arial"/>
                <w:sz w:val="18"/>
              </w:rPr>
              <w:t>260,810 </w:t>
            </w:r>
          </w:p>
        </w:tc>
        <w:tc>
          <w:tcPr>
            <w:tcW w:w="75" w:type="dxa"/>
            <w:tcBorders/>
            <w:shd w:fill="CCE2F1" w:val="clear"/>
            <w:vAlign w:val="center"/>
          </w:tcPr>
          <w:p>
            <w:pPr>
              <w:pStyle w:val="TableContents"/>
              <w:bidi w:val="0"/>
              <w:spacing w:lineRule="atLeast" w:line="300" w:before="0" w:after="0"/>
              <w:jc w:val="left"/>
              <w:rPr/>
            </w:pPr>
            <w:r>
              <w:rPr/>
              <w:t> </w:t>
            </w:r>
          </w:p>
        </w:tc>
      </w:tr>
      <w:tr>
        <w:trPr/>
        <w:tc>
          <w:tcPr>
            <w:tcW w:w="1565" w:type="dxa"/>
            <w:tcBorders/>
            <w:vAlign w:val="center"/>
          </w:tcPr>
          <w:p>
            <w:pPr>
              <w:pStyle w:val="TableContents"/>
              <w:bidi w:val="0"/>
              <w:spacing w:lineRule="atLeast" w:line="300" w:before="0" w:after="0"/>
              <w:jc w:val="left"/>
              <w:rPr>
                <w:rFonts w:ascii="arial" w:hAnsi="arial"/>
                <w:sz w:val="18"/>
              </w:rPr>
            </w:pPr>
            <w:r>
              <w:rPr>
                <w:rFonts w:ascii="arial" w:hAnsi="arial"/>
                <w:sz w:val="18"/>
              </w:rPr>
              <w:t>Peter H. Griffith</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lineRule="atLeast" w:line="300" w:before="0" w:after="0"/>
              <w:jc w:val="left"/>
              <w:rPr/>
            </w:pPr>
            <w:r>
              <w:rPr/>
              <w:t> </w:t>
            </w:r>
          </w:p>
        </w:tc>
        <w:tc>
          <w:tcPr>
            <w:tcW w:w="2510" w:type="dxa"/>
            <w:tcBorders/>
            <w:vAlign w:val="center"/>
          </w:tcPr>
          <w:p>
            <w:pPr>
              <w:pStyle w:val="TableContents"/>
              <w:bidi w:val="0"/>
              <w:spacing w:lineRule="atLeast" w:line="300" w:before="0" w:after="0"/>
              <w:jc w:val="right"/>
              <w:rPr>
                <w:rFonts w:ascii="arial" w:hAnsi="arial"/>
                <w:sz w:val="18"/>
              </w:rPr>
            </w:pPr>
            <w:r>
              <w:rPr>
                <w:rFonts w:ascii="arial" w:hAnsi="arial"/>
                <w:sz w:val="18"/>
              </w:rPr>
              <w:t>33,000</w:t>
            </w:r>
          </w:p>
        </w:tc>
        <w:tc>
          <w:tcPr>
            <w:tcW w:w="60" w:type="dxa"/>
            <w:tcBorders/>
            <w:vAlign w:val="center"/>
          </w:tcPr>
          <w:p>
            <w:pPr>
              <w:pStyle w:val="TableContents"/>
              <w:bidi w:val="0"/>
              <w:spacing w:lineRule="atLeast" w:line="300" w:before="0" w:after="0"/>
              <w:jc w:val="left"/>
              <w:rPr/>
            </w:pPr>
            <w:r>
              <w:rPr/>
              <w:t> </w:t>
            </w:r>
          </w:p>
        </w:tc>
        <w:tc>
          <w:tcPr>
            <w:tcW w:w="120" w:type="dxa"/>
            <w:tcBorders/>
            <w:vAlign w:val="center"/>
          </w:tcPr>
          <w:p>
            <w:pPr>
              <w:pStyle w:val="TableContents"/>
              <w:bidi w:val="0"/>
              <w:spacing w:before="0" w:after="283"/>
              <w:jc w:val="left"/>
              <w:rPr/>
            </w:pPr>
            <w:r>
              <w:rPr/>
              <w:t>  </w:t>
            </w:r>
          </w:p>
        </w:tc>
        <w:tc>
          <w:tcPr>
            <w:tcW w:w="561" w:type="dxa"/>
            <w:tcBorders/>
            <w:vAlign w:val="center"/>
          </w:tcPr>
          <w:p>
            <w:pPr>
              <w:pStyle w:val="TableContents"/>
              <w:bidi w:val="0"/>
              <w:spacing w:lineRule="atLeast" w:line="300" w:before="0" w:after="0"/>
              <w:jc w:val="left"/>
              <w:rPr/>
            </w:pPr>
            <w:r>
              <w:rPr/>
              <w:t> </w:t>
            </w:r>
          </w:p>
        </w:tc>
        <w:tc>
          <w:tcPr>
            <w:tcW w:w="1169" w:type="dxa"/>
            <w:tcBorders/>
            <w:vAlign w:val="center"/>
          </w:tcPr>
          <w:p>
            <w:pPr>
              <w:pStyle w:val="TableContents"/>
              <w:bidi w:val="0"/>
              <w:spacing w:lineRule="atLeast" w:line="300" w:before="0" w:after="0"/>
              <w:jc w:val="right"/>
              <w:rPr>
                <w:rFonts w:ascii="arial" w:hAnsi="arial"/>
                <w:sz w:val="18"/>
              </w:rPr>
            </w:pPr>
            <w:r>
              <w:rPr>
                <w:rFonts w:ascii="arial" w:hAnsi="arial"/>
                <w:sz w:val="18"/>
              </w:rPr>
              <w:t>0</w:t>
            </w:r>
          </w:p>
        </w:tc>
        <w:tc>
          <w:tcPr>
            <w:tcW w:w="60" w:type="dxa"/>
            <w:tcBorders/>
            <w:vAlign w:val="center"/>
          </w:tcPr>
          <w:p>
            <w:pPr>
              <w:pStyle w:val="TableContents"/>
              <w:bidi w:val="0"/>
              <w:spacing w:lineRule="atLeast" w:line="300" w:before="0" w:after="0"/>
              <w:jc w:val="left"/>
              <w:rPr/>
            </w:pPr>
            <w:r>
              <w:rPr/>
              <w:t> </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lineRule="atLeast" w:line="300" w:before="0" w:after="0"/>
              <w:jc w:val="left"/>
              <w:rPr/>
            </w:pPr>
            <w:r>
              <w:rPr/>
              <w:t> </w:t>
            </w:r>
          </w:p>
        </w:tc>
        <w:tc>
          <w:tcPr>
            <w:tcW w:w="1593" w:type="dxa"/>
            <w:tcBorders/>
            <w:vAlign w:val="center"/>
          </w:tcPr>
          <w:p>
            <w:pPr>
              <w:pStyle w:val="TableContents"/>
              <w:bidi w:val="0"/>
              <w:spacing w:lineRule="atLeast" w:line="300" w:before="0" w:after="0"/>
              <w:jc w:val="right"/>
              <w:rPr>
                <w:rFonts w:ascii="arial" w:hAnsi="arial"/>
                <w:sz w:val="18"/>
              </w:rPr>
            </w:pPr>
            <w:r>
              <w:rPr>
                <w:rFonts w:ascii="arial" w:hAnsi="arial"/>
                <w:sz w:val="18"/>
              </w:rPr>
              <w:t>201,423</w:t>
            </w:r>
          </w:p>
        </w:tc>
        <w:tc>
          <w:tcPr>
            <w:tcW w:w="60" w:type="dxa"/>
            <w:tcBorders/>
            <w:vAlign w:val="center"/>
          </w:tcPr>
          <w:p>
            <w:pPr>
              <w:pStyle w:val="TableContents"/>
              <w:bidi w:val="0"/>
              <w:spacing w:lineRule="atLeast" w:line="300" w:before="0" w:after="0"/>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lineRule="atLeast" w:line="300" w:before="0" w:after="0"/>
              <w:jc w:val="left"/>
              <w:rPr/>
            </w:pPr>
            <w:r>
              <w:rPr/>
              <w:t> </w:t>
            </w:r>
          </w:p>
        </w:tc>
        <w:tc>
          <w:tcPr>
            <w:tcW w:w="882" w:type="dxa"/>
            <w:tcBorders/>
            <w:vAlign w:val="center"/>
          </w:tcPr>
          <w:p>
            <w:pPr>
              <w:pStyle w:val="TableContents"/>
              <w:bidi w:val="0"/>
              <w:spacing w:lineRule="atLeast" w:line="300" w:before="0" w:after="0"/>
              <w:jc w:val="right"/>
              <w:rPr>
                <w:rFonts w:ascii="arial" w:hAnsi="arial"/>
                <w:sz w:val="18"/>
              </w:rPr>
            </w:pPr>
            <w:r>
              <w:rPr>
                <w:rFonts w:ascii="arial" w:hAnsi="arial"/>
                <w:sz w:val="18"/>
              </w:rPr>
              <w:t>234,423 </w:t>
            </w:r>
          </w:p>
        </w:tc>
        <w:tc>
          <w:tcPr>
            <w:tcW w:w="75" w:type="dxa"/>
            <w:tcBorders/>
            <w:vAlign w:val="center"/>
          </w:tcPr>
          <w:p>
            <w:pPr>
              <w:pStyle w:val="TableContents"/>
              <w:bidi w:val="0"/>
              <w:spacing w:lineRule="atLeast" w:line="300" w:before="0" w:after="0"/>
              <w:jc w:val="left"/>
              <w:rPr/>
            </w:pPr>
            <w:r>
              <w:rPr/>
              <w:t> </w:t>
            </w:r>
          </w:p>
        </w:tc>
      </w:tr>
      <w:tr>
        <w:trPr/>
        <w:tc>
          <w:tcPr>
            <w:tcW w:w="1565"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rFonts w:ascii="arial" w:hAnsi="arial"/>
                <w:sz w:val="18"/>
              </w:rPr>
            </w:pPr>
            <w:r>
              <w:rPr>
                <w:rFonts w:ascii="arial" w:hAnsi="arial"/>
                <w:sz w:val="18"/>
              </w:rPr>
              <w:t>Esteban Santos</w:t>
            </w:r>
          </w:p>
        </w:tc>
        <w:tc>
          <w:tcPr>
            <w:tcW w:w="12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255"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c>
          <w:tcPr>
            <w:tcW w:w="2510" w:type="dxa"/>
            <w:tcBorders>
              <w:bottom w:val="single" w:sz="8" w:space="0" w:color="0171B9"/>
            </w:tcBorders>
            <w:shd w:fill="CCE2F1" w:val="clear"/>
            <w:tcMar>
              <w:bottom w:w="28" w:type="dxa"/>
            </w:tcMar>
            <w:vAlign w:val="center"/>
          </w:tcPr>
          <w:p>
            <w:pPr>
              <w:pStyle w:val="TableContents"/>
              <w:bidi w:val="0"/>
              <w:spacing w:lineRule="atLeast" w:line="300" w:before="0" w:after="0"/>
              <w:jc w:val="right"/>
              <w:rPr>
                <w:rFonts w:ascii="arial" w:hAnsi="arial"/>
                <w:sz w:val="18"/>
              </w:rPr>
            </w:pPr>
            <w:r>
              <w:rPr>
                <w:rFonts w:ascii="arial" w:hAnsi="arial"/>
                <w:sz w:val="18"/>
              </w:rPr>
              <w:t>33,000</w:t>
            </w:r>
          </w:p>
        </w:tc>
        <w:tc>
          <w:tcPr>
            <w:tcW w:w="60"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c>
          <w:tcPr>
            <w:tcW w:w="12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561"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c>
          <w:tcPr>
            <w:tcW w:w="1169" w:type="dxa"/>
            <w:tcBorders>
              <w:bottom w:val="single" w:sz="8" w:space="0" w:color="0171B9"/>
            </w:tcBorders>
            <w:shd w:fill="CCE2F1" w:val="clear"/>
            <w:tcMar>
              <w:bottom w:w="28" w:type="dxa"/>
            </w:tcMar>
            <w:vAlign w:val="center"/>
          </w:tcPr>
          <w:p>
            <w:pPr>
              <w:pStyle w:val="TableContents"/>
              <w:bidi w:val="0"/>
              <w:spacing w:lineRule="atLeast" w:line="300" w:before="0" w:after="0"/>
              <w:jc w:val="right"/>
              <w:rPr>
                <w:rFonts w:ascii="arial" w:hAnsi="arial"/>
                <w:sz w:val="18"/>
              </w:rPr>
            </w:pPr>
            <w:r>
              <w:rPr>
                <w:rFonts w:ascii="arial" w:hAnsi="arial"/>
                <w:sz w:val="18"/>
              </w:rPr>
              <w:t>0</w:t>
            </w:r>
          </w:p>
        </w:tc>
        <w:tc>
          <w:tcPr>
            <w:tcW w:w="60"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c>
          <w:tcPr>
            <w:tcW w:w="12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137"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c>
          <w:tcPr>
            <w:tcW w:w="1593" w:type="dxa"/>
            <w:tcBorders>
              <w:bottom w:val="single" w:sz="8" w:space="0" w:color="0171B9"/>
            </w:tcBorders>
            <w:shd w:fill="CCE2F1" w:val="clear"/>
            <w:tcMar>
              <w:bottom w:w="28" w:type="dxa"/>
            </w:tcMar>
            <w:vAlign w:val="center"/>
          </w:tcPr>
          <w:p>
            <w:pPr>
              <w:pStyle w:val="TableContents"/>
              <w:bidi w:val="0"/>
              <w:spacing w:lineRule="atLeast" w:line="300" w:before="0" w:after="0"/>
              <w:jc w:val="right"/>
              <w:rPr>
                <w:rFonts w:ascii="arial" w:hAnsi="arial"/>
                <w:sz w:val="18"/>
              </w:rPr>
            </w:pPr>
            <w:r>
              <w:rPr>
                <w:rFonts w:ascii="arial" w:hAnsi="arial"/>
                <w:sz w:val="18"/>
              </w:rPr>
              <w:t>196,588</w:t>
            </w:r>
          </w:p>
        </w:tc>
        <w:tc>
          <w:tcPr>
            <w:tcW w:w="60"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c>
          <w:tcPr>
            <w:tcW w:w="12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7"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c>
          <w:tcPr>
            <w:tcW w:w="882" w:type="dxa"/>
            <w:tcBorders>
              <w:bottom w:val="single" w:sz="8" w:space="0" w:color="0171B9"/>
            </w:tcBorders>
            <w:shd w:fill="CCE2F1" w:val="clear"/>
            <w:tcMar>
              <w:bottom w:w="28" w:type="dxa"/>
            </w:tcMar>
            <w:vAlign w:val="center"/>
          </w:tcPr>
          <w:p>
            <w:pPr>
              <w:pStyle w:val="TableContents"/>
              <w:bidi w:val="0"/>
              <w:spacing w:lineRule="atLeast" w:line="300" w:before="0" w:after="0"/>
              <w:jc w:val="right"/>
              <w:rPr>
                <w:rFonts w:ascii="arial" w:hAnsi="arial"/>
                <w:sz w:val="18"/>
              </w:rPr>
            </w:pPr>
            <w:r>
              <w:rPr>
                <w:rFonts w:ascii="arial" w:hAnsi="arial"/>
                <w:sz w:val="18"/>
              </w:rPr>
              <w:t>229,588 </w:t>
            </w:r>
          </w:p>
        </w:tc>
        <w:tc>
          <w:tcPr>
            <w:tcW w:w="75"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r>
    </w:tbl>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312"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148" descr=""/>
                    <pic:cNvPicPr>
                      <a:picLocks noChangeAspect="1" noChangeArrowheads="1"/>
                    </pic:cNvPicPr>
                  </pic:nvPicPr>
                  <pic:blipFill>
                    <a:blip r:embed="rId161"/>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85</w:t>
      </w:r>
      <w:r>
        <w:rPr>
          <w:rFonts w:ascii="arial" w:hAnsi="arial"/>
          <w:b/>
          <w:sz w:val="22"/>
        </w:rPr>
        <w:t xml:space="preserve"> </w:t>
      </w:r>
      <w:r>
        <w:br w:type="page"/>
      </w:r>
    </w:p>
    <w:p>
      <w:pPr>
        <w:pStyle w:val="HorizontalLine"/>
        <w:bidi w:val="0"/>
        <w:jc w:val="left"/>
        <w:rPr/>
      </w:pPr>
      <w:r>
        <w:rPr/>
      </w:r>
    </w:p>
    <w:tbl>
      <w:tblPr>
        <w:tblW w:w="419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371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1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371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Executive Compensation Tables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171B9"/>
          <w:sz w:val="28"/>
        </w:rPr>
      </w:pPr>
      <w:r>
        <w:rPr>
          <w:rFonts w:ascii="arial" w:hAnsi="arial"/>
          <w:b/>
          <w:color w:val="0171B9"/>
          <w:sz w:val="28"/>
        </w:rPr>
        <w:t xml:space="preserve">Grants of Plan-Based Awards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arial" w:hAnsi="arial"/>
          <w:sz w:val="19"/>
        </w:rPr>
      </w:pPr>
      <w:r>
        <w:rPr>
          <w:rFonts w:ascii="arial" w:hAnsi="arial"/>
          <w:sz w:val="19"/>
        </w:rPr>
        <w:t xml:space="preserve">The following table sets forth summary information regarding all grants of plan-based awards made to our NEOs for the year ended December 31, 2023. All of our equity based awards were granted under the Amgen Inc. Amended and Restated 2009 Equity Incentive Plan, as amended. </w:t>
      </w:r>
    </w:p>
    <w:p>
      <w:pPr>
        <w:pStyle w:val="TextBody"/>
        <w:bidi w:val="0"/>
        <w:spacing w:before="0" w:after="0"/>
        <w:jc w:val="left"/>
        <w:rPr/>
      </w:pPr>
      <w:r>
        <w:rPr/>
        <w:t> </w:t>
      </w:r>
    </w:p>
    <w:tbl>
      <w:tblPr>
        <w:tblW w:w="11490" w:type="dxa"/>
        <w:jc w:val="left"/>
        <w:tblInd w:w="0" w:type="dxa"/>
        <w:tblLayout w:type="fixed"/>
        <w:tblCellMar>
          <w:top w:w="0" w:type="dxa"/>
          <w:left w:w="0" w:type="dxa"/>
          <w:bottom w:w="0" w:type="dxa"/>
          <w:right w:w="0" w:type="dxa"/>
        </w:tblCellMar>
      </w:tblPr>
      <w:tblGrid>
        <w:gridCol w:w="1565"/>
        <w:gridCol w:w="60"/>
        <w:gridCol w:w="60"/>
        <w:gridCol w:w="365"/>
        <w:gridCol w:w="60"/>
        <w:gridCol w:w="60"/>
        <w:gridCol w:w="107"/>
        <w:gridCol w:w="573"/>
        <w:gridCol w:w="60"/>
        <w:gridCol w:w="60"/>
        <w:gridCol w:w="755"/>
        <w:gridCol w:w="60"/>
        <w:gridCol w:w="485"/>
        <w:gridCol w:w="60"/>
        <w:gridCol w:w="60"/>
        <w:gridCol w:w="710"/>
        <w:gridCol w:w="60"/>
        <w:gridCol w:w="60"/>
        <w:gridCol w:w="755"/>
        <w:gridCol w:w="60"/>
        <w:gridCol w:w="60"/>
        <w:gridCol w:w="440"/>
        <w:gridCol w:w="60"/>
        <w:gridCol w:w="60"/>
        <w:gridCol w:w="130"/>
        <w:gridCol w:w="130"/>
        <w:gridCol w:w="60"/>
        <w:gridCol w:w="60"/>
        <w:gridCol w:w="81"/>
        <w:gridCol w:w="599"/>
        <w:gridCol w:w="60"/>
        <w:gridCol w:w="60"/>
        <w:gridCol w:w="92"/>
        <w:gridCol w:w="678"/>
        <w:gridCol w:w="60"/>
        <w:gridCol w:w="60"/>
        <w:gridCol w:w="85"/>
        <w:gridCol w:w="730"/>
        <w:gridCol w:w="60"/>
        <w:gridCol w:w="60"/>
        <w:gridCol w:w="81"/>
        <w:gridCol w:w="599"/>
        <w:gridCol w:w="60"/>
        <w:gridCol w:w="60"/>
        <w:gridCol w:w="70"/>
        <w:gridCol w:w="745"/>
        <w:gridCol w:w="215"/>
      </w:tblGrid>
      <w:tr>
        <w:trPr/>
        <w:tc>
          <w:tcPr>
            <w:tcW w:w="15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565"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425" w:type="dxa"/>
            <w:gridSpan w:val="2"/>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680" w:type="dxa"/>
            <w:gridSpan w:val="2"/>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2130" w:type="dxa"/>
            <w:gridSpan w:val="6"/>
            <w:tcBorders>
              <w:bottom w:val="single" w:sz="8" w:space="0" w:color="FFFFFF"/>
            </w:tcBorders>
            <w:shd w:fill="0171B9" w:val="clear"/>
            <w:tcMar>
              <w:bottom w:w="28" w:type="dxa"/>
            </w:tcMar>
            <w:vAlign w:val="center"/>
          </w:tcPr>
          <w:p>
            <w:pPr>
              <w:pStyle w:val="TableContents"/>
              <w:bidi w:val="0"/>
              <w:spacing w:before="0" w:after="20"/>
              <w:jc w:val="center"/>
              <w:rPr>
                <w:rFonts w:ascii="arial" w:hAnsi="arial"/>
                <w:b/>
                <w:color w:val="FFFFFF"/>
                <w:sz w:val="15"/>
              </w:rPr>
            </w:pPr>
            <w:r>
              <w:rPr>
                <w:rFonts w:ascii="arial" w:hAnsi="arial"/>
                <w:b/>
                <w:color w:val="FFFFFF"/>
                <w:sz w:val="15"/>
              </w:rPr>
              <w:t>Estimated Future Payouts</w:t>
              <w:br/>
              <w:t>Under Non-Equity Incentive</w:t>
              <w:br/>
              <w:t>Plan Awards($)(2)</w:t>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2495" w:type="dxa"/>
            <w:gridSpan w:val="12"/>
            <w:tcBorders>
              <w:bottom w:val="single" w:sz="8" w:space="0" w:color="FFFFFF"/>
            </w:tcBorders>
            <w:shd w:fill="0171B9" w:val="clear"/>
            <w:tcMar>
              <w:bottom w:w="28" w:type="dxa"/>
            </w:tcMar>
            <w:vAlign w:val="center"/>
          </w:tcPr>
          <w:p>
            <w:pPr>
              <w:pStyle w:val="TableContents"/>
              <w:bidi w:val="0"/>
              <w:spacing w:before="0" w:after="20"/>
              <w:jc w:val="center"/>
              <w:rPr>
                <w:rFonts w:ascii="arial" w:hAnsi="arial"/>
                <w:b/>
                <w:color w:val="FFFFFF"/>
                <w:sz w:val="15"/>
              </w:rPr>
            </w:pPr>
            <w:r>
              <w:rPr>
                <w:rFonts w:ascii="arial" w:hAnsi="arial"/>
                <w:b/>
                <w:color w:val="FFFFFF"/>
                <w:sz w:val="15"/>
              </w:rPr>
              <w:t>Estimated Future</w:t>
              <w:br/>
              <w:t>Payouts Under Equity</w:t>
              <w:br/>
              <w:t>Incentive Plan Awards</w:t>
              <w:br/>
              <w:t>(# of units)(3)</w:t>
            </w:r>
          </w:p>
        </w:tc>
        <w:tc>
          <w:tcPr>
            <w:tcW w:w="60" w:type="dxa"/>
            <w:tcBorders/>
            <w:shd w:fill="0171B9" w:val="clear"/>
            <w:vAlign w:val="center"/>
          </w:tcPr>
          <w:p>
            <w:pPr>
              <w:pStyle w:val="TableContents"/>
              <w:bidi w:val="0"/>
              <w:spacing w:before="0" w:after="283"/>
              <w:jc w:val="left"/>
              <w:rPr/>
            </w:pPr>
            <w:r>
              <w:rPr/>
              <w:t> </w:t>
            </w:r>
          </w:p>
        </w:tc>
        <w:tc>
          <w:tcPr>
            <w:tcW w:w="60" w:type="dxa"/>
            <w:vMerge w:val="restart"/>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770" w:type="dxa"/>
            <w:gridSpan w:val="2"/>
            <w:vMerge w:val="restart"/>
            <w:tcBorders>
              <w:bottom w:val="single" w:sz="8" w:space="0" w:color="FFFFFF"/>
            </w:tcBorders>
            <w:shd w:fill="0171B9" w:val="clear"/>
            <w:tcMar>
              <w:bottom w:w="28" w:type="dxa"/>
            </w:tcMar>
            <w:vAlign w:val="center"/>
          </w:tcPr>
          <w:p>
            <w:pPr>
              <w:pStyle w:val="TableContents"/>
              <w:bidi w:val="0"/>
              <w:spacing w:before="0" w:after="20"/>
              <w:jc w:val="right"/>
              <w:rPr>
                <w:rFonts w:ascii="arial" w:hAnsi="arial"/>
                <w:b/>
                <w:color w:val="FFFFFF"/>
                <w:sz w:val="15"/>
              </w:rPr>
            </w:pPr>
            <w:r>
              <w:rPr>
                <w:rFonts w:ascii="arial" w:hAnsi="arial"/>
                <w:b/>
                <w:color w:val="FFFFFF"/>
                <w:sz w:val="15"/>
              </w:rPr>
              <w:t>Stock</w:t>
              <w:br/>
              <w:t>Awards:</w:t>
              <w:br/>
              <w:t>Number of</w:t>
              <w:br/>
              <w:t>Shares of</w:t>
              <w:br/>
              <w:t>Stock or</w:t>
              <w:br/>
              <w:t>Units(#)(4)</w:t>
            </w:r>
          </w:p>
        </w:tc>
        <w:tc>
          <w:tcPr>
            <w:tcW w:w="60" w:type="dxa"/>
            <w:vMerge w:val="restart"/>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vMerge w:val="restart"/>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815" w:type="dxa"/>
            <w:gridSpan w:val="2"/>
            <w:vMerge w:val="restart"/>
            <w:tcBorders>
              <w:bottom w:val="single" w:sz="8" w:space="0" w:color="FFFFFF"/>
            </w:tcBorders>
            <w:shd w:fill="0171B9" w:val="clear"/>
            <w:tcMar>
              <w:bottom w:w="28" w:type="dxa"/>
            </w:tcMar>
            <w:vAlign w:val="center"/>
          </w:tcPr>
          <w:p>
            <w:pPr>
              <w:pStyle w:val="TableContents"/>
              <w:bidi w:val="0"/>
              <w:spacing w:before="0" w:after="0"/>
              <w:jc w:val="right"/>
              <w:rPr>
                <w:rFonts w:ascii="arial" w:hAnsi="arial"/>
                <w:b/>
                <w:color w:val="FFFFFF"/>
                <w:sz w:val="15"/>
              </w:rPr>
            </w:pPr>
            <w:r>
              <w:rPr>
                <w:rFonts w:ascii="arial" w:hAnsi="arial"/>
                <w:b/>
                <w:color w:val="FFFFFF"/>
                <w:sz w:val="15"/>
              </w:rPr>
              <w:t>Awards:</w:t>
              <w:br/>
              <w:t>Number of</w:t>
              <w:br/>
              <w:t>Securities</w:t>
              <w:br/>
              <w:t>Underlying</w:t>
              <w:br/>
              <w:t>Options</w:t>
            </w:r>
          </w:p>
          <w:p>
            <w:pPr>
              <w:pStyle w:val="TableContents"/>
              <w:bidi w:val="0"/>
              <w:spacing w:before="0" w:after="20"/>
              <w:jc w:val="right"/>
              <w:rPr>
                <w:rFonts w:ascii="arial" w:hAnsi="arial"/>
                <w:b/>
                <w:color w:val="FFFFFF"/>
                <w:sz w:val="15"/>
              </w:rPr>
            </w:pPr>
            <w:r>
              <w:rPr>
                <w:rFonts w:ascii="arial" w:hAnsi="arial"/>
                <w:b/>
                <w:color w:val="FFFFFF"/>
                <w:sz w:val="15"/>
              </w:rPr>
              <w:t>(#)(5)</w:t>
            </w:r>
          </w:p>
        </w:tc>
        <w:tc>
          <w:tcPr>
            <w:tcW w:w="60" w:type="dxa"/>
            <w:vMerge w:val="restart"/>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vMerge w:val="restart"/>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80" w:type="dxa"/>
            <w:gridSpan w:val="2"/>
            <w:vMerge w:val="restart"/>
            <w:tcBorders>
              <w:bottom w:val="single" w:sz="8" w:space="0" w:color="FFFFFF"/>
            </w:tcBorders>
            <w:shd w:fill="0171B9" w:val="clear"/>
            <w:tcMar>
              <w:bottom w:w="28" w:type="dxa"/>
            </w:tcMar>
            <w:vAlign w:val="center"/>
          </w:tcPr>
          <w:p>
            <w:pPr>
              <w:pStyle w:val="TableContents"/>
              <w:bidi w:val="0"/>
              <w:spacing w:before="0" w:after="0"/>
              <w:jc w:val="right"/>
              <w:rPr>
                <w:rFonts w:ascii="arial" w:hAnsi="arial"/>
                <w:b/>
                <w:color w:val="FFFFFF"/>
                <w:sz w:val="15"/>
              </w:rPr>
            </w:pPr>
            <w:r>
              <w:rPr>
                <w:rFonts w:ascii="arial" w:hAnsi="arial"/>
                <w:b/>
                <w:color w:val="FFFFFF"/>
                <w:sz w:val="15"/>
              </w:rPr>
              <w:t>Exercise</w:t>
              <w:br/>
              <w:t>or Base</w:t>
              <w:br/>
              <w:t>Price of</w:t>
              <w:br/>
              <w:t>Option</w:t>
              <w:br/>
              <w:t>Awards</w:t>
            </w:r>
          </w:p>
          <w:p>
            <w:pPr>
              <w:pStyle w:val="TableContents"/>
              <w:bidi w:val="0"/>
              <w:spacing w:before="0" w:after="20"/>
              <w:jc w:val="right"/>
              <w:rPr>
                <w:rFonts w:ascii="arial" w:hAnsi="arial"/>
                <w:b/>
                <w:color w:val="FFFFFF"/>
                <w:sz w:val="15"/>
              </w:rPr>
            </w:pPr>
            <w:r>
              <w:rPr>
                <w:rFonts w:ascii="arial" w:hAnsi="arial"/>
                <w:b/>
                <w:color w:val="FFFFFF"/>
                <w:sz w:val="15"/>
              </w:rPr>
              <w:t>($/Sh)</w:t>
            </w:r>
          </w:p>
        </w:tc>
        <w:tc>
          <w:tcPr>
            <w:tcW w:w="60" w:type="dxa"/>
            <w:vMerge w:val="restart"/>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vMerge w:val="restart"/>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815" w:type="dxa"/>
            <w:gridSpan w:val="2"/>
            <w:vMerge w:val="restart"/>
            <w:tcBorders>
              <w:bottom w:val="single" w:sz="8" w:space="0" w:color="FFFFFF"/>
            </w:tcBorders>
            <w:shd w:fill="0171B9" w:val="clear"/>
            <w:tcMar>
              <w:bottom w:w="28" w:type="dxa"/>
            </w:tcMar>
            <w:vAlign w:val="center"/>
          </w:tcPr>
          <w:p>
            <w:pPr>
              <w:pStyle w:val="TableContents"/>
              <w:bidi w:val="0"/>
              <w:spacing w:before="0" w:after="20"/>
              <w:jc w:val="right"/>
              <w:rPr>
                <w:rFonts w:ascii="arial" w:hAnsi="arial"/>
                <w:b/>
                <w:color w:val="FFFFFF"/>
                <w:sz w:val="15"/>
              </w:rPr>
            </w:pPr>
            <w:r>
              <w:rPr>
                <w:rFonts w:ascii="arial" w:hAnsi="arial"/>
                <w:b/>
                <w:color w:val="FFFFFF"/>
                <w:sz w:val="15"/>
              </w:rPr>
              <w:t>Grant Date</w:t>
              <w:br/>
              <w:t>Fair Value</w:t>
              <w:br/>
              <w:t>of Stock</w:t>
              <w:br/>
              <w:t>and Option</w:t>
              <w:br/>
              <w:t>Awards($)</w:t>
            </w:r>
          </w:p>
        </w:tc>
        <w:tc>
          <w:tcPr>
            <w:tcW w:w="215" w:type="dxa"/>
            <w:vMerge w:val="restart"/>
            <w:tcBorders>
              <w:bottom w:val="single" w:sz="8" w:space="0" w:color="FFFFFF"/>
            </w:tcBorders>
            <w:shd w:fill="0171B9" w:val="clear"/>
            <w:tcMar>
              <w:bottom w:w="28" w:type="dxa"/>
            </w:tcMar>
            <w:vAlign w:val="center"/>
          </w:tcPr>
          <w:p>
            <w:pPr>
              <w:pStyle w:val="TableContents"/>
              <w:bidi w:val="0"/>
              <w:spacing w:before="0" w:after="283"/>
              <w:jc w:val="left"/>
              <w:rPr/>
            </w:pPr>
            <w:r>
              <w:rPr/>
              <w:t> </w:t>
            </w:r>
          </w:p>
        </w:tc>
      </w:tr>
      <w:tr>
        <w:trPr/>
        <w:tc>
          <w:tcPr>
            <w:tcW w:w="1565" w:type="dxa"/>
            <w:tcBorders>
              <w:bottom w:val="single" w:sz="8" w:space="0" w:color="FFFFFF"/>
            </w:tcBorders>
            <w:shd w:fill="0171B9" w:val="clear"/>
            <w:tcMar>
              <w:bottom w:w="28" w:type="dxa"/>
            </w:tcMar>
            <w:vAlign w:val="center"/>
          </w:tcPr>
          <w:p>
            <w:pPr>
              <w:pStyle w:val="TableContents"/>
              <w:bidi w:val="0"/>
              <w:spacing w:before="0" w:after="0"/>
              <w:jc w:val="left"/>
              <w:rPr>
                <w:rFonts w:ascii="arial" w:hAnsi="arial"/>
                <w:b/>
                <w:color w:val="FFFFFF"/>
                <w:sz w:val="15"/>
              </w:rPr>
            </w:pPr>
            <w:r>
              <w:rPr>
                <w:rFonts w:ascii="arial" w:hAnsi="arial"/>
                <w:b/>
                <w:color w:val="FFFFFF"/>
                <w:sz w:val="15"/>
              </w:rPr>
              <w:t>Name</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425" w:type="dxa"/>
            <w:gridSpan w:val="2"/>
            <w:tcBorders>
              <w:bottom w:val="single" w:sz="8" w:space="0" w:color="FFFFFF"/>
            </w:tcBorders>
            <w:shd w:fill="0171B9" w:val="clear"/>
            <w:tcMar>
              <w:bottom w:w="28" w:type="dxa"/>
            </w:tcMar>
            <w:vAlign w:val="center"/>
          </w:tcPr>
          <w:p>
            <w:pPr>
              <w:pStyle w:val="TableContents"/>
              <w:bidi w:val="0"/>
              <w:spacing w:before="0" w:after="0"/>
              <w:jc w:val="left"/>
              <w:rPr>
                <w:rFonts w:ascii="arial" w:hAnsi="arial"/>
                <w:b/>
                <w:color w:val="FFFFFF"/>
                <w:sz w:val="15"/>
              </w:rPr>
            </w:pPr>
            <w:r>
              <w:rPr>
                <w:rFonts w:ascii="arial" w:hAnsi="arial"/>
                <w:b/>
                <w:color w:val="FFFFFF"/>
                <w:sz w:val="15"/>
              </w:rPr>
              <w:t>Grant</w:t>
            </w:r>
          </w:p>
          <w:p>
            <w:pPr>
              <w:pStyle w:val="TableContents"/>
              <w:bidi w:val="0"/>
              <w:spacing w:before="0" w:after="20"/>
              <w:jc w:val="left"/>
              <w:rPr>
                <w:rFonts w:ascii="arial" w:hAnsi="arial"/>
                <w:b/>
                <w:color w:val="FFFFFF"/>
                <w:sz w:val="15"/>
              </w:rPr>
            </w:pPr>
            <w:r>
              <w:rPr>
                <w:rFonts w:ascii="arial" w:hAnsi="arial"/>
                <w:b/>
                <w:color w:val="FFFFFF"/>
                <w:sz w:val="15"/>
              </w:rPr>
              <w:t>Date</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80" w:type="dxa"/>
            <w:gridSpan w:val="2"/>
            <w:tcBorders>
              <w:bottom w:val="single" w:sz="8" w:space="0" w:color="FFFFFF"/>
            </w:tcBorders>
            <w:shd w:fill="0171B9" w:val="clear"/>
            <w:tcMar>
              <w:bottom w:w="28" w:type="dxa"/>
            </w:tcMar>
            <w:vAlign w:val="center"/>
          </w:tcPr>
          <w:p>
            <w:pPr>
              <w:pStyle w:val="TableContents"/>
              <w:bidi w:val="0"/>
              <w:spacing w:before="0" w:after="0"/>
              <w:jc w:val="right"/>
              <w:rPr>
                <w:rFonts w:ascii="arial" w:hAnsi="arial"/>
                <w:b/>
                <w:color w:val="FFFFFF"/>
                <w:sz w:val="15"/>
              </w:rPr>
            </w:pPr>
            <w:r>
              <w:rPr>
                <w:rFonts w:ascii="arial" w:hAnsi="arial"/>
                <w:b/>
                <w:color w:val="FFFFFF"/>
                <w:sz w:val="15"/>
              </w:rPr>
              <w:t>Approval</w:t>
            </w:r>
          </w:p>
          <w:p>
            <w:pPr>
              <w:pStyle w:val="TableContents"/>
              <w:bidi w:val="0"/>
              <w:spacing w:before="0" w:after="20"/>
              <w:jc w:val="right"/>
              <w:rPr>
                <w:rFonts w:ascii="arial" w:hAnsi="arial"/>
                <w:b/>
                <w:color w:val="FFFFFF"/>
                <w:sz w:val="15"/>
              </w:rPr>
            </w:pPr>
            <w:r>
              <w:rPr>
                <w:rFonts w:ascii="arial" w:hAnsi="arial"/>
                <w:b/>
                <w:color w:val="FFFFFF"/>
                <w:sz w:val="15"/>
              </w:rPr>
              <w:t>Date(1)</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755" w:type="dxa"/>
            <w:tcBorders>
              <w:bottom w:val="single" w:sz="8" w:space="0" w:color="FFFFFF"/>
            </w:tcBorders>
            <w:shd w:fill="0171B9" w:val="clear"/>
            <w:tcMar>
              <w:bottom w:w="28" w:type="dxa"/>
            </w:tcMar>
            <w:vAlign w:val="center"/>
          </w:tcPr>
          <w:p>
            <w:pPr>
              <w:pStyle w:val="TableContents"/>
              <w:bidi w:val="0"/>
              <w:spacing w:before="0" w:after="20"/>
              <w:jc w:val="right"/>
              <w:rPr>
                <w:rFonts w:ascii="arial" w:hAnsi="arial"/>
                <w:b/>
                <w:color w:val="FFFFFF"/>
                <w:sz w:val="15"/>
              </w:rPr>
            </w:pPr>
            <w:r>
              <w:rPr>
                <w:rFonts w:ascii="arial" w:hAnsi="arial"/>
                <w:b/>
                <w:color w:val="FFFFFF"/>
                <w:sz w:val="15"/>
              </w:rPr>
              <w:t>Threshold</w:t>
            </w:r>
          </w:p>
        </w:tc>
        <w:tc>
          <w:tcPr>
            <w:tcW w:w="60" w:type="dxa"/>
            <w:tcBorders/>
            <w:shd w:fill="0171B9" w:val="clear"/>
            <w:vAlign w:val="center"/>
          </w:tcPr>
          <w:p>
            <w:pPr>
              <w:pStyle w:val="TableContents"/>
              <w:bidi w:val="0"/>
              <w:spacing w:before="0" w:after="283"/>
              <w:jc w:val="left"/>
              <w:rPr/>
            </w:pPr>
            <w:r>
              <w:rPr/>
              <w:t> </w:t>
            </w:r>
          </w:p>
        </w:tc>
        <w:tc>
          <w:tcPr>
            <w:tcW w:w="485" w:type="dxa"/>
            <w:tcBorders>
              <w:bottom w:val="single" w:sz="8" w:space="0" w:color="FFFFFF"/>
            </w:tcBorders>
            <w:shd w:fill="0171B9" w:val="clear"/>
            <w:tcMar>
              <w:bottom w:w="28" w:type="dxa"/>
            </w:tcMar>
            <w:vAlign w:val="center"/>
          </w:tcPr>
          <w:p>
            <w:pPr>
              <w:pStyle w:val="TableContents"/>
              <w:bidi w:val="0"/>
              <w:spacing w:before="0" w:after="20"/>
              <w:jc w:val="right"/>
              <w:rPr>
                <w:rFonts w:ascii="arial" w:hAnsi="arial"/>
                <w:b/>
                <w:color w:val="FFFFFF"/>
                <w:sz w:val="15"/>
              </w:rPr>
            </w:pPr>
            <w:r>
              <w:rPr>
                <w:rFonts w:ascii="arial" w:hAnsi="arial"/>
                <w:b/>
                <w:color w:val="FFFFFF"/>
                <w:sz w:val="15"/>
              </w:rPr>
              <w:t>Target</w:t>
            </w:r>
          </w:p>
        </w:tc>
        <w:tc>
          <w:tcPr>
            <w:tcW w:w="60" w:type="dxa"/>
            <w:tcBorders/>
            <w:shd w:fill="0171B9" w:val="clear"/>
            <w:vAlign w:val="center"/>
          </w:tcPr>
          <w:p>
            <w:pPr>
              <w:pStyle w:val="TableContents"/>
              <w:bidi w:val="0"/>
              <w:spacing w:before="0" w:after="283"/>
              <w:jc w:val="left"/>
              <w:rPr/>
            </w:pPr>
            <w:r>
              <w:rPr/>
              <w:t> </w:t>
            </w:r>
          </w:p>
        </w:tc>
        <w:tc>
          <w:tcPr>
            <w:tcW w:w="770" w:type="dxa"/>
            <w:gridSpan w:val="2"/>
            <w:tcBorders>
              <w:bottom w:val="single" w:sz="8" w:space="0" w:color="FFFFFF"/>
            </w:tcBorders>
            <w:shd w:fill="0171B9" w:val="clear"/>
            <w:tcMar>
              <w:bottom w:w="28" w:type="dxa"/>
            </w:tcMar>
            <w:vAlign w:val="center"/>
          </w:tcPr>
          <w:p>
            <w:pPr>
              <w:pStyle w:val="TableContents"/>
              <w:bidi w:val="0"/>
              <w:spacing w:before="0" w:after="283"/>
              <w:jc w:val="right"/>
              <w:rPr>
                <w:b/>
                <w:color w:val="FFFFFF"/>
                <w:sz w:val="15"/>
              </w:rPr>
            </w:pPr>
            <w:r>
              <w:rPr>
                <w:b/>
                <w:color w:val="FFFFFF"/>
                <w:sz w:val="15"/>
              </w:rPr>
              <w:t>Maximum</w:t>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755" w:type="dxa"/>
            <w:tcBorders>
              <w:bottom w:val="single" w:sz="8" w:space="0" w:color="FFFFFF"/>
            </w:tcBorders>
            <w:shd w:fill="0171B9" w:val="clear"/>
            <w:tcMar>
              <w:bottom w:w="28" w:type="dxa"/>
            </w:tcMar>
            <w:vAlign w:val="center"/>
          </w:tcPr>
          <w:p>
            <w:pPr>
              <w:pStyle w:val="TableContents"/>
              <w:bidi w:val="0"/>
              <w:spacing w:before="0" w:after="20"/>
              <w:jc w:val="right"/>
              <w:rPr>
                <w:rFonts w:ascii="arial" w:hAnsi="arial"/>
                <w:b/>
                <w:color w:val="FFFFFF"/>
                <w:sz w:val="15"/>
              </w:rPr>
            </w:pPr>
            <w:r>
              <w:rPr>
                <w:rFonts w:ascii="arial" w:hAnsi="arial"/>
                <w:b/>
                <w:color w:val="FFFFFF"/>
                <w:sz w:val="15"/>
              </w:rPr>
              <w:t>Threshold</w:t>
            </w:r>
          </w:p>
        </w:tc>
        <w:tc>
          <w:tcPr>
            <w:tcW w:w="60" w:type="dxa"/>
            <w:tcBorders/>
            <w:shd w:fill="0171B9" w:val="clear"/>
            <w:vAlign w:val="center"/>
          </w:tcPr>
          <w:p>
            <w:pPr>
              <w:pStyle w:val="TableContents"/>
              <w:bidi w:val="0"/>
              <w:spacing w:before="0" w:after="283"/>
              <w:jc w:val="left"/>
              <w:rPr/>
            </w:pPr>
            <w:r>
              <w:rPr/>
              <w:t> </w:t>
            </w:r>
          </w:p>
        </w:tc>
        <w:tc>
          <w:tcPr>
            <w:tcW w:w="500" w:type="dxa"/>
            <w:gridSpan w:val="2"/>
            <w:tcBorders>
              <w:bottom w:val="single" w:sz="8" w:space="0" w:color="FFFFFF"/>
            </w:tcBorders>
            <w:shd w:fill="0171B9" w:val="clear"/>
            <w:tcMar>
              <w:bottom w:w="28" w:type="dxa"/>
            </w:tcMar>
            <w:vAlign w:val="center"/>
          </w:tcPr>
          <w:p>
            <w:pPr>
              <w:pStyle w:val="TableContents"/>
              <w:bidi w:val="0"/>
              <w:spacing w:before="0" w:after="283"/>
              <w:jc w:val="right"/>
              <w:rPr>
                <w:b/>
                <w:color w:val="FFFFFF"/>
                <w:sz w:val="15"/>
              </w:rPr>
            </w:pPr>
            <w:r>
              <w:rPr>
                <w:b/>
                <w:color w:val="FFFFFF"/>
                <w:sz w:val="15"/>
              </w:rPr>
              <w:t>Target</w:t>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260" w:type="dxa"/>
            <w:gridSpan w:val="2"/>
            <w:tcBorders/>
            <w:shd w:fill="0171B9" w:val="clear"/>
            <w:vAlign w:val="center"/>
          </w:tcPr>
          <w:p>
            <w:pPr>
              <w:pStyle w:val="TableContents"/>
              <w:bidi w:val="0"/>
              <w:spacing w:before="0" w:after="283"/>
              <w:jc w:val="right"/>
              <w:rPr>
                <w:color w:val="FFFFFF"/>
              </w:rPr>
            </w:pPr>
            <w:r>
              <w:rPr>
                <w:color w:val="FFFFFF"/>
              </w:rPr>
              <w:t> </w:t>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680" w:type="dxa"/>
            <w:gridSpan w:val="2"/>
            <w:tcBorders>
              <w:bottom w:val="single" w:sz="8" w:space="0" w:color="FFFFFF"/>
            </w:tcBorders>
            <w:shd w:fill="0171B9" w:val="clear"/>
            <w:tcMar>
              <w:bottom w:w="28" w:type="dxa"/>
            </w:tcMar>
            <w:vAlign w:val="center"/>
          </w:tcPr>
          <w:p>
            <w:pPr>
              <w:pStyle w:val="TableContents"/>
              <w:bidi w:val="0"/>
              <w:spacing w:before="0" w:after="283"/>
              <w:jc w:val="right"/>
              <w:rPr>
                <w:b/>
                <w:color w:val="FFFFFF"/>
                <w:sz w:val="15"/>
              </w:rPr>
            </w:pPr>
            <w:r>
              <w:rPr>
                <w:b/>
                <w:color w:val="FFFFFF"/>
                <w:sz w:val="15"/>
              </w:rPr>
              <w:t>Maximum</w:t>
            </w:r>
          </w:p>
        </w:tc>
        <w:tc>
          <w:tcPr>
            <w:tcW w:w="60" w:type="dxa"/>
            <w:tcBorders/>
            <w:shd w:fill="0171B9" w:val="clear"/>
            <w:vAlign w:val="center"/>
          </w:tcPr>
          <w:p>
            <w:pPr>
              <w:pStyle w:val="TableContents"/>
              <w:bidi w:val="0"/>
              <w:spacing w:before="0" w:after="283"/>
              <w:jc w:val="left"/>
              <w:rPr/>
            </w:pPr>
            <w:r>
              <w:rPr/>
              <w:t> </w:t>
            </w:r>
          </w:p>
        </w:tc>
        <w:tc>
          <w:tcPr>
            <w:tcW w:w="60" w:type="dxa"/>
            <w:vMerge w:val="continue"/>
            <w:tcBorders>
              <w:bottom w:val="single" w:sz="8" w:space="0" w:color="FFFFFF"/>
            </w:tcBorders>
            <w:shd w:fill="0171B9" w:val="clear"/>
            <w:tcMar>
              <w:bottom w:w="28" w:type="dxa"/>
            </w:tcMar>
            <w:vAlign w:val="center"/>
          </w:tcPr>
          <w:p>
            <w:pPr>
              <w:pStyle w:val="Normal"/>
              <w:bidi w:val="0"/>
              <w:jc w:val="left"/>
              <w:rPr/>
            </w:pPr>
            <w:r>
              <w:rPr/>
            </w:r>
          </w:p>
        </w:tc>
        <w:tc>
          <w:tcPr>
            <w:tcW w:w="770" w:type="dxa"/>
            <w:gridSpan w:val="2"/>
            <w:vMerge w:val="continue"/>
            <w:tcBorders>
              <w:bottom w:val="single" w:sz="8" w:space="0" w:color="FFFFFF"/>
            </w:tcBorders>
            <w:shd w:fill="0171B9" w:val="clear"/>
            <w:tcMar>
              <w:bottom w:w="28" w:type="dxa"/>
            </w:tcMar>
            <w:vAlign w:val="center"/>
          </w:tcPr>
          <w:p>
            <w:pPr>
              <w:pStyle w:val="Normal"/>
              <w:bidi w:val="0"/>
              <w:jc w:val="left"/>
              <w:rPr/>
            </w:pPr>
            <w:r>
              <w:rPr/>
            </w:r>
          </w:p>
        </w:tc>
        <w:tc>
          <w:tcPr>
            <w:tcW w:w="60" w:type="dxa"/>
            <w:vMerge w:val="continue"/>
            <w:tcBorders>
              <w:bottom w:val="single" w:sz="8" w:space="0" w:color="FFFFFF"/>
            </w:tcBorders>
            <w:shd w:fill="0171B9" w:val="clear"/>
            <w:tcMar>
              <w:bottom w:w="28" w:type="dxa"/>
            </w:tcMar>
            <w:vAlign w:val="center"/>
          </w:tcPr>
          <w:p>
            <w:pPr>
              <w:pStyle w:val="Normal"/>
              <w:bidi w:val="0"/>
              <w:jc w:val="left"/>
              <w:rPr/>
            </w:pPr>
            <w:r>
              <w:rPr/>
            </w:r>
          </w:p>
        </w:tc>
        <w:tc>
          <w:tcPr>
            <w:tcW w:w="60" w:type="dxa"/>
            <w:vMerge w:val="continue"/>
            <w:tcBorders>
              <w:bottom w:val="single" w:sz="8" w:space="0" w:color="FFFFFF"/>
            </w:tcBorders>
            <w:shd w:fill="0171B9" w:val="clear"/>
            <w:tcMar>
              <w:bottom w:w="28" w:type="dxa"/>
            </w:tcMar>
            <w:vAlign w:val="center"/>
          </w:tcPr>
          <w:p>
            <w:pPr>
              <w:pStyle w:val="Normal"/>
              <w:bidi w:val="0"/>
              <w:jc w:val="left"/>
              <w:rPr/>
            </w:pPr>
            <w:r>
              <w:rPr/>
            </w:r>
          </w:p>
        </w:tc>
        <w:tc>
          <w:tcPr>
            <w:tcW w:w="815" w:type="dxa"/>
            <w:gridSpan w:val="2"/>
            <w:vMerge w:val="continue"/>
            <w:tcBorders>
              <w:bottom w:val="single" w:sz="8" w:space="0" w:color="FFFFFF"/>
            </w:tcBorders>
            <w:shd w:fill="0171B9" w:val="clear"/>
            <w:tcMar>
              <w:bottom w:w="28" w:type="dxa"/>
            </w:tcMar>
            <w:vAlign w:val="center"/>
          </w:tcPr>
          <w:p>
            <w:pPr>
              <w:pStyle w:val="Normal"/>
              <w:bidi w:val="0"/>
              <w:jc w:val="left"/>
              <w:rPr/>
            </w:pPr>
            <w:r>
              <w:rPr/>
            </w:r>
          </w:p>
        </w:tc>
        <w:tc>
          <w:tcPr>
            <w:tcW w:w="60" w:type="dxa"/>
            <w:vMerge w:val="continue"/>
            <w:tcBorders>
              <w:bottom w:val="single" w:sz="8" w:space="0" w:color="FFFFFF"/>
            </w:tcBorders>
            <w:shd w:fill="0171B9" w:val="clear"/>
            <w:tcMar>
              <w:bottom w:w="28" w:type="dxa"/>
            </w:tcMar>
            <w:vAlign w:val="center"/>
          </w:tcPr>
          <w:p>
            <w:pPr>
              <w:pStyle w:val="Normal"/>
              <w:bidi w:val="0"/>
              <w:jc w:val="left"/>
              <w:rPr/>
            </w:pPr>
            <w:r>
              <w:rPr/>
            </w:r>
          </w:p>
        </w:tc>
        <w:tc>
          <w:tcPr>
            <w:tcW w:w="60" w:type="dxa"/>
            <w:vMerge w:val="continue"/>
            <w:tcBorders>
              <w:bottom w:val="single" w:sz="8" w:space="0" w:color="FFFFFF"/>
            </w:tcBorders>
            <w:shd w:fill="0171B9" w:val="clear"/>
            <w:tcMar>
              <w:bottom w:w="28" w:type="dxa"/>
            </w:tcMar>
            <w:vAlign w:val="center"/>
          </w:tcPr>
          <w:p>
            <w:pPr>
              <w:pStyle w:val="Normal"/>
              <w:bidi w:val="0"/>
              <w:jc w:val="left"/>
              <w:rPr/>
            </w:pPr>
            <w:r>
              <w:rPr/>
            </w:r>
          </w:p>
        </w:tc>
        <w:tc>
          <w:tcPr>
            <w:tcW w:w="680" w:type="dxa"/>
            <w:gridSpan w:val="2"/>
            <w:vMerge w:val="continue"/>
            <w:tcBorders>
              <w:bottom w:val="single" w:sz="8" w:space="0" w:color="FFFFFF"/>
            </w:tcBorders>
            <w:shd w:fill="0171B9" w:val="clear"/>
            <w:tcMar>
              <w:bottom w:w="28" w:type="dxa"/>
            </w:tcMar>
            <w:vAlign w:val="center"/>
          </w:tcPr>
          <w:p>
            <w:pPr>
              <w:pStyle w:val="Normal"/>
              <w:bidi w:val="0"/>
              <w:jc w:val="left"/>
              <w:rPr/>
            </w:pPr>
            <w:r>
              <w:rPr/>
            </w:r>
          </w:p>
        </w:tc>
        <w:tc>
          <w:tcPr>
            <w:tcW w:w="60" w:type="dxa"/>
            <w:vMerge w:val="continue"/>
            <w:tcBorders>
              <w:bottom w:val="single" w:sz="8" w:space="0" w:color="FFFFFF"/>
            </w:tcBorders>
            <w:shd w:fill="0171B9" w:val="clear"/>
            <w:tcMar>
              <w:bottom w:w="28" w:type="dxa"/>
            </w:tcMar>
            <w:vAlign w:val="center"/>
          </w:tcPr>
          <w:p>
            <w:pPr>
              <w:pStyle w:val="Normal"/>
              <w:bidi w:val="0"/>
              <w:jc w:val="left"/>
              <w:rPr/>
            </w:pPr>
            <w:r>
              <w:rPr/>
            </w:r>
          </w:p>
        </w:tc>
        <w:tc>
          <w:tcPr>
            <w:tcW w:w="60" w:type="dxa"/>
            <w:vMerge w:val="continue"/>
            <w:tcBorders>
              <w:bottom w:val="single" w:sz="8" w:space="0" w:color="FFFFFF"/>
            </w:tcBorders>
            <w:shd w:fill="0171B9" w:val="clear"/>
            <w:tcMar>
              <w:bottom w:w="28" w:type="dxa"/>
            </w:tcMar>
            <w:vAlign w:val="center"/>
          </w:tcPr>
          <w:p>
            <w:pPr>
              <w:pStyle w:val="Normal"/>
              <w:bidi w:val="0"/>
              <w:jc w:val="left"/>
              <w:rPr/>
            </w:pPr>
            <w:r>
              <w:rPr/>
            </w:r>
          </w:p>
        </w:tc>
        <w:tc>
          <w:tcPr>
            <w:tcW w:w="815" w:type="dxa"/>
            <w:gridSpan w:val="2"/>
            <w:vMerge w:val="continue"/>
            <w:tcBorders>
              <w:bottom w:val="single" w:sz="8" w:space="0" w:color="FFFFFF"/>
            </w:tcBorders>
            <w:shd w:fill="0171B9" w:val="clear"/>
            <w:tcMar>
              <w:bottom w:w="28" w:type="dxa"/>
            </w:tcMar>
            <w:vAlign w:val="center"/>
          </w:tcPr>
          <w:p>
            <w:pPr>
              <w:pStyle w:val="Normal"/>
              <w:bidi w:val="0"/>
              <w:jc w:val="left"/>
              <w:rPr/>
            </w:pPr>
            <w:r>
              <w:rPr/>
            </w:r>
          </w:p>
        </w:tc>
        <w:tc>
          <w:tcPr>
            <w:tcW w:w="215" w:type="dxa"/>
            <w:vMerge w:val="continue"/>
            <w:tcBorders>
              <w:bottom w:val="single" w:sz="8" w:space="0" w:color="FFFFFF"/>
            </w:tcBorders>
            <w:shd w:fill="0171B9" w:val="clear"/>
            <w:tcMar>
              <w:bottom w:w="28" w:type="dxa"/>
            </w:tcMar>
            <w:vAlign w:val="center"/>
          </w:tcPr>
          <w:p>
            <w:pPr>
              <w:pStyle w:val="Normal"/>
              <w:bidi w:val="0"/>
              <w:jc w:val="left"/>
              <w:rPr/>
            </w:pPr>
            <w:r>
              <w:rPr/>
            </w:r>
          </w:p>
        </w:tc>
      </w:tr>
      <w:tr>
        <w:trPr/>
        <w:tc>
          <w:tcPr>
            <w:tcW w:w="1565" w:type="dxa"/>
            <w:tcBorders/>
            <w:shd w:fill="0171B9" w:val="clear"/>
            <w:vAlign w:val="center"/>
          </w:tcPr>
          <w:p>
            <w:pPr>
              <w:pStyle w:val="TableContents"/>
              <w:bidi w:val="0"/>
              <w:spacing w:before="0" w:after="283"/>
              <w:jc w:val="left"/>
              <w:rPr>
                <w:sz w:val="4"/>
                <w:szCs w:val="4"/>
              </w:rPr>
            </w:pPr>
            <w:r>
              <w:rPr>
                <w:sz w:val="4"/>
                <w:szCs w:val="4"/>
              </w:rPr>
            </w:r>
          </w:p>
        </w:tc>
        <w:tc>
          <w:tcPr>
            <w:tcW w:w="545" w:type="dxa"/>
            <w:gridSpan w:val="4"/>
            <w:tcBorders/>
            <w:shd w:fill="0171B9" w:val="clear"/>
            <w:vAlign w:val="center"/>
          </w:tcPr>
          <w:p>
            <w:pPr>
              <w:pStyle w:val="TableContents"/>
              <w:bidi w:val="0"/>
              <w:spacing w:before="0" w:after="283"/>
              <w:jc w:val="left"/>
              <w:rPr>
                <w:sz w:val="4"/>
                <w:szCs w:val="4"/>
              </w:rPr>
            </w:pPr>
            <w:r>
              <w:rPr>
                <w:sz w:val="4"/>
                <w:szCs w:val="4"/>
              </w:rPr>
            </w:r>
          </w:p>
        </w:tc>
        <w:tc>
          <w:tcPr>
            <w:tcW w:w="800" w:type="dxa"/>
            <w:gridSpan w:val="4"/>
            <w:tcBorders/>
            <w:shd w:fill="0171B9" w:val="clear"/>
            <w:vAlign w:val="center"/>
          </w:tcPr>
          <w:p>
            <w:pPr>
              <w:pStyle w:val="TableContents"/>
              <w:bidi w:val="0"/>
              <w:spacing w:before="0" w:after="283"/>
              <w:jc w:val="left"/>
              <w:rPr>
                <w:sz w:val="4"/>
                <w:szCs w:val="4"/>
              </w:rPr>
            </w:pPr>
            <w:r>
              <w:rPr>
                <w:sz w:val="4"/>
                <w:szCs w:val="4"/>
              </w:rPr>
            </w:r>
          </w:p>
        </w:tc>
        <w:tc>
          <w:tcPr>
            <w:tcW w:w="2250" w:type="dxa"/>
            <w:gridSpan w:val="8"/>
            <w:tcBorders/>
            <w:shd w:fill="0171B9" w:val="clear"/>
            <w:vAlign w:val="center"/>
          </w:tcPr>
          <w:p>
            <w:pPr>
              <w:pStyle w:val="TableContents"/>
              <w:bidi w:val="0"/>
              <w:spacing w:before="0" w:after="283"/>
              <w:jc w:val="left"/>
              <w:rPr>
                <w:sz w:val="4"/>
                <w:szCs w:val="4"/>
              </w:rPr>
            </w:pPr>
            <w:r>
              <w:rPr>
                <w:sz w:val="4"/>
                <w:szCs w:val="4"/>
              </w:rPr>
            </w:r>
          </w:p>
        </w:tc>
        <w:tc>
          <w:tcPr>
            <w:tcW w:w="2615" w:type="dxa"/>
            <w:gridSpan w:val="14"/>
            <w:tcBorders/>
            <w:shd w:fill="0171B9" w:val="clear"/>
            <w:vAlign w:val="center"/>
          </w:tcPr>
          <w:p>
            <w:pPr>
              <w:pStyle w:val="TableContents"/>
              <w:bidi w:val="0"/>
              <w:spacing w:before="0" w:after="283"/>
              <w:jc w:val="left"/>
              <w:rPr>
                <w:sz w:val="4"/>
                <w:szCs w:val="4"/>
              </w:rPr>
            </w:pPr>
            <w:r>
              <w:rPr>
                <w:sz w:val="4"/>
                <w:szCs w:val="4"/>
              </w:rPr>
            </w:r>
          </w:p>
        </w:tc>
        <w:tc>
          <w:tcPr>
            <w:tcW w:w="890" w:type="dxa"/>
            <w:gridSpan w:val="4"/>
            <w:tcBorders/>
            <w:shd w:fill="0171B9" w:val="clear"/>
            <w:vAlign w:val="center"/>
          </w:tcPr>
          <w:p>
            <w:pPr>
              <w:pStyle w:val="TableContents"/>
              <w:bidi w:val="0"/>
              <w:spacing w:before="0" w:after="283"/>
              <w:jc w:val="left"/>
              <w:rPr>
                <w:sz w:val="4"/>
                <w:szCs w:val="4"/>
              </w:rPr>
            </w:pPr>
            <w:r>
              <w:rPr>
                <w:sz w:val="4"/>
                <w:szCs w:val="4"/>
              </w:rPr>
            </w:r>
          </w:p>
        </w:tc>
        <w:tc>
          <w:tcPr>
            <w:tcW w:w="1735" w:type="dxa"/>
            <w:gridSpan w:val="8"/>
            <w:tcBorders/>
            <w:shd w:fill="0171B9" w:val="clear"/>
            <w:vAlign w:val="center"/>
          </w:tcPr>
          <w:p>
            <w:pPr>
              <w:pStyle w:val="TableContents"/>
              <w:bidi w:val="0"/>
              <w:spacing w:before="0" w:after="283"/>
              <w:jc w:val="left"/>
              <w:rPr>
                <w:sz w:val="4"/>
                <w:szCs w:val="4"/>
              </w:rPr>
            </w:pPr>
            <w:r>
              <w:rPr>
                <w:sz w:val="4"/>
                <w:szCs w:val="4"/>
              </w:rPr>
            </w:r>
          </w:p>
        </w:tc>
        <w:tc>
          <w:tcPr>
            <w:tcW w:w="1090" w:type="dxa"/>
            <w:gridSpan w:val="4"/>
            <w:tcBorders/>
            <w:shd w:fill="0171B9" w:val="clear"/>
            <w:vAlign w:val="center"/>
          </w:tcPr>
          <w:p>
            <w:pPr>
              <w:pStyle w:val="TableContents"/>
              <w:bidi w:val="0"/>
              <w:spacing w:before="0" w:after="283"/>
              <w:jc w:val="left"/>
              <w:rPr>
                <w:sz w:val="4"/>
                <w:szCs w:val="4"/>
              </w:rPr>
            </w:pPr>
            <w:r>
              <w:rPr>
                <w:sz w:val="4"/>
                <w:szCs w:val="4"/>
              </w:rPr>
            </w:r>
          </w:p>
        </w:tc>
      </w:tr>
      <w:tr>
        <w:trPr/>
        <w:tc>
          <w:tcPr>
            <w:tcW w:w="1565" w:type="dxa"/>
            <w:tcBorders/>
            <w:shd w:fill="0171B9" w:val="clear"/>
            <w:vAlign w:val="center"/>
          </w:tcPr>
          <w:p>
            <w:pPr>
              <w:pStyle w:val="TableContents"/>
              <w:bidi w:val="0"/>
              <w:jc w:val="left"/>
              <w:rPr/>
            </w:pPr>
            <w:r>
              <w:rPr/>
              <w:t> </w:t>
            </w:r>
          </w:p>
          <w:p>
            <w:pPr>
              <w:pStyle w:val="TableContents"/>
              <w:bidi w:val="0"/>
              <w:spacing w:before="0" w:after="0"/>
              <w:jc w:val="left"/>
              <w:rPr/>
            </w:pPr>
            <w:r>
              <w:rPr/>
              <w:t> </w:t>
            </w:r>
          </w:p>
        </w:tc>
        <w:tc>
          <w:tcPr>
            <w:tcW w:w="60" w:type="dxa"/>
            <w:tcBorders/>
            <w:shd w:fill="0171B9" w:val="clear"/>
            <w:vAlign w:val="center"/>
          </w:tcPr>
          <w:p>
            <w:pPr>
              <w:pStyle w:val="TableContents"/>
              <w:bidi w:val="0"/>
              <w:spacing w:before="0" w:after="283"/>
              <w:jc w:val="left"/>
              <w:rPr/>
            </w:pPr>
            <w:r>
              <w:rPr/>
              <w:t> </w:t>
            </w:r>
          </w:p>
        </w:tc>
        <w:tc>
          <w:tcPr>
            <w:tcW w:w="425" w:type="dxa"/>
            <w:gridSpan w:val="2"/>
            <w:tcBorders/>
            <w:shd w:fill="0171B9" w:val="clear"/>
            <w:vAlign w:val="center"/>
          </w:tcPr>
          <w:p>
            <w:pPr>
              <w:pStyle w:val="TableContents"/>
              <w:bidi w:val="0"/>
              <w:jc w:val="left"/>
              <w:rPr/>
            </w:pPr>
            <w:r>
              <w:rPr/>
              <w:t> </w:t>
            </w:r>
          </w:p>
          <w:p>
            <w:pPr>
              <w:pStyle w:val="TableContents"/>
              <w:bidi w:val="0"/>
              <w:spacing w:before="0" w:after="0"/>
              <w:jc w:val="left"/>
              <w:rPr/>
            </w:pPr>
            <w:r>
              <w:rPr/>
              <w:t> </w:t>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680" w:type="dxa"/>
            <w:gridSpan w:val="2"/>
            <w:tcBorders/>
            <w:shd w:fill="0171B9" w:val="clear"/>
            <w:vAlign w:val="center"/>
          </w:tcPr>
          <w:p>
            <w:pPr>
              <w:pStyle w:val="TableContents"/>
              <w:bidi w:val="0"/>
              <w:jc w:val="left"/>
              <w:rPr/>
            </w:pPr>
            <w:r>
              <w:rPr/>
              <w:t> </w:t>
            </w:r>
          </w:p>
          <w:p>
            <w:pPr>
              <w:pStyle w:val="TableContents"/>
              <w:bidi w:val="0"/>
              <w:spacing w:before="0" w:after="0"/>
              <w:jc w:val="left"/>
              <w:rPr/>
            </w:pPr>
            <w:r>
              <w:rPr/>
              <w:t> </w:t>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2130" w:type="dxa"/>
            <w:gridSpan w:val="6"/>
            <w:tcBorders/>
            <w:shd w:fill="0171B9" w:val="clear"/>
            <w:vAlign w:val="center"/>
          </w:tcPr>
          <w:p>
            <w:pPr>
              <w:pStyle w:val="TableContents"/>
              <w:bidi w:val="0"/>
              <w:spacing w:before="0" w:after="283"/>
              <w:jc w:val="center"/>
              <w:rPr>
                <w:i/>
                <w:color w:val="FFFFFF"/>
              </w:rPr>
            </w:pPr>
            <w:r>
              <w:rPr>
                <w:i/>
                <w:color w:val="FFFFFF"/>
              </w:rPr>
              <w:t>EIP/GMIP</w:t>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2495" w:type="dxa"/>
            <w:gridSpan w:val="12"/>
            <w:tcBorders/>
            <w:shd w:fill="0171B9" w:val="clear"/>
            <w:vAlign w:val="center"/>
          </w:tcPr>
          <w:p>
            <w:pPr>
              <w:pStyle w:val="TableContents"/>
              <w:bidi w:val="0"/>
              <w:spacing w:before="0" w:after="283"/>
              <w:jc w:val="center"/>
              <w:rPr>
                <w:i/>
                <w:color w:val="FFFFFF"/>
              </w:rPr>
            </w:pPr>
            <w:r>
              <w:rPr>
                <w:i/>
                <w:color w:val="FFFFFF"/>
              </w:rPr>
              <w:t>Performance Units</w:t>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770" w:type="dxa"/>
            <w:gridSpan w:val="2"/>
            <w:tcBorders/>
            <w:shd w:fill="0171B9" w:val="clear"/>
            <w:vAlign w:val="center"/>
          </w:tcPr>
          <w:p>
            <w:pPr>
              <w:pStyle w:val="TableContents"/>
              <w:bidi w:val="0"/>
              <w:spacing w:before="0" w:after="283"/>
              <w:jc w:val="center"/>
              <w:rPr>
                <w:i/>
                <w:color w:val="FFFFFF"/>
              </w:rPr>
            </w:pPr>
            <w:r>
              <w:rPr>
                <w:i/>
                <w:color w:val="FFFFFF"/>
              </w:rPr>
              <w:t>RSUs</w:t>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1615" w:type="dxa"/>
            <w:gridSpan w:val="6"/>
            <w:tcBorders/>
            <w:shd w:fill="0171B9" w:val="clear"/>
            <w:vAlign w:val="center"/>
          </w:tcPr>
          <w:p>
            <w:pPr>
              <w:pStyle w:val="TableContents"/>
              <w:bidi w:val="0"/>
              <w:spacing w:before="0" w:after="283"/>
              <w:jc w:val="center"/>
              <w:rPr>
                <w:i/>
                <w:color w:val="FFFFFF"/>
              </w:rPr>
            </w:pPr>
            <w:r>
              <w:rPr>
                <w:i/>
                <w:color w:val="FFFFFF"/>
              </w:rPr>
              <w:t>Stock Options</w:t>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815" w:type="dxa"/>
            <w:gridSpan w:val="2"/>
            <w:tcBorders/>
            <w:shd w:fill="0171B9" w:val="clear"/>
            <w:vAlign w:val="center"/>
          </w:tcPr>
          <w:p>
            <w:pPr>
              <w:pStyle w:val="TableContents"/>
              <w:bidi w:val="0"/>
              <w:jc w:val="left"/>
              <w:rPr/>
            </w:pPr>
            <w:r>
              <w:rPr/>
              <w:t> </w:t>
            </w:r>
          </w:p>
          <w:p>
            <w:pPr>
              <w:pStyle w:val="TableContents"/>
              <w:bidi w:val="0"/>
              <w:spacing w:before="0" w:after="0"/>
              <w:jc w:val="left"/>
              <w:rPr/>
            </w:pPr>
            <w:r>
              <w:rPr/>
              <w:t> </w:t>
            </w:r>
          </w:p>
        </w:tc>
        <w:tc>
          <w:tcPr>
            <w:tcW w:w="215" w:type="dxa"/>
            <w:tcBorders/>
            <w:shd w:fill="0171B9" w:val="clear"/>
            <w:vAlign w:val="center"/>
          </w:tcPr>
          <w:p>
            <w:pPr>
              <w:pStyle w:val="TableContents"/>
              <w:bidi w:val="0"/>
              <w:spacing w:before="0" w:after="283"/>
              <w:jc w:val="left"/>
              <w:rPr/>
            </w:pPr>
            <w:r>
              <w:rPr/>
              <w:t> </w:t>
            </w:r>
          </w:p>
        </w:tc>
      </w:tr>
      <w:tr>
        <w:trPr/>
        <w:tc>
          <w:tcPr>
            <w:tcW w:w="1565" w:type="dxa"/>
            <w:tcBorders/>
            <w:shd w:fill="CCE2F1" w:val="clear"/>
            <w:vAlign w:val="center"/>
          </w:tcPr>
          <w:p>
            <w:pPr>
              <w:pStyle w:val="TableContents"/>
              <w:bidi w:val="0"/>
              <w:spacing w:before="0" w:after="0"/>
              <w:jc w:val="left"/>
              <w:rPr>
                <w:rFonts w:ascii="arial" w:hAnsi="arial"/>
                <w:sz w:val="18"/>
              </w:rPr>
            </w:pPr>
            <w:r>
              <w:rPr>
                <w:rFonts w:ascii="arial" w:hAnsi="arial"/>
                <w:sz w:val="18"/>
              </w:rPr>
              <w:t>Robert A. Bradway</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365" w:type="dxa"/>
            <w:tcBorders/>
            <w:shd w:fill="CCE2F1" w:val="clear"/>
            <w:vAlign w:val="center"/>
          </w:tcPr>
          <w:p>
            <w:pPr>
              <w:pStyle w:val="TableContents"/>
              <w:bidi w:val="0"/>
              <w:spacing w:before="0" w:after="283"/>
              <w:jc w:val="right"/>
              <w:rPr>
                <w:sz w:val="15"/>
              </w:rPr>
            </w:pPr>
            <w:r>
              <w:rPr>
                <w:sz w:val="15"/>
              </w:rPr>
              <w:t>3/6/2023</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7" w:type="dxa"/>
            <w:tcBorders/>
            <w:shd w:fill="CCE2F1" w:val="clear"/>
            <w:vAlign w:val="center"/>
          </w:tcPr>
          <w:p>
            <w:pPr>
              <w:pStyle w:val="TableContents"/>
              <w:bidi w:val="0"/>
              <w:spacing w:before="0" w:after="283"/>
              <w:jc w:val="left"/>
              <w:rPr/>
            </w:pPr>
            <w:r>
              <w:rPr/>
              <w:t> </w:t>
            </w:r>
          </w:p>
        </w:tc>
        <w:tc>
          <w:tcPr>
            <w:tcW w:w="573" w:type="dxa"/>
            <w:tcBorders/>
            <w:shd w:fill="CCE2F1" w:val="clear"/>
            <w:vAlign w:val="center"/>
          </w:tcPr>
          <w:p>
            <w:pPr>
              <w:pStyle w:val="TableContents"/>
              <w:bidi w:val="0"/>
              <w:spacing w:before="0" w:after="283"/>
              <w:jc w:val="right"/>
              <w:rPr>
                <w:sz w:val="15"/>
              </w:rPr>
            </w:pPr>
            <w:r>
              <w:rPr>
                <w:sz w:val="15"/>
              </w:rPr>
              <w:t>3/6/2023</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55" w:type="dxa"/>
            <w:tcBorders/>
            <w:shd w:fill="CCE2F1" w:val="clear"/>
            <w:vAlign w:val="center"/>
          </w:tcPr>
          <w:p>
            <w:pPr>
              <w:pStyle w:val="TableContents"/>
              <w:bidi w:val="0"/>
              <w:spacing w:before="0" w:after="283"/>
              <w:jc w:val="right"/>
              <w:rPr/>
            </w:pPr>
            <w:r>
              <w:rPr>
                <w:sz w:val="15"/>
              </w:rPr>
              <w:t>(2)</w:t>
            </w:r>
            <w:r>
              <w:rPr/>
              <w:t> </w:t>
            </w:r>
          </w:p>
        </w:tc>
        <w:tc>
          <w:tcPr>
            <w:tcW w:w="60" w:type="dxa"/>
            <w:tcBorders/>
            <w:shd w:fill="CCE2F1" w:val="clear"/>
            <w:vAlign w:val="center"/>
          </w:tcPr>
          <w:p>
            <w:pPr>
              <w:pStyle w:val="TableContents"/>
              <w:bidi w:val="0"/>
              <w:spacing w:before="0" w:after="283"/>
              <w:jc w:val="left"/>
              <w:rPr/>
            </w:pPr>
            <w:r>
              <w:rPr/>
              <w:t> </w:t>
            </w:r>
          </w:p>
        </w:tc>
        <w:tc>
          <w:tcPr>
            <w:tcW w:w="485" w:type="dxa"/>
            <w:tcBorders/>
            <w:shd w:fill="CCE2F1" w:val="clear"/>
            <w:vAlign w:val="center"/>
          </w:tcPr>
          <w:p>
            <w:pPr>
              <w:pStyle w:val="TableContents"/>
              <w:bidi w:val="0"/>
              <w:spacing w:before="0" w:after="283"/>
              <w:jc w:val="right"/>
              <w:rPr/>
            </w:pPr>
            <w:r>
              <w:rPr>
                <w:sz w:val="15"/>
              </w:rPr>
              <w:t>(2)</w:t>
            </w: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10" w:type="dxa"/>
            <w:tcBorders/>
            <w:shd w:fill="CCE2F1" w:val="clear"/>
            <w:vAlign w:val="center"/>
          </w:tcPr>
          <w:p>
            <w:pPr>
              <w:pStyle w:val="TableContents"/>
              <w:bidi w:val="0"/>
              <w:spacing w:before="0" w:after="283"/>
              <w:jc w:val="right"/>
              <w:rPr>
                <w:sz w:val="15"/>
              </w:rPr>
            </w:pPr>
            <w:r>
              <w:rPr>
                <w:sz w:val="15"/>
              </w:rPr>
              <w:t>12,542,500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5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44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130" w:type="dxa"/>
            <w:tcBorders/>
            <w:shd w:fill="CCE2F1" w:val="clear"/>
            <w:vAlign w:val="center"/>
          </w:tcPr>
          <w:p>
            <w:pPr>
              <w:pStyle w:val="TableContents"/>
              <w:bidi w:val="0"/>
              <w:spacing w:before="0" w:after="283"/>
              <w:jc w:val="left"/>
              <w:rPr>
                <w:sz w:val="4"/>
                <w:szCs w:val="4"/>
              </w:rPr>
            </w:pPr>
            <w:r>
              <w:rPr>
                <w:sz w:val="4"/>
                <w:szCs w:val="4"/>
              </w:rPr>
            </w:r>
          </w:p>
        </w:tc>
        <w:tc>
          <w:tcPr>
            <w:tcW w:w="13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81" w:type="dxa"/>
            <w:tcBorders/>
            <w:shd w:fill="CCE2F1" w:val="clear"/>
            <w:vAlign w:val="center"/>
          </w:tcPr>
          <w:p>
            <w:pPr>
              <w:pStyle w:val="TableContents"/>
              <w:bidi w:val="0"/>
              <w:spacing w:before="0" w:after="283"/>
              <w:jc w:val="left"/>
              <w:rPr>
                <w:sz w:val="4"/>
                <w:szCs w:val="4"/>
              </w:rPr>
            </w:pPr>
            <w:r>
              <w:rPr>
                <w:sz w:val="4"/>
                <w:szCs w:val="4"/>
              </w:rPr>
            </w:r>
          </w:p>
        </w:tc>
        <w:tc>
          <w:tcPr>
            <w:tcW w:w="599"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92" w:type="dxa"/>
            <w:tcBorders/>
            <w:shd w:fill="CCE2F1" w:val="clear"/>
            <w:vAlign w:val="center"/>
          </w:tcPr>
          <w:p>
            <w:pPr>
              <w:pStyle w:val="TableContents"/>
              <w:bidi w:val="0"/>
              <w:spacing w:before="0" w:after="283"/>
              <w:jc w:val="left"/>
              <w:rPr>
                <w:sz w:val="4"/>
                <w:szCs w:val="4"/>
              </w:rPr>
            </w:pPr>
            <w:r>
              <w:rPr>
                <w:sz w:val="4"/>
                <w:szCs w:val="4"/>
              </w:rPr>
            </w:r>
          </w:p>
        </w:tc>
        <w:tc>
          <w:tcPr>
            <w:tcW w:w="678"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85" w:type="dxa"/>
            <w:tcBorders/>
            <w:shd w:fill="CCE2F1" w:val="clear"/>
            <w:vAlign w:val="center"/>
          </w:tcPr>
          <w:p>
            <w:pPr>
              <w:pStyle w:val="TableContents"/>
              <w:bidi w:val="0"/>
              <w:spacing w:before="0" w:after="283"/>
              <w:jc w:val="left"/>
              <w:rPr>
                <w:sz w:val="4"/>
                <w:szCs w:val="4"/>
              </w:rPr>
            </w:pPr>
            <w:r>
              <w:rPr>
                <w:sz w:val="4"/>
                <w:szCs w:val="4"/>
              </w:rPr>
            </w:r>
          </w:p>
        </w:tc>
        <w:tc>
          <w:tcPr>
            <w:tcW w:w="73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81" w:type="dxa"/>
            <w:tcBorders/>
            <w:shd w:fill="CCE2F1" w:val="clear"/>
            <w:vAlign w:val="center"/>
          </w:tcPr>
          <w:p>
            <w:pPr>
              <w:pStyle w:val="TableContents"/>
              <w:bidi w:val="0"/>
              <w:spacing w:before="0" w:after="283"/>
              <w:jc w:val="left"/>
              <w:rPr>
                <w:sz w:val="4"/>
                <w:szCs w:val="4"/>
              </w:rPr>
            </w:pPr>
            <w:r>
              <w:rPr>
                <w:sz w:val="4"/>
                <w:szCs w:val="4"/>
              </w:rPr>
            </w:r>
          </w:p>
        </w:tc>
        <w:tc>
          <w:tcPr>
            <w:tcW w:w="599"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70" w:type="dxa"/>
            <w:tcBorders/>
            <w:shd w:fill="CCE2F1" w:val="clear"/>
            <w:vAlign w:val="center"/>
          </w:tcPr>
          <w:p>
            <w:pPr>
              <w:pStyle w:val="TableContents"/>
              <w:bidi w:val="0"/>
              <w:spacing w:before="0" w:after="283"/>
              <w:jc w:val="left"/>
              <w:rPr>
                <w:sz w:val="4"/>
                <w:szCs w:val="4"/>
              </w:rPr>
            </w:pPr>
            <w:r>
              <w:rPr>
                <w:sz w:val="4"/>
                <w:szCs w:val="4"/>
              </w:rPr>
            </w:r>
          </w:p>
        </w:tc>
        <w:tc>
          <w:tcPr>
            <w:tcW w:w="745" w:type="dxa"/>
            <w:tcBorders/>
            <w:shd w:fill="CCE2F1" w:val="clear"/>
            <w:vAlign w:val="center"/>
          </w:tcPr>
          <w:p>
            <w:pPr>
              <w:pStyle w:val="TableContents"/>
              <w:bidi w:val="0"/>
              <w:spacing w:before="0" w:after="283"/>
              <w:jc w:val="left"/>
              <w:rPr>
                <w:sz w:val="4"/>
                <w:szCs w:val="4"/>
              </w:rPr>
            </w:pPr>
            <w:r>
              <w:rPr>
                <w:sz w:val="4"/>
                <w:szCs w:val="4"/>
              </w:rPr>
            </w:r>
          </w:p>
        </w:tc>
        <w:tc>
          <w:tcPr>
            <w:tcW w:w="215" w:type="dxa"/>
            <w:tcBorders/>
            <w:shd w:fill="CCE2F1" w:val="clear"/>
            <w:vAlign w:val="center"/>
          </w:tcPr>
          <w:p>
            <w:pPr>
              <w:pStyle w:val="TableContents"/>
              <w:bidi w:val="0"/>
              <w:spacing w:before="0" w:after="283"/>
              <w:jc w:val="left"/>
              <w:rPr>
                <w:sz w:val="4"/>
                <w:szCs w:val="4"/>
              </w:rPr>
            </w:pPr>
            <w:r>
              <w:rPr>
                <w:sz w:val="4"/>
                <w:szCs w:val="4"/>
              </w:rPr>
            </w:r>
          </w:p>
        </w:tc>
      </w:tr>
      <w:tr>
        <w:trPr/>
        <w:tc>
          <w:tcPr>
            <w:tcW w:w="156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365" w:type="dxa"/>
            <w:tcBorders/>
            <w:shd w:fill="CCE2F1" w:val="clear"/>
            <w:vAlign w:val="center"/>
          </w:tcPr>
          <w:p>
            <w:pPr>
              <w:pStyle w:val="TableContents"/>
              <w:bidi w:val="0"/>
              <w:spacing w:before="0" w:after="283"/>
              <w:jc w:val="right"/>
              <w:rPr>
                <w:sz w:val="15"/>
              </w:rPr>
            </w:pPr>
            <w:r>
              <w:rPr>
                <w:sz w:val="15"/>
              </w:rPr>
              <w:t>5/2/2023</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7" w:type="dxa"/>
            <w:tcBorders/>
            <w:shd w:fill="CCE2F1" w:val="clear"/>
            <w:vAlign w:val="center"/>
          </w:tcPr>
          <w:p>
            <w:pPr>
              <w:pStyle w:val="TableContents"/>
              <w:bidi w:val="0"/>
              <w:spacing w:before="0" w:after="283"/>
              <w:jc w:val="left"/>
              <w:rPr/>
            </w:pPr>
            <w:r>
              <w:rPr/>
              <w:t> </w:t>
            </w:r>
          </w:p>
        </w:tc>
        <w:tc>
          <w:tcPr>
            <w:tcW w:w="573" w:type="dxa"/>
            <w:tcBorders/>
            <w:shd w:fill="CCE2F1" w:val="clear"/>
            <w:vAlign w:val="center"/>
          </w:tcPr>
          <w:p>
            <w:pPr>
              <w:pStyle w:val="TableContents"/>
              <w:bidi w:val="0"/>
              <w:spacing w:before="0" w:after="283"/>
              <w:jc w:val="right"/>
              <w:rPr>
                <w:sz w:val="15"/>
              </w:rPr>
            </w:pPr>
            <w:r>
              <w:rPr>
                <w:sz w:val="15"/>
              </w:rPr>
              <w:t>3/6/2023</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5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48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71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755" w:type="dxa"/>
            <w:tcBorders/>
            <w:shd w:fill="CCE2F1" w:val="clear"/>
            <w:vAlign w:val="center"/>
          </w:tcPr>
          <w:p>
            <w:pPr>
              <w:pStyle w:val="TableContents"/>
              <w:bidi w:val="0"/>
              <w:spacing w:before="0" w:after="283"/>
              <w:jc w:val="right"/>
              <w:rPr/>
            </w:pPr>
            <w:r>
              <w:rPr>
                <w:sz w:val="15"/>
              </w:rPr>
              <w:t>(3)</w:t>
            </w: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440" w:type="dxa"/>
            <w:tcBorders/>
            <w:shd w:fill="CCE2F1" w:val="clear"/>
            <w:vAlign w:val="center"/>
          </w:tcPr>
          <w:p>
            <w:pPr>
              <w:pStyle w:val="TableContents"/>
              <w:bidi w:val="0"/>
              <w:spacing w:before="0" w:after="283"/>
              <w:jc w:val="right"/>
              <w:rPr>
                <w:sz w:val="15"/>
              </w:rPr>
            </w:pPr>
            <w:r>
              <w:rPr>
                <w:sz w:val="15"/>
              </w:rPr>
              <w:t>31,511</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30" w:type="dxa"/>
            <w:tcBorders/>
            <w:shd w:fill="CCE2F1" w:val="clear"/>
            <w:vAlign w:val="center"/>
          </w:tcPr>
          <w:p>
            <w:pPr>
              <w:pStyle w:val="TableContents"/>
              <w:bidi w:val="0"/>
              <w:spacing w:before="0" w:after="283"/>
              <w:jc w:val="left"/>
              <w:rPr>
                <w:sz w:val="4"/>
                <w:szCs w:val="4"/>
              </w:rPr>
            </w:pPr>
            <w:r>
              <w:rPr>
                <w:sz w:val="4"/>
                <w:szCs w:val="4"/>
              </w:rPr>
            </w:r>
          </w:p>
        </w:tc>
        <w:tc>
          <w:tcPr>
            <w:tcW w:w="13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81" w:type="dxa"/>
            <w:tcBorders/>
            <w:shd w:fill="CCE2F1" w:val="clear"/>
            <w:vAlign w:val="center"/>
          </w:tcPr>
          <w:p>
            <w:pPr>
              <w:pStyle w:val="TableContents"/>
              <w:bidi w:val="0"/>
              <w:spacing w:before="0" w:after="283"/>
              <w:jc w:val="left"/>
              <w:rPr/>
            </w:pPr>
            <w:r>
              <w:rPr/>
              <w:t> </w:t>
            </w:r>
          </w:p>
        </w:tc>
        <w:tc>
          <w:tcPr>
            <w:tcW w:w="599" w:type="dxa"/>
            <w:tcBorders/>
            <w:shd w:fill="CCE2F1" w:val="clear"/>
            <w:vAlign w:val="center"/>
          </w:tcPr>
          <w:p>
            <w:pPr>
              <w:pStyle w:val="TableContents"/>
              <w:bidi w:val="0"/>
              <w:spacing w:before="0" w:after="283"/>
              <w:jc w:val="right"/>
              <w:rPr>
                <w:sz w:val="15"/>
              </w:rPr>
            </w:pPr>
            <w:r>
              <w:rPr>
                <w:sz w:val="15"/>
              </w:rPr>
              <w:t>63,022</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92" w:type="dxa"/>
            <w:tcBorders/>
            <w:shd w:fill="CCE2F1" w:val="clear"/>
            <w:vAlign w:val="center"/>
          </w:tcPr>
          <w:p>
            <w:pPr>
              <w:pStyle w:val="TableContents"/>
              <w:bidi w:val="0"/>
              <w:spacing w:before="0" w:after="283"/>
              <w:jc w:val="left"/>
              <w:rPr>
                <w:sz w:val="4"/>
                <w:szCs w:val="4"/>
              </w:rPr>
            </w:pPr>
            <w:r>
              <w:rPr>
                <w:sz w:val="4"/>
                <w:szCs w:val="4"/>
              </w:rPr>
            </w:r>
          </w:p>
        </w:tc>
        <w:tc>
          <w:tcPr>
            <w:tcW w:w="678"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85" w:type="dxa"/>
            <w:tcBorders/>
            <w:shd w:fill="CCE2F1" w:val="clear"/>
            <w:vAlign w:val="center"/>
          </w:tcPr>
          <w:p>
            <w:pPr>
              <w:pStyle w:val="TableContents"/>
              <w:bidi w:val="0"/>
              <w:spacing w:before="0" w:after="283"/>
              <w:jc w:val="left"/>
              <w:rPr>
                <w:sz w:val="4"/>
                <w:szCs w:val="4"/>
              </w:rPr>
            </w:pPr>
            <w:r>
              <w:rPr>
                <w:sz w:val="4"/>
                <w:szCs w:val="4"/>
              </w:rPr>
            </w:r>
          </w:p>
        </w:tc>
        <w:tc>
          <w:tcPr>
            <w:tcW w:w="73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81" w:type="dxa"/>
            <w:tcBorders/>
            <w:shd w:fill="CCE2F1" w:val="clear"/>
            <w:vAlign w:val="center"/>
          </w:tcPr>
          <w:p>
            <w:pPr>
              <w:pStyle w:val="TableContents"/>
              <w:bidi w:val="0"/>
              <w:spacing w:before="0" w:after="283"/>
              <w:jc w:val="left"/>
              <w:rPr>
                <w:sz w:val="4"/>
                <w:szCs w:val="4"/>
              </w:rPr>
            </w:pPr>
            <w:r>
              <w:rPr>
                <w:sz w:val="4"/>
                <w:szCs w:val="4"/>
              </w:rPr>
            </w:r>
          </w:p>
        </w:tc>
        <w:tc>
          <w:tcPr>
            <w:tcW w:w="599"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70" w:type="dxa"/>
            <w:tcBorders/>
            <w:shd w:fill="CCE2F1" w:val="clear"/>
            <w:vAlign w:val="center"/>
          </w:tcPr>
          <w:p>
            <w:pPr>
              <w:pStyle w:val="TableContents"/>
              <w:bidi w:val="0"/>
              <w:spacing w:before="0" w:after="283"/>
              <w:jc w:val="left"/>
              <w:rPr/>
            </w:pPr>
            <w:r>
              <w:rPr/>
              <w:t> </w:t>
            </w:r>
          </w:p>
        </w:tc>
        <w:tc>
          <w:tcPr>
            <w:tcW w:w="745" w:type="dxa"/>
            <w:tcBorders/>
            <w:shd w:fill="CCE2F1" w:val="clear"/>
            <w:vAlign w:val="center"/>
          </w:tcPr>
          <w:p>
            <w:pPr>
              <w:pStyle w:val="TableContents"/>
              <w:bidi w:val="0"/>
              <w:spacing w:before="0" w:after="283"/>
              <w:jc w:val="right"/>
              <w:rPr>
                <w:sz w:val="15"/>
              </w:rPr>
            </w:pPr>
            <w:r>
              <w:rPr>
                <w:sz w:val="15"/>
              </w:rPr>
              <w:t>7,956,212</w:t>
            </w:r>
          </w:p>
        </w:tc>
        <w:tc>
          <w:tcPr>
            <w:tcW w:w="215" w:type="dxa"/>
            <w:tcBorders/>
            <w:shd w:fill="CCE2F1" w:val="clear"/>
            <w:vAlign w:val="center"/>
          </w:tcPr>
          <w:p>
            <w:pPr>
              <w:pStyle w:val="TableContents"/>
              <w:bidi w:val="0"/>
              <w:spacing w:before="0" w:after="283"/>
              <w:jc w:val="left"/>
              <w:rPr/>
            </w:pPr>
            <w:r>
              <w:rPr/>
              <w:t> </w:t>
            </w:r>
            <w:r>
              <w:rPr>
                <w:sz w:val="15"/>
              </w:rPr>
              <w:t>(6) </w:t>
            </w:r>
          </w:p>
        </w:tc>
      </w:tr>
      <w:tr>
        <w:trPr/>
        <w:tc>
          <w:tcPr>
            <w:tcW w:w="156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365" w:type="dxa"/>
            <w:tcBorders/>
            <w:shd w:fill="CCE2F1" w:val="clear"/>
            <w:vAlign w:val="center"/>
          </w:tcPr>
          <w:p>
            <w:pPr>
              <w:pStyle w:val="TableContents"/>
              <w:bidi w:val="0"/>
              <w:spacing w:before="0" w:after="283"/>
              <w:jc w:val="right"/>
              <w:rPr>
                <w:sz w:val="15"/>
              </w:rPr>
            </w:pPr>
            <w:r>
              <w:rPr>
                <w:sz w:val="15"/>
              </w:rPr>
              <w:t>5/2/2023</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7" w:type="dxa"/>
            <w:tcBorders/>
            <w:shd w:fill="CCE2F1" w:val="clear"/>
            <w:vAlign w:val="center"/>
          </w:tcPr>
          <w:p>
            <w:pPr>
              <w:pStyle w:val="TableContents"/>
              <w:bidi w:val="0"/>
              <w:spacing w:before="0" w:after="283"/>
              <w:jc w:val="left"/>
              <w:rPr/>
            </w:pPr>
            <w:r>
              <w:rPr/>
              <w:t> </w:t>
            </w:r>
          </w:p>
        </w:tc>
        <w:tc>
          <w:tcPr>
            <w:tcW w:w="573" w:type="dxa"/>
            <w:tcBorders/>
            <w:shd w:fill="CCE2F1" w:val="clear"/>
            <w:vAlign w:val="center"/>
          </w:tcPr>
          <w:p>
            <w:pPr>
              <w:pStyle w:val="TableContents"/>
              <w:bidi w:val="0"/>
              <w:spacing w:before="0" w:after="283"/>
              <w:jc w:val="right"/>
              <w:rPr>
                <w:sz w:val="15"/>
              </w:rPr>
            </w:pPr>
            <w:r>
              <w:rPr>
                <w:sz w:val="15"/>
              </w:rPr>
              <w:t>3/6/2023</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5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48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71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75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44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130" w:type="dxa"/>
            <w:tcBorders/>
            <w:shd w:fill="CCE2F1" w:val="clear"/>
            <w:vAlign w:val="center"/>
          </w:tcPr>
          <w:p>
            <w:pPr>
              <w:pStyle w:val="TableContents"/>
              <w:bidi w:val="0"/>
              <w:spacing w:before="0" w:after="283"/>
              <w:jc w:val="left"/>
              <w:rPr>
                <w:sz w:val="4"/>
                <w:szCs w:val="4"/>
              </w:rPr>
            </w:pPr>
            <w:r>
              <w:rPr>
                <w:sz w:val="4"/>
                <w:szCs w:val="4"/>
              </w:rPr>
            </w:r>
          </w:p>
        </w:tc>
        <w:tc>
          <w:tcPr>
            <w:tcW w:w="13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81" w:type="dxa"/>
            <w:tcBorders/>
            <w:shd w:fill="CCE2F1" w:val="clear"/>
            <w:vAlign w:val="center"/>
          </w:tcPr>
          <w:p>
            <w:pPr>
              <w:pStyle w:val="TableContents"/>
              <w:bidi w:val="0"/>
              <w:spacing w:before="0" w:after="283"/>
              <w:jc w:val="left"/>
              <w:rPr>
                <w:sz w:val="4"/>
                <w:szCs w:val="4"/>
              </w:rPr>
            </w:pPr>
            <w:r>
              <w:rPr>
                <w:sz w:val="4"/>
                <w:szCs w:val="4"/>
              </w:rPr>
            </w:r>
          </w:p>
        </w:tc>
        <w:tc>
          <w:tcPr>
            <w:tcW w:w="599"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92" w:type="dxa"/>
            <w:tcBorders/>
            <w:shd w:fill="CCE2F1" w:val="clear"/>
            <w:vAlign w:val="center"/>
          </w:tcPr>
          <w:p>
            <w:pPr>
              <w:pStyle w:val="TableContents"/>
              <w:bidi w:val="0"/>
              <w:spacing w:before="0" w:after="283"/>
              <w:jc w:val="left"/>
              <w:rPr/>
            </w:pPr>
            <w:r>
              <w:rPr/>
              <w:t> </w:t>
            </w:r>
          </w:p>
        </w:tc>
        <w:tc>
          <w:tcPr>
            <w:tcW w:w="678" w:type="dxa"/>
            <w:tcBorders/>
            <w:shd w:fill="CCE2F1" w:val="clear"/>
            <w:vAlign w:val="center"/>
          </w:tcPr>
          <w:p>
            <w:pPr>
              <w:pStyle w:val="TableContents"/>
              <w:bidi w:val="0"/>
              <w:spacing w:before="0" w:after="283"/>
              <w:jc w:val="right"/>
              <w:rPr>
                <w:sz w:val="15"/>
              </w:rPr>
            </w:pPr>
            <w:r>
              <w:rPr>
                <w:sz w:val="15"/>
              </w:rPr>
              <w:t>13,486</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85" w:type="dxa"/>
            <w:tcBorders/>
            <w:shd w:fill="CCE2F1" w:val="clear"/>
            <w:vAlign w:val="center"/>
          </w:tcPr>
          <w:p>
            <w:pPr>
              <w:pStyle w:val="TableContents"/>
              <w:bidi w:val="0"/>
              <w:spacing w:before="0" w:after="283"/>
              <w:jc w:val="left"/>
              <w:rPr>
                <w:sz w:val="4"/>
                <w:szCs w:val="4"/>
              </w:rPr>
            </w:pPr>
            <w:r>
              <w:rPr>
                <w:sz w:val="4"/>
                <w:szCs w:val="4"/>
              </w:rPr>
            </w:r>
          </w:p>
        </w:tc>
        <w:tc>
          <w:tcPr>
            <w:tcW w:w="73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81" w:type="dxa"/>
            <w:tcBorders/>
            <w:shd w:fill="CCE2F1" w:val="clear"/>
            <w:vAlign w:val="center"/>
          </w:tcPr>
          <w:p>
            <w:pPr>
              <w:pStyle w:val="TableContents"/>
              <w:bidi w:val="0"/>
              <w:spacing w:before="0" w:after="283"/>
              <w:jc w:val="left"/>
              <w:rPr>
                <w:sz w:val="4"/>
                <w:szCs w:val="4"/>
              </w:rPr>
            </w:pPr>
            <w:r>
              <w:rPr>
                <w:sz w:val="4"/>
                <w:szCs w:val="4"/>
              </w:rPr>
            </w:r>
          </w:p>
        </w:tc>
        <w:tc>
          <w:tcPr>
            <w:tcW w:w="599"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70" w:type="dxa"/>
            <w:tcBorders/>
            <w:shd w:fill="CCE2F1" w:val="clear"/>
            <w:vAlign w:val="center"/>
          </w:tcPr>
          <w:p>
            <w:pPr>
              <w:pStyle w:val="TableContents"/>
              <w:bidi w:val="0"/>
              <w:spacing w:before="0" w:after="283"/>
              <w:jc w:val="left"/>
              <w:rPr/>
            </w:pPr>
            <w:r>
              <w:rPr/>
              <w:t> </w:t>
            </w:r>
          </w:p>
        </w:tc>
        <w:tc>
          <w:tcPr>
            <w:tcW w:w="745" w:type="dxa"/>
            <w:tcBorders/>
            <w:shd w:fill="CCE2F1" w:val="clear"/>
            <w:vAlign w:val="center"/>
          </w:tcPr>
          <w:p>
            <w:pPr>
              <w:pStyle w:val="TableContents"/>
              <w:bidi w:val="0"/>
              <w:spacing w:before="0" w:after="283"/>
              <w:jc w:val="right"/>
              <w:rPr>
                <w:sz w:val="15"/>
              </w:rPr>
            </w:pPr>
            <w:r>
              <w:rPr>
                <w:sz w:val="15"/>
              </w:rPr>
              <w:t>3,182,291</w:t>
            </w:r>
          </w:p>
        </w:tc>
        <w:tc>
          <w:tcPr>
            <w:tcW w:w="215" w:type="dxa"/>
            <w:tcBorders/>
            <w:shd w:fill="CCE2F1" w:val="clear"/>
            <w:vAlign w:val="center"/>
          </w:tcPr>
          <w:p>
            <w:pPr>
              <w:pStyle w:val="TableContents"/>
              <w:bidi w:val="0"/>
              <w:spacing w:before="0" w:after="283"/>
              <w:jc w:val="left"/>
              <w:rPr/>
            </w:pPr>
            <w:r>
              <w:rPr/>
              <w:t> </w:t>
            </w:r>
            <w:r>
              <w:rPr>
                <w:sz w:val="15"/>
              </w:rPr>
              <w:t>(7) </w:t>
            </w:r>
          </w:p>
        </w:tc>
      </w:tr>
      <w:tr>
        <w:trPr/>
        <w:tc>
          <w:tcPr>
            <w:tcW w:w="156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365" w:type="dxa"/>
            <w:tcBorders/>
            <w:shd w:fill="CCE2F1" w:val="clear"/>
            <w:vAlign w:val="center"/>
          </w:tcPr>
          <w:p>
            <w:pPr>
              <w:pStyle w:val="TableContents"/>
              <w:bidi w:val="0"/>
              <w:spacing w:before="0" w:after="283"/>
              <w:jc w:val="right"/>
              <w:rPr>
                <w:sz w:val="15"/>
              </w:rPr>
            </w:pPr>
            <w:r>
              <w:rPr>
                <w:sz w:val="15"/>
              </w:rPr>
              <w:t>5/2/2023</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7" w:type="dxa"/>
            <w:tcBorders/>
            <w:shd w:fill="CCE2F1" w:val="clear"/>
            <w:vAlign w:val="center"/>
          </w:tcPr>
          <w:p>
            <w:pPr>
              <w:pStyle w:val="TableContents"/>
              <w:bidi w:val="0"/>
              <w:spacing w:before="0" w:after="283"/>
              <w:jc w:val="left"/>
              <w:rPr/>
            </w:pPr>
            <w:r>
              <w:rPr/>
              <w:t> </w:t>
            </w:r>
          </w:p>
        </w:tc>
        <w:tc>
          <w:tcPr>
            <w:tcW w:w="573" w:type="dxa"/>
            <w:tcBorders/>
            <w:shd w:fill="CCE2F1" w:val="clear"/>
            <w:vAlign w:val="center"/>
          </w:tcPr>
          <w:p>
            <w:pPr>
              <w:pStyle w:val="TableContents"/>
              <w:bidi w:val="0"/>
              <w:spacing w:before="0" w:after="283"/>
              <w:jc w:val="right"/>
              <w:rPr>
                <w:sz w:val="15"/>
              </w:rPr>
            </w:pPr>
            <w:r>
              <w:rPr>
                <w:sz w:val="15"/>
              </w:rPr>
              <w:t>3/6/2023</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5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48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71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75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44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130" w:type="dxa"/>
            <w:tcBorders/>
            <w:shd w:fill="CCE2F1" w:val="clear"/>
            <w:vAlign w:val="center"/>
          </w:tcPr>
          <w:p>
            <w:pPr>
              <w:pStyle w:val="TableContents"/>
              <w:bidi w:val="0"/>
              <w:spacing w:before="0" w:after="283"/>
              <w:jc w:val="left"/>
              <w:rPr>
                <w:sz w:val="4"/>
                <w:szCs w:val="4"/>
              </w:rPr>
            </w:pPr>
            <w:r>
              <w:rPr>
                <w:sz w:val="4"/>
                <w:szCs w:val="4"/>
              </w:rPr>
            </w:r>
          </w:p>
        </w:tc>
        <w:tc>
          <w:tcPr>
            <w:tcW w:w="13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81" w:type="dxa"/>
            <w:tcBorders/>
            <w:shd w:fill="CCE2F1" w:val="clear"/>
            <w:vAlign w:val="center"/>
          </w:tcPr>
          <w:p>
            <w:pPr>
              <w:pStyle w:val="TableContents"/>
              <w:bidi w:val="0"/>
              <w:spacing w:before="0" w:after="283"/>
              <w:jc w:val="left"/>
              <w:rPr>
                <w:sz w:val="4"/>
                <w:szCs w:val="4"/>
              </w:rPr>
            </w:pPr>
            <w:r>
              <w:rPr>
                <w:sz w:val="4"/>
                <w:szCs w:val="4"/>
              </w:rPr>
            </w:r>
          </w:p>
        </w:tc>
        <w:tc>
          <w:tcPr>
            <w:tcW w:w="599"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92" w:type="dxa"/>
            <w:tcBorders/>
            <w:shd w:fill="CCE2F1" w:val="clear"/>
            <w:vAlign w:val="center"/>
          </w:tcPr>
          <w:p>
            <w:pPr>
              <w:pStyle w:val="TableContents"/>
              <w:bidi w:val="0"/>
              <w:spacing w:before="0" w:after="283"/>
              <w:jc w:val="left"/>
              <w:rPr>
                <w:sz w:val="4"/>
                <w:szCs w:val="4"/>
              </w:rPr>
            </w:pPr>
            <w:r>
              <w:rPr>
                <w:sz w:val="4"/>
                <w:szCs w:val="4"/>
              </w:rPr>
            </w:r>
          </w:p>
        </w:tc>
        <w:tc>
          <w:tcPr>
            <w:tcW w:w="678"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85" w:type="dxa"/>
            <w:tcBorders/>
            <w:shd w:fill="CCE2F1" w:val="clear"/>
            <w:vAlign w:val="center"/>
          </w:tcPr>
          <w:p>
            <w:pPr>
              <w:pStyle w:val="TableContents"/>
              <w:bidi w:val="0"/>
              <w:spacing w:before="0" w:after="283"/>
              <w:jc w:val="left"/>
              <w:rPr/>
            </w:pPr>
            <w:r>
              <w:rPr/>
              <w:t> </w:t>
            </w:r>
          </w:p>
        </w:tc>
        <w:tc>
          <w:tcPr>
            <w:tcW w:w="730" w:type="dxa"/>
            <w:tcBorders/>
            <w:shd w:fill="CCE2F1" w:val="clear"/>
            <w:vAlign w:val="center"/>
          </w:tcPr>
          <w:p>
            <w:pPr>
              <w:pStyle w:val="TableContents"/>
              <w:bidi w:val="0"/>
              <w:spacing w:before="0" w:after="283"/>
              <w:jc w:val="right"/>
              <w:rPr>
                <w:sz w:val="15"/>
              </w:rPr>
            </w:pPr>
            <w:r>
              <w:rPr>
                <w:sz w:val="15"/>
              </w:rPr>
              <w:t>114,040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81" w:type="dxa"/>
            <w:tcBorders/>
            <w:shd w:fill="CCE2F1" w:val="clear"/>
            <w:vAlign w:val="center"/>
          </w:tcPr>
          <w:p>
            <w:pPr>
              <w:pStyle w:val="TableContents"/>
              <w:bidi w:val="0"/>
              <w:spacing w:before="0" w:after="283"/>
              <w:jc w:val="left"/>
              <w:rPr/>
            </w:pPr>
            <w:r>
              <w:rPr/>
              <w:t> </w:t>
            </w:r>
          </w:p>
        </w:tc>
        <w:tc>
          <w:tcPr>
            <w:tcW w:w="599" w:type="dxa"/>
            <w:tcBorders/>
            <w:shd w:fill="CCE2F1" w:val="clear"/>
            <w:vAlign w:val="center"/>
          </w:tcPr>
          <w:p>
            <w:pPr>
              <w:pStyle w:val="TableContents"/>
              <w:bidi w:val="0"/>
              <w:spacing w:before="0" w:after="283"/>
              <w:jc w:val="right"/>
              <w:rPr>
                <w:sz w:val="15"/>
              </w:rPr>
            </w:pPr>
            <w:r>
              <w:rPr>
                <w:sz w:val="15"/>
              </w:rPr>
              <w:t>235.97</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0" w:type="dxa"/>
            <w:tcBorders/>
            <w:shd w:fill="CCE2F1" w:val="clear"/>
            <w:vAlign w:val="center"/>
          </w:tcPr>
          <w:p>
            <w:pPr>
              <w:pStyle w:val="TableContents"/>
              <w:bidi w:val="0"/>
              <w:spacing w:before="0" w:after="283"/>
              <w:jc w:val="left"/>
              <w:rPr/>
            </w:pPr>
            <w:r>
              <w:rPr/>
              <w:t> </w:t>
            </w:r>
          </w:p>
        </w:tc>
        <w:tc>
          <w:tcPr>
            <w:tcW w:w="745" w:type="dxa"/>
            <w:tcBorders/>
            <w:shd w:fill="CCE2F1" w:val="clear"/>
            <w:vAlign w:val="center"/>
          </w:tcPr>
          <w:p>
            <w:pPr>
              <w:pStyle w:val="TableContents"/>
              <w:bidi w:val="0"/>
              <w:spacing w:before="0" w:after="283"/>
              <w:jc w:val="right"/>
              <w:rPr>
                <w:sz w:val="15"/>
              </w:rPr>
            </w:pPr>
            <w:r>
              <w:rPr>
                <w:sz w:val="15"/>
              </w:rPr>
              <w:t>4,773,714</w:t>
            </w:r>
          </w:p>
        </w:tc>
        <w:tc>
          <w:tcPr>
            <w:tcW w:w="215" w:type="dxa"/>
            <w:tcBorders/>
            <w:shd w:fill="CCE2F1" w:val="clear"/>
            <w:vAlign w:val="center"/>
          </w:tcPr>
          <w:p>
            <w:pPr>
              <w:pStyle w:val="TableContents"/>
              <w:bidi w:val="0"/>
              <w:spacing w:before="0" w:after="283"/>
              <w:jc w:val="left"/>
              <w:rPr/>
            </w:pPr>
            <w:r>
              <w:rPr/>
              <w:t> </w:t>
            </w:r>
            <w:r>
              <w:rPr>
                <w:sz w:val="15"/>
              </w:rPr>
              <w:t>(8) </w:t>
            </w:r>
          </w:p>
        </w:tc>
      </w:tr>
      <w:tr>
        <w:trPr/>
        <w:tc>
          <w:tcPr>
            <w:tcW w:w="1565" w:type="dxa"/>
            <w:tcBorders/>
            <w:vAlign w:val="center"/>
          </w:tcPr>
          <w:p>
            <w:pPr>
              <w:pStyle w:val="TableContents"/>
              <w:bidi w:val="0"/>
              <w:spacing w:before="0" w:after="0"/>
              <w:jc w:val="left"/>
              <w:rPr>
                <w:rFonts w:ascii="arial" w:hAnsi="arial"/>
                <w:sz w:val="18"/>
              </w:rPr>
            </w:pPr>
            <w:r>
              <w:rPr>
                <w:rFonts w:ascii="arial" w:hAnsi="arial"/>
                <w:sz w:val="18"/>
              </w:rPr>
              <w:t>Murdo Gordon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right"/>
              <w:rPr>
                <w:sz w:val="15"/>
              </w:rPr>
            </w:pPr>
            <w:r>
              <w:rPr>
                <w:sz w:val="15"/>
              </w:rPr>
              <w:t>3/6/2023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right"/>
              <w:rPr>
                <w:sz w:val="15"/>
              </w:rPr>
            </w:pPr>
            <w:r>
              <w:rPr>
                <w:sz w:val="15"/>
              </w:rPr>
              <w:t>3/6/2023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sz w:val="15"/>
              </w:rPr>
              <w:t>(2)</w:t>
            </w: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sz w:val="15"/>
              </w:rPr>
              <w:t>(2)</w:t>
            </w: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sz w:val="15"/>
              </w:rPr>
            </w:pPr>
            <w:r>
              <w:rPr>
                <w:sz w:val="15"/>
              </w:rPr>
              <w:t>7,525,500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5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right"/>
              <w:rPr>
                <w:sz w:val="15"/>
              </w:rPr>
            </w:pPr>
            <w:r>
              <w:rPr>
                <w:sz w:val="15"/>
              </w:rPr>
              <w:t>5/2/2023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right"/>
              <w:rPr>
                <w:sz w:val="15"/>
              </w:rPr>
            </w:pPr>
            <w:r>
              <w:rPr>
                <w:sz w:val="15"/>
              </w:rPr>
              <w:t>3/6/2023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sz w:val="15"/>
              </w:rPr>
              <w:t>(3)</w:t>
            </w: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sz w:val="15"/>
              </w:rPr>
            </w:pPr>
            <w:r>
              <w:rPr>
                <w:sz w:val="15"/>
              </w:rPr>
              <w:t>9,901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right"/>
              <w:rPr>
                <w:sz w:val="15"/>
              </w:rPr>
            </w:pPr>
            <w:r>
              <w:rPr>
                <w:sz w:val="15"/>
              </w:rPr>
              <w:t>19,802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right"/>
              <w:rPr>
                <w:sz w:val="15"/>
              </w:rPr>
            </w:pPr>
            <w:r>
              <w:rPr>
                <w:sz w:val="15"/>
              </w:rPr>
              <w:t>2,499,903</w:t>
            </w:r>
          </w:p>
        </w:tc>
        <w:tc>
          <w:tcPr>
            <w:tcW w:w="215" w:type="dxa"/>
            <w:tcBorders/>
            <w:vAlign w:val="center"/>
          </w:tcPr>
          <w:p>
            <w:pPr>
              <w:pStyle w:val="TableContents"/>
              <w:bidi w:val="0"/>
              <w:spacing w:before="0" w:after="283"/>
              <w:jc w:val="left"/>
              <w:rPr/>
            </w:pPr>
            <w:r>
              <w:rPr/>
              <w:t> </w:t>
            </w:r>
            <w:r>
              <w:rPr>
                <w:sz w:val="15"/>
              </w:rPr>
              <w:t>(6) </w:t>
            </w:r>
          </w:p>
        </w:tc>
      </w:tr>
      <w:tr>
        <w:trPr/>
        <w:tc>
          <w:tcPr>
            <w:tcW w:w="15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right"/>
              <w:rPr>
                <w:sz w:val="15"/>
              </w:rPr>
            </w:pPr>
            <w:r>
              <w:rPr>
                <w:sz w:val="15"/>
              </w:rPr>
              <w:t>5/2/2023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right"/>
              <w:rPr>
                <w:sz w:val="15"/>
              </w:rPr>
            </w:pPr>
            <w:r>
              <w:rPr>
                <w:sz w:val="15"/>
              </w:rPr>
              <w:t>3/6/2023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678" w:type="dxa"/>
            <w:tcBorders/>
            <w:vAlign w:val="center"/>
          </w:tcPr>
          <w:p>
            <w:pPr>
              <w:pStyle w:val="TableContents"/>
              <w:bidi w:val="0"/>
              <w:spacing w:before="0" w:after="283"/>
              <w:jc w:val="right"/>
              <w:rPr>
                <w:sz w:val="15"/>
              </w:rPr>
            </w:pPr>
            <w:r>
              <w:rPr>
                <w:sz w:val="15"/>
              </w:rPr>
              <w:t>4,237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right"/>
              <w:rPr>
                <w:sz w:val="15"/>
              </w:rPr>
            </w:pPr>
            <w:r>
              <w:rPr>
                <w:sz w:val="15"/>
              </w:rPr>
              <w:t>999,805</w:t>
            </w:r>
          </w:p>
        </w:tc>
        <w:tc>
          <w:tcPr>
            <w:tcW w:w="215" w:type="dxa"/>
            <w:tcBorders/>
            <w:vAlign w:val="center"/>
          </w:tcPr>
          <w:p>
            <w:pPr>
              <w:pStyle w:val="TableContents"/>
              <w:bidi w:val="0"/>
              <w:spacing w:before="0" w:after="283"/>
              <w:jc w:val="left"/>
              <w:rPr/>
            </w:pPr>
            <w:r>
              <w:rPr/>
              <w:t> </w:t>
            </w:r>
            <w:r>
              <w:rPr>
                <w:sz w:val="15"/>
              </w:rPr>
              <w:t>(7) </w:t>
            </w:r>
          </w:p>
        </w:tc>
      </w:tr>
      <w:tr>
        <w:trPr/>
        <w:tc>
          <w:tcPr>
            <w:tcW w:w="15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right"/>
              <w:rPr>
                <w:sz w:val="15"/>
              </w:rPr>
            </w:pPr>
            <w:r>
              <w:rPr>
                <w:sz w:val="15"/>
              </w:rPr>
              <w:t>5/2/2023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right"/>
              <w:rPr>
                <w:sz w:val="15"/>
              </w:rPr>
            </w:pPr>
            <w:r>
              <w:rPr>
                <w:sz w:val="15"/>
              </w:rPr>
              <w:t>3/6/2023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sz w:val="15"/>
              </w:rPr>
            </w:pPr>
            <w:r>
              <w:rPr>
                <w:sz w:val="15"/>
              </w:rPr>
              <w:t>35,833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right"/>
              <w:rPr>
                <w:sz w:val="15"/>
              </w:rPr>
            </w:pPr>
            <w:r>
              <w:rPr>
                <w:sz w:val="15"/>
              </w:rPr>
              <w:t>235.97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right"/>
              <w:rPr>
                <w:sz w:val="15"/>
              </w:rPr>
            </w:pPr>
            <w:r>
              <w:rPr>
                <w:sz w:val="15"/>
              </w:rPr>
              <w:t>1,499,969</w:t>
            </w:r>
          </w:p>
        </w:tc>
        <w:tc>
          <w:tcPr>
            <w:tcW w:w="215" w:type="dxa"/>
            <w:tcBorders/>
            <w:vAlign w:val="center"/>
          </w:tcPr>
          <w:p>
            <w:pPr>
              <w:pStyle w:val="TableContents"/>
              <w:bidi w:val="0"/>
              <w:spacing w:before="0" w:after="283"/>
              <w:jc w:val="left"/>
              <w:rPr/>
            </w:pPr>
            <w:r>
              <w:rPr/>
              <w:t> </w:t>
            </w:r>
            <w:r>
              <w:rPr>
                <w:sz w:val="15"/>
              </w:rPr>
              <w:t>(8) </w:t>
            </w:r>
          </w:p>
        </w:tc>
      </w:tr>
      <w:tr>
        <w:trPr/>
        <w:tc>
          <w:tcPr>
            <w:tcW w:w="1565" w:type="dxa"/>
            <w:tcBorders/>
            <w:shd w:fill="CCE2F1" w:val="clear"/>
            <w:vAlign w:val="center"/>
          </w:tcPr>
          <w:p>
            <w:pPr>
              <w:pStyle w:val="TableContents"/>
              <w:bidi w:val="0"/>
              <w:spacing w:before="0" w:after="0"/>
              <w:jc w:val="left"/>
              <w:rPr>
                <w:rFonts w:ascii="arial" w:hAnsi="arial"/>
                <w:sz w:val="18"/>
              </w:rPr>
            </w:pPr>
            <w:r>
              <w:rPr>
                <w:rFonts w:ascii="arial" w:hAnsi="arial"/>
                <w:sz w:val="18"/>
              </w:rPr>
              <w:t>David M. Reese</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365" w:type="dxa"/>
            <w:tcBorders/>
            <w:shd w:fill="CCE2F1" w:val="clear"/>
            <w:vAlign w:val="center"/>
          </w:tcPr>
          <w:p>
            <w:pPr>
              <w:pStyle w:val="TableContents"/>
              <w:bidi w:val="0"/>
              <w:spacing w:before="0" w:after="283"/>
              <w:jc w:val="right"/>
              <w:rPr>
                <w:sz w:val="15"/>
              </w:rPr>
            </w:pPr>
            <w:r>
              <w:rPr>
                <w:sz w:val="15"/>
              </w:rPr>
              <w:t>3/6/2023</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7" w:type="dxa"/>
            <w:tcBorders/>
            <w:shd w:fill="CCE2F1" w:val="clear"/>
            <w:vAlign w:val="center"/>
          </w:tcPr>
          <w:p>
            <w:pPr>
              <w:pStyle w:val="TableContents"/>
              <w:bidi w:val="0"/>
              <w:spacing w:before="0" w:after="283"/>
              <w:jc w:val="left"/>
              <w:rPr/>
            </w:pPr>
            <w:r>
              <w:rPr/>
              <w:t> </w:t>
            </w:r>
          </w:p>
        </w:tc>
        <w:tc>
          <w:tcPr>
            <w:tcW w:w="573" w:type="dxa"/>
            <w:tcBorders/>
            <w:shd w:fill="CCE2F1" w:val="clear"/>
            <w:vAlign w:val="center"/>
          </w:tcPr>
          <w:p>
            <w:pPr>
              <w:pStyle w:val="TableContents"/>
              <w:bidi w:val="0"/>
              <w:spacing w:before="0" w:after="283"/>
              <w:jc w:val="right"/>
              <w:rPr>
                <w:sz w:val="15"/>
              </w:rPr>
            </w:pPr>
            <w:r>
              <w:rPr>
                <w:sz w:val="15"/>
              </w:rPr>
              <w:t>3/6/2023</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55" w:type="dxa"/>
            <w:tcBorders/>
            <w:shd w:fill="CCE2F1" w:val="clear"/>
            <w:vAlign w:val="center"/>
          </w:tcPr>
          <w:p>
            <w:pPr>
              <w:pStyle w:val="TableContents"/>
              <w:bidi w:val="0"/>
              <w:spacing w:before="0" w:after="283"/>
              <w:jc w:val="right"/>
              <w:rPr/>
            </w:pPr>
            <w:r>
              <w:rPr>
                <w:sz w:val="15"/>
              </w:rPr>
              <w:t>(2)</w:t>
            </w:r>
            <w:r>
              <w:rPr/>
              <w:t> </w:t>
            </w:r>
          </w:p>
        </w:tc>
        <w:tc>
          <w:tcPr>
            <w:tcW w:w="60" w:type="dxa"/>
            <w:tcBorders/>
            <w:shd w:fill="CCE2F1" w:val="clear"/>
            <w:vAlign w:val="center"/>
          </w:tcPr>
          <w:p>
            <w:pPr>
              <w:pStyle w:val="TableContents"/>
              <w:bidi w:val="0"/>
              <w:spacing w:before="0" w:after="283"/>
              <w:jc w:val="left"/>
              <w:rPr/>
            </w:pPr>
            <w:r>
              <w:rPr/>
              <w:t> </w:t>
            </w:r>
          </w:p>
        </w:tc>
        <w:tc>
          <w:tcPr>
            <w:tcW w:w="485" w:type="dxa"/>
            <w:tcBorders/>
            <w:shd w:fill="CCE2F1" w:val="clear"/>
            <w:vAlign w:val="center"/>
          </w:tcPr>
          <w:p>
            <w:pPr>
              <w:pStyle w:val="TableContents"/>
              <w:bidi w:val="0"/>
              <w:spacing w:before="0" w:after="283"/>
              <w:jc w:val="right"/>
              <w:rPr/>
            </w:pPr>
            <w:r>
              <w:rPr>
                <w:sz w:val="15"/>
              </w:rPr>
              <w:t>(2)</w:t>
            </w: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10" w:type="dxa"/>
            <w:tcBorders/>
            <w:shd w:fill="CCE2F1" w:val="clear"/>
            <w:vAlign w:val="center"/>
          </w:tcPr>
          <w:p>
            <w:pPr>
              <w:pStyle w:val="TableContents"/>
              <w:bidi w:val="0"/>
              <w:spacing w:before="0" w:after="283"/>
              <w:jc w:val="right"/>
              <w:rPr>
                <w:sz w:val="15"/>
              </w:rPr>
            </w:pPr>
            <w:r>
              <w:rPr>
                <w:sz w:val="15"/>
              </w:rPr>
              <w:t>7,525,500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5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44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130" w:type="dxa"/>
            <w:tcBorders/>
            <w:shd w:fill="CCE2F1" w:val="clear"/>
            <w:vAlign w:val="center"/>
          </w:tcPr>
          <w:p>
            <w:pPr>
              <w:pStyle w:val="TableContents"/>
              <w:bidi w:val="0"/>
              <w:spacing w:before="0" w:after="283"/>
              <w:jc w:val="left"/>
              <w:rPr>
                <w:sz w:val="4"/>
                <w:szCs w:val="4"/>
              </w:rPr>
            </w:pPr>
            <w:r>
              <w:rPr>
                <w:sz w:val="4"/>
                <w:szCs w:val="4"/>
              </w:rPr>
            </w:r>
          </w:p>
        </w:tc>
        <w:tc>
          <w:tcPr>
            <w:tcW w:w="13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81" w:type="dxa"/>
            <w:tcBorders/>
            <w:shd w:fill="CCE2F1" w:val="clear"/>
            <w:vAlign w:val="center"/>
          </w:tcPr>
          <w:p>
            <w:pPr>
              <w:pStyle w:val="TableContents"/>
              <w:bidi w:val="0"/>
              <w:spacing w:before="0" w:after="283"/>
              <w:jc w:val="left"/>
              <w:rPr>
                <w:sz w:val="4"/>
                <w:szCs w:val="4"/>
              </w:rPr>
            </w:pPr>
            <w:r>
              <w:rPr>
                <w:sz w:val="4"/>
                <w:szCs w:val="4"/>
              </w:rPr>
            </w:r>
          </w:p>
        </w:tc>
        <w:tc>
          <w:tcPr>
            <w:tcW w:w="599"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92" w:type="dxa"/>
            <w:tcBorders/>
            <w:shd w:fill="CCE2F1" w:val="clear"/>
            <w:vAlign w:val="center"/>
          </w:tcPr>
          <w:p>
            <w:pPr>
              <w:pStyle w:val="TableContents"/>
              <w:bidi w:val="0"/>
              <w:spacing w:before="0" w:after="283"/>
              <w:jc w:val="left"/>
              <w:rPr>
                <w:sz w:val="4"/>
                <w:szCs w:val="4"/>
              </w:rPr>
            </w:pPr>
            <w:r>
              <w:rPr>
                <w:sz w:val="4"/>
                <w:szCs w:val="4"/>
              </w:rPr>
            </w:r>
          </w:p>
        </w:tc>
        <w:tc>
          <w:tcPr>
            <w:tcW w:w="678"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85" w:type="dxa"/>
            <w:tcBorders/>
            <w:shd w:fill="CCE2F1" w:val="clear"/>
            <w:vAlign w:val="center"/>
          </w:tcPr>
          <w:p>
            <w:pPr>
              <w:pStyle w:val="TableContents"/>
              <w:bidi w:val="0"/>
              <w:spacing w:before="0" w:after="283"/>
              <w:jc w:val="left"/>
              <w:rPr>
                <w:sz w:val="4"/>
                <w:szCs w:val="4"/>
              </w:rPr>
            </w:pPr>
            <w:r>
              <w:rPr>
                <w:sz w:val="4"/>
                <w:szCs w:val="4"/>
              </w:rPr>
            </w:r>
          </w:p>
        </w:tc>
        <w:tc>
          <w:tcPr>
            <w:tcW w:w="73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81" w:type="dxa"/>
            <w:tcBorders/>
            <w:shd w:fill="CCE2F1" w:val="clear"/>
            <w:vAlign w:val="center"/>
          </w:tcPr>
          <w:p>
            <w:pPr>
              <w:pStyle w:val="TableContents"/>
              <w:bidi w:val="0"/>
              <w:spacing w:before="0" w:after="283"/>
              <w:jc w:val="left"/>
              <w:rPr>
                <w:sz w:val="4"/>
                <w:szCs w:val="4"/>
              </w:rPr>
            </w:pPr>
            <w:r>
              <w:rPr>
                <w:sz w:val="4"/>
                <w:szCs w:val="4"/>
              </w:rPr>
            </w:r>
          </w:p>
        </w:tc>
        <w:tc>
          <w:tcPr>
            <w:tcW w:w="599"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70" w:type="dxa"/>
            <w:tcBorders/>
            <w:shd w:fill="CCE2F1" w:val="clear"/>
            <w:vAlign w:val="center"/>
          </w:tcPr>
          <w:p>
            <w:pPr>
              <w:pStyle w:val="TableContents"/>
              <w:bidi w:val="0"/>
              <w:spacing w:before="0" w:after="283"/>
              <w:jc w:val="left"/>
              <w:rPr>
                <w:sz w:val="4"/>
                <w:szCs w:val="4"/>
              </w:rPr>
            </w:pPr>
            <w:r>
              <w:rPr>
                <w:sz w:val="4"/>
                <w:szCs w:val="4"/>
              </w:rPr>
            </w:r>
          </w:p>
        </w:tc>
        <w:tc>
          <w:tcPr>
            <w:tcW w:w="745" w:type="dxa"/>
            <w:tcBorders/>
            <w:shd w:fill="CCE2F1" w:val="clear"/>
            <w:vAlign w:val="center"/>
          </w:tcPr>
          <w:p>
            <w:pPr>
              <w:pStyle w:val="TableContents"/>
              <w:bidi w:val="0"/>
              <w:spacing w:before="0" w:after="283"/>
              <w:jc w:val="left"/>
              <w:rPr>
                <w:sz w:val="4"/>
                <w:szCs w:val="4"/>
              </w:rPr>
            </w:pPr>
            <w:r>
              <w:rPr>
                <w:sz w:val="4"/>
                <w:szCs w:val="4"/>
              </w:rPr>
            </w:r>
          </w:p>
        </w:tc>
        <w:tc>
          <w:tcPr>
            <w:tcW w:w="215" w:type="dxa"/>
            <w:tcBorders/>
            <w:shd w:fill="CCE2F1" w:val="clear"/>
            <w:vAlign w:val="center"/>
          </w:tcPr>
          <w:p>
            <w:pPr>
              <w:pStyle w:val="TableContents"/>
              <w:bidi w:val="0"/>
              <w:spacing w:before="0" w:after="283"/>
              <w:jc w:val="left"/>
              <w:rPr>
                <w:sz w:val="4"/>
                <w:szCs w:val="4"/>
              </w:rPr>
            </w:pPr>
            <w:r>
              <w:rPr>
                <w:sz w:val="4"/>
                <w:szCs w:val="4"/>
              </w:rPr>
            </w:r>
          </w:p>
        </w:tc>
      </w:tr>
      <w:tr>
        <w:trPr/>
        <w:tc>
          <w:tcPr>
            <w:tcW w:w="156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365" w:type="dxa"/>
            <w:tcBorders/>
            <w:shd w:fill="CCE2F1" w:val="clear"/>
            <w:vAlign w:val="center"/>
          </w:tcPr>
          <w:p>
            <w:pPr>
              <w:pStyle w:val="TableContents"/>
              <w:bidi w:val="0"/>
              <w:spacing w:before="0" w:after="283"/>
              <w:jc w:val="right"/>
              <w:rPr>
                <w:sz w:val="15"/>
              </w:rPr>
            </w:pPr>
            <w:r>
              <w:rPr>
                <w:sz w:val="15"/>
              </w:rPr>
              <w:t>5/2/2023</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7" w:type="dxa"/>
            <w:tcBorders/>
            <w:shd w:fill="CCE2F1" w:val="clear"/>
            <w:vAlign w:val="center"/>
          </w:tcPr>
          <w:p>
            <w:pPr>
              <w:pStyle w:val="TableContents"/>
              <w:bidi w:val="0"/>
              <w:spacing w:before="0" w:after="283"/>
              <w:jc w:val="left"/>
              <w:rPr/>
            </w:pPr>
            <w:r>
              <w:rPr/>
              <w:t> </w:t>
            </w:r>
          </w:p>
        </w:tc>
        <w:tc>
          <w:tcPr>
            <w:tcW w:w="573" w:type="dxa"/>
            <w:tcBorders/>
            <w:shd w:fill="CCE2F1" w:val="clear"/>
            <w:vAlign w:val="center"/>
          </w:tcPr>
          <w:p>
            <w:pPr>
              <w:pStyle w:val="TableContents"/>
              <w:bidi w:val="0"/>
              <w:spacing w:before="0" w:after="283"/>
              <w:jc w:val="right"/>
              <w:rPr>
                <w:sz w:val="15"/>
              </w:rPr>
            </w:pPr>
            <w:r>
              <w:rPr>
                <w:sz w:val="15"/>
              </w:rPr>
              <w:t>3/6/2023</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5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48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71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755" w:type="dxa"/>
            <w:tcBorders/>
            <w:shd w:fill="CCE2F1" w:val="clear"/>
            <w:vAlign w:val="center"/>
          </w:tcPr>
          <w:p>
            <w:pPr>
              <w:pStyle w:val="TableContents"/>
              <w:bidi w:val="0"/>
              <w:spacing w:before="0" w:after="283"/>
              <w:jc w:val="right"/>
              <w:rPr/>
            </w:pPr>
            <w:r>
              <w:rPr>
                <w:sz w:val="15"/>
              </w:rPr>
              <w:t>(3)</w:t>
            </w: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440" w:type="dxa"/>
            <w:tcBorders/>
            <w:shd w:fill="CCE2F1" w:val="clear"/>
            <w:vAlign w:val="center"/>
          </w:tcPr>
          <w:p>
            <w:pPr>
              <w:pStyle w:val="TableContents"/>
              <w:bidi w:val="0"/>
              <w:spacing w:before="0" w:after="283"/>
              <w:jc w:val="right"/>
              <w:rPr>
                <w:sz w:val="15"/>
              </w:rPr>
            </w:pPr>
            <w:r>
              <w:rPr>
                <w:sz w:val="15"/>
              </w:rPr>
              <w:t>8,911</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30" w:type="dxa"/>
            <w:tcBorders/>
            <w:shd w:fill="CCE2F1" w:val="clear"/>
            <w:vAlign w:val="center"/>
          </w:tcPr>
          <w:p>
            <w:pPr>
              <w:pStyle w:val="TableContents"/>
              <w:bidi w:val="0"/>
              <w:spacing w:before="0" w:after="283"/>
              <w:jc w:val="left"/>
              <w:rPr>
                <w:sz w:val="4"/>
                <w:szCs w:val="4"/>
              </w:rPr>
            </w:pPr>
            <w:r>
              <w:rPr>
                <w:sz w:val="4"/>
                <w:szCs w:val="4"/>
              </w:rPr>
            </w:r>
          </w:p>
        </w:tc>
        <w:tc>
          <w:tcPr>
            <w:tcW w:w="13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81" w:type="dxa"/>
            <w:tcBorders/>
            <w:shd w:fill="CCE2F1" w:val="clear"/>
            <w:vAlign w:val="center"/>
          </w:tcPr>
          <w:p>
            <w:pPr>
              <w:pStyle w:val="TableContents"/>
              <w:bidi w:val="0"/>
              <w:spacing w:before="0" w:after="283"/>
              <w:jc w:val="left"/>
              <w:rPr/>
            </w:pPr>
            <w:r>
              <w:rPr/>
              <w:t> </w:t>
            </w:r>
          </w:p>
        </w:tc>
        <w:tc>
          <w:tcPr>
            <w:tcW w:w="599" w:type="dxa"/>
            <w:tcBorders/>
            <w:shd w:fill="CCE2F1" w:val="clear"/>
            <w:vAlign w:val="center"/>
          </w:tcPr>
          <w:p>
            <w:pPr>
              <w:pStyle w:val="TableContents"/>
              <w:bidi w:val="0"/>
              <w:spacing w:before="0" w:after="283"/>
              <w:jc w:val="right"/>
              <w:rPr>
                <w:sz w:val="15"/>
              </w:rPr>
            </w:pPr>
            <w:r>
              <w:rPr>
                <w:sz w:val="15"/>
              </w:rPr>
              <w:t>17,822</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92" w:type="dxa"/>
            <w:tcBorders/>
            <w:shd w:fill="CCE2F1" w:val="clear"/>
            <w:vAlign w:val="center"/>
          </w:tcPr>
          <w:p>
            <w:pPr>
              <w:pStyle w:val="TableContents"/>
              <w:bidi w:val="0"/>
              <w:spacing w:before="0" w:after="283"/>
              <w:jc w:val="left"/>
              <w:rPr>
                <w:sz w:val="4"/>
                <w:szCs w:val="4"/>
              </w:rPr>
            </w:pPr>
            <w:r>
              <w:rPr>
                <w:sz w:val="4"/>
                <w:szCs w:val="4"/>
              </w:rPr>
            </w:r>
          </w:p>
        </w:tc>
        <w:tc>
          <w:tcPr>
            <w:tcW w:w="678"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85" w:type="dxa"/>
            <w:tcBorders/>
            <w:shd w:fill="CCE2F1" w:val="clear"/>
            <w:vAlign w:val="center"/>
          </w:tcPr>
          <w:p>
            <w:pPr>
              <w:pStyle w:val="TableContents"/>
              <w:bidi w:val="0"/>
              <w:spacing w:before="0" w:after="283"/>
              <w:jc w:val="left"/>
              <w:rPr>
                <w:sz w:val="4"/>
                <w:szCs w:val="4"/>
              </w:rPr>
            </w:pPr>
            <w:r>
              <w:rPr>
                <w:sz w:val="4"/>
                <w:szCs w:val="4"/>
              </w:rPr>
            </w:r>
          </w:p>
        </w:tc>
        <w:tc>
          <w:tcPr>
            <w:tcW w:w="73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81" w:type="dxa"/>
            <w:tcBorders/>
            <w:shd w:fill="CCE2F1" w:val="clear"/>
            <w:vAlign w:val="center"/>
          </w:tcPr>
          <w:p>
            <w:pPr>
              <w:pStyle w:val="TableContents"/>
              <w:bidi w:val="0"/>
              <w:spacing w:before="0" w:after="283"/>
              <w:jc w:val="left"/>
              <w:rPr>
                <w:sz w:val="4"/>
                <w:szCs w:val="4"/>
              </w:rPr>
            </w:pPr>
            <w:r>
              <w:rPr>
                <w:sz w:val="4"/>
                <w:szCs w:val="4"/>
              </w:rPr>
            </w:r>
          </w:p>
        </w:tc>
        <w:tc>
          <w:tcPr>
            <w:tcW w:w="599"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70" w:type="dxa"/>
            <w:tcBorders/>
            <w:shd w:fill="CCE2F1" w:val="clear"/>
            <w:vAlign w:val="center"/>
          </w:tcPr>
          <w:p>
            <w:pPr>
              <w:pStyle w:val="TableContents"/>
              <w:bidi w:val="0"/>
              <w:spacing w:before="0" w:after="283"/>
              <w:jc w:val="left"/>
              <w:rPr/>
            </w:pPr>
            <w:r>
              <w:rPr/>
              <w:t> </w:t>
            </w:r>
          </w:p>
        </w:tc>
        <w:tc>
          <w:tcPr>
            <w:tcW w:w="745" w:type="dxa"/>
            <w:tcBorders/>
            <w:shd w:fill="CCE2F1" w:val="clear"/>
            <w:vAlign w:val="center"/>
          </w:tcPr>
          <w:p>
            <w:pPr>
              <w:pStyle w:val="TableContents"/>
              <w:bidi w:val="0"/>
              <w:spacing w:before="0" w:after="283"/>
              <w:jc w:val="right"/>
              <w:rPr>
                <w:sz w:val="15"/>
              </w:rPr>
            </w:pPr>
            <w:r>
              <w:rPr>
                <w:sz w:val="15"/>
              </w:rPr>
              <w:t>2,249,938</w:t>
            </w:r>
          </w:p>
        </w:tc>
        <w:tc>
          <w:tcPr>
            <w:tcW w:w="215" w:type="dxa"/>
            <w:tcBorders/>
            <w:shd w:fill="CCE2F1" w:val="clear"/>
            <w:vAlign w:val="center"/>
          </w:tcPr>
          <w:p>
            <w:pPr>
              <w:pStyle w:val="TableContents"/>
              <w:bidi w:val="0"/>
              <w:spacing w:before="0" w:after="283"/>
              <w:jc w:val="left"/>
              <w:rPr/>
            </w:pPr>
            <w:r>
              <w:rPr/>
              <w:t> </w:t>
            </w:r>
            <w:r>
              <w:rPr>
                <w:sz w:val="15"/>
              </w:rPr>
              <w:t>(6) </w:t>
            </w:r>
          </w:p>
        </w:tc>
      </w:tr>
      <w:tr>
        <w:trPr/>
        <w:tc>
          <w:tcPr>
            <w:tcW w:w="156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365" w:type="dxa"/>
            <w:tcBorders/>
            <w:shd w:fill="CCE2F1" w:val="clear"/>
            <w:vAlign w:val="center"/>
          </w:tcPr>
          <w:p>
            <w:pPr>
              <w:pStyle w:val="TableContents"/>
              <w:bidi w:val="0"/>
              <w:spacing w:before="0" w:after="283"/>
              <w:jc w:val="right"/>
              <w:rPr>
                <w:sz w:val="15"/>
              </w:rPr>
            </w:pPr>
            <w:r>
              <w:rPr>
                <w:sz w:val="15"/>
              </w:rPr>
              <w:t>5/2/2023</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7" w:type="dxa"/>
            <w:tcBorders/>
            <w:shd w:fill="CCE2F1" w:val="clear"/>
            <w:vAlign w:val="center"/>
          </w:tcPr>
          <w:p>
            <w:pPr>
              <w:pStyle w:val="TableContents"/>
              <w:bidi w:val="0"/>
              <w:spacing w:before="0" w:after="283"/>
              <w:jc w:val="left"/>
              <w:rPr/>
            </w:pPr>
            <w:r>
              <w:rPr/>
              <w:t> </w:t>
            </w:r>
          </w:p>
        </w:tc>
        <w:tc>
          <w:tcPr>
            <w:tcW w:w="573" w:type="dxa"/>
            <w:tcBorders/>
            <w:shd w:fill="CCE2F1" w:val="clear"/>
            <w:vAlign w:val="center"/>
          </w:tcPr>
          <w:p>
            <w:pPr>
              <w:pStyle w:val="TableContents"/>
              <w:bidi w:val="0"/>
              <w:spacing w:before="0" w:after="283"/>
              <w:jc w:val="right"/>
              <w:rPr>
                <w:sz w:val="15"/>
              </w:rPr>
            </w:pPr>
            <w:r>
              <w:rPr>
                <w:sz w:val="15"/>
              </w:rPr>
              <w:t>3/6/2023</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5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48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71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75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44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130" w:type="dxa"/>
            <w:tcBorders/>
            <w:shd w:fill="CCE2F1" w:val="clear"/>
            <w:vAlign w:val="center"/>
          </w:tcPr>
          <w:p>
            <w:pPr>
              <w:pStyle w:val="TableContents"/>
              <w:bidi w:val="0"/>
              <w:spacing w:before="0" w:after="283"/>
              <w:jc w:val="left"/>
              <w:rPr>
                <w:sz w:val="4"/>
                <w:szCs w:val="4"/>
              </w:rPr>
            </w:pPr>
            <w:r>
              <w:rPr>
                <w:sz w:val="4"/>
                <w:szCs w:val="4"/>
              </w:rPr>
            </w:r>
          </w:p>
        </w:tc>
        <w:tc>
          <w:tcPr>
            <w:tcW w:w="13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81" w:type="dxa"/>
            <w:tcBorders/>
            <w:shd w:fill="CCE2F1" w:val="clear"/>
            <w:vAlign w:val="center"/>
          </w:tcPr>
          <w:p>
            <w:pPr>
              <w:pStyle w:val="TableContents"/>
              <w:bidi w:val="0"/>
              <w:spacing w:before="0" w:after="283"/>
              <w:jc w:val="left"/>
              <w:rPr>
                <w:sz w:val="4"/>
                <w:szCs w:val="4"/>
              </w:rPr>
            </w:pPr>
            <w:r>
              <w:rPr>
                <w:sz w:val="4"/>
                <w:szCs w:val="4"/>
              </w:rPr>
            </w:r>
          </w:p>
        </w:tc>
        <w:tc>
          <w:tcPr>
            <w:tcW w:w="599"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92" w:type="dxa"/>
            <w:tcBorders/>
            <w:shd w:fill="CCE2F1" w:val="clear"/>
            <w:vAlign w:val="center"/>
          </w:tcPr>
          <w:p>
            <w:pPr>
              <w:pStyle w:val="TableContents"/>
              <w:bidi w:val="0"/>
              <w:spacing w:before="0" w:after="283"/>
              <w:jc w:val="left"/>
              <w:rPr/>
            </w:pPr>
            <w:r>
              <w:rPr/>
              <w:t> </w:t>
            </w:r>
          </w:p>
        </w:tc>
        <w:tc>
          <w:tcPr>
            <w:tcW w:w="678" w:type="dxa"/>
            <w:tcBorders/>
            <w:shd w:fill="CCE2F1" w:val="clear"/>
            <w:vAlign w:val="center"/>
          </w:tcPr>
          <w:p>
            <w:pPr>
              <w:pStyle w:val="TableContents"/>
              <w:bidi w:val="0"/>
              <w:spacing w:before="0" w:after="283"/>
              <w:jc w:val="right"/>
              <w:rPr>
                <w:sz w:val="15"/>
              </w:rPr>
            </w:pPr>
            <w:r>
              <w:rPr>
                <w:sz w:val="15"/>
              </w:rPr>
              <w:t>3,814</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85" w:type="dxa"/>
            <w:tcBorders/>
            <w:shd w:fill="CCE2F1" w:val="clear"/>
            <w:vAlign w:val="center"/>
          </w:tcPr>
          <w:p>
            <w:pPr>
              <w:pStyle w:val="TableContents"/>
              <w:bidi w:val="0"/>
              <w:spacing w:before="0" w:after="283"/>
              <w:jc w:val="left"/>
              <w:rPr>
                <w:sz w:val="4"/>
                <w:szCs w:val="4"/>
              </w:rPr>
            </w:pPr>
            <w:r>
              <w:rPr>
                <w:sz w:val="4"/>
                <w:szCs w:val="4"/>
              </w:rPr>
            </w:r>
          </w:p>
        </w:tc>
        <w:tc>
          <w:tcPr>
            <w:tcW w:w="73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81" w:type="dxa"/>
            <w:tcBorders/>
            <w:shd w:fill="CCE2F1" w:val="clear"/>
            <w:vAlign w:val="center"/>
          </w:tcPr>
          <w:p>
            <w:pPr>
              <w:pStyle w:val="TableContents"/>
              <w:bidi w:val="0"/>
              <w:spacing w:before="0" w:after="283"/>
              <w:jc w:val="left"/>
              <w:rPr>
                <w:sz w:val="4"/>
                <w:szCs w:val="4"/>
              </w:rPr>
            </w:pPr>
            <w:r>
              <w:rPr>
                <w:sz w:val="4"/>
                <w:szCs w:val="4"/>
              </w:rPr>
            </w:r>
          </w:p>
        </w:tc>
        <w:tc>
          <w:tcPr>
            <w:tcW w:w="599"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70" w:type="dxa"/>
            <w:tcBorders/>
            <w:shd w:fill="CCE2F1" w:val="clear"/>
            <w:vAlign w:val="center"/>
          </w:tcPr>
          <w:p>
            <w:pPr>
              <w:pStyle w:val="TableContents"/>
              <w:bidi w:val="0"/>
              <w:spacing w:before="0" w:after="283"/>
              <w:jc w:val="left"/>
              <w:rPr/>
            </w:pPr>
            <w:r>
              <w:rPr/>
              <w:t> </w:t>
            </w:r>
          </w:p>
        </w:tc>
        <w:tc>
          <w:tcPr>
            <w:tcW w:w="745" w:type="dxa"/>
            <w:tcBorders/>
            <w:shd w:fill="CCE2F1" w:val="clear"/>
            <w:vAlign w:val="center"/>
          </w:tcPr>
          <w:p>
            <w:pPr>
              <w:pStyle w:val="TableContents"/>
              <w:bidi w:val="0"/>
              <w:spacing w:before="0" w:after="283"/>
              <w:jc w:val="right"/>
              <w:rPr>
                <w:sz w:val="15"/>
              </w:rPr>
            </w:pPr>
            <w:r>
              <w:rPr>
                <w:sz w:val="15"/>
              </w:rPr>
              <w:t>899,990</w:t>
            </w:r>
          </w:p>
        </w:tc>
        <w:tc>
          <w:tcPr>
            <w:tcW w:w="215" w:type="dxa"/>
            <w:tcBorders/>
            <w:shd w:fill="CCE2F1" w:val="clear"/>
            <w:vAlign w:val="center"/>
          </w:tcPr>
          <w:p>
            <w:pPr>
              <w:pStyle w:val="TableContents"/>
              <w:bidi w:val="0"/>
              <w:spacing w:before="0" w:after="283"/>
              <w:jc w:val="left"/>
              <w:rPr/>
            </w:pPr>
            <w:r>
              <w:rPr/>
              <w:t> </w:t>
            </w:r>
            <w:r>
              <w:rPr>
                <w:sz w:val="15"/>
              </w:rPr>
              <w:t>(7) </w:t>
            </w:r>
          </w:p>
        </w:tc>
      </w:tr>
      <w:tr>
        <w:trPr/>
        <w:tc>
          <w:tcPr>
            <w:tcW w:w="156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365" w:type="dxa"/>
            <w:tcBorders/>
            <w:shd w:fill="CCE2F1" w:val="clear"/>
            <w:vAlign w:val="center"/>
          </w:tcPr>
          <w:p>
            <w:pPr>
              <w:pStyle w:val="TableContents"/>
              <w:bidi w:val="0"/>
              <w:spacing w:before="0" w:after="283"/>
              <w:jc w:val="right"/>
              <w:rPr>
                <w:sz w:val="15"/>
              </w:rPr>
            </w:pPr>
            <w:r>
              <w:rPr>
                <w:sz w:val="15"/>
              </w:rPr>
              <w:t>5/2/2023</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7" w:type="dxa"/>
            <w:tcBorders/>
            <w:shd w:fill="CCE2F1" w:val="clear"/>
            <w:vAlign w:val="center"/>
          </w:tcPr>
          <w:p>
            <w:pPr>
              <w:pStyle w:val="TableContents"/>
              <w:bidi w:val="0"/>
              <w:spacing w:before="0" w:after="283"/>
              <w:jc w:val="left"/>
              <w:rPr/>
            </w:pPr>
            <w:r>
              <w:rPr/>
              <w:t> </w:t>
            </w:r>
          </w:p>
        </w:tc>
        <w:tc>
          <w:tcPr>
            <w:tcW w:w="573" w:type="dxa"/>
            <w:tcBorders/>
            <w:shd w:fill="CCE2F1" w:val="clear"/>
            <w:vAlign w:val="center"/>
          </w:tcPr>
          <w:p>
            <w:pPr>
              <w:pStyle w:val="TableContents"/>
              <w:bidi w:val="0"/>
              <w:spacing w:before="0" w:after="283"/>
              <w:jc w:val="right"/>
              <w:rPr>
                <w:sz w:val="15"/>
              </w:rPr>
            </w:pPr>
            <w:r>
              <w:rPr>
                <w:sz w:val="15"/>
              </w:rPr>
              <w:t>3/6/2023</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5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48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71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75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44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130" w:type="dxa"/>
            <w:tcBorders/>
            <w:shd w:fill="CCE2F1" w:val="clear"/>
            <w:vAlign w:val="center"/>
          </w:tcPr>
          <w:p>
            <w:pPr>
              <w:pStyle w:val="TableContents"/>
              <w:bidi w:val="0"/>
              <w:spacing w:before="0" w:after="283"/>
              <w:jc w:val="left"/>
              <w:rPr>
                <w:sz w:val="4"/>
                <w:szCs w:val="4"/>
              </w:rPr>
            </w:pPr>
            <w:r>
              <w:rPr>
                <w:sz w:val="4"/>
                <w:szCs w:val="4"/>
              </w:rPr>
            </w:r>
          </w:p>
        </w:tc>
        <w:tc>
          <w:tcPr>
            <w:tcW w:w="13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81" w:type="dxa"/>
            <w:tcBorders/>
            <w:shd w:fill="CCE2F1" w:val="clear"/>
            <w:vAlign w:val="center"/>
          </w:tcPr>
          <w:p>
            <w:pPr>
              <w:pStyle w:val="TableContents"/>
              <w:bidi w:val="0"/>
              <w:spacing w:before="0" w:after="283"/>
              <w:jc w:val="left"/>
              <w:rPr>
                <w:sz w:val="4"/>
                <w:szCs w:val="4"/>
              </w:rPr>
            </w:pPr>
            <w:r>
              <w:rPr>
                <w:sz w:val="4"/>
                <w:szCs w:val="4"/>
              </w:rPr>
            </w:r>
          </w:p>
        </w:tc>
        <w:tc>
          <w:tcPr>
            <w:tcW w:w="599"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92" w:type="dxa"/>
            <w:tcBorders/>
            <w:shd w:fill="CCE2F1" w:val="clear"/>
            <w:vAlign w:val="center"/>
          </w:tcPr>
          <w:p>
            <w:pPr>
              <w:pStyle w:val="TableContents"/>
              <w:bidi w:val="0"/>
              <w:spacing w:before="0" w:after="283"/>
              <w:jc w:val="left"/>
              <w:rPr>
                <w:sz w:val="4"/>
                <w:szCs w:val="4"/>
              </w:rPr>
            </w:pPr>
            <w:r>
              <w:rPr>
                <w:sz w:val="4"/>
                <w:szCs w:val="4"/>
              </w:rPr>
            </w:r>
          </w:p>
        </w:tc>
        <w:tc>
          <w:tcPr>
            <w:tcW w:w="678"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85" w:type="dxa"/>
            <w:tcBorders/>
            <w:shd w:fill="CCE2F1" w:val="clear"/>
            <w:vAlign w:val="center"/>
          </w:tcPr>
          <w:p>
            <w:pPr>
              <w:pStyle w:val="TableContents"/>
              <w:bidi w:val="0"/>
              <w:spacing w:before="0" w:after="283"/>
              <w:jc w:val="left"/>
              <w:rPr/>
            </w:pPr>
            <w:r>
              <w:rPr/>
              <w:t> </w:t>
            </w:r>
          </w:p>
        </w:tc>
        <w:tc>
          <w:tcPr>
            <w:tcW w:w="730" w:type="dxa"/>
            <w:tcBorders/>
            <w:shd w:fill="CCE2F1" w:val="clear"/>
            <w:vAlign w:val="center"/>
          </w:tcPr>
          <w:p>
            <w:pPr>
              <w:pStyle w:val="TableContents"/>
              <w:bidi w:val="0"/>
              <w:spacing w:before="0" w:after="283"/>
              <w:jc w:val="right"/>
              <w:rPr>
                <w:sz w:val="15"/>
              </w:rPr>
            </w:pPr>
            <w:r>
              <w:rPr>
                <w:sz w:val="15"/>
              </w:rPr>
              <w:t>32,250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81" w:type="dxa"/>
            <w:tcBorders/>
            <w:shd w:fill="CCE2F1" w:val="clear"/>
            <w:vAlign w:val="center"/>
          </w:tcPr>
          <w:p>
            <w:pPr>
              <w:pStyle w:val="TableContents"/>
              <w:bidi w:val="0"/>
              <w:spacing w:before="0" w:after="283"/>
              <w:jc w:val="left"/>
              <w:rPr/>
            </w:pPr>
            <w:r>
              <w:rPr/>
              <w:t> </w:t>
            </w:r>
          </w:p>
        </w:tc>
        <w:tc>
          <w:tcPr>
            <w:tcW w:w="599" w:type="dxa"/>
            <w:tcBorders/>
            <w:shd w:fill="CCE2F1" w:val="clear"/>
            <w:vAlign w:val="center"/>
          </w:tcPr>
          <w:p>
            <w:pPr>
              <w:pStyle w:val="TableContents"/>
              <w:bidi w:val="0"/>
              <w:spacing w:before="0" w:after="283"/>
              <w:jc w:val="right"/>
              <w:rPr>
                <w:sz w:val="15"/>
              </w:rPr>
            </w:pPr>
            <w:r>
              <w:rPr>
                <w:sz w:val="15"/>
              </w:rPr>
              <w:t>235.97</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0" w:type="dxa"/>
            <w:tcBorders/>
            <w:shd w:fill="CCE2F1" w:val="clear"/>
            <w:vAlign w:val="center"/>
          </w:tcPr>
          <w:p>
            <w:pPr>
              <w:pStyle w:val="TableContents"/>
              <w:bidi w:val="0"/>
              <w:spacing w:before="0" w:after="283"/>
              <w:jc w:val="left"/>
              <w:rPr/>
            </w:pPr>
            <w:r>
              <w:rPr/>
              <w:t> </w:t>
            </w:r>
          </w:p>
        </w:tc>
        <w:tc>
          <w:tcPr>
            <w:tcW w:w="745" w:type="dxa"/>
            <w:tcBorders/>
            <w:shd w:fill="CCE2F1" w:val="clear"/>
            <w:vAlign w:val="center"/>
          </w:tcPr>
          <w:p>
            <w:pPr>
              <w:pStyle w:val="TableContents"/>
              <w:bidi w:val="0"/>
              <w:spacing w:before="0" w:after="283"/>
              <w:jc w:val="right"/>
              <w:rPr>
                <w:sz w:val="15"/>
              </w:rPr>
            </w:pPr>
            <w:r>
              <w:rPr>
                <w:sz w:val="15"/>
              </w:rPr>
              <w:t>1,349,985</w:t>
            </w:r>
          </w:p>
        </w:tc>
        <w:tc>
          <w:tcPr>
            <w:tcW w:w="215" w:type="dxa"/>
            <w:tcBorders/>
            <w:shd w:fill="CCE2F1" w:val="clear"/>
            <w:vAlign w:val="center"/>
          </w:tcPr>
          <w:p>
            <w:pPr>
              <w:pStyle w:val="TableContents"/>
              <w:bidi w:val="0"/>
              <w:spacing w:before="0" w:after="283"/>
              <w:jc w:val="left"/>
              <w:rPr/>
            </w:pPr>
            <w:r>
              <w:rPr/>
              <w:t> </w:t>
            </w:r>
            <w:r>
              <w:rPr>
                <w:sz w:val="15"/>
              </w:rPr>
              <w:t>(8) </w:t>
            </w:r>
          </w:p>
        </w:tc>
      </w:tr>
      <w:tr>
        <w:trPr/>
        <w:tc>
          <w:tcPr>
            <w:tcW w:w="1565" w:type="dxa"/>
            <w:tcBorders/>
            <w:vAlign w:val="center"/>
          </w:tcPr>
          <w:p>
            <w:pPr>
              <w:pStyle w:val="TableContents"/>
              <w:bidi w:val="0"/>
              <w:spacing w:before="0" w:after="0"/>
              <w:jc w:val="left"/>
              <w:rPr>
                <w:rFonts w:ascii="arial" w:hAnsi="arial"/>
                <w:sz w:val="18"/>
              </w:rPr>
            </w:pPr>
            <w:r>
              <w:rPr>
                <w:rFonts w:ascii="arial" w:hAnsi="arial"/>
                <w:sz w:val="18"/>
              </w:rPr>
              <w:t>Peter H. Griffith</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right"/>
              <w:rPr>
                <w:sz w:val="15"/>
              </w:rPr>
            </w:pPr>
            <w:r>
              <w:rPr>
                <w:sz w:val="15"/>
              </w:rPr>
              <w:t>3/6/2023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right"/>
              <w:rPr>
                <w:sz w:val="15"/>
              </w:rPr>
            </w:pPr>
            <w:r>
              <w:rPr>
                <w:sz w:val="15"/>
              </w:rPr>
              <w:t>3/6/2023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sz w:val="15"/>
              </w:rPr>
              <w:t>(2)</w:t>
            </w: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sz w:val="15"/>
              </w:rPr>
              <w:t>(2)</w:t>
            </w: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sz w:val="15"/>
              </w:rPr>
            </w:pPr>
            <w:r>
              <w:rPr>
                <w:sz w:val="15"/>
              </w:rPr>
              <w:t>7,525,500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5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right"/>
              <w:rPr>
                <w:sz w:val="15"/>
              </w:rPr>
            </w:pPr>
            <w:r>
              <w:rPr>
                <w:sz w:val="15"/>
              </w:rPr>
              <w:t>5/2/2023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right"/>
              <w:rPr>
                <w:sz w:val="15"/>
              </w:rPr>
            </w:pPr>
            <w:r>
              <w:rPr>
                <w:sz w:val="15"/>
              </w:rPr>
              <w:t>3/6/2023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sz w:val="15"/>
              </w:rPr>
              <w:t>(3)</w:t>
            </w: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sz w:val="15"/>
              </w:rPr>
            </w:pPr>
            <w:r>
              <w:rPr>
                <w:sz w:val="15"/>
              </w:rPr>
              <w:t>8,911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right"/>
              <w:rPr>
                <w:sz w:val="15"/>
              </w:rPr>
            </w:pPr>
            <w:r>
              <w:rPr>
                <w:sz w:val="15"/>
              </w:rPr>
              <w:t>17,822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right"/>
              <w:rPr>
                <w:sz w:val="15"/>
              </w:rPr>
            </w:pPr>
            <w:r>
              <w:rPr>
                <w:sz w:val="15"/>
              </w:rPr>
              <w:t>2,249,938</w:t>
            </w:r>
          </w:p>
        </w:tc>
        <w:tc>
          <w:tcPr>
            <w:tcW w:w="215" w:type="dxa"/>
            <w:tcBorders/>
            <w:vAlign w:val="center"/>
          </w:tcPr>
          <w:p>
            <w:pPr>
              <w:pStyle w:val="TableContents"/>
              <w:bidi w:val="0"/>
              <w:spacing w:before="0" w:after="283"/>
              <w:jc w:val="left"/>
              <w:rPr/>
            </w:pPr>
            <w:r>
              <w:rPr/>
              <w:t> </w:t>
            </w:r>
            <w:r>
              <w:rPr>
                <w:sz w:val="15"/>
              </w:rPr>
              <w:t>(6) </w:t>
            </w:r>
          </w:p>
        </w:tc>
      </w:tr>
      <w:tr>
        <w:trPr/>
        <w:tc>
          <w:tcPr>
            <w:tcW w:w="15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right"/>
              <w:rPr>
                <w:sz w:val="15"/>
              </w:rPr>
            </w:pPr>
            <w:r>
              <w:rPr>
                <w:sz w:val="15"/>
              </w:rPr>
              <w:t>5/2/2023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right"/>
              <w:rPr>
                <w:sz w:val="15"/>
              </w:rPr>
            </w:pPr>
            <w:r>
              <w:rPr>
                <w:sz w:val="15"/>
              </w:rPr>
              <w:t>3/6/2023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678" w:type="dxa"/>
            <w:tcBorders/>
            <w:vAlign w:val="center"/>
          </w:tcPr>
          <w:p>
            <w:pPr>
              <w:pStyle w:val="TableContents"/>
              <w:bidi w:val="0"/>
              <w:spacing w:before="0" w:after="283"/>
              <w:jc w:val="right"/>
              <w:rPr>
                <w:sz w:val="15"/>
              </w:rPr>
            </w:pPr>
            <w:r>
              <w:rPr>
                <w:sz w:val="15"/>
              </w:rPr>
              <w:t>3,814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right"/>
              <w:rPr>
                <w:sz w:val="15"/>
              </w:rPr>
            </w:pPr>
            <w:r>
              <w:rPr>
                <w:sz w:val="15"/>
              </w:rPr>
              <w:t>899,990</w:t>
            </w:r>
          </w:p>
        </w:tc>
        <w:tc>
          <w:tcPr>
            <w:tcW w:w="215" w:type="dxa"/>
            <w:tcBorders/>
            <w:vAlign w:val="center"/>
          </w:tcPr>
          <w:p>
            <w:pPr>
              <w:pStyle w:val="TableContents"/>
              <w:bidi w:val="0"/>
              <w:spacing w:before="0" w:after="283"/>
              <w:jc w:val="left"/>
              <w:rPr/>
            </w:pPr>
            <w:r>
              <w:rPr/>
              <w:t> </w:t>
            </w:r>
            <w:r>
              <w:rPr>
                <w:sz w:val="15"/>
              </w:rPr>
              <w:t>(7) </w:t>
            </w:r>
          </w:p>
        </w:tc>
      </w:tr>
      <w:tr>
        <w:trPr/>
        <w:tc>
          <w:tcPr>
            <w:tcW w:w="15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right"/>
              <w:rPr>
                <w:sz w:val="15"/>
              </w:rPr>
            </w:pPr>
            <w:r>
              <w:rPr>
                <w:sz w:val="15"/>
              </w:rPr>
              <w:t>5/2/2023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right"/>
              <w:rPr>
                <w:sz w:val="15"/>
              </w:rPr>
            </w:pPr>
            <w:r>
              <w:rPr>
                <w:sz w:val="15"/>
              </w:rPr>
              <w:t>3/6/2023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sz w:val="15"/>
              </w:rPr>
            </w:pPr>
            <w:r>
              <w:rPr>
                <w:sz w:val="15"/>
              </w:rPr>
              <w:t>32,250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right"/>
              <w:rPr>
                <w:sz w:val="15"/>
              </w:rPr>
            </w:pPr>
            <w:r>
              <w:rPr>
                <w:sz w:val="15"/>
              </w:rPr>
              <w:t>235.97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right"/>
              <w:rPr>
                <w:sz w:val="15"/>
              </w:rPr>
            </w:pPr>
            <w:r>
              <w:rPr>
                <w:sz w:val="15"/>
              </w:rPr>
              <w:t>1,349,985</w:t>
            </w:r>
          </w:p>
        </w:tc>
        <w:tc>
          <w:tcPr>
            <w:tcW w:w="215" w:type="dxa"/>
            <w:tcBorders/>
            <w:vAlign w:val="center"/>
          </w:tcPr>
          <w:p>
            <w:pPr>
              <w:pStyle w:val="TableContents"/>
              <w:bidi w:val="0"/>
              <w:spacing w:before="0" w:after="283"/>
              <w:jc w:val="left"/>
              <w:rPr/>
            </w:pPr>
            <w:r>
              <w:rPr/>
              <w:t> </w:t>
            </w:r>
            <w:r>
              <w:rPr>
                <w:sz w:val="15"/>
              </w:rPr>
              <w:t>(8) </w:t>
            </w:r>
          </w:p>
        </w:tc>
      </w:tr>
      <w:tr>
        <w:trPr/>
        <w:tc>
          <w:tcPr>
            <w:tcW w:w="1565" w:type="dxa"/>
            <w:tcBorders/>
            <w:shd w:fill="CCE2F1" w:val="clear"/>
            <w:vAlign w:val="center"/>
          </w:tcPr>
          <w:p>
            <w:pPr>
              <w:pStyle w:val="TableContents"/>
              <w:bidi w:val="0"/>
              <w:spacing w:before="0" w:after="0"/>
              <w:jc w:val="left"/>
              <w:rPr>
                <w:rFonts w:ascii="arial" w:hAnsi="arial"/>
                <w:sz w:val="18"/>
              </w:rPr>
            </w:pPr>
            <w:r>
              <w:rPr>
                <w:rFonts w:ascii="arial" w:hAnsi="arial"/>
                <w:sz w:val="18"/>
              </w:rPr>
              <w:t>Esteban Santos</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365" w:type="dxa"/>
            <w:tcBorders/>
            <w:shd w:fill="CCE2F1" w:val="clear"/>
            <w:vAlign w:val="center"/>
          </w:tcPr>
          <w:p>
            <w:pPr>
              <w:pStyle w:val="TableContents"/>
              <w:bidi w:val="0"/>
              <w:spacing w:before="0" w:after="283"/>
              <w:jc w:val="right"/>
              <w:rPr>
                <w:sz w:val="15"/>
              </w:rPr>
            </w:pPr>
            <w:r>
              <w:rPr>
                <w:sz w:val="15"/>
              </w:rPr>
              <w:t>3/6/2023</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7" w:type="dxa"/>
            <w:tcBorders/>
            <w:shd w:fill="CCE2F1" w:val="clear"/>
            <w:vAlign w:val="center"/>
          </w:tcPr>
          <w:p>
            <w:pPr>
              <w:pStyle w:val="TableContents"/>
              <w:bidi w:val="0"/>
              <w:spacing w:before="0" w:after="283"/>
              <w:jc w:val="left"/>
              <w:rPr/>
            </w:pPr>
            <w:r>
              <w:rPr/>
              <w:t> </w:t>
            </w:r>
          </w:p>
        </w:tc>
        <w:tc>
          <w:tcPr>
            <w:tcW w:w="573" w:type="dxa"/>
            <w:tcBorders/>
            <w:shd w:fill="CCE2F1" w:val="clear"/>
            <w:vAlign w:val="center"/>
          </w:tcPr>
          <w:p>
            <w:pPr>
              <w:pStyle w:val="TableContents"/>
              <w:bidi w:val="0"/>
              <w:spacing w:before="0" w:after="283"/>
              <w:jc w:val="right"/>
              <w:rPr>
                <w:sz w:val="15"/>
              </w:rPr>
            </w:pPr>
            <w:r>
              <w:rPr>
                <w:sz w:val="15"/>
              </w:rPr>
              <w:t>3/6/2023</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55" w:type="dxa"/>
            <w:tcBorders/>
            <w:shd w:fill="CCE2F1" w:val="clear"/>
            <w:vAlign w:val="center"/>
          </w:tcPr>
          <w:p>
            <w:pPr>
              <w:pStyle w:val="TableContents"/>
              <w:bidi w:val="0"/>
              <w:spacing w:before="0" w:after="283"/>
              <w:jc w:val="right"/>
              <w:rPr/>
            </w:pPr>
            <w:r>
              <w:rPr>
                <w:sz w:val="15"/>
              </w:rPr>
              <w:t>(2)</w:t>
            </w:r>
            <w:r>
              <w:rPr/>
              <w:t> </w:t>
            </w:r>
          </w:p>
        </w:tc>
        <w:tc>
          <w:tcPr>
            <w:tcW w:w="60" w:type="dxa"/>
            <w:tcBorders/>
            <w:shd w:fill="CCE2F1" w:val="clear"/>
            <w:vAlign w:val="center"/>
          </w:tcPr>
          <w:p>
            <w:pPr>
              <w:pStyle w:val="TableContents"/>
              <w:bidi w:val="0"/>
              <w:spacing w:before="0" w:after="283"/>
              <w:jc w:val="left"/>
              <w:rPr/>
            </w:pPr>
            <w:r>
              <w:rPr/>
              <w:t> </w:t>
            </w:r>
          </w:p>
        </w:tc>
        <w:tc>
          <w:tcPr>
            <w:tcW w:w="485" w:type="dxa"/>
            <w:tcBorders/>
            <w:shd w:fill="CCE2F1" w:val="clear"/>
            <w:vAlign w:val="center"/>
          </w:tcPr>
          <w:p>
            <w:pPr>
              <w:pStyle w:val="TableContents"/>
              <w:bidi w:val="0"/>
              <w:spacing w:before="0" w:after="283"/>
              <w:jc w:val="right"/>
              <w:rPr/>
            </w:pPr>
            <w:r>
              <w:rPr>
                <w:sz w:val="15"/>
              </w:rPr>
              <w:t>(2)</w:t>
            </w: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10" w:type="dxa"/>
            <w:tcBorders/>
            <w:shd w:fill="CCE2F1" w:val="clear"/>
            <w:vAlign w:val="center"/>
          </w:tcPr>
          <w:p>
            <w:pPr>
              <w:pStyle w:val="TableContents"/>
              <w:bidi w:val="0"/>
              <w:spacing w:before="0" w:after="283"/>
              <w:jc w:val="right"/>
              <w:rPr>
                <w:sz w:val="15"/>
              </w:rPr>
            </w:pPr>
            <w:r>
              <w:rPr>
                <w:sz w:val="15"/>
              </w:rPr>
              <w:t>7,525,500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5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44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130" w:type="dxa"/>
            <w:tcBorders/>
            <w:shd w:fill="CCE2F1" w:val="clear"/>
            <w:vAlign w:val="center"/>
          </w:tcPr>
          <w:p>
            <w:pPr>
              <w:pStyle w:val="TableContents"/>
              <w:bidi w:val="0"/>
              <w:spacing w:before="0" w:after="283"/>
              <w:jc w:val="left"/>
              <w:rPr>
                <w:sz w:val="4"/>
                <w:szCs w:val="4"/>
              </w:rPr>
            </w:pPr>
            <w:r>
              <w:rPr>
                <w:sz w:val="4"/>
                <w:szCs w:val="4"/>
              </w:rPr>
            </w:r>
          </w:p>
        </w:tc>
        <w:tc>
          <w:tcPr>
            <w:tcW w:w="13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81" w:type="dxa"/>
            <w:tcBorders/>
            <w:shd w:fill="CCE2F1" w:val="clear"/>
            <w:vAlign w:val="center"/>
          </w:tcPr>
          <w:p>
            <w:pPr>
              <w:pStyle w:val="TableContents"/>
              <w:bidi w:val="0"/>
              <w:spacing w:before="0" w:after="283"/>
              <w:jc w:val="left"/>
              <w:rPr>
                <w:sz w:val="4"/>
                <w:szCs w:val="4"/>
              </w:rPr>
            </w:pPr>
            <w:r>
              <w:rPr>
                <w:sz w:val="4"/>
                <w:szCs w:val="4"/>
              </w:rPr>
            </w:r>
          </w:p>
        </w:tc>
        <w:tc>
          <w:tcPr>
            <w:tcW w:w="599"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92" w:type="dxa"/>
            <w:tcBorders/>
            <w:shd w:fill="CCE2F1" w:val="clear"/>
            <w:vAlign w:val="center"/>
          </w:tcPr>
          <w:p>
            <w:pPr>
              <w:pStyle w:val="TableContents"/>
              <w:bidi w:val="0"/>
              <w:spacing w:before="0" w:after="283"/>
              <w:jc w:val="left"/>
              <w:rPr>
                <w:sz w:val="4"/>
                <w:szCs w:val="4"/>
              </w:rPr>
            </w:pPr>
            <w:r>
              <w:rPr>
                <w:sz w:val="4"/>
                <w:szCs w:val="4"/>
              </w:rPr>
            </w:r>
          </w:p>
        </w:tc>
        <w:tc>
          <w:tcPr>
            <w:tcW w:w="678"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85" w:type="dxa"/>
            <w:tcBorders/>
            <w:shd w:fill="CCE2F1" w:val="clear"/>
            <w:vAlign w:val="center"/>
          </w:tcPr>
          <w:p>
            <w:pPr>
              <w:pStyle w:val="TableContents"/>
              <w:bidi w:val="0"/>
              <w:spacing w:before="0" w:after="283"/>
              <w:jc w:val="left"/>
              <w:rPr>
                <w:sz w:val="4"/>
                <w:szCs w:val="4"/>
              </w:rPr>
            </w:pPr>
            <w:r>
              <w:rPr>
                <w:sz w:val="4"/>
                <w:szCs w:val="4"/>
              </w:rPr>
            </w:r>
          </w:p>
        </w:tc>
        <w:tc>
          <w:tcPr>
            <w:tcW w:w="73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81" w:type="dxa"/>
            <w:tcBorders/>
            <w:shd w:fill="CCE2F1" w:val="clear"/>
            <w:vAlign w:val="center"/>
          </w:tcPr>
          <w:p>
            <w:pPr>
              <w:pStyle w:val="TableContents"/>
              <w:bidi w:val="0"/>
              <w:spacing w:before="0" w:after="283"/>
              <w:jc w:val="left"/>
              <w:rPr>
                <w:sz w:val="4"/>
                <w:szCs w:val="4"/>
              </w:rPr>
            </w:pPr>
            <w:r>
              <w:rPr>
                <w:sz w:val="4"/>
                <w:szCs w:val="4"/>
              </w:rPr>
            </w:r>
          </w:p>
        </w:tc>
        <w:tc>
          <w:tcPr>
            <w:tcW w:w="599"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70" w:type="dxa"/>
            <w:tcBorders/>
            <w:shd w:fill="CCE2F1" w:val="clear"/>
            <w:vAlign w:val="center"/>
          </w:tcPr>
          <w:p>
            <w:pPr>
              <w:pStyle w:val="TableContents"/>
              <w:bidi w:val="0"/>
              <w:spacing w:before="0" w:after="283"/>
              <w:jc w:val="left"/>
              <w:rPr>
                <w:sz w:val="4"/>
                <w:szCs w:val="4"/>
              </w:rPr>
            </w:pPr>
            <w:r>
              <w:rPr>
                <w:sz w:val="4"/>
                <w:szCs w:val="4"/>
              </w:rPr>
            </w:r>
          </w:p>
        </w:tc>
        <w:tc>
          <w:tcPr>
            <w:tcW w:w="745" w:type="dxa"/>
            <w:tcBorders/>
            <w:shd w:fill="CCE2F1" w:val="clear"/>
            <w:vAlign w:val="center"/>
          </w:tcPr>
          <w:p>
            <w:pPr>
              <w:pStyle w:val="TableContents"/>
              <w:bidi w:val="0"/>
              <w:spacing w:before="0" w:after="283"/>
              <w:jc w:val="left"/>
              <w:rPr>
                <w:sz w:val="4"/>
                <w:szCs w:val="4"/>
              </w:rPr>
            </w:pPr>
            <w:r>
              <w:rPr>
                <w:sz w:val="4"/>
                <w:szCs w:val="4"/>
              </w:rPr>
            </w:r>
          </w:p>
        </w:tc>
        <w:tc>
          <w:tcPr>
            <w:tcW w:w="215" w:type="dxa"/>
            <w:tcBorders/>
            <w:shd w:fill="CCE2F1" w:val="clear"/>
            <w:vAlign w:val="center"/>
          </w:tcPr>
          <w:p>
            <w:pPr>
              <w:pStyle w:val="TableContents"/>
              <w:bidi w:val="0"/>
              <w:spacing w:before="0" w:after="283"/>
              <w:jc w:val="left"/>
              <w:rPr>
                <w:sz w:val="4"/>
                <w:szCs w:val="4"/>
              </w:rPr>
            </w:pPr>
            <w:r>
              <w:rPr>
                <w:sz w:val="4"/>
                <w:szCs w:val="4"/>
              </w:rPr>
            </w:r>
          </w:p>
        </w:tc>
      </w:tr>
      <w:tr>
        <w:trPr/>
        <w:tc>
          <w:tcPr>
            <w:tcW w:w="156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365" w:type="dxa"/>
            <w:tcBorders/>
            <w:shd w:fill="CCE2F1" w:val="clear"/>
            <w:vAlign w:val="center"/>
          </w:tcPr>
          <w:p>
            <w:pPr>
              <w:pStyle w:val="TableContents"/>
              <w:bidi w:val="0"/>
              <w:spacing w:before="0" w:after="283"/>
              <w:jc w:val="right"/>
              <w:rPr>
                <w:sz w:val="15"/>
              </w:rPr>
            </w:pPr>
            <w:r>
              <w:rPr>
                <w:sz w:val="15"/>
              </w:rPr>
              <w:t>5/2/2023</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7" w:type="dxa"/>
            <w:tcBorders/>
            <w:shd w:fill="CCE2F1" w:val="clear"/>
            <w:vAlign w:val="center"/>
          </w:tcPr>
          <w:p>
            <w:pPr>
              <w:pStyle w:val="TableContents"/>
              <w:bidi w:val="0"/>
              <w:spacing w:before="0" w:after="283"/>
              <w:jc w:val="left"/>
              <w:rPr/>
            </w:pPr>
            <w:r>
              <w:rPr/>
              <w:t> </w:t>
            </w:r>
          </w:p>
        </w:tc>
        <w:tc>
          <w:tcPr>
            <w:tcW w:w="573" w:type="dxa"/>
            <w:tcBorders/>
            <w:shd w:fill="CCE2F1" w:val="clear"/>
            <w:vAlign w:val="center"/>
          </w:tcPr>
          <w:p>
            <w:pPr>
              <w:pStyle w:val="TableContents"/>
              <w:bidi w:val="0"/>
              <w:spacing w:before="0" w:after="283"/>
              <w:jc w:val="right"/>
              <w:rPr>
                <w:sz w:val="15"/>
              </w:rPr>
            </w:pPr>
            <w:r>
              <w:rPr>
                <w:sz w:val="15"/>
              </w:rPr>
              <w:t>3/6/2023</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5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48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71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755" w:type="dxa"/>
            <w:tcBorders/>
            <w:shd w:fill="CCE2F1" w:val="clear"/>
            <w:vAlign w:val="center"/>
          </w:tcPr>
          <w:p>
            <w:pPr>
              <w:pStyle w:val="TableContents"/>
              <w:bidi w:val="0"/>
              <w:spacing w:before="0" w:after="283"/>
              <w:jc w:val="right"/>
              <w:rPr/>
            </w:pPr>
            <w:r>
              <w:rPr>
                <w:sz w:val="15"/>
              </w:rPr>
              <w:t>(3)</w:t>
            </w: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440" w:type="dxa"/>
            <w:tcBorders/>
            <w:shd w:fill="CCE2F1" w:val="clear"/>
            <w:vAlign w:val="center"/>
          </w:tcPr>
          <w:p>
            <w:pPr>
              <w:pStyle w:val="TableContents"/>
              <w:bidi w:val="0"/>
              <w:spacing w:before="0" w:after="283"/>
              <w:jc w:val="right"/>
              <w:rPr>
                <w:sz w:val="15"/>
              </w:rPr>
            </w:pPr>
            <w:r>
              <w:rPr>
                <w:sz w:val="15"/>
              </w:rPr>
              <w:t>8,317</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30" w:type="dxa"/>
            <w:tcBorders/>
            <w:shd w:fill="CCE2F1" w:val="clear"/>
            <w:vAlign w:val="center"/>
          </w:tcPr>
          <w:p>
            <w:pPr>
              <w:pStyle w:val="TableContents"/>
              <w:bidi w:val="0"/>
              <w:spacing w:before="0" w:after="283"/>
              <w:jc w:val="left"/>
              <w:rPr>
                <w:sz w:val="4"/>
                <w:szCs w:val="4"/>
              </w:rPr>
            </w:pPr>
            <w:r>
              <w:rPr>
                <w:sz w:val="4"/>
                <w:szCs w:val="4"/>
              </w:rPr>
            </w:r>
          </w:p>
        </w:tc>
        <w:tc>
          <w:tcPr>
            <w:tcW w:w="13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81" w:type="dxa"/>
            <w:tcBorders/>
            <w:shd w:fill="CCE2F1" w:val="clear"/>
            <w:vAlign w:val="center"/>
          </w:tcPr>
          <w:p>
            <w:pPr>
              <w:pStyle w:val="TableContents"/>
              <w:bidi w:val="0"/>
              <w:spacing w:before="0" w:after="283"/>
              <w:jc w:val="left"/>
              <w:rPr/>
            </w:pPr>
            <w:r>
              <w:rPr/>
              <w:t> </w:t>
            </w:r>
          </w:p>
        </w:tc>
        <w:tc>
          <w:tcPr>
            <w:tcW w:w="599" w:type="dxa"/>
            <w:tcBorders/>
            <w:shd w:fill="CCE2F1" w:val="clear"/>
            <w:vAlign w:val="center"/>
          </w:tcPr>
          <w:p>
            <w:pPr>
              <w:pStyle w:val="TableContents"/>
              <w:bidi w:val="0"/>
              <w:spacing w:before="0" w:after="283"/>
              <w:jc w:val="right"/>
              <w:rPr>
                <w:sz w:val="15"/>
              </w:rPr>
            </w:pPr>
            <w:r>
              <w:rPr>
                <w:sz w:val="15"/>
              </w:rPr>
              <w:t>16,634</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92" w:type="dxa"/>
            <w:tcBorders/>
            <w:shd w:fill="CCE2F1" w:val="clear"/>
            <w:vAlign w:val="center"/>
          </w:tcPr>
          <w:p>
            <w:pPr>
              <w:pStyle w:val="TableContents"/>
              <w:bidi w:val="0"/>
              <w:spacing w:before="0" w:after="283"/>
              <w:jc w:val="left"/>
              <w:rPr>
                <w:sz w:val="4"/>
                <w:szCs w:val="4"/>
              </w:rPr>
            </w:pPr>
            <w:r>
              <w:rPr>
                <w:sz w:val="4"/>
                <w:szCs w:val="4"/>
              </w:rPr>
            </w:r>
          </w:p>
        </w:tc>
        <w:tc>
          <w:tcPr>
            <w:tcW w:w="678"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85" w:type="dxa"/>
            <w:tcBorders/>
            <w:shd w:fill="CCE2F1" w:val="clear"/>
            <w:vAlign w:val="center"/>
          </w:tcPr>
          <w:p>
            <w:pPr>
              <w:pStyle w:val="TableContents"/>
              <w:bidi w:val="0"/>
              <w:spacing w:before="0" w:after="283"/>
              <w:jc w:val="left"/>
              <w:rPr>
                <w:sz w:val="4"/>
                <w:szCs w:val="4"/>
              </w:rPr>
            </w:pPr>
            <w:r>
              <w:rPr>
                <w:sz w:val="4"/>
                <w:szCs w:val="4"/>
              </w:rPr>
            </w:r>
          </w:p>
        </w:tc>
        <w:tc>
          <w:tcPr>
            <w:tcW w:w="73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81" w:type="dxa"/>
            <w:tcBorders/>
            <w:shd w:fill="CCE2F1" w:val="clear"/>
            <w:vAlign w:val="center"/>
          </w:tcPr>
          <w:p>
            <w:pPr>
              <w:pStyle w:val="TableContents"/>
              <w:bidi w:val="0"/>
              <w:spacing w:before="0" w:after="283"/>
              <w:jc w:val="left"/>
              <w:rPr>
                <w:sz w:val="4"/>
                <w:szCs w:val="4"/>
              </w:rPr>
            </w:pPr>
            <w:r>
              <w:rPr>
                <w:sz w:val="4"/>
                <w:szCs w:val="4"/>
              </w:rPr>
            </w:r>
          </w:p>
        </w:tc>
        <w:tc>
          <w:tcPr>
            <w:tcW w:w="599"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70" w:type="dxa"/>
            <w:tcBorders/>
            <w:shd w:fill="CCE2F1" w:val="clear"/>
            <w:vAlign w:val="center"/>
          </w:tcPr>
          <w:p>
            <w:pPr>
              <w:pStyle w:val="TableContents"/>
              <w:bidi w:val="0"/>
              <w:spacing w:before="0" w:after="283"/>
              <w:jc w:val="left"/>
              <w:rPr/>
            </w:pPr>
            <w:r>
              <w:rPr/>
              <w:t> </w:t>
            </w:r>
          </w:p>
        </w:tc>
        <w:tc>
          <w:tcPr>
            <w:tcW w:w="745" w:type="dxa"/>
            <w:tcBorders/>
            <w:shd w:fill="CCE2F1" w:val="clear"/>
            <w:vAlign w:val="center"/>
          </w:tcPr>
          <w:p>
            <w:pPr>
              <w:pStyle w:val="TableContents"/>
              <w:bidi w:val="0"/>
              <w:spacing w:before="0" w:after="283"/>
              <w:jc w:val="right"/>
              <w:rPr>
                <w:sz w:val="15"/>
              </w:rPr>
            </w:pPr>
            <w:r>
              <w:rPr>
                <w:sz w:val="15"/>
              </w:rPr>
              <w:t>2,099,959</w:t>
            </w:r>
          </w:p>
        </w:tc>
        <w:tc>
          <w:tcPr>
            <w:tcW w:w="215" w:type="dxa"/>
            <w:tcBorders/>
            <w:shd w:fill="CCE2F1" w:val="clear"/>
            <w:vAlign w:val="center"/>
          </w:tcPr>
          <w:p>
            <w:pPr>
              <w:pStyle w:val="TableContents"/>
              <w:bidi w:val="0"/>
              <w:spacing w:before="0" w:after="283"/>
              <w:jc w:val="left"/>
              <w:rPr/>
            </w:pPr>
            <w:r>
              <w:rPr/>
              <w:t> </w:t>
            </w:r>
            <w:r>
              <w:rPr>
                <w:sz w:val="15"/>
              </w:rPr>
              <w:t>(6) </w:t>
            </w:r>
          </w:p>
        </w:tc>
      </w:tr>
      <w:tr>
        <w:trPr/>
        <w:tc>
          <w:tcPr>
            <w:tcW w:w="156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365" w:type="dxa"/>
            <w:tcBorders/>
            <w:shd w:fill="CCE2F1" w:val="clear"/>
            <w:vAlign w:val="center"/>
          </w:tcPr>
          <w:p>
            <w:pPr>
              <w:pStyle w:val="TableContents"/>
              <w:bidi w:val="0"/>
              <w:spacing w:before="0" w:after="283"/>
              <w:jc w:val="right"/>
              <w:rPr>
                <w:sz w:val="15"/>
              </w:rPr>
            </w:pPr>
            <w:r>
              <w:rPr>
                <w:sz w:val="15"/>
              </w:rPr>
              <w:t>5/2/2023</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7" w:type="dxa"/>
            <w:tcBorders/>
            <w:shd w:fill="CCE2F1" w:val="clear"/>
            <w:vAlign w:val="center"/>
          </w:tcPr>
          <w:p>
            <w:pPr>
              <w:pStyle w:val="TableContents"/>
              <w:bidi w:val="0"/>
              <w:spacing w:before="0" w:after="283"/>
              <w:jc w:val="left"/>
              <w:rPr/>
            </w:pPr>
            <w:r>
              <w:rPr/>
              <w:t> </w:t>
            </w:r>
          </w:p>
        </w:tc>
        <w:tc>
          <w:tcPr>
            <w:tcW w:w="573" w:type="dxa"/>
            <w:tcBorders/>
            <w:shd w:fill="CCE2F1" w:val="clear"/>
            <w:vAlign w:val="center"/>
          </w:tcPr>
          <w:p>
            <w:pPr>
              <w:pStyle w:val="TableContents"/>
              <w:bidi w:val="0"/>
              <w:spacing w:before="0" w:after="283"/>
              <w:jc w:val="right"/>
              <w:rPr>
                <w:sz w:val="15"/>
              </w:rPr>
            </w:pPr>
            <w:r>
              <w:rPr>
                <w:sz w:val="15"/>
              </w:rPr>
              <w:t>3/6/2023</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5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48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71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75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44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130" w:type="dxa"/>
            <w:tcBorders/>
            <w:shd w:fill="CCE2F1" w:val="clear"/>
            <w:vAlign w:val="center"/>
          </w:tcPr>
          <w:p>
            <w:pPr>
              <w:pStyle w:val="TableContents"/>
              <w:bidi w:val="0"/>
              <w:spacing w:before="0" w:after="283"/>
              <w:jc w:val="left"/>
              <w:rPr>
                <w:sz w:val="4"/>
                <w:szCs w:val="4"/>
              </w:rPr>
            </w:pPr>
            <w:r>
              <w:rPr>
                <w:sz w:val="4"/>
                <w:szCs w:val="4"/>
              </w:rPr>
            </w:r>
          </w:p>
        </w:tc>
        <w:tc>
          <w:tcPr>
            <w:tcW w:w="13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81" w:type="dxa"/>
            <w:tcBorders/>
            <w:shd w:fill="CCE2F1" w:val="clear"/>
            <w:vAlign w:val="center"/>
          </w:tcPr>
          <w:p>
            <w:pPr>
              <w:pStyle w:val="TableContents"/>
              <w:bidi w:val="0"/>
              <w:spacing w:before="0" w:after="283"/>
              <w:jc w:val="left"/>
              <w:rPr>
                <w:sz w:val="4"/>
                <w:szCs w:val="4"/>
              </w:rPr>
            </w:pPr>
            <w:r>
              <w:rPr>
                <w:sz w:val="4"/>
                <w:szCs w:val="4"/>
              </w:rPr>
            </w:r>
          </w:p>
        </w:tc>
        <w:tc>
          <w:tcPr>
            <w:tcW w:w="599"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92" w:type="dxa"/>
            <w:tcBorders/>
            <w:shd w:fill="CCE2F1" w:val="clear"/>
            <w:vAlign w:val="center"/>
          </w:tcPr>
          <w:p>
            <w:pPr>
              <w:pStyle w:val="TableContents"/>
              <w:bidi w:val="0"/>
              <w:spacing w:before="0" w:after="283"/>
              <w:jc w:val="left"/>
              <w:rPr/>
            </w:pPr>
            <w:r>
              <w:rPr/>
              <w:t> </w:t>
            </w:r>
          </w:p>
        </w:tc>
        <w:tc>
          <w:tcPr>
            <w:tcW w:w="678" w:type="dxa"/>
            <w:tcBorders/>
            <w:shd w:fill="CCE2F1" w:val="clear"/>
            <w:vAlign w:val="center"/>
          </w:tcPr>
          <w:p>
            <w:pPr>
              <w:pStyle w:val="TableContents"/>
              <w:bidi w:val="0"/>
              <w:spacing w:before="0" w:after="283"/>
              <w:jc w:val="right"/>
              <w:rPr>
                <w:sz w:val="15"/>
              </w:rPr>
            </w:pPr>
            <w:r>
              <w:rPr>
                <w:sz w:val="15"/>
              </w:rPr>
              <w:t>3,559</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85" w:type="dxa"/>
            <w:tcBorders/>
            <w:shd w:fill="CCE2F1" w:val="clear"/>
            <w:vAlign w:val="center"/>
          </w:tcPr>
          <w:p>
            <w:pPr>
              <w:pStyle w:val="TableContents"/>
              <w:bidi w:val="0"/>
              <w:spacing w:before="0" w:after="283"/>
              <w:jc w:val="left"/>
              <w:rPr>
                <w:sz w:val="4"/>
                <w:szCs w:val="4"/>
              </w:rPr>
            </w:pPr>
            <w:r>
              <w:rPr>
                <w:sz w:val="4"/>
                <w:szCs w:val="4"/>
              </w:rPr>
            </w:r>
          </w:p>
        </w:tc>
        <w:tc>
          <w:tcPr>
            <w:tcW w:w="73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81" w:type="dxa"/>
            <w:tcBorders/>
            <w:shd w:fill="CCE2F1" w:val="clear"/>
            <w:vAlign w:val="center"/>
          </w:tcPr>
          <w:p>
            <w:pPr>
              <w:pStyle w:val="TableContents"/>
              <w:bidi w:val="0"/>
              <w:spacing w:before="0" w:after="283"/>
              <w:jc w:val="left"/>
              <w:rPr>
                <w:sz w:val="4"/>
                <w:szCs w:val="4"/>
              </w:rPr>
            </w:pPr>
            <w:r>
              <w:rPr>
                <w:sz w:val="4"/>
                <w:szCs w:val="4"/>
              </w:rPr>
            </w:r>
          </w:p>
        </w:tc>
        <w:tc>
          <w:tcPr>
            <w:tcW w:w="599"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70" w:type="dxa"/>
            <w:tcBorders/>
            <w:shd w:fill="CCE2F1" w:val="clear"/>
            <w:vAlign w:val="center"/>
          </w:tcPr>
          <w:p>
            <w:pPr>
              <w:pStyle w:val="TableContents"/>
              <w:bidi w:val="0"/>
              <w:spacing w:before="0" w:after="283"/>
              <w:jc w:val="left"/>
              <w:rPr/>
            </w:pPr>
            <w:r>
              <w:rPr/>
              <w:t> </w:t>
            </w:r>
          </w:p>
        </w:tc>
        <w:tc>
          <w:tcPr>
            <w:tcW w:w="745" w:type="dxa"/>
            <w:tcBorders/>
            <w:shd w:fill="CCE2F1" w:val="clear"/>
            <w:vAlign w:val="center"/>
          </w:tcPr>
          <w:p>
            <w:pPr>
              <w:pStyle w:val="TableContents"/>
              <w:bidi w:val="0"/>
              <w:spacing w:before="0" w:after="283"/>
              <w:jc w:val="right"/>
              <w:rPr>
                <w:sz w:val="15"/>
              </w:rPr>
            </w:pPr>
            <w:r>
              <w:rPr>
                <w:sz w:val="15"/>
              </w:rPr>
              <w:t>839,817</w:t>
            </w:r>
          </w:p>
        </w:tc>
        <w:tc>
          <w:tcPr>
            <w:tcW w:w="215" w:type="dxa"/>
            <w:tcBorders/>
            <w:shd w:fill="CCE2F1" w:val="clear"/>
            <w:vAlign w:val="center"/>
          </w:tcPr>
          <w:p>
            <w:pPr>
              <w:pStyle w:val="TableContents"/>
              <w:bidi w:val="0"/>
              <w:spacing w:before="0" w:after="283"/>
              <w:jc w:val="left"/>
              <w:rPr/>
            </w:pPr>
            <w:r>
              <w:rPr/>
              <w:t> </w:t>
            </w:r>
            <w:r>
              <w:rPr>
                <w:sz w:val="15"/>
              </w:rPr>
              <w:t>(7) </w:t>
            </w:r>
          </w:p>
        </w:tc>
      </w:tr>
      <w:tr>
        <w:trPr/>
        <w:tc>
          <w:tcPr>
            <w:tcW w:w="1565"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365" w:type="dxa"/>
            <w:tcBorders>
              <w:bottom w:val="single" w:sz="8" w:space="0" w:color="0171B9"/>
            </w:tcBorders>
            <w:shd w:fill="CCE2F1" w:val="clear"/>
            <w:tcMar>
              <w:bottom w:w="28" w:type="dxa"/>
            </w:tcMar>
            <w:vAlign w:val="center"/>
          </w:tcPr>
          <w:p>
            <w:pPr>
              <w:pStyle w:val="TableContents"/>
              <w:bidi w:val="0"/>
              <w:spacing w:before="0" w:after="283"/>
              <w:jc w:val="right"/>
              <w:rPr>
                <w:sz w:val="15"/>
              </w:rPr>
            </w:pPr>
            <w:r>
              <w:rPr>
                <w:sz w:val="15"/>
              </w:rPr>
              <w:t>5/2/2023</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107"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573" w:type="dxa"/>
            <w:tcBorders>
              <w:bottom w:val="single" w:sz="8" w:space="0" w:color="0171B9"/>
            </w:tcBorders>
            <w:shd w:fill="CCE2F1" w:val="clear"/>
            <w:tcMar>
              <w:bottom w:w="28" w:type="dxa"/>
            </w:tcMar>
            <w:vAlign w:val="center"/>
          </w:tcPr>
          <w:p>
            <w:pPr>
              <w:pStyle w:val="TableContents"/>
              <w:bidi w:val="0"/>
              <w:spacing w:before="0" w:after="283"/>
              <w:jc w:val="right"/>
              <w:rPr>
                <w:sz w:val="15"/>
              </w:rPr>
            </w:pPr>
            <w:r>
              <w:rPr>
                <w:sz w:val="15"/>
              </w:rPr>
              <w:t>3/6/2023</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755"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485"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71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755"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44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13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13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81"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599"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92"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78"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85"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730" w:type="dxa"/>
            <w:tcBorders>
              <w:bottom w:val="single" w:sz="8" w:space="0" w:color="0171B9"/>
            </w:tcBorders>
            <w:shd w:fill="CCE2F1" w:val="clear"/>
            <w:tcMar>
              <w:bottom w:w="28" w:type="dxa"/>
            </w:tcMar>
            <w:vAlign w:val="center"/>
          </w:tcPr>
          <w:p>
            <w:pPr>
              <w:pStyle w:val="TableContents"/>
              <w:bidi w:val="0"/>
              <w:spacing w:before="0" w:after="283"/>
              <w:jc w:val="right"/>
              <w:rPr>
                <w:sz w:val="15"/>
              </w:rPr>
            </w:pPr>
            <w:r>
              <w:rPr>
                <w:sz w:val="15"/>
              </w:rPr>
              <w:t>30,100</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81"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599" w:type="dxa"/>
            <w:tcBorders>
              <w:bottom w:val="single" w:sz="8" w:space="0" w:color="0171B9"/>
            </w:tcBorders>
            <w:shd w:fill="CCE2F1" w:val="clear"/>
            <w:tcMar>
              <w:bottom w:w="28" w:type="dxa"/>
            </w:tcMar>
            <w:vAlign w:val="center"/>
          </w:tcPr>
          <w:p>
            <w:pPr>
              <w:pStyle w:val="TableContents"/>
              <w:bidi w:val="0"/>
              <w:spacing w:before="0" w:after="283"/>
              <w:jc w:val="right"/>
              <w:rPr>
                <w:sz w:val="15"/>
              </w:rPr>
            </w:pPr>
            <w:r>
              <w:rPr>
                <w:sz w:val="15"/>
              </w:rPr>
              <w:t>235.97</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7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745" w:type="dxa"/>
            <w:tcBorders>
              <w:bottom w:val="single" w:sz="8" w:space="0" w:color="0171B9"/>
            </w:tcBorders>
            <w:shd w:fill="CCE2F1" w:val="clear"/>
            <w:tcMar>
              <w:bottom w:w="28" w:type="dxa"/>
            </w:tcMar>
            <w:vAlign w:val="center"/>
          </w:tcPr>
          <w:p>
            <w:pPr>
              <w:pStyle w:val="TableContents"/>
              <w:bidi w:val="0"/>
              <w:spacing w:before="0" w:after="283"/>
              <w:jc w:val="right"/>
              <w:rPr>
                <w:sz w:val="15"/>
              </w:rPr>
            </w:pPr>
            <w:r>
              <w:rPr>
                <w:sz w:val="15"/>
              </w:rPr>
              <w:t>1,259,986</w:t>
            </w:r>
          </w:p>
        </w:tc>
        <w:tc>
          <w:tcPr>
            <w:tcW w:w="215"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r>
              <w:rPr>
                <w:sz w:val="15"/>
              </w:rPr>
              <w:t>(8) </w:t>
            </w:r>
          </w:p>
        </w:tc>
      </w:tr>
    </w:tbl>
    <w:p>
      <w:pPr>
        <w:pStyle w:val="TextBody"/>
        <w:bidi w:val="0"/>
        <w:spacing w:before="0" w:after="0"/>
        <w:jc w:val="left"/>
        <w:rPr/>
      </w:pPr>
      <w:r>
        <w:rPr/>
        <w:t> </w:t>
      </w:r>
    </w:p>
    <w:tbl>
      <w:tblPr>
        <w:tblW w:w="6745" w:type="dxa"/>
        <w:jc w:val="left"/>
        <w:tblInd w:w="0" w:type="dxa"/>
        <w:tblLayout w:type="fixed"/>
        <w:tblCellMar>
          <w:top w:w="0" w:type="dxa"/>
          <w:left w:w="0" w:type="dxa"/>
          <w:bottom w:w="0" w:type="dxa"/>
          <w:right w:w="0" w:type="dxa"/>
        </w:tblCellMar>
      </w:tblPr>
      <w:tblGrid>
        <w:gridCol w:w="365"/>
        <w:gridCol w:w="6380"/>
      </w:tblGrid>
      <w:tr>
        <w:trPr/>
        <w:tc>
          <w:tcPr>
            <w:tcW w:w="365" w:type="dxa"/>
            <w:tcBorders/>
            <w:vAlign w:val="center"/>
          </w:tcPr>
          <w:p>
            <w:pPr>
              <w:pStyle w:val="TableContents"/>
              <w:bidi w:val="0"/>
              <w:spacing w:before="0" w:after="283"/>
              <w:jc w:val="left"/>
              <w:rPr/>
            </w:pPr>
            <w:r>
              <w:rPr/>
              <w:t>(1) </w:t>
            </w:r>
          </w:p>
        </w:tc>
        <w:tc>
          <w:tcPr>
            <w:tcW w:w="6380" w:type="dxa"/>
            <w:tcBorders/>
            <w:vAlign w:val="center"/>
          </w:tcPr>
          <w:p>
            <w:pPr>
              <w:pStyle w:val="TableContents"/>
              <w:bidi w:val="0"/>
              <w:spacing w:before="0" w:after="0"/>
              <w:jc w:val="both"/>
              <w:rPr>
                <w:rFonts w:ascii="arial" w:hAnsi="arial"/>
                <w:sz w:val="16"/>
              </w:rPr>
            </w:pPr>
            <w:r>
              <w:rPr>
                <w:rFonts w:ascii="arial" w:hAnsi="arial"/>
                <w:sz w:val="16"/>
              </w:rPr>
              <w:t xml:space="preserve">Reflects the date on which the grants were approved by the Compensation Committee.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(2) </w:t>
            </w:r>
          </w:p>
        </w:tc>
        <w:tc>
          <w:tcPr>
            <w:tcW w:w="9957" w:type="dxa"/>
            <w:tcBorders/>
            <w:vAlign w:val="center"/>
          </w:tcPr>
          <w:p>
            <w:pPr>
              <w:pStyle w:val="TableContents"/>
              <w:bidi w:val="0"/>
              <w:spacing w:before="0" w:after="0"/>
              <w:jc w:val="both"/>
              <w:rPr>
                <w:rFonts w:ascii="arial" w:hAnsi="arial"/>
                <w:sz w:val="16"/>
              </w:rPr>
            </w:pPr>
            <w:r>
              <w:rPr>
                <w:rFonts w:ascii="arial" w:hAnsi="arial"/>
                <w:sz w:val="16"/>
              </w:rPr>
              <w:t xml:space="preserve">Represents awards to our NEOs made under our EIP. For our EIP participants, the “maximum” amounts shown in the table above reflect the largest possible payments under our EIP for the 2023 performance period, based on non-Generally Accepted Accounting Principles, or non-GAAP, net income, as defined for the EIP and reported and reconciled in </w:t>
            </w:r>
            <w:r>
              <w:rPr>
                <w:rFonts w:ascii="arial" w:hAnsi="arial"/>
                <w:b/>
                <w:sz w:val="16"/>
              </w:rPr>
              <w:t>Appendix B</w:t>
            </w:r>
            <w:r>
              <w:rPr>
                <w:rFonts w:ascii="arial" w:hAnsi="arial"/>
                <w:sz w:val="16"/>
              </w:rPr>
              <w:t xml:space="preserve">. There are no thresholds or targets under the EIP. The EIP provides that the Compensation Committee may use “negative discretion” to award any amount that does not exceed the maximum. Consistent with its practice since the EIP was approved by our stockholders, the Compensation Committee employed the pre-established Company performance goals under our Global Management Incentive Plan, or GMIP, as illustrated in the table below, in determining the actual amounts awarded under the EIP in 2023. </w:t>
            </w:r>
          </w:p>
        </w:tc>
      </w:tr>
    </w:tbl>
    <w:p>
      <w:pPr>
        <w:pStyle w:val="TextBody"/>
        <w:bidi w:val="0"/>
        <w:spacing w:before="0" w:after="0"/>
        <w:jc w:val="both"/>
        <w:rPr>
          <w:rFonts w:ascii="arial" w:hAnsi="arial"/>
          <w:sz w:val="16"/>
        </w:rPr>
      </w:pPr>
      <w:r>
        <w:rPr>
          <w:rFonts w:ascii="arial" w:hAnsi="arial"/>
          <w:sz w:val="16"/>
        </w:rPr>
        <w:t xml:space="preserve">Our 2023 Company performance goals under the GMIP were financial and operating performance goals weighted as follows: (1) Deliver Results (60%)—30% Revenues and 30% Non-GAAP Net Income (as reported and reconciled in </w:t>
      </w:r>
      <w:r>
        <w:rPr>
          <w:rFonts w:ascii="arial" w:hAnsi="arial"/>
          <w:b/>
          <w:sz w:val="16"/>
        </w:rPr>
        <w:t>Appendix B</w:t>
      </w:r>
      <w:r>
        <w:rPr>
          <w:rFonts w:ascii="arial" w:hAnsi="arial"/>
          <w:sz w:val="16"/>
        </w:rPr>
        <w:t>); (2) Progress Innovative Pipeline (30%); and (3) Deliver Annual Priorities (10%). There are no payouts for below-threshold performance on any of our Company financial performance goals. Threshold performance on our “Deliver Results” and “Progress Innovative Pipeline” goals results in 50% earned for those metrics. Certain measurements of performance for the non-financial metrics are more subjective in nature and could result in a very small payout percentage (less than 1% of an annual cash incentive award) and, as such, no threshold amounts are shown in the tables. The 2023 Company performance goals under the GMIP at target and maximum payout levels, which are based on a multiple of salary, are shown in the table below. Maximum performance under all of the performance metrics results in 225% of target payout opportunity being earned. The actual amounts awarded under our Company operating performance goals for 2023 were based on achievement of 159.3% performance against target and are reported as “Non-Equity Incentive Plan Compensation” in our “Summary Compensation Table” and are shown in the table below. For a description of our pre-established Company performance goals and the use of the GMIP in the Compensation Committee’s exercise of negative discretion see “Elements of Compensation and Specific Compensation Decisions—</w:t>
      </w:r>
      <w:r>
        <w:rPr>
          <w:rFonts w:ascii="arial" w:hAnsi="arial"/>
          <w:i/>
          <w:sz w:val="16"/>
        </w:rPr>
        <w:t>Annual Cash Incentive Awards</w:t>
      </w:r>
      <w:r>
        <w:rPr>
          <w:rFonts w:ascii="arial" w:hAnsi="arial"/>
          <w:sz w:val="16"/>
        </w:rPr>
        <w:t xml:space="preserve">” in our Compensation Discussion and Analysis. </w:t>
      </w:r>
    </w:p>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86  </w:t>
      </w:r>
      <w:r>
        <w:rPr>
          <w:rFonts w:ascii="arial" w:hAnsi="arial"/>
          <w:b/>
          <w:color w:val="474747"/>
          <w:sz w:val="22"/>
        </w:rPr>
        <w:drawing>
          <wp:inline distT="0" distB="0" distL="0" distR="0">
            <wp:extent cx="64770" cy="15240"/>
            <wp:effectExtent l="0" t="0" r="0" b="0"/>
            <wp:docPr id="313"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149" descr=""/>
                    <pic:cNvPicPr>
                      <a:picLocks noChangeAspect="1" noChangeArrowheads="1"/>
                    </pic:cNvPicPr>
                  </pic:nvPicPr>
                  <pic:blipFill>
                    <a:blip r:embed="rId162"/>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419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371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1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371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Executive Compensation Tables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8334" w:type="dxa"/>
        <w:jc w:val="left"/>
        <w:tblInd w:w="0" w:type="dxa"/>
        <w:tblLayout w:type="fixed"/>
        <w:tblCellMar>
          <w:top w:w="0" w:type="dxa"/>
          <w:left w:w="0" w:type="dxa"/>
          <w:bottom w:w="0" w:type="dxa"/>
          <w:right w:w="0" w:type="dxa"/>
        </w:tblCellMar>
      </w:tblPr>
      <w:tblGrid>
        <w:gridCol w:w="1685"/>
        <w:gridCol w:w="120"/>
        <w:gridCol w:w="199"/>
        <w:gridCol w:w="871"/>
        <w:gridCol w:w="76"/>
        <w:gridCol w:w="308"/>
        <w:gridCol w:w="76"/>
        <w:gridCol w:w="1089"/>
        <w:gridCol w:w="76"/>
        <w:gridCol w:w="308"/>
        <w:gridCol w:w="76"/>
        <w:gridCol w:w="1136"/>
        <w:gridCol w:w="60"/>
        <w:gridCol w:w="240"/>
        <w:gridCol w:w="120"/>
        <w:gridCol w:w="120"/>
        <w:gridCol w:w="80"/>
        <w:gridCol w:w="1619"/>
        <w:gridCol w:w="75"/>
      </w:tblGrid>
      <w:tr>
        <w:trPr/>
        <w:tc>
          <w:tcPr>
            <w:tcW w:w="16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85" w:type="dxa"/>
            <w:tcBorders/>
            <w:shd w:fill="0171B9" w:val="clear"/>
            <w:vAlign w:val="center"/>
          </w:tcPr>
          <w:p>
            <w:pPr>
              <w:pStyle w:val="TableContents"/>
              <w:bidi w:val="0"/>
              <w:spacing w:before="0" w:after="283"/>
              <w:jc w:val="left"/>
              <w:rPr>
                <w:sz w:val="4"/>
                <w:szCs w:val="4"/>
              </w:rPr>
            </w:pPr>
            <w:r>
              <w:rPr>
                <w:sz w:val="4"/>
                <w:szCs w:val="4"/>
              </w:rPr>
            </w:r>
          </w:p>
        </w:tc>
        <w:tc>
          <w:tcPr>
            <w:tcW w:w="4395" w:type="dxa"/>
            <w:gridSpan w:val="12"/>
            <w:tcBorders/>
            <w:shd w:fill="0171B9" w:val="clear"/>
            <w:vAlign w:val="center"/>
          </w:tcPr>
          <w:p>
            <w:pPr>
              <w:pStyle w:val="TableContents"/>
              <w:bidi w:val="0"/>
              <w:spacing w:before="0" w:after="283"/>
              <w:jc w:val="left"/>
              <w:rPr>
                <w:sz w:val="4"/>
                <w:szCs w:val="4"/>
              </w:rPr>
            </w:pPr>
            <w:r>
              <w:rPr>
                <w:sz w:val="4"/>
                <w:szCs w:val="4"/>
              </w:rPr>
            </w:r>
          </w:p>
        </w:tc>
        <w:tc>
          <w:tcPr>
            <w:tcW w:w="360" w:type="dxa"/>
            <w:gridSpan w:val="2"/>
            <w:tcBorders/>
            <w:shd w:fill="0171B9" w:val="clear"/>
            <w:vAlign w:val="center"/>
          </w:tcPr>
          <w:p>
            <w:pPr>
              <w:pStyle w:val="TableContents"/>
              <w:bidi w:val="0"/>
              <w:spacing w:before="0" w:after="283"/>
              <w:jc w:val="left"/>
              <w:rPr>
                <w:sz w:val="4"/>
                <w:szCs w:val="4"/>
              </w:rPr>
            </w:pPr>
            <w:r>
              <w:rPr>
                <w:sz w:val="4"/>
                <w:szCs w:val="4"/>
              </w:rPr>
            </w:r>
          </w:p>
        </w:tc>
        <w:tc>
          <w:tcPr>
            <w:tcW w:w="1894" w:type="dxa"/>
            <w:gridSpan w:val="4"/>
            <w:tcBorders/>
            <w:shd w:fill="0171B9" w:val="clear"/>
            <w:vAlign w:val="center"/>
          </w:tcPr>
          <w:p>
            <w:pPr>
              <w:pStyle w:val="TableContents"/>
              <w:bidi w:val="0"/>
              <w:spacing w:before="0" w:after="283"/>
              <w:jc w:val="left"/>
              <w:rPr>
                <w:sz w:val="4"/>
                <w:szCs w:val="4"/>
              </w:rPr>
            </w:pPr>
            <w:r>
              <w:rPr>
                <w:sz w:val="4"/>
                <w:szCs w:val="4"/>
              </w:rPr>
            </w:r>
          </w:p>
        </w:tc>
      </w:tr>
      <w:tr>
        <w:trPr/>
        <w:tc>
          <w:tcPr>
            <w:tcW w:w="1685" w:type="dxa"/>
            <w:tcBorders/>
            <w:shd w:fill="0171B9" w:val="cle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4215" w:type="dxa"/>
            <w:gridSpan w:val="10"/>
            <w:tcBorders>
              <w:bottom w:val="single" w:sz="8" w:space="0" w:color="FFFFFF"/>
            </w:tcBorders>
            <w:shd w:fill="0171B9" w:val="clear"/>
            <w:tcMar>
              <w:bottom w:w="60" w:type="dxa"/>
            </w:tcMar>
            <w:vAlign w:val="center"/>
          </w:tcPr>
          <w:p>
            <w:pPr>
              <w:pStyle w:val="TableContents"/>
              <w:bidi w:val="0"/>
              <w:spacing w:before="0" w:after="0"/>
              <w:jc w:val="center"/>
              <w:rPr>
                <w:rFonts w:ascii="arial" w:hAnsi="arial"/>
                <w:b/>
                <w:color w:val="FFFFFF"/>
                <w:sz w:val="18"/>
              </w:rPr>
            </w:pPr>
            <w:r>
              <w:rPr>
                <w:rFonts w:ascii="arial" w:hAnsi="arial"/>
                <w:b/>
                <w:color w:val="FFFFFF"/>
                <w:sz w:val="18"/>
              </w:rPr>
              <w:t>Estimated Possible Payouts Under</w:t>
            </w:r>
          </w:p>
          <w:p>
            <w:pPr>
              <w:pStyle w:val="TableContents"/>
              <w:bidi w:val="0"/>
              <w:spacing w:before="0" w:after="20"/>
              <w:jc w:val="center"/>
              <w:rPr>
                <w:color w:val="FFFFFF"/>
              </w:rPr>
            </w:pPr>
            <w:r>
              <w:rPr>
                <w:color w:val="FFFFFF"/>
              </w:rPr>
              <w:t> </w:t>
            </w:r>
            <w:r>
              <w:rPr>
                <w:rFonts w:ascii="arial" w:hAnsi="arial"/>
                <w:b/>
                <w:color w:val="FFFFFF"/>
                <w:sz w:val="18"/>
              </w:rPr>
              <w:t>Non-Equity Incentive Plan Awards($) 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240" w:type="dxa"/>
            <w:tcBorders/>
            <w:shd w:fill="0171B9" w:val="clear"/>
            <w:vAlign w:val="center"/>
          </w:tcPr>
          <w:p>
            <w:pPr>
              <w:pStyle w:val="TableContents"/>
              <w:bidi w:val="0"/>
              <w:spacing w:before="0" w:after="283"/>
              <w:jc w:val="left"/>
              <w:rPr/>
            </w:pPr>
            <w:r>
              <w:rPr/>
              <w:t>    </w:t>
            </w:r>
          </w:p>
        </w:tc>
        <w:tc>
          <w:tcPr>
            <w:tcW w:w="120" w:type="dxa"/>
            <w:tcBorders/>
            <w:shd w:fill="0171B9" w:val="cle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699" w:type="dxa"/>
            <w:gridSpan w:val="2"/>
            <w:tcBorders>
              <w:bottom w:val="single" w:sz="8" w:space="0" w:color="FFFFFF"/>
            </w:tcBorders>
            <w:shd w:fill="0171B9" w:val="clear"/>
            <w:tcMar>
              <w:bottom w:w="60" w:type="dxa"/>
            </w:tcMar>
            <w:vAlign w:val="center"/>
          </w:tcPr>
          <w:p>
            <w:pPr>
              <w:pStyle w:val="TableContents"/>
              <w:bidi w:val="0"/>
              <w:spacing w:before="0" w:after="0"/>
              <w:jc w:val="center"/>
              <w:rPr>
                <w:rFonts w:ascii="arial" w:hAnsi="arial"/>
                <w:b/>
                <w:color w:val="FFFFFF"/>
                <w:sz w:val="18"/>
              </w:rPr>
            </w:pPr>
            <w:r>
              <w:rPr>
                <w:rFonts w:ascii="arial" w:hAnsi="arial"/>
                <w:b/>
                <w:color w:val="FFFFFF"/>
                <w:sz w:val="18"/>
              </w:rPr>
              <w:t>Non-Equity</w:t>
              <w:br/>
              <w:t>Incentive Plan</w:t>
            </w:r>
          </w:p>
          <w:p>
            <w:pPr>
              <w:pStyle w:val="TableContents"/>
              <w:bidi w:val="0"/>
              <w:spacing w:before="0" w:after="20"/>
              <w:jc w:val="center"/>
              <w:rPr>
                <w:color w:val="FFFFFF"/>
              </w:rPr>
            </w:pPr>
            <w:r>
              <w:rPr>
                <w:color w:val="FFFFFF"/>
              </w:rPr>
              <w:t> </w:t>
            </w:r>
            <w:r>
              <w:rPr>
                <w:rFonts w:ascii="arial" w:hAnsi="arial"/>
                <w:b/>
                <w:color w:val="FFFFFF"/>
                <w:sz w:val="18"/>
              </w:rPr>
              <w:t>Compensation($) </w:t>
            </w:r>
          </w:p>
        </w:tc>
        <w:tc>
          <w:tcPr>
            <w:tcW w:w="75"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r>
      <w:tr>
        <w:trPr/>
        <w:tc>
          <w:tcPr>
            <w:tcW w:w="1685" w:type="dxa"/>
            <w:tcBorders/>
            <w:shd w:fill="0171B9" w:val="clear"/>
            <w:vAlign w:val="center"/>
          </w:tcPr>
          <w:p>
            <w:pPr>
              <w:pStyle w:val="TableContents"/>
              <w:bidi w:val="0"/>
              <w:spacing w:before="0" w:after="283"/>
              <w:jc w:val="left"/>
              <w:rPr>
                <w:sz w:val="4"/>
                <w:szCs w:val="4"/>
              </w:rPr>
            </w:pPr>
            <w:r>
              <w:rPr>
                <w:sz w:val="4"/>
                <w:szCs w:val="4"/>
              </w:rPr>
            </w:r>
          </w:p>
        </w:tc>
        <w:tc>
          <w:tcPr>
            <w:tcW w:w="1266" w:type="dxa"/>
            <w:gridSpan w:val="4"/>
            <w:tcBorders/>
            <w:shd w:fill="0171B9" w:val="clear"/>
            <w:vAlign w:val="center"/>
          </w:tcPr>
          <w:p>
            <w:pPr>
              <w:pStyle w:val="TableContents"/>
              <w:bidi w:val="0"/>
              <w:spacing w:before="0" w:after="283"/>
              <w:jc w:val="left"/>
              <w:rPr>
                <w:sz w:val="4"/>
                <w:szCs w:val="4"/>
              </w:rPr>
            </w:pPr>
            <w:r>
              <w:rPr>
                <w:sz w:val="4"/>
                <w:szCs w:val="4"/>
              </w:rPr>
            </w:r>
          </w:p>
        </w:tc>
        <w:tc>
          <w:tcPr>
            <w:tcW w:w="1549" w:type="dxa"/>
            <w:gridSpan w:val="4"/>
            <w:tcBorders/>
            <w:shd w:fill="0171B9" w:val="clear"/>
            <w:vAlign w:val="center"/>
          </w:tcPr>
          <w:p>
            <w:pPr>
              <w:pStyle w:val="TableContents"/>
              <w:bidi w:val="0"/>
              <w:spacing w:before="0" w:after="283"/>
              <w:jc w:val="left"/>
              <w:rPr>
                <w:sz w:val="4"/>
                <w:szCs w:val="4"/>
              </w:rPr>
            </w:pPr>
            <w:r>
              <w:rPr>
                <w:sz w:val="4"/>
                <w:szCs w:val="4"/>
              </w:rPr>
            </w:r>
          </w:p>
        </w:tc>
        <w:tc>
          <w:tcPr>
            <w:tcW w:w="1580" w:type="dxa"/>
            <w:gridSpan w:val="4"/>
            <w:tcBorders/>
            <w:shd w:fill="0171B9" w:val="clear"/>
            <w:vAlign w:val="center"/>
          </w:tcPr>
          <w:p>
            <w:pPr>
              <w:pStyle w:val="TableContents"/>
              <w:bidi w:val="0"/>
              <w:spacing w:before="0" w:after="283"/>
              <w:jc w:val="left"/>
              <w:rPr>
                <w:sz w:val="4"/>
                <w:szCs w:val="4"/>
              </w:rPr>
            </w:pPr>
            <w:r>
              <w:rPr>
                <w:sz w:val="4"/>
                <w:szCs w:val="4"/>
              </w:rPr>
            </w:r>
          </w:p>
        </w:tc>
        <w:tc>
          <w:tcPr>
            <w:tcW w:w="360" w:type="dxa"/>
            <w:gridSpan w:val="2"/>
            <w:tcBorders/>
            <w:shd w:fill="0171B9" w:val="clear"/>
            <w:vAlign w:val="center"/>
          </w:tcPr>
          <w:p>
            <w:pPr>
              <w:pStyle w:val="TableContents"/>
              <w:bidi w:val="0"/>
              <w:spacing w:before="0" w:after="283"/>
              <w:jc w:val="left"/>
              <w:rPr>
                <w:sz w:val="4"/>
                <w:szCs w:val="4"/>
              </w:rPr>
            </w:pPr>
            <w:r>
              <w:rPr>
                <w:sz w:val="4"/>
                <w:szCs w:val="4"/>
              </w:rPr>
            </w:r>
          </w:p>
        </w:tc>
        <w:tc>
          <w:tcPr>
            <w:tcW w:w="1894" w:type="dxa"/>
            <w:gridSpan w:val="4"/>
            <w:tcBorders/>
            <w:shd w:fill="0171B9" w:val="clear"/>
            <w:vAlign w:val="center"/>
          </w:tcPr>
          <w:p>
            <w:pPr>
              <w:pStyle w:val="TableContents"/>
              <w:bidi w:val="0"/>
              <w:spacing w:before="0" w:after="283"/>
              <w:jc w:val="left"/>
              <w:rPr>
                <w:sz w:val="4"/>
                <w:szCs w:val="4"/>
              </w:rPr>
            </w:pPr>
            <w:r>
              <w:rPr>
                <w:sz w:val="4"/>
                <w:szCs w:val="4"/>
              </w:rPr>
            </w:r>
          </w:p>
        </w:tc>
      </w:tr>
      <w:tr>
        <w:trPr/>
        <w:tc>
          <w:tcPr>
            <w:tcW w:w="1685" w:type="dxa"/>
            <w:tcBorders>
              <w:bottom w:val="single" w:sz="8" w:space="0" w:color="FFFFFF"/>
            </w:tcBorders>
            <w:shd w:fill="0171B9" w:val="clear"/>
            <w:tcMar>
              <w:bottom w:w="60" w:type="dxa"/>
            </w:tcMar>
            <w:vAlign w:val="center"/>
          </w:tcPr>
          <w:p>
            <w:pPr>
              <w:pStyle w:val="TableContents"/>
              <w:bidi w:val="0"/>
              <w:spacing w:before="0" w:after="283"/>
              <w:jc w:val="left"/>
              <w:rPr>
                <w:color w:val="FFFFFF"/>
              </w:rPr>
            </w:pPr>
            <w:r>
              <w:rPr>
                <w:color w:val="FFFFFF"/>
              </w:rPr>
              <w:t> </w:t>
            </w:r>
            <w:r>
              <w:rPr>
                <w:b/>
                <w:color w:val="FFFFFF"/>
              </w:rPr>
              <w:t>Name</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070" w:type="dxa"/>
            <w:gridSpan w:val="2"/>
            <w:tcBorders>
              <w:bottom w:val="single" w:sz="8" w:space="0" w:color="FFFFFF"/>
            </w:tcBorders>
            <w:shd w:fill="0171B9" w:val="clear"/>
            <w:tcMar>
              <w:bottom w:w="60" w:type="dxa"/>
            </w:tcMar>
            <w:vAlign w:val="center"/>
          </w:tcPr>
          <w:p>
            <w:pPr>
              <w:pStyle w:val="TableContents"/>
              <w:bidi w:val="0"/>
              <w:spacing w:before="0" w:after="283"/>
              <w:jc w:val="right"/>
              <w:rPr>
                <w:b/>
                <w:color w:val="FFFFFF"/>
              </w:rPr>
            </w:pPr>
            <w:r>
              <w:rPr>
                <w:b/>
                <w:color w:val="FFFFFF"/>
              </w:rPr>
              <w:t>Threshold</w:t>
            </w:r>
          </w:p>
        </w:tc>
        <w:tc>
          <w:tcPr>
            <w:tcW w:w="76"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308"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165" w:type="dxa"/>
            <w:gridSpan w:val="2"/>
            <w:tcBorders>
              <w:bottom w:val="single" w:sz="8" w:space="0" w:color="FFFFFF"/>
            </w:tcBorders>
            <w:shd w:fill="0171B9" w:val="clear"/>
            <w:tcMar>
              <w:bottom w:w="60" w:type="dxa"/>
            </w:tcMar>
            <w:vAlign w:val="center"/>
          </w:tcPr>
          <w:p>
            <w:pPr>
              <w:pStyle w:val="TableContents"/>
              <w:bidi w:val="0"/>
              <w:spacing w:before="0" w:after="283"/>
              <w:jc w:val="right"/>
              <w:rPr>
                <w:b/>
                <w:color w:val="FFFFFF"/>
              </w:rPr>
            </w:pPr>
            <w:r>
              <w:rPr>
                <w:b/>
                <w:color w:val="FFFFFF"/>
              </w:rPr>
              <w:t>Target</w:t>
            </w:r>
          </w:p>
        </w:tc>
        <w:tc>
          <w:tcPr>
            <w:tcW w:w="76"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308"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12" w:type="dxa"/>
            <w:gridSpan w:val="2"/>
            <w:tcBorders>
              <w:bottom w:val="single" w:sz="8" w:space="0" w:color="FFFFFF"/>
            </w:tcBorders>
            <w:shd w:fill="0171B9" w:val="clear"/>
            <w:tcMar>
              <w:bottom w:w="60" w:type="dxa"/>
            </w:tcMar>
            <w:vAlign w:val="center"/>
          </w:tcPr>
          <w:p>
            <w:pPr>
              <w:pStyle w:val="TableContents"/>
              <w:bidi w:val="0"/>
              <w:spacing w:before="0" w:after="283"/>
              <w:jc w:val="center"/>
              <w:rPr>
                <w:b/>
                <w:color w:val="FFFFFF"/>
              </w:rPr>
            </w:pPr>
            <w:r>
              <w:rPr>
                <w:b/>
                <w:color w:val="FFFFFF"/>
              </w:rPr>
              <w:t>Maximum</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24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0" w:type="dxa"/>
            <w:tcBorders>
              <w:bottom w:val="single" w:sz="8" w:space="0" w:color="FFFFFF"/>
            </w:tcBorders>
            <w:shd w:fill="0171B9"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699" w:type="dxa"/>
            <w:gridSpan w:val="2"/>
            <w:tcBorders>
              <w:bottom w:val="single" w:sz="8" w:space="0" w:color="FFFFFF"/>
            </w:tcBorders>
            <w:shd w:fill="0171B9" w:val="clear"/>
            <w:tcMar>
              <w:bottom w:w="60" w:type="dxa"/>
            </w:tcMar>
            <w:vAlign w:val="center"/>
          </w:tcPr>
          <w:p>
            <w:pPr>
              <w:pStyle w:val="TableContents"/>
              <w:bidi w:val="0"/>
              <w:spacing w:before="0" w:after="283"/>
              <w:jc w:val="center"/>
              <w:rPr>
                <w:b/>
                <w:color w:val="FFFFFF"/>
              </w:rPr>
            </w:pPr>
            <w:r>
              <w:rPr>
                <w:b/>
                <w:color w:val="FFFFFF"/>
              </w:rPr>
              <w:t>Actual</w:t>
            </w:r>
          </w:p>
        </w:tc>
        <w:tc>
          <w:tcPr>
            <w:tcW w:w="75"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r>
      <w:tr>
        <w:trPr/>
        <w:tc>
          <w:tcPr>
            <w:tcW w:w="1685" w:type="dxa"/>
            <w:tcBorders/>
            <w:shd w:fill="CCE2F1" w:val="clear"/>
            <w:vAlign w:val="center"/>
          </w:tcPr>
          <w:p>
            <w:pPr>
              <w:pStyle w:val="TableContents"/>
              <w:bidi w:val="0"/>
              <w:spacing w:lineRule="atLeast" w:line="300" w:before="0" w:after="0"/>
              <w:jc w:val="left"/>
              <w:rPr/>
            </w:pPr>
            <w:r>
              <w:rPr/>
              <w:t> </w:t>
            </w:r>
            <w:r>
              <w:rPr>
                <w:rFonts w:ascii="arial" w:hAnsi="arial"/>
                <w:sz w:val="18"/>
              </w:rPr>
              <w:t>Robert A. Bradway</w:t>
            </w:r>
          </w:p>
        </w:tc>
        <w:tc>
          <w:tcPr>
            <w:tcW w:w="120" w:type="dxa"/>
            <w:tcBorders/>
            <w:shd w:fill="CCE2F1" w:val="clear"/>
            <w:vAlign w:val="center"/>
          </w:tcPr>
          <w:p>
            <w:pPr>
              <w:pStyle w:val="TableContents"/>
              <w:bidi w:val="0"/>
              <w:spacing w:before="0" w:after="283"/>
              <w:jc w:val="left"/>
              <w:rPr/>
            </w:pPr>
            <w:r>
              <w:rPr/>
              <w:t>  </w:t>
            </w:r>
          </w:p>
        </w:tc>
        <w:tc>
          <w:tcPr>
            <w:tcW w:w="199" w:type="dxa"/>
            <w:tcBorders/>
            <w:shd w:fill="CCE2F1" w:val="clear"/>
            <w:vAlign w:val="center"/>
          </w:tcPr>
          <w:p>
            <w:pPr>
              <w:pStyle w:val="TableContents"/>
              <w:bidi w:val="0"/>
              <w:spacing w:lineRule="atLeast" w:line="300" w:before="0" w:after="0"/>
              <w:jc w:val="left"/>
              <w:rPr/>
            </w:pPr>
            <w:r>
              <w:rPr/>
              <w:t> </w:t>
            </w:r>
          </w:p>
        </w:tc>
        <w:tc>
          <w:tcPr>
            <w:tcW w:w="871" w:type="dxa"/>
            <w:tcBorders/>
            <w:shd w:fill="CCE2F1" w:val="clear"/>
            <w:vAlign w:val="center"/>
          </w:tcPr>
          <w:p>
            <w:pPr>
              <w:pStyle w:val="TableContents"/>
              <w:bidi w:val="0"/>
              <w:spacing w:lineRule="atLeast" w:line="300" w:before="0" w:after="0"/>
              <w:jc w:val="right"/>
              <w:rPr/>
            </w:pPr>
            <w:r>
              <w:rPr/>
              <w:t>—</w:t>
            </w:r>
          </w:p>
        </w:tc>
        <w:tc>
          <w:tcPr>
            <w:tcW w:w="76" w:type="dxa"/>
            <w:tcBorders/>
            <w:shd w:fill="CCE2F1" w:val="clear"/>
            <w:vAlign w:val="center"/>
          </w:tcPr>
          <w:p>
            <w:pPr>
              <w:pStyle w:val="TableContents"/>
              <w:bidi w:val="0"/>
              <w:spacing w:lineRule="atLeast" w:line="300" w:before="0" w:after="0"/>
              <w:jc w:val="left"/>
              <w:rPr/>
            </w:pPr>
            <w:r>
              <w:rPr/>
              <w:t> </w:t>
            </w:r>
          </w:p>
        </w:tc>
        <w:tc>
          <w:tcPr>
            <w:tcW w:w="308" w:type="dxa"/>
            <w:tcBorders/>
            <w:shd w:fill="CCE2F1" w:val="clear"/>
            <w:vAlign w:val="center"/>
          </w:tcPr>
          <w:p>
            <w:pPr>
              <w:pStyle w:val="TableContents"/>
              <w:bidi w:val="0"/>
              <w:spacing w:before="0" w:after="283"/>
              <w:jc w:val="left"/>
              <w:rPr/>
            </w:pPr>
            <w:r>
              <w:rPr/>
              <w:t>    </w:t>
            </w:r>
          </w:p>
        </w:tc>
        <w:tc>
          <w:tcPr>
            <w:tcW w:w="76" w:type="dxa"/>
            <w:tcBorders/>
            <w:shd w:fill="CCE2F1" w:val="clear"/>
            <w:vAlign w:val="center"/>
          </w:tcPr>
          <w:p>
            <w:pPr>
              <w:pStyle w:val="TableContents"/>
              <w:bidi w:val="0"/>
              <w:spacing w:lineRule="atLeast" w:line="300" w:before="0" w:after="0"/>
              <w:jc w:val="left"/>
              <w:rPr/>
            </w:pPr>
            <w:r>
              <w:rPr/>
              <w:t> </w:t>
            </w:r>
          </w:p>
        </w:tc>
        <w:tc>
          <w:tcPr>
            <w:tcW w:w="1089" w:type="dxa"/>
            <w:tcBorders/>
            <w:shd w:fill="CCE2F1" w:val="clear"/>
            <w:vAlign w:val="center"/>
          </w:tcPr>
          <w:p>
            <w:pPr>
              <w:pStyle w:val="TableContents"/>
              <w:bidi w:val="0"/>
              <w:spacing w:lineRule="atLeast" w:line="300" w:before="0" w:after="0"/>
              <w:jc w:val="right"/>
              <w:rPr>
                <w:rFonts w:ascii="arial" w:hAnsi="arial"/>
                <w:sz w:val="18"/>
              </w:rPr>
            </w:pPr>
            <w:r>
              <w:rPr>
                <w:rFonts w:ascii="arial" w:hAnsi="arial"/>
                <w:sz w:val="18"/>
              </w:rPr>
              <w:t>2,676,669</w:t>
            </w:r>
          </w:p>
        </w:tc>
        <w:tc>
          <w:tcPr>
            <w:tcW w:w="76" w:type="dxa"/>
            <w:tcBorders/>
            <w:shd w:fill="CCE2F1" w:val="clear"/>
            <w:vAlign w:val="center"/>
          </w:tcPr>
          <w:p>
            <w:pPr>
              <w:pStyle w:val="TableContents"/>
              <w:bidi w:val="0"/>
              <w:spacing w:lineRule="atLeast" w:line="300" w:before="0" w:after="0"/>
              <w:jc w:val="left"/>
              <w:rPr/>
            </w:pPr>
            <w:r>
              <w:rPr/>
              <w:t> </w:t>
            </w:r>
          </w:p>
        </w:tc>
        <w:tc>
          <w:tcPr>
            <w:tcW w:w="308" w:type="dxa"/>
            <w:tcBorders/>
            <w:shd w:fill="CCE2F1" w:val="clear"/>
            <w:vAlign w:val="center"/>
          </w:tcPr>
          <w:p>
            <w:pPr>
              <w:pStyle w:val="TableContents"/>
              <w:bidi w:val="0"/>
              <w:spacing w:before="0" w:after="283"/>
              <w:jc w:val="left"/>
              <w:rPr/>
            </w:pPr>
            <w:r>
              <w:rPr/>
              <w:t>    </w:t>
            </w:r>
          </w:p>
        </w:tc>
        <w:tc>
          <w:tcPr>
            <w:tcW w:w="76" w:type="dxa"/>
            <w:tcBorders/>
            <w:shd w:fill="CCE2F1" w:val="clear"/>
            <w:vAlign w:val="center"/>
          </w:tcPr>
          <w:p>
            <w:pPr>
              <w:pStyle w:val="TableContents"/>
              <w:bidi w:val="0"/>
              <w:spacing w:lineRule="atLeast" w:line="300" w:before="0" w:after="0"/>
              <w:jc w:val="left"/>
              <w:rPr/>
            </w:pPr>
            <w:r>
              <w:rPr/>
              <w:t> </w:t>
            </w:r>
          </w:p>
        </w:tc>
        <w:tc>
          <w:tcPr>
            <w:tcW w:w="1136" w:type="dxa"/>
            <w:tcBorders/>
            <w:shd w:fill="CCE2F1" w:val="clear"/>
            <w:vAlign w:val="center"/>
          </w:tcPr>
          <w:p>
            <w:pPr>
              <w:pStyle w:val="TableContents"/>
              <w:bidi w:val="0"/>
              <w:spacing w:lineRule="atLeast" w:line="300" w:before="0" w:after="0"/>
              <w:jc w:val="right"/>
              <w:rPr>
                <w:rFonts w:ascii="arial" w:hAnsi="arial"/>
                <w:sz w:val="18"/>
              </w:rPr>
            </w:pPr>
            <w:r>
              <w:rPr>
                <w:rFonts w:ascii="arial" w:hAnsi="arial"/>
                <w:sz w:val="18"/>
              </w:rPr>
              <w:t>6,022,505  </w:t>
            </w:r>
          </w:p>
        </w:tc>
        <w:tc>
          <w:tcPr>
            <w:tcW w:w="60" w:type="dxa"/>
            <w:tcBorders/>
            <w:shd w:fill="CCE2F1" w:val="clear"/>
            <w:vAlign w:val="center"/>
          </w:tcPr>
          <w:p>
            <w:pPr>
              <w:pStyle w:val="TableContents"/>
              <w:bidi w:val="0"/>
              <w:spacing w:lineRule="atLeast" w:line="300" w:before="0" w:after="0"/>
              <w:jc w:val="left"/>
              <w:rPr/>
            </w:pPr>
            <w:r>
              <w:rPr/>
              <w:t> </w:t>
            </w:r>
          </w:p>
        </w:tc>
        <w:tc>
          <w:tcPr>
            <w:tcW w:w="24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sz w:val="4"/>
                <w:szCs w:val="4"/>
              </w:rPr>
            </w:pPr>
            <w:r>
              <w:rPr>
                <w:sz w:val="4"/>
                <w:szCs w:val="4"/>
              </w:rPr>
            </w:r>
          </w:p>
        </w:tc>
        <w:tc>
          <w:tcPr>
            <w:tcW w:w="120" w:type="dxa"/>
            <w:tcBorders/>
            <w:shd w:fill="CCE2F1" w:val="clear"/>
            <w:vAlign w:val="center"/>
          </w:tcPr>
          <w:p>
            <w:pPr>
              <w:pStyle w:val="TableContents"/>
              <w:bidi w:val="0"/>
              <w:spacing w:before="0" w:after="283"/>
              <w:jc w:val="left"/>
              <w:rPr/>
            </w:pPr>
            <w:r>
              <w:rPr/>
              <w:t>  </w:t>
            </w:r>
          </w:p>
        </w:tc>
        <w:tc>
          <w:tcPr>
            <w:tcW w:w="80" w:type="dxa"/>
            <w:tcBorders/>
            <w:shd w:fill="CCE2F1" w:val="clear"/>
            <w:vAlign w:val="center"/>
          </w:tcPr>
          <w:p>
            <w:pPr>
              <w:pStyle w:val="TableContents"/>
              <w:bidi w:val="0"/>
              <w:spacing w:lineRule="atLeast" w:line="300" w:before="0" w:after="0"/>
              <w:jc w:val="left"/>
              <w:rPr/>
            </w:pPr>
            <w:r>
              <w:rPr/>
              <w:t> </w:t>
            </w:r>
          </w:p>
        </w:tc>
        <w:tc>
          <w:tcPr>
            <w:tcW w:w="1619" w:type="dxa"/>
            <w:tcBorders/>
            <w:shd w:fill="CCE2F1" w:val="clear"/>
            <w:vAlign w:val="center"/>
          </w:tcPr>
          <w:p>
            <w:pPr>
              <w:pStyle w:val="TableContents"/>
              <w:bidi w:val="0"/>
              <w:spacing w:lineRule="atLeast" w:line="300" w:before="0" w:after="0"/>
              <w:jc w:val="right"/>
              <w:rPr>
                <w:rFonts w:ascii="arial" w:hAnsi="arial"/>
                <w:sz w:val="18"/>
              </w:rPr>
            </w:pPr>
            <w:r>
              <w:rPr>
                <w:rFonts w:ascii="arial" w:hAnsi="arial"/>
                <w:sz w:val="18"/>
              </w:rPr>
              <w:t>4,264,000  </w:t>
            </w:r>
          </w:p>
        </w:tc>
        <w:tc>
          <w:tcPr>
            <w:tcW w:w="75" w:type="dxa"/>
            <w:tcBorders/>
            <w:shd w:fill="CCE2F1" w:val="clear"/>
            <w:vAlign w:val="center"/>
          </w:tcPr>
          <w:p>
            <w:pPr>
              <w:pStyle w:val="TableContents"/>
              <w:bidi w:val="0"/>
              <w:spacing w:lineRule="atLeast" w:line="300" w:before="0" w:after="0"/>
              <w:jc w:val="left"/>
              <w:rPr/>
            </w:pPr>
            <w:r>
              <w:rPr/>
              <w:t> </w:t>
            </w:r>
          </w:p>
        </w:tc>
      </w:tr>
      <w:tr>
        <w:trPr/>
        <w:tc>
          <w:tcPr>
            <w:tcW w:w="1685" w:type="dxa"/>
            <w:tcBorders/>
            <w:vAlign w:val="center"/>
          </w:tcPr>
          <w:p>
            <w:pPr>
              <w:pStyle w:val="TableContents"/>
              <w:bidi w:val="0"/>
              <w:spacing w:lineRule="atLeast" w:line="300" w:before="0" w:after="0"/>
              <w:jc w:val="left"/>
              <w:rPr/>
            </w:pPr>
            <w:r>
              <w:rPr/>
              <w:t> </w:t>
            </w:r>
            <w:r>
              <w:rPr>
                <w:rFonts w:ascii="arial" w:hAnsi="arial"/>
                <w:sz w:val="18"/>
              </w:rPr>
              <w:t>Murdo Gordon</w:t>
            </w:r>
          </w:p>
        </w:tc>
        <w:tc>
          <w:tcPr>
            <w:tcW w:w="12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lineRule="atLeast" w:line="300" w:before="0" w:after="0"/>
              <w:jc w:val="left"/>
              <w:rPr/>
            </w:pPr>
            <w:r>
              <w:rPr/>
              <w:t> </w:t>
            </w:r>
          </w:p>
        </w:tc>
        <w:tc>
          <w:tcPr>
            <w:tcW w:w="871" w:type="dxa"/>
            <w:tcBorders/>
            <w:vAlign w:val="center"/>
          </w:tcPr>
          <w:p>
            <w:pPr>
              <w:pStyle w:val="TableContents"/>
              <w:bidi w:val="0"/>
              <w:spacing w:lineRule="atLeast" w:line="300" w:before="0" w:after="0"/>
              <w:jc w:val="right"/>
              <w:rPr/>
            </w:pPr>
            <w:r>
              <w:rPr/>
              <w:t>—</w:t>
            </w:r>
          </w:p>
        </w:tc>
        <w:tc>
          <w:tcPr>
            <w:tcW w:w="76" w:type="dxa"/>
            <w:tcBorders/>
            <w:vAlign w:val="center"/>
          </w:tcPr>
          <w:p>
            <w:pPr>
              <w:pStyle w:val="TableContents"/>
              <w:bidi w:val="0"/>
              <w:spacing w:lineRule="atLeast" w:line="300" w:before="0" w:after="0"/>
              <w:jc w:val="left"/>
              <w:rPr/>
            </w:pPr>
            <w:r>
              <w:rPr/>
              <w:t> </w:t>
            </w:r>
          </w:p>
        </w:tc>
        <w:tc>
          <w:tcPr>
            <w:tcW w:w="30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lineRule="atLeast" w:line="300" w:before="0" w:after="0"/>
              <w:jc w:val="left"/>
              <w:rPr/>
            </w:pPr>
            <w:r>
              <w:rPr/>
              <w:t> </w:t>
            </w:r>
          </w:p>
        </w:tc>
        <w:tc>
          <w:tcPr>
            <w:tcW w:w="1089" w:type="dxa"/>
            <w:tcBorders/>
            <w:vAlign w:val="center"/>
          </w:tcPr>
          <w:p>
            <w:pPr>
              <w:pStyle w:val="TableContents"/>
              <w:bidi w:val="0"/>
              <w:spacing w:lineRule="atLeast" w:line="300" w:before="0" w:after="0"/>
              <w:jc w:val="right"/>
              <w:rPr>
                <w:rFonts w:ascii="arial" w:hAnsi="arial"/>
                <w:sz w:val="18"/>
              </w:rPr>
            </w:pPr>
            <w:r>
              <w:rPr>
                <w:rFonts w:ascii="arial" w:hAnsi="arial"/>
                <w:sz w:val="18"/>
              </w:rPr>
              <w:t>1,143,004</w:t>
            </w:r>
          </w:p>
        </w:tc>
        <w:tc>
          <w:tcPr>
            <w:tcW w:w="76" w:type="dxa"/>
            <w:tcBorders/>
            <w:vAlign w:val="center"/>
          </w:tcPr>
          <w:p>
            <w:pPr>
              <w:pStyle w:val="TableContents"/>
              <w:bidi w:val="0"/>
              <w:spacing w:lineRule="atLeast" w:line="300" w:before="0" w:after="0"/>
              <w:jc w:val="left"/>
              <w:rPr/>
            </w:pPr>
            <w:r>
              <w:rPr/>
              <w:t> </w:t>
            </w:r>
          </w:p>
        </w:tc>
        <w:tc>
          <w:tcPr>
            <w:tcW w:w="30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lineRule="atLeast" w:line="300" w:before="0" w:after="0"/>
              <w:jc w:val="left"/>
              <w:rPr/>
            </w:pPr>
            <w:r>
              <w:rPr/>
              <w:t> </w:t>
            </w:r>
          </w:p>
        </w:tc>
        <w:tc>
          <w:tcPr>
            <w:tcW w:w="1136" w:type="dxa"/>
            <w:tcBorders/>
            <w:vAlign w:val="center"/>
          </w:tcPr>
          <w:p>
            <w:pPr>
              <w:pStyle w:val="TableContents"/>
              <w:bidi w:val="0"/>
              <w:spacing w:lineRule="atLeast" w:line="300" w:before="0" w:after="0"/>
              <w:jc w:val="right"/>
              <w:rPr>
                <w:rFonts w:ascii="arial" w:hAnsi="arial"/>
                <w:sz w:val="18"/>
              </w:rPr>
            </w:pPr>
            <w:r>
              <w:rPr>
                <w:rFonts w:ascii="arial" w:hAnsi="arial"/>
                <w:sz w:val="18"/>
              </w:rPr>
              <w:t>2,571,759  </w:t>
            </w:r>
          </w:p>
        </w:tc>
        <w:tc>
          <w:tcPr>
            <w:tcW w:w="60" w:type="dxa"/>
            <w:tcBorders/>
            <w:vAlign w:val="center"/>
          </w:tcPr>
          <w:p>
            <w:pPr>
              <w:pStyle w:val="TableContents"/>
              <w:bidi w:val="0"/>
              <w:spacing w:lineRule="atLeast" w:line="300" w:before="0" w:after="0"/>
              <w:jc w:val="left"/>
              <w:rPr/>
            </w:pPr>
            <w:r>
              <w:rPr/>
              <w:t> </w:t>
            </w:r>
          </w:p>
        </w:tc>
        <w:tc>
          <w:tcPr>
            <w:tcW w:w="2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lineRule="atLeast" w:line="300" w:before="0" w:after="0"/>
              <w:jc w:val="left"/>
              <w:rPr/>
            </w:pPr>
            <w:r>
              <w:rPr/>
              <w:t> </w:t>
            </w:r>
          </w:p>
        </w:tc>
        <w:tc>
          <w:tcPr>
            <w:tcW w:w="1619" w:type="dxa"/>
            <w:tcBorders/>
            <w:vAlign w:val="center"/>
          </w:tcPr>
          <w:p>
            <w:pPr>
              <w:pStyle w:val="TableContents"/>
              <w:bidi w:val="0"/>
              <w:spacing w:lineRule="atLeast" w:line="300" w:before="0" w:after="0"/>
              <w:jc w:val="right"/>
              <w:rPr>
                <w:rFonts w:ascii="arial" w:hAnsi="arial"/>
                <w:sz w:val="18"/>
              </w:rPr>
            </w:pPr>
            <w:r>
              <w:rPr>
                <w:rFonts w:ascii="arial" w:hAnsi="arial"/>
                <w:sz w:val="18"/>
              </w:rPr>
              <w:t>1,821,000  </w:t>
            </w:r>
          </w:p>
        </w:tc>
        <w:tc>
          <w:tcPr>
            <w:tcW w:w="75" w:type="dxa"/>
            <w:tcBorders/>
            <w:vAlign w:val="center"/>
          </w:tcPr>
          <w:p>
            <w:pPr>
              <w:pStyle w:val="TableContents"/>
              <w:bidi w:val="0"/>
              <w:spacing w:lineRule="atLeast" w:line="300" w:before="0" w:after="0"/>
              <w:jc w:val="left"/>
              <w:rPr/>
            </w:pPr>
            <w:r>
              <w:rPr/>
              <w:t> </w:t>
            </w:r>
          </w:p>
        </w:tc>
      </w:tr>
      <w:tr>
        <w:trPr/>
        <w:tc>
          <w:tcPr>
            <w:tcW w:w="1685" w:type="dxa"/>
            <w:tcBorders/>
            <w:shd w:fill="CCE2F1" w:val="clear"/>
            <w:vAlign w:val="center"/>
          </w:tcPr>
          <w:p>
            <w:pPr>
              <w:pStyle w:val="TableContents"/>
              <w:bidi w:val="0"/>
              <w:spacing w:lineRule="atLeast" w:line="300" w:before="0" w:after="0"/>
              <w:jc w:val="left"/>
              <w:rPr/>
            </w:pPr>
            <w:r>
              <w:rPr/>
              <w:t> </w:t>
            </w:r>
            <w:r>
              <w:rPr>
                <w:rFonts w:ascii="arial" w:hAnsi="arial"/>
                <w:sz w:val="18"/>
              </w:rPr>
              <w:t>David M. Reese</w:t>
            </w:r>
          </w:p>
        </w:tc>
        <w:tc>
          <w:tcPr>
            <w:tcW w:w="120" w:type="dxa"/>
            <w:tcBorders/>
            <w:shd w:fill="CCE2F1" w:val="clear"/>
            <w:vAlign w:val="center"/>
          </w:tcPr>
          <w:p>
            <w:pPr>
              <w:pStyle w:val="TableContents"/>
              <w:bidi w:val="0"/>
              <w:spacing w:before="0" w:after="283"/>
              <w:jc w:val="left"/>
              <w:rPr/>
            </w:pPr>
            <w:r>
              <w:rPr/>
              <w:t>  </w:t>
            </w:r>
          </w:p>
        </w:tc>
        <w:tc>
          <w:tcPr>
            <w:tcW w:w="199" w:type="dxa"/>
            <w:tcBorders/>
            <w:shd w:fill="CCE2F1" w:val="clear"/>
            <w:vAlign w:val="center"/>
          </w:tcPr>
          <w:p>
            <w:pPr>
              <w:pStyle w:val="TableContents"/>
              <w:bidi w:val="0"/>
              <w:spacing w:lineRule="atLeast" w:line="300" w:before="0" w:after="0"/>
              <w:jc w:val="left"/>
              <w:rPr/>
            </w:pPr>
            <w:r>
              <w:rPr/>
              <w:t> </w:t>
            </w:r>
          </w:p>
        </w:tc>
        <w:tc>
          <w:tcPr>
            <w:tcW w:w="871" w:type="dxa"/>
            <w:tcBorders/>
            <w:shd w:fill="CCE2F1" w:val="clear"/>
            <w:vAlign w:val="center"/>
          </w:tcPr>
          <w:p>
            <w:pPr>
              <w:pStyle w:val="TableContents"/>
              <w:bidi w:val="0"/>
              <w:spacing w:lineRule="atLeast" w:line="300" w:before="0" w:after="0"/>
              <w:jc w:val="right"/>
              <w:rPr/>
            </w:pPr>
            <w:r>
              <w:rPr/>
              <w:t>—</w:t>
            </w:r>
          </w:p>
        </w:tc>
        <w:tc>
          <w:tcPr>
            <w:tcW w:w="76" w:type="dxa"/>
            <w:tcBorders/>
            <w:shd w:fill="CCE2F1" w:val="clear"/>
            <w:vAlign w:val="center"/>
          </w:tcPr>
          <w:p>
            <w:pPr>
              <w:pStyle w:val="TableContents"/>
              <w:bidi w:val="0"/>
              <w:spacing w:lineRule="atLeast" w:line="300" w:before="0" w:after="0"/>
              <w:jc w:val="left"/>
              <w:rPr/>
            </w:pPr>
            <w:r>
              <w:rPr/>
              <w:t> </w:t>
            </w:r>
          </w:p>
        </w:tc>
        <w:tc>
          <w:tcPr>
            <w:tcW w:w="308" w:type="dxa"/>
            <w:tcBorders/>
            <w:shd w:fill="CCE2F1" w:val="clear"/>
            <w:vAlign w:val="center"/>
          </w:tcPr>
          <w:p>
            <w:pPr>
              <w:pStyle w:val="TableContents"/>
              <w:bidi w:val="0"/>
              <w:spacing w:before="0" w:after="283"/>
              <w:jc w:val="left"/>
              <w:rPr/>
            </w:pPr>
            <w:r>
              <w:rPr/>
              <w:t>    </w:t>
            </w:r>
          </w:p>
        </w:tc>
        <w:tc>
          <w:tcPr>
            <w:tcW w:w="76" w:type="dxa"/>
            <w:tcBorders/>
            <w:shd w:fill="CCE2F1" w:val="clear"/>
            <w:vAlign w:val="center"/>
          </w:tcPr>
          <w:p>
            <w:pPr>
              <w:pStyle w:val="TableContents"/>
              <w:bidi w:val="0"/>
              <w:spacing w:lineRule="atLeast" w:line="300" w:before="0" w:after="0"/>
              <w:jc w:val="left"/>
              <w:rPr/>
            </w:pPr>
            <w:r>
              <w:rPr/>
              <w:t> </w:t>
            </w:r>
          </w:p>
        </w:tc>
        <w:tc>
          <w:tcPr>
            <w:tcW w:w="1089" w:type="dxa"/>
            <w:tcBorders/>
            <w:shd w:fill="CCE2F1" w:val="clear"/>
            <w:vAlign w:val="center"/>
          </w:tcPr>
          <w:p>
            <w:pPr>
              <w:pStyle w:val="TableContents"/>
              <w:bidi w:val="0"/>
              <w:spacing w:lineRule="atLeast" w:line="300" w:before="0" w:after="0"/>
              <w:jc w:val="right"/>
              <w:rPr>
                <w:rFonts w:ascii="arial" w:hAnsi="arial"/>
                <w:sz w:val="18"/>
              </w:rPr>
            </w:pPr>
            <w:r>
              <w:rPr>
                <w:rFonts w:ascii="arial" w:hAnsi="arial"/>
                <w:sz w:val="18"/>
              </w:rPr>
              <w:t>1,211,104</w:t>
            </w:r>
          </w:p>
        </w:tc>
        <w:tc>
          <w:tcPr>
            <w:tcW w:w="76" w:type="dxa"/>
            <w:tcBorders/>
            <w:shd w:fill="CCE2F1" w:val="clear"/>
            <w:vAlign w:val="center"/>
          </w:tcPr>
          <w:p>
            <w:pPr>
              <w:pStyle w:val="TableContents"/>
              <w:bidi w:val="0"/>
              <w:spacing w:lineRule="atLeast" w:line="300" w:before="0" w:after="0"/>
              <w:jc w:val="left"/>
              <w:rPr/>
            </w:pPr>
            <w:r>
              <w:rPr/>
              <w:t> </w:t>
            </w:r>
          </w:p>
        </w:tc>
        <w:tc>
          <w:tcPr>
            <w:tcW w:w="308" w:type="dxa"/>
            <w:tcBorders/>
            <w:shd w:fill="CCE2F1" w:val="clear"/>
            <w:vAlign w:val="center"/>
          </w:tcPr>
          <w:p>
            <w:pPr>
              <w:pStyle w:val="TableContents"/>
              <w:bidi w:val="0"/>
              <w:spacing w:before="0" w:after="283"/>
              <w:jc w:val="left"/>
              <w:rPr/>
            </w:pPr>
            <w:r>
              <w:rPr/>
              <w:t>    </w:t>
            </w:r>
          </w:p>
        </w:tc>
        <w:tc>
          <w:tcPr>
            <w:tcW w:w="76" w:type="dxa"/>
            <w:tcBorders/>
            <w:shd w:fill="CCE2F1" w:val="clear"/>
            <w:vAlign w:val="center"/>
          </w:tcPr>
          <w:p>
            <w:pPr>
              <w:pStyle w:val="TableContents"/>
              <w:bidi w:val="0"/>
              <w:spacing w:lineRule="atLeast" w:line="300" w:before="0" w:after="0"/>
              <w:jc w:val="left"/>
              <w:rPr/>
            </w:pPr>
            <w:r>
              <w:rPr/>
              <w:t> </w:t>
            </w:r>
          </w:p>
        </w:tc>
        <w:tc>
          <w:tcPr>
            <w:tcW w:w="1136" w:type="dxa"/>
            <w:tcBorders/>
            <w:shd w:fill="CCE2F1" w:val="clear"/>
            <w:vAlign w:val="center"/>
          </w:tcPr>
          <w:p>
            <w:pPr>
              <w:pStyle w:val="TableContents"/>
              <w:bidi w:val="0"/>
              <w:spacing w:lineRule="atLeast" w:line="300" w:before="0" w:after="0"/>
              <w:jc w:val="right"/>
              <w:rPr>
                <w:rFonts w:ascii="arial" w:hAnsi="arial"/>
                <w:sz w:val="18"/>
              </w:rPr>
            </w:pPr>
            <w:r>
              <w:rPr>
                <w:rFonts w:ascii="arial" w:hAnsi="arial"/>
                <w:sz w:val="18"/>
              </w:rPr>
              <w:t>2,724,984  </w:t>
            </w:r>
          </w:p>
        </w:tc>
        <w:tc>
          <w:tcPr>
            <w:tcW w:w="60" w:type="dxa"/>
            <w:tcBorders/>
            <w:shd w:fill="CCE2F1" w:val="clear"/>
            <w:vAlign w:val="center"/>
          </w:tcPr>
          <w:p>
            <w:pPr>
              <w:pStyle w:val="TableContents"/>
              <w:bidi w:val="0"/>
              <w:spacing w:lineRule="atLeast" w:line="300" w:before="0" w:after="0"/>
              <w:jc w:val="left"/>
              <w:rPr/>
            </w:pPr>
            <w:r>
              <w:rPr/>
              <w:t> </w:t>
            </w:r>
          </w:p>
        </w:tc>
        <w:tc>
          <w:tcPr>
            <w:tcW w:w="24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sz w:val="4"/>
                <w:szCs w:val="4"/>
              </w:rPr>
            </w:pPr>
            <w:r>
              <w:rPr>
                <w:sz w:val="4"/>
                <w:szCs w:val="4"/>
              </w:rPr>
            </w:r>
          </w:p>
        </w:tc>
        <w:tc>
          <w:tcPr>
            <w:tcW w:w="120" w:type="dxa"/>
            <w:tcBorders/>
            <w:shd w:fill="CCE2F1" w:val="clear"/>
            <w:vAlign w:val="center"/>
          </w:tcPr>
          <w:p>
            <w:pPr>
              <w:pStyle w:val="TableContents"/>
              <w:bidi w:val="0"/>
              <w:spacing w:before="0" w:after="283"/>
              <w:jc w:val="left"/>
              <w:rPr/>
            </w:pPr>
            <w:r>
              <w:rPr/>
              <w:t>  </w:t>
            </w:r>
          </w:p>
        </w:tc>
        <w:tc>
          <w:tcPr>
            <w:tcW w:w="80" w:type="dxa"/>
            <w:tcBorders/>
            <w:shd w:fill="CCE2F1" w:val="clear"/>
            <w:vAlign w:val="center"/>
          </w:tcPr>
          <w:p>
            <w:pPr>
              <w:pStyle w:val="TableContents"/>
              <w:bidi w:val="0"/>
              <w:spacing w:lineRule="atLeast" w:line="300" w:before="0" w:after="0"/>
              <w:jc w:val="left"/>
              <w:rPr/>
            </w:pPr>
            <w:r>
              <w:rPr/>
              <w:t> </w:t>
            </w:r>
          </w:p>
        </w:tc>
        <w:tc>
          <w:tcPr>
            <w:tcW w:w="1619" w:type="dxa"/>
            <w:tcBorders/>
            <w:shd w:fill="CCE2F1" w:val="clear"/>
            <w:vAlign w:val="center"/>
          </w:tcPr>
          <w:p>
            <w:pPr>
              <w:pStyle w:val="TableContents"/>
              <w:bidi w:val="0"/>
              <w:spacing w:lineRule="atLeast" w:line="300" w:before="0" w:after="0"/>
              <w:jc w:val="right"/>
              <w:rPr>
                <w:rFonts w:ascii="arial" w:hAnsi="arial"/>
                <w:sz w:val="18"/>
              </w:rPr>
            </w:pPr>
            <w:r>
              <w:rPr>
                <w:rFonts w:ascii="arial" w:hAnsi="arial"/>
                <w:sz w:val="18"/>
              </w:rPr>
              <w:t>1,929,000  </w:t>
            </w:r>
          </w:p>
        </w:tc>
        <w:tc>
          <w:tcPr>
            <w:tcW w:w="75" w:type="dxa"/>
            <w:tcBorders/>
            <w:shd w:fill="CCE2F1" w:val="clear"/>
            <w:vAlign w:val="center"/>
          </w:tcPr>
          <w:p>
            <w:pPr>
              <w:pStyle w:val="TableContents"/>
              <w:bidi w:val="0"/>
              <w:spacing w:lineRule="atLeast" w:line="300" w:before="0" w:after="0"/>
              <w:jc w:val="left"/>
              <w:rPr/>
            </w:pPr>
            <w:r>
              <w:rPr/>
              <w:t> </w:t>
            </w:r>
          </w:p>
        </w:tc>
      </w:tr>
      <w:tr>
        <w:trPr/>
        <w:tc>
          <w:tcPr>
            <w:tcW w:w="1685" w:type="dxa"/>
            <w:tcBorders/>
            <w:vAlign w:val="center"/>
          </w:tcPr>
          <w:p>
            <w:pPr>
              <w:pStyle w:val="TableContents"/>
              <w:bidi w:val="0"/>
              <w:spacing w:lineRule="atLeast" w:line="300" w:before="0" w:after="0"/>
              <w:jc w:val="left"/>
              <w:rPr/>
            </w:pPr>
            <w:r>
              <w:rPr/>
              <w:t> </w:t>
            </w:r>
            <w:r>
              <w:rPr>
                <w:rFonts w:ascii="arial" w:hAnsi="arial"/>
                <w:sz w:val="18"/>
              </w:rPr>
              <w:t>Peter H. Griffith</w:t>
            </w:r>
          </w:p>
        </w:tc>
        <w:tc>
          <w:tcPr>
            <w:tcW w:w="12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lineRule="atLeast" w:line="300" w:before="0" w:after="0"/>
              <w:jc w:val="left"/>
              <w:rPr/>
            </w:pPr>
            <w:r>
              <w:rPr/>
              <w:t> </w:t>
            </w:r>
          </w:p>
        </w:tc>
        <w:tc>
          <w:tcPr>
            <w:tcW w:w="871" w:type="dxa"/>
            <w:tcBorders/>
            <w:vAlign w:val="center"/>
          </w:tcPr>
          <w:p>
            <w:pPr>
              <w:pStyle w:val="TableContents"/>
              <w:bidi w:val="0"/>
              <w:spacing w:lineRule="atLeast" w:line="300" w:before="0" w:after="0"/>
              <w:jc w:val="right"/>
              <w:rPr/>
            </w:pPr>
            <w:r>
              <w:rPr/>
              <w:t>—</w:t>
            </w:r>
          </w:p>
        </w:tc>
        <w:tc>
          <w:tcPr>
            <w:tcW w:w="76" w:type="dxa"/>
            <w:tcBorders/>
            <w:vAlign w:val="center"/>
          </w:tcPr>
          <w:p>
            <w:pPr>
              <w:pStyle w:val="TableContents"/>
              <w:bidi w:val="0"/>
              <w:spacing w:lineRule="atLeast" w:line="300" w:before="0" w:after="0"/>
              <w:jc w:val="left"/>
              <w:rPr/>
            </w:pPr>
            <w:r>
              <w:rPr/>
              <w:t> </w:t>
            </w:r>
          </w:p>
        </w:tc>
        <w:tc>
          <w:tcPr>
            <w:tcW w:w="30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lineRule="atLeast" w:line="300" w:before="0" w:after="0"/>
              <w:jc w:val="left"/>
              <w:rPr/>
            </w:pPr>
            <w:r>
              <w:rPr/>
              <w:t> </w:t>
            </w:r>
          </w:p>
        </w:tc>
        <w:tc>
          <w:tcPr>
            <w:tcW w:w="1089" w:type="dxa"/>
            <w:tcBorders/>
            <w:vAlign w:val="center"/>
          </w:tcPr>
          <w:p>
            <w:pPr>
              <w:pStyle w:val="TableContents"/>
              <w:bidi w:val="0"/>
              <w:spacing w:lineRule="atLeast" w:line="300" w:before="0" w:after="0"/>
              <w:jc w:val="right"/>
              <w:rPr>
                <w:rFonts w:ascii="arial" w:hAnsi="arial"/>
                <w:sz w:val="18"/>
              </w:rPr>
            </w:pPr>
            <w:r>
              <w:rPr>
                <w:rFonts w:ascii="arial" w:hAnsi="arial"/>
                <w:sz w:val="18"/>
              </w:rPr>
              <w:t>1,082,227</w:t>
            </w:r>
          </w:p>
        </w:tc>
        <w:tc>
          <w:tcPr>
            <w:tcW w:w="76" w:type="dxa"/>
            <w:tcBorders/>
            <w:vAlign w:val="center"/>
          </w:tcPr>
          <w:p>
            <w:pPr>
              <w:pStyle w:val="TableContents"/>
              <w:bidi w:val="0"/>
              <w:spacing w:lineRule="atLeast" w:line="300" w:before="0" w:after="0"/>
              <w:jc w:val="left"/>
              <w:rPr/>
            </w:pPr>
            <w:r>
              <w:rPr/>
              <w:t> </w:t>
            </w:r>
          </w:p>
        </w:tc>
        <w:tc>
          <w:tcPr>
            <w:tcW w:w="308"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lineRule="atLeast" w:line="300" w:before="0" w:after="0"/>
              <w:jc w:val="left"/>
              <w:rPr/>
            </w:pPr>
            <w:r>
              <w:rPr/>
              <w:t> </w:t>
            </w:r>
          </w:p>
        </w:tc>
        <w:tc>
          <w:tcPr>
            <w:tcW w:w="1136" w:type="dxa"/>
            <w:tcBorders/>
            <w:vAlign w:val="center"/>
          </w:tcPr>
          <w:p>
            <w:pPr>
              <w:pStyle w:val="TableContents"/>
              <w:bidi w:val="0"/>
              <w:spacing w:lineRule="atLeast" w:line="300" w:before="0" w:after="0"/>
              <w:jc w:val="right"/>
              <w:rPr>
                <w:rFonts w:ascii="arial" w:hAnsi="arial"/>
                <w:sz w:val="18"/>
              </w:rPr>
            </w:pPr>
            <w:r>
              <w:rPr>
                <w:rFonts w:ascii="arial" w:hAnsi="arial"/>
                <w:sz w:val="18"/>
              </w:rPr>
              <w:t>2,435,011  </w:t>
            </w:r>
          </w:p>
        </w:tc>
        <w:tc>
          <w:tcPr>
            <w:tcW w:w="60" w:type="dxa"/>
            <w:tcBorders/>
            <w:vAlign w:val="center"/>
          </w:tcPr>
          <w:p>
            <w:pPr>
              <w:pStyle w:val="TableContents"/>
              <w:bidi w:val="0"/>
              <w:spacing w:lineRule="atLeast" w:line="300" w:before="0" w:after="0"/>
              <w:jc w:val="left"/>
              <w:rPr/>
            </w:pPr>
            <w:r>
              <w:rPr/>
              <w:t> </w:t>
            </w:r>
          </w:p>
        </w:tc>
        <w:tc>
          <w:tcPr>
            <w:tcW w:w="2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lineRule="atLeast" w:line="300" w:before="0" w:after="0"/>
              <w:jc w:val="left"/>
              <w:rPr/>
            </w:pPr>
            <w:r>
              <w:rPr/>
              <w:t> </w:t>
            </w:r>
          </w:p>
        </w:tc>
        <w:tc>
          <w:tcPr>
            <w:tcW w:w="1619" w:type="dxa"/>
            <w:tcBorders/>
            <w:vAlign w:val="center"/>
          </w:tcPr>
          <w:p>
            <w:pPr>
              <w:pStyle w:val="TableContents"/>
              <w:bidi w:val="0"/>
              <w:spacing w:lineRule="atLeast" w:line="300" w:before="0" w:after="0"/>
              <w:jc w:val="right"/>
              <w:rPr>
                <w:rFonts w:ascii="arial" w:hAnsi="arial"/>
                <w:sz w:val="18"/>
              </w:rPr>
            </w:pPr>
            <w:r>
              <w:rPr>
                <w:rFonts w:ascii="arial" w:hAnsi="arial"/>
                <w:sz w:val="18"/>
              </w:rPr>
              <w:t>1,724,000  </w:t>
            </w:r>
          </w:p>
        </w:tc>
        <w:tc>
          <w:tcPr>
            <w:tcW w:w="75" w:type="dxa"/>
            <w:tcBorders/>
            <w:vAlign w:val="center"/>
          </w:tcPr>
          <w:p>
            <w:pPr>
              <w:pStyle w:val="TableContents"/>
              <w:bidi w:val="0"/>
              <w:spacing w:lineRule="atLeast" w:line="300" w:before="0" w:after="0"/>
              <w:jc w:val="left"/>
              <w:rPr/>
            </w:pPr>
            <w:r>
              <w:rPr/>
              <w:t> </w:t>
            </w:r>
          </w:p>
        </w:tc>
      </w:tr>
      <w:tr>
        <w:trPr/>
        <w:tc>
          <w:tcPr>
            <w:tcW w:w="1685"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r>
              <w:rPr>
                <w:rFonts w:ascii="arial" w:hAnsi="arial"/>
                <w:sz w:val="18"/>
              </w:rPr>
              <w:t>Esteban Santos</w:t>
            </w:r>
          </w:p>
        </w:tc>
        <w:tc>
          <w:tcPr>
            <w:tcW w:w="12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199"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c>
          <w:tcPr>
            <w:tcW w:w="871" w:type="dxa"/>
            <w:tcBorders>
              <w:bottom w:val="single" w:sz="8" w:space="0" w:color="0171B9"/>
            </w:tcBorders>
            <w:shd w:fill="CCE2F1" w:val="clear"/>
            <w:tcMar>
              <w:bottom w:w="28" w:type="dxa"/>
            </w:tcMar>
            <w:vAlign w:val="center"/>
          </w:tcPr>
          <w:p>
            <w:pPr>
              <w:pStyle w:val="TableContents"/>
              <w:bidi w:val="0"/>
              <w:spacing w:lineRule="atLeast" w:line="300" w:before="0" w:after="0"/>
              <w:jc w:val="right"/>
              <w:rPr/>
            </w:pPr>
            <w:r>
              <w:rPr/>
              <w:t>—</w:t>
            </w:r>
          </w:p>
        </w:tc>
        <w:tc>
          <w:tcPr>
            <w:tcW w:w="76"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c>
          <w:tcPr>
            <w:tcW w:w="308"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76"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c>
          <w:tcPr>
            <w:tcW w:w="1089" w:type="dxa"/>
            <w:tcBorders>
              <w:bottom w:val="single" w:sz="8" w:space="0" w:color="0171B9"/>
            </w:tcBorders>
            <w:shd w:fill="CCE2F1" w:val="clear"/>
            <w:tcMar>
              <w:bottom w:w="28" w:type="dxa"/>
            </w:tcMar>
            <w:vAlign w:val="center"/>
          </w:tcPr>
          <w:p>
            <w:pPr>
              <w:pStyle w:val="TableContents"/>
              <w:bidi w:val="0"/>
              <w:spacing w:lineRule="atLeast" w:line="300" w:before="0" w:after="0"/>
              <w:jc w:val="right"/>
              <w:rPr>
                <w:rFonts w:ascii="arial" w:hAnsi="arial"/>
                <w:sz w:val="18"/>
              </w:rPr>
            </w:pPr>
            <w:r>
              <w:rPr>
                <w:rFonts w:ascii="arial" w:hAnsi="arial"/>
                <w:sz w:val="18"/>
              </w:rPr>
              <w:t>1,059,881</w:t>
            </w:r>
          </w:p>
        </w:tc>
        <w:tc>
          <w:tcPr>
            <w:tcW w:w="76"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c>
          <w:tcPr>
            <w:tcW w:w="308"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76"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c>
          <w:tcPr>
            <w:tcW w:w="1136" w:type="dxa"/>
            <w:tcBorders>
              <w:bottom w:val="single" w:sz="8" w:space="0" w:color="0171B9"/>
            </w:tcBorders>
            <w:shd w:fill="CCE2F1" w:val="clear"/>
            <w:tcMar>
              <w:bottom w:w="28" w:type="dxa"/>
            </w:tcMar>
            <w:vAlign w:val="center"/>
          </w:tcPr>
          <w:p>
            <w:pPr>
              <w:pStyle w:val="TableContents"/>
              <w:bidi w:val="0"/>
              <w:spacing w:lineRule="atLeast" w:line="300" w:before="0" w:after="0"/>
              <w:jc w:val="right"/>
              <w:rPr>
                <w:rFonts w:ascii="arial" w:hAnsi="arial"/>
                <w:sz w:val="18"/>
              </w:rPr>
            </w:pPr>
            <w:r>
              <w:rPr>
                <w:rFonts w:ascii="arial" w:hAnsi="arial"/>
                <w:sz w:val="18"/>
              </w:rPr>
              <w:t>2,384,732  </w:t>
            </w:r>
          </w:p>
        </w:tc>
        <w:tc>
          <w:tcPr>
            <w:tcW w:w="60"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c>
          <w:tcPr>
            <w:tcW w:w="24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12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12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80"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c>
          <w:tcPr>
            <w:tcW w:w="1619" w:type="dxa"/>
            <w:tcBorders>
              <w:bottom w:val="single" w:sz="8" w:space="0" w:color="0171B9"/>
            </w:tcBorders>
            <w:shd w:fill="CCE2F1" w:val="clear"/>
            <w:tcMar>
              <w:bottom w:w="28" w:type="dxa"/>
            </w:tcMar>
            <w:vAlign w:val="center"/>
          </w:tcPr>
          <w:p>
            <w:pPr>
              <w:pStyle w:val="TableContents"/>
              <w:bidi w:val="0"/>
              <w:spacing w:lineRule="atLeast" w:line="300" w:before="0" w:after="0"/>
              <w:jc w:val="right"/>
              <w:rPr>
                <w:rFonts w:ascii="arial" w:hAnsi="arial"/>
                <w:sz w:val="18"/>
              </w:rPr>
            </w:pPr>
            <w:r>
              <w:rPr>
                <w:rFonts w:ascii="arial" w:hAnsi="arial"/>
                <w:sz w:val="18"/>
              </w:rPr>
              <w:t>1,688,000  </w:t>
            </w:r>
          </w:p>
        </w:tc>
        <w:tc>
          <w:tcPr>
            <w:tcW w:w="75"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(3) </w:t>
            </w:r>
          </w:p>
        </w:tc>
        <w:tc>
          <w:tcPr>
            <w:tcW w:w="9940" w:type="dxa"/>
            <w:tcBorders/>
            <w:vAlign w:val="center"/>
          </w:tcPr>
          <w:p>
            <w:pPr>
              <w:pStyle w:val="TableContents"/>
              <w:bidi w:val="0"/>
              <w:spacing w:before="0" w:after="0"/>
              <w:jc w:val="both"/>
              <w:rPr>
                <w:rFonts w:ascii="arial" w:hAnsi="arial"/>
                <w:sz w:val="16"/>
              </w:rPr>
            </w:pPr>
            <w:r>
              <w:rPr>
                <w:rFonts w:ascii="arial" w:hAnsi="arial"/>
                <w:sz w:val="16"/>
              </w:rPr>
              <w:t xml:space="preserve">Reflects estimated payouts regarding performance units granted during 2023 for the 2023-2025 performance period for NEOs. The number of units granted (which equals the target number of units of the award) will be multiplied by a payout percentage, which can range from 0% to 200%, to determine the number of units earned by the participant at the end of the performance period. Shares of our Common Stock will be issued on a one-for-one basis for each performance unit earned. </w:t>
            </w:r>
          </w:p>
        </w:tc>
      </w:tr>
    </w:tbl>
    <w:p>
      <w:pPr>
        <w:pStyle w:val="TextBody"/>
        <w:bidi w:val="0"/>
        <w:spacing w:before="0" w:after="0"/>
        <w:jc w:val="both"/>
        <w:rPr>
          <w:rFonts w:ascii="arial" w:hAnsi="arial"/>
          <w:sz w:val="16"/>
        </w:rPr>
      </w:pPr>
      <w:r>
        <w:rPr>
          <w:rFonts w:ascii="arial" w:hAnsi="arial"/>
          <w:sz w:val="16"/>
        </w:rPr>
        <w:t xml:space="preserve">For all the NEOs, the payout percentage for the 2023-2025 performance period is earned based on two non-GAAP annual operating measures, with the total that can be earned under such operating measures ranging from 30% to 170%, which is then modified up or down by up to 30 percentage points based on our relative TSR performance ranking over the three-year performance period. The non-GAAP operating measures are: (1) earnings per share; and (2) return on invested capital, or ROIC. Each of the operating measures are measured against pre-established goals for every year in the 2023-2025 performance period, which runs from January 1, 2023 through December 31, 2025. All goals are set at the commencement of the three-year performance period. Each applicable operating measure is weighted equally (one-half per measure) to determine the total operating measure percentage for that year. At the end of the performance period, the final annual operating performance percentages for each of the three years are averaged to determine the score for the three-year performance period. The TSR modifier is based on how the TSR of our Common Stock ranks relative to the TSRs of the companies that are listed in the S&amp;P 500, as defined (the Reference Group), over the period from the date of grant through the end of the performance period. If the rank of the TSR of our Common Stock equals or exceeds the 75th percentile or equals or is less than the 25th percentile, the TSR modifier increases or decreases the payout by 30 percentage points, respectively. If the TSR of our Common Stock is at the 50th percentile, the TSR modifier is zero. Linear interpolation is used to determine the TSR modifier if the rank of the TSR of our Common Stock falls between these percentiles. If our absolute TSR over the performance period is less than 0, however, then the modifier cannot be greater than 0. The Compensation Committee certifies the number of performance units earned and payable following completion of the performance period. </w:t>
      </w:r>
    </w:p>
    <w:p>
      <w:pPr>
        <w:pStyle w:val="TextBody"/>
        <w:bidi w:val="0"/>
        <w:spacing w:before="0" w:after="0"/>
        <w:jc w:val="both"/>
        <w:rPr>
          <w:rFonts w:ascii="arial" w:hAnsi="arial"/>
          <w:sz w:val="16"/>
        </w:rPr>
      </w:pPr>
      <w:r>
        <w:rPr>
          <w:rFonts w:ascii="arial" w:hAnsi="arial"/>
          <w:sz w:val="16"/>
        </w:rPr>
        <w:t>All performance units accrue dividend equivalents deemed reinvested in shares and that are payable in shares only to the extent and when the underlying performance units are earned. For more information, see “Elements of Compensation and Specific Compensation Decisions—</w:t>
      </w:r>
      <w:r>
        <w:rPr>
          <w:rFonts w:ascii="arial" w:hAnsi="arial"/>
          <w:i/>
          <w:sz w:val="16"/>
        </w:rPr>
        <w:t>Long-Term Incentive Equity Awards</w:t>
      </w:r>
      <w:r>
        <w:rPr>
          <w:rFonts w:ascii="arial" w:hAnsi="arial"/>
          <w:sz w:val="16"/>
        </w:rPr>
        <w:t xml:space="preserve">” in our Compensation Discussion and Analysis.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(4) </w:t>
            </w:r>
          </w:p>
        </w:tc>
        <w:tc>
          <w:tcPr>
            <w:tcW w:w="9940" w:type="dxa"/>
            <w:tcBorders/>
            <w:vAlign w:val="center"/>
          </w:tcPr>
          <w:p>
            <w:pPr>
              <w:pStyle w:val="TableContents"/>
              <w:bidi w:val="0"/>
              <w:spacing w:before="0" w:after="0"/>
              <w:jc w:val="both"/>
              <w:rPr>
                <w:rFonts w:ascii="arial" w:hAnsi="arial"/>
                <w:sz w:val="16"/>
              </w:rPr>
            </w:pPr>
            <w:r>
              <w:rPr>
                <w:rFonts w:ascii="arial" w:hAnsi="arial"/>
                <w:sz w:val="16"/>
              </w:rPr>
              <w:t xml:space="preserve">Reflects the RSUs granted during 2023 to our NEOs. RSUs accrue dividend equivalents that are deemed reinvested in shares and payable only to the extent and when the underlying RSUs vest and are issued to the recipient. Our RSUs generally vest over four years with no vesting in the first year and vesting in three approximately equal annual installments on the second, third, and fourth anniversaries of the grant date, subject to continued service through the vesting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(5) </w:t>
            </w:r>
          </w:p>
        </w:tc>
        <w:tc>
          <w:tcPr>
            <w:tcW w:w="9924" w:type="dxa"/>
            <w:tcBorders/>
            <w:vAlign w:val="center"/>
          </w:tcPr>
          <w:p>
            <w:pPr>
              <w:pStyle w:val="TableContents"/>
              <w:bidi w:val="0"/>
              <w:spacing w:before="0" w:after="0"/>
              <w:jc w:val="both"/>
              <w:rPr>
                <w:rFonts w:ascii="arial" w:hAnsi="arial"/>
                <w:sz w:val="16"/>
              </w:rPr>
            </w:pPr>
            <w:r>
              <w:rPr>
                <w:rFonts w:ascii="arial" w:hAnsi="arial"/>
                <w:sz w:val="16"/>
              </w:rPr>
              <w:t xml:space="preserve">Reflects the 2023 annual grant of non-qualified stock options to our NEOs. Our stock options generally vest over four years with no vesting in the first year and vesting in three approximately equal annual installments on the second, third, and fourth anniversaries of the grant date, subject to continued service through the vesting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(6) </w:t>
            </w:r>
          </w:p>
        </w:tc>
        <w:tc>
          <w:tcPr>
            <w:tcW w:w="9960" w:type="dxa"/>
            <w:tcBorders/>
            <w:vAlign w:val="center"/>
          </w:tcPr>
          <w:p>
            <w:pPr>
              <w:pStyle w:val="TableContents"/>
              <w:bidi w:val="0"/>
              <w:spacing w:before="0" w:after="0"/>
              <w:jc w:val="both"/>
              <w:rPr>
                <w:rFonts w:ascii="arial" w:hAnsi="arial"/>
                <w:sz w:val="16"/>
              </w:rPr>
            </w:pPr>
            <w:r>
              <w:rPr>
                <w:rFonts w:ascii="arial" w:hAnsi="arial"/>
                <w:sz w:val="16"/>
              </w:rPr>
              <w:t xml:space="preserve">Reflects the grant date fair values of performance units granted to our NEOs for the 2023-2025 performance period determined in accordance with ASC 718, based on the number of performance units granted multiplied by: (i) 100% which is the operating measure percentage earnout based on the probable outcomes of financial performance measures over the three-year performance period as of the grant date; and (ii) the grant date fair value per unit of $252.49 which reflects the impact of the TSR modifier of $16.52 per share, which is a market condition. The grant date fair value per unit was calculated using a payout simulation model with the following key assumptions: risk-free interest rate of 3.7%; volatility of the price of our Common Stock of 21.6%; the closing price of our Common Stock on the grant date of $235.97 per share; volatilities of the prices of the stocks of the Reference Group; and the correlations of returns of our Common Stock and the stocks of the Reference Group to simulate TSRs and their resulting impact on the payout percentages based on the contractual terms of the performance units.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(7) </w:t>
            </w:r>
          </w:p>
        </w:tc>
        <w:tc>
          <w:tcPr>
            <w:tcW w:w="9939" w:type="dxa"/>
            <w:tcBorders/>
            <w:vAlign w:val="center"/>
          </w:tcPr>
          <w:p>
            <w:pPr>
              <w:pStyle w:val="TableContents"/>
              <w:bidi w:val="0"/>
              <w:spacing w:before="0" w:after="0"/>
              <w:jc w:val="both"/>
              <w:rPr>
                <w:rFonts w:ascii="arial" w:hAnsi="arial"/>
                <w:sz w:val="16"/>
              </w:rPr>
            </w:pPr>
            <w:r>
              <w:rPr>
                <w:rFonts w:ascii="arial" w:hAnsi="arial"/>
                <w:sz w:val="16"/>
              </w:rPr>
              <w:t xml:space="preserve">Reflects the grant date fair values of RSUs granted during 2023 determined in accordance with ASC 718 based on the number of RSUs granted multiplied by the grant date fair value per unit of $235.97. The grant date fair value per unit equals the closing price of our Common Stock on the grant date. RSUs accrue dividends that are deemed reinvested in shares and payable only when, and to the extent that, the underlying RSUs vest and are issued to the participant.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(8) </w:t>
            </w:r>
          </w:p>
        </w:tc>
        <w:tc>
          <w:tcPr>
            <w:tcW w:w="9944" w:type="dxa"/>
            <w:tcBorders/>
            <w:vAlign w:val="center"/>
          </w:tcPr>
          <w:p>
            <w:pPr>
              <w:pStyle w:val="TableContents"/>
              <w:bidi w:val="0"/>
              <w:spacing w:before="0" w:after="0"/>
              <w:jc w:val="both"/>
              <w:rPr>
                <w:rFonts w:ascii="arial" w:hAnsi="arial"/>
                <w:sz w:val="16"/>
              </w:rPr>
            </w:pPr>
            <w:r>
              <w:rPr>
                <w:rFonts w:ascii="arial" w:hAnsi="arial"/>
                <w:sz w:val="16"/>
              </w:rPr>
              <w:t xml:space="preserve">Reflects the grant date fair values of stock options granted during 2023 determined in accordance with ASC 718 based on the number of options granted multiplied by the grant date fair value per option of $41.86. The grant date fair value of an option was determined using a Black-Scholes option valuation model with the following key assumptions: risk-free interest rate of 3.4%; expected life of 5.7 years; expected volatility of the price of our Common Stock of 23.3%; expected dividend yield of 3.5%; and the exercise price of $235.97. </w:t>
            </w:r>
          </w:p>
        </w:tc>
      </w:tr>
    </w:tbl>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314"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150" descr=""/>
                    <pic:cNvPicPr>
                      <a:picLocks noChangeAspect="1" noChangeArrowheads="1"/>
                    </pic:cNvPicPr>
                  </pic:nvPicPr>
                  <pic:blipFill>
                    <a:blip r:embed="rId163"/>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87</w:t>
      </w:r>
      <w:r>
        <w:rPr>
          <w:rFonts w:ascii="arial" w:hAnsi="arial"/>
          <w:b/>
          <w:sz w:val="22"/>
        </w:rPr>
        <w:t xml:space="preserve"> </w:t>
      </w:r>
      <w:r>
        <w:br w:type="page"/>
      </w:r>
    </w:p>
    <w:p>
      <w:pPr>
        <w:pStyle w:val="HorizontalLine"/>
        <w:bidi w:val="0"/>
        <w:jc w:val="left"/>
        <w:rPr/>
      </w:pPr>
      <w:r>
        <w:rPr/>
      </w:r>
    </w:p>
    <w:tbl>
      <w:tblPr>
        <w:tblW w:w="419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371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1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371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Executive Compensation Tables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both"/>
        <w:rPr>
          <w:rFonts w:ascii="arial" w:hAnsi="arial"/>
          <w:i/>
          <w:sz w:val="19"/>
        </w:rPr>
      </w:pPr>
      <w:r>
        <w:rPr>
          <w:rFonts w:ascii="arial" w:hAnsi="arial"/>
          <w:i/>
          <w:sz w:val="19"/>
        </w:rPr>
        <w:t xml:space="preserve">The estimated payouts of the performance units described above are disclosed in the limited context of our executive compensation program and should not be understood to be statements of our expectations of our stock price or estimates of results or other guidance. We specifically caution investors not to apply these statements to other contexts. </w:t>
      </w:r>
    </w:p>
    <w:p>
      <w:pPr>
        <w:pStyle w:val="TextBody"/>
        <w:bidi w:val="0"/>
        <w:spacing w:before="240" w:after="0"/>
        <w:jc w:val="left"/>
        <w:rPr>
          <w:rFonts w:ascii="arial" w:hAnsi="arial"/>
          <w:b/>
          <w:color w:val="0171B9"/>
          <w:sz w:val="28"/>
        </w:rPr>
      </w:pPr>
      <w:r>
        <w:rPr>
          <w:rFonts w:ascii="arial" w:hAnsi="arial"/>
          <w:b/>
          <w:color w:val="0171B9"/>
          <w:sz w:val="28"/>
        </w:rPr>
        <w:t xml:space="preserve">Outstanding Equity Awards at Fiscal Year-End </w:t>
      </w:r>
    </w:p>
    <w:p>
      <w:pPr>
        <w:pStyle w:val="TextBody"/>
        <w:pBdr>
          <w:bottom w:val="single" w:sz="2" w:space="1" w:color="666666"/>
        </w:pBdr>
        <w:bidi w:val="0"/>
        <w:spacing w:lineRule="atLeast" w:line="142" w:before="0" w:after="40"/>
        <w:jc w:val="left"/>
        <w:rPr/>
      </w:pPr>
      <w:r>
        <w:rPr/>
        <w:t> </w:t>
      </w:r>
    </w:p>
    <w:p>
      <w:pPr>
        <w:pStyle w:val="TextBody"/>
        <w:bidi w:val="0"/>
        <w:spacing w:before="120" w:after="0"/>
        <w:jc w:val="both"/>
        <w:rPr>
          <w:rFonts w:ascii="arial" w:hAnsi="arial"/>
          <w:sz w:val="19"/>
        </w:rPr>
      </w:pPr>
      <w:r>
        <w:rPr>
          <w:rFonts w:ascii="arial" w:hAnsi="arial"/>
          <w:sz w:val="19"/>
        </w:rPr>
        <w:t xml:space="preserve">The following table sets forth summary information regarding the outstanding equity awards held by each of our NEOs at December 31, 2023. </w:t>
      </w:r>
    </w:p>
    <w:p>
      <w:pPr>
        <w:pStyle w:val="TextBody"/>
        <w:bidi w:val="0"/>
        <w:spacing w:before="0" w:after="0"/>
        <w:jc w:val="left"/>
        <w:rPr/>
      </w:pPr>
      <w:r>
        <w:rPr/>
        <w:t> </w:t>
      </w:r>
    </w:p>
    <w:tbl>
      <w:tblPr>
        <w:tblW w:w="11750" w:type="dxa"/>
        <w:jc w:val="left"/>
        <w:tblInd w:w="0" w:type="dxa"/>
        <w:tblLayout w:type="fixed"/>
        <w:tblCellMar>
          <w:top w:w="0" w:type="dxa"/>
          <w:left w:w="0" w:type="dxa"/>
          <w:bottom w:w="0" w:type="dxa"/>
          <w:right w:w="0" w:type="dxa"/>
        </w:tblCellMar>
      </w:tblPr>
      <w:tblGrid>
        <w:gridCol w:w="680"/>
        <w:gridCol w:w="60"/>
        <w:gridCol w:w="90"/>
        <w:gridCol w:w="1205"/>
        <w:gridCol w:w="60"/>
        <w:gridCol w:w="60"/>
        <w:gridCol w:w="108"/>
        <w:gridCol w:w="1442"/>
        <w:gridCol w:w="60"/>
        <w:gridCol w:w="60"/>
        <w:gridCol w:w="79"/>
        <w:gridCol w:w="901"/>
        <w:gridCol w:w="60"/>
        <w:gridCol w:w="60"/>
        <w:gridCol w:w="60"/>
        <w:gridCol w:w="1055"/>
        <w:gridCol w:w="60"/>
        <w:gridCol w:w="60"/>
        <w:gridCol w:w="78"/>
        <w:gridCol w:w="887"/>
        <w:gridCol w:w="60"/>
        <w:gridCol w:w="60"/>
        <w:gridCol w:w="68"/>
        <w:gridCol w:w="1257"/>
        <w:gridCol w:w="60"/>
        <w:gridCol w:w="60"/>
        <w:gridCol w:w="108"/>
        <w:gridCol w:w="1232"/>
        <w:gridCol w:w="215"/>
        <w:gridCol w:w="60"/>
        <w:gridCol w:w="70"/>
        <w:gridCol w:w="1300"/>
        <w:gridCol w:w="75"/>
      </w:tblGrid>
      <w:tr>
        <w:trPr/>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80" w:type="dxa"/>
            <w:tcBorders/>
            <w:shd w:fill="0171B9" w:val="clear"/>
            <w:vAlign w:val="center"/>
          </w:tcPr>
          <w:p>
            <w:pPr>
              <w:pStyle w:val="TableContents"/>
              <w:bidi w:val="0"/>
              <w:spacing w:before="0" w:after="283"/>
              <w:jc w:val="left"/>
              <w:rPr>
                <w:sz w:val="4"/>
                <w:szCs w:val="4"/>
              </w:rPr>
            </w:pPr>
            <w:r>
              <w:rPr>
                <w:sz w:val="4"/>
                <w:szCs w:val="4"/>
              </w:rPr>
            </w:r>
          </w:p>
        </w:tc>
        <w:tc>
          <w:tcPr>
            <w:tcW w:w="5420" w:type="dxa"/>
            <w:gridSpan w:val="16"/>
            <w:tcBorders/>
            <w:shd w:fill="0171B9" w:val="clear"/>
            <w:vAlign w:val="center"/>
          </w:tcPr>
          <w:p>
            <w:pPr>
              <w:pStyle w:val="TableContents"/>
              <w:bidi w:val="0"/>
              <w:spacing w:before="0" w:after="283"/>
              <w:jc w:val="left"/>
              <w:rPr>
                <w:sz w:val="4"/>
                <w:szCs w:val="4"/>
              </w:rPr>
            </w:pPr>
            <w:r>
              <w:rPr>
                <w:sz w:val="4"/>
                <w:szCs w:val="4"/>
              </w:rPr>
            </w:r>
          </w:p>
        </w:tc>
        <w:tc>
          <w:tcPr>
            <w:tcW w:w="5650" w:type="dxa"/>
            <w:gridSpan w:val="16"/>
            <w:tcBorders/>
            <w:shd w:fill="0171B9" w:val="clear"/>
            <w:vAlign w:val="center"/>
          </w:tcPr>
          <w:p>
            <w:pPr>
              <w:pStyle w:val="TableContents"/>
              <w:bidi w:val="0"/>
              <w:spacing w:before="0" w:after="283"/>
              <w:jc w:val="left"/>
              <w:rPr>
                <w:sz w:val="4"/>
                <w:szCs w:val="4"/>
              </w:rPr>
            </w:pPr>
            <w:r>
              <w:rPr>
                <w:sz w:val="4"/>
                <w:szCs w:val="4"/>
              </w:rPr>
            </w:r>
          </w:p>
        </w:tc>
      </w:tr>
      <w:tr>
        <w:trPr/>
        <w:tc>
          <w:tcPr>
            <w:tcW w:w="68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5300" w:type="dxa"/>
            <w:gridSpan w:val="14"/>
            <w:tcBorders>
              <w:bottom w:val="single" w:sz="8" w:space="0" w:color="FFFFFF"/>
            </w:tcBorders>
            <w:shd w:fill="0171B9" w:val="clear"/>
            <w:tcMar>
              <w:bottom w:w="60" w:type="dxa"/>
            </w:tcMar>
            <w:vAlign w:val="center"/>
          </w:tcPr>
          <w:p>
            <w:pPr>
              <w:pStyle w:val="TableContents"/>
              <w:bidi w:val="0"/>
              <w:spacing w:before="0" w:after="283"/>
              <w:jc w:val="center"/>
              <w:rPr>
                <w:b/>
                <w:color w:val="FFFFFF"/>
              </w:rPr>
            </w:pPr>
            <w:r>
              <w:rPr>
                <w:b/>
                <w:color w:val="FFFFFF"/>
              </w:rPr>
              <w:t>Option Awards</w:t>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5515" w:type="dxa"/>
            <w:gridSpan w:val="14"/>
            <w:tcBorders>
              <w:bottom w:val="single" w:sz="8" w:space="0" w:color="FFFFFF"/>
            </w:tcBorders>
            <w:shd w:fill="0171B9" w:val="clear"/>
            <w:tcMar>
              <w:bottom w:w="60" w:type="dxa"/>
            </w:tcMar>
            <w:vAlign w:val="center"/>
          </w:tcPr>
          <w:p>
            <w:pPr>
              <w:pStyle w:val="TableContents"/>
              <w:bidi w:val="0"/>
              <w:spacing w:before="0" w:after="283"/>
              <w:jc w:val="center"/>
              <w:rPr>
                <w:b/>
                <w:color w:val="FFFFFF"/>
              </w:rPr>
            </w:pPr>
            <w:r>
              <w:rPr>
                <w:b/>
                <w:color w:val="FFFFFF"/>
              </w:rPr>
              <w:t>Stock Awards</w:t>
            </w:r>
          </w:p>
        </w:tc>
        <w:tc>
          <w:tcPr>
            <w:tcW w:w="75" w:type="dxa"/>
            <w:tcBorders/>
            <w:shd w:fill="0171B9" w:val="clear"/>
            <w:vAlign w:val="center"/>
          </w:tcPr>
          <w:p>
            <w:pPr>
              <w:pStyle w:val="TableContents"/>
              <w:bidi w:val="0"/>
              <w:spacing w:before="0" w:after="283"/>
              <w:jc w:val="left"/>
              <w:rPr/>
            </w:pPr>
            <w:r>
              <w:rPr/>
              <w:t> </w:t>
            </w:r>
          </w:p>
        </w:tc>
      </w:tr>
      <w:tr>
        <w:trPr/>
        <w:tc>
          <w:tcPr>
            <w:tcW w:w="680" w:type="dxa"/>
            <w:tcBorders>
              <w:bottom w:val="single" w:sz="8" w:space="0" w:color="FFFFFF"/>
            </w:tcBorders>
            <w:shd w:fill="0171B9" w:val="clear"/>
            <w:tcMar>
              <w:bottom w:w="28" w:type="dxa"/>
            </w:tcMar>
            <w:vAlign w:val="center"/>
          </w:tcPr>
          <w:p>
            <w:pPr>
              <w:pStyle w:val="TableContents"/>
              <w:bidi w:val="0"/>
              <w:spacing w:before="0" w:after="283"/>
              <w:jc w:val="left"/>
              <w:rPr>
                <w:color w:val="FFFFFF"/>
              </w:rPr>
            </w:pPr>
            <w:r>
              <w:rPr>
                <w:color w:val="FFFFFF"/>
              </w:rPr>
              <w:t> </w:t>
            </w:r>
            <w:r>
              <w:rPr>
                <w:b/>
                <w:color w:val="FFFFFF"/>
              </w:rPr>
              <w:t>Name</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95" w:type="dxa"/>
            <w:gridSpan w:val="2"/>
            <w:tcBorders>
              <w:bottom w:val="single" w:sz="8" w:space="0" w:color="FFFFFF"/>
            </w:tcBorders>
            <w:shd w:fill="0171B9" w:val="clear"/>
            <w:tcMar>
              <w:bottom w:w="28" w:type="dxa"/>
            </w:tcMar>
            <w:vAlign w:val="center"/>
          </w:tcPr>
          <w:p>
            <w:pPr>
              <w:pStyle w:val="TableContents"/>
              <w:bidi w:val="0"/>
              <w:spacing w:before="0" w:after="283"/>
              <w:jc w:val="right"/>
              <w:rPr>
                <w:b/>
                <w:color w:val="FFFFFF"/>
              </w:rPr>
            </w:pPr>
            <w:r>
              <w:rPr>
                <w:b/>
                <w:color w:val="FFFFFF"/>
              </w:rPr>
              <w:t>Number of</w:t>
              <w:br/>
              <w:t>Securities</w:t>
              <w:br/>
              <w:t>Underlying</w:t>
              <w:br/>
              <w:t>Unexercised</w:t>
              <w:br/>
              <w:t>Options</w:t>
              <w:br/>
              <w:t>Exerciseable</w:t>
              <w:br/>
              <w:t>(#)</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550" w:type="dxa"/>
            <w:gridSpan w:val="2"/>
            <w:tcBorders>
              <w:bottom w:val="single" w:sz="8" w:space="0" w:color="FFFFFF"/>
            </w:tcBorders>
            <w:shd w:fill="0171B9" w:val="clear"/>
            <w:tcMar>
              <w:bottom w:w="28" w:type="dxa"/>
            </w:tcMar>
            <w:vAlign w:val="center"/>
          </w:tcPr>
          <w:p>
            <w:pPr>
              <w:pStyle w:val="TableContents"/>
              <w:bidi w:val="0"/>
              <w:spacing w:before="0" w:after="283"/>
              <w:jc w:val="right"/>
              <w:rPr>
                <w:b/>
                <w:color w:val="FFFFFF"/>
              </w:rPr>
            </w:pPr>
            <w:r>
              <w:rPr>
                <w:b/>
                <w:color w:val="FFFFFF"/>
              </w:rPr>
              <w:t>Number of</w:t>
              <w:br/>
              <w:t>Securities</w:t>
              <w:br/>
              <w:t>Underlying</w:t>
              <w:br/>
              <w:t>Unexercised</w:t>
              <w:br/>
              <w:t>Options</w:t>
              <w:br/>
              <w:t>Unexerciseable</w:t>
              <w:br/>
              <w:t>(#)</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980" w:type="dxa"/>
            <w:gridSpan w:val="2"/>
            <w:tcBorders>
              <w:bottom w:val="single" w:sz="8" w:space="0" w:color="FFFFFF"/>
            </w:tcBorders>
            <w:shd w:fill="0171B9" w:val="clear"/>
            <w:tcMar>
              <w:bottom w:w="28" w:type="dxa"/>
            </w:tcMar>
            <w:vAlign w:val="center"/>
          </w:tcPr>
          <w:p>
            <w:pPr>
              <w:pStyle w:val="TableContents"/>
              <w:bidi w:val="0"/>
              <w:spacing w:before="0" w:after="283"/>
              <w:jc w:val="right"/>
              <w:rPr>
                <w:b/>
                <w:color w:val="FFFFFF"/>
              </w:rPr>
            </w:pPr>
            <w:r>
              <w:rPr>
                <w:b/>
                <w:color w:val="FFFFFF"/>
              </w:rPr>
              <w:t>Option</w:t>
              <w:br/>
              <w:t>Exercise</w:t>
              <w:br/>
              <w:t>Price</w:t>
              <w:br/>
              <w:t>($/Option)</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115" w:type="dxa"/>
            <w:gridSpan w:val="2"/>
            <w:tcBorders>
              <w:bottom w:val="single" w:sz="8" w:space="0" w:color="FFFFFF"/>
            </w:tcBorders>
            <w:shd w:fill="0171B9" w:val="clear"/>
            <w:tcMar>
              <w:bottom w:w="28" w:type="dxa"/>
            </w:tcMar>
            <w:vAlign w:val="center"/>
          </w:tcPr>
          <w:p>
            <w:pPr>
              <w:pStyle w:val="TableContents"/>
              <w:bidi w:val="0"/>
              <w:spacing w:before="0" w:after="283"/>
              <w:jc w:val="right"/>
              <w:rPr>
                <w:b/>
                <w:color w:val="FFFFFF"/>
              </w:rPr>
            </w:pPr>
            <w:r>
              <w:rPr>
                <w:b/>
                <w:color w:val="FFFFFF"/>
              </w:rPr>
              <w:t>Option</w:t>
              <w:br/>
              <w:t>Expiration</w:t>
              <w:br/>
              <w:t>Date(1)</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965" w:type="dxa"/>
            <w:gridSpan w:val="2"/>
            <w:tcBorders>
              <w:bottom w:val="single" w:sz="8" w:space="0" w:color="FFFFFF"/>
            </w:tcBorders>
            <w:shd w:fill="0171B9" w:val="clear"/>
            <w:tcMar>
              <w:bottom w:w="28" w:type="dxa"/>
            </w:tcMar>
            <w:vAlign w:val="center"/>
          </w:tcPr>
          <w:p>
            <w:pPr>
              <w:pStyle w:val="TableContents"/>
              <w:bidi w:val="0"/>
              <w:spacing w:before="0" w:after="0"/>
              <w:jc w:val="right"/>
              <w:rPr>
                <w:rFonts w:ascii="arial" w:hAnsi="arial"/>
                <w:b/>
                <w:color w:val="FFFFFF"/>
                <w:sz w:val="15"/>
              </w:rPr>
            </w:pPr>
            <w:r>
              <w:rPr>
                <w:rFonts w:ascii="arial" w:hAnsi="arial"/>
                <w:b/>
                <w:color w:val="FFFFFF"/>
                <w:sz w:val="15"/>
              </w:rPr>
              <w:t>Number of</w:t>
              <w:br/>
              <w:t>Shares of</w:t>
              <w:br/>
              <w:t>Units of</w:t>
              <w:br/>
              <w:t>Stock That</w:t>
              <w:br/>
              <w:t>Have Not Yet</w:t>
              <w:br/>
              <w:t>Vested</w:t>
            </w:r>
          </w:p>
          <w:p>
            <w:pPr>
              <w:pStyle w:val="TableContents"/>
              <w:bidi w:val="0"/>
              <w:spacing w:before="0" w:after="20"/>
              <w:jc w:val="right"/>
              <w:rPr>
                <w:rFonts w:ascii="arial" w:hAnsi="arial"/>
                <w:b/>
                <w:color w:val="FFFFFF"/>
                <w:sz w:val="15"/>
              </w:rPr>
            </w:pPr>
            <w:r>
              <w:rPr>
                <w:rFonts w:ascii="arial" w:hAnsi="arial"/>
                <w:b/>
                <w:color w:val="FFFFFF"/>
                <w:sz w:val="15"/>
              </w:rPr>
              <w:t>(#)(2)</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325" w:type="dxa"/>
            <w:gridSpan w:val="2"/>
            <w:tcBorders>
              <w:bottom w:val="single" w:sz="8" w:space="0" w:color="FFFFFF"/>
            </w:tcBorders>
            <w:shd w:fill="0171B9" w:val="clear"/>
            <w:tcMar>
              <w:bottom w:w="28" w:type="dxa"/>
            </w:tcMar>
            <w:vAlign w:val="center"/>
          </w:tcPr>
          <w:p>
            <w:pPr>
              <w:pStyle w:val="TableContents"/>
              <w:bidi w:val="0"/>
              <w:spacing w:before="0" w:after="0"/>
              <w:jc w:val="right"/>
              <w:rPr>
                <w:rFonts w:ascii="arial" w:hAnsi="arial"/>
                <w:b/>
                <w:color w:val="FFFFFF"/>
                <w:sz w:val="15"/>
              </w:rPr>
            </w:pPr>
            <w:r>
              <w:rPr>
                <w:rFonts w:ascii="arial" w:hAnsi="arial"/>
                <w:b/>
                <w:color w:val="FFFFFF"/>
                <w:sz w:val="15"/>
              </w:rPr>
              <w:t>Market Value</w:t>
            </w:r>
          </w:p>
          <w:p>
            <w:pPr>
              <w:pStyle w:val="TableContents"/>
              <w:bidi w:val="0"/>
              <w:spacing w:before="0" w:after="0"/>
              <w:jc w:val="right"/>
              <w:rPr>
                <w:rFonts w:ascii="arial" w:hAnsi="arial"/>
                <w:b/>
                <w:color w:val="FFFFFF"/>
                <w:sz w:val="15"/>
              </w:rPr>
            </w:pPr>
            <w:r>
              <w:rPr>
                <w:rFonts w:ascii="arial" w:hAnsi="arial"/>
                <w:b/>
                <w:color w:val="FFFFFF"/>
                <w:sz w:val="15"/>
              </w:rPr>
              <w:t>of Shares or</w:t>
              <w:br/>
              <w:t>Units of Stock</w:t>
              <w:br/>
              <w:t>That Have Not Yet</w:t>
              <w:br/>
              <w:t>Vested</w:t>
            </w:r>
          </w:p>
          <w:p>
            <w:pPr>
              <w:pStyle w:val="TableContents"/>
              <w:bidi w:val="0"/>
              <w:spacing w:before="0" w:after="20"/>
              <w:jc w:val="right"/>
              <w:rPr>
                <w:rFonts w:ascii="arial" w:hAnsi="arial"/>
                <w:b/>
                <w:color w:val="FFFFFF"/>
                <w:sz w:val="15"/>
              </w:rPr>
            </w:pPr>
            <w:r>
              <w:rPr>
                <w:rFonts w:ascii="arial" w:hAnsi="arial"/>
                <w:b/>
                <w:color w:val="FFFFFF"/>
                <w:sz w:val="15"/>
              </w:rPr>
              <w:t>($)(3)</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340" w:type="dxa"/>
            <w:gridSpan w:val="2"/>
            <w:tcBorders>
              <w:bottom w:val="single" w:sz="8" w:space="0" w:color="FFFFFF"/>
            </w:tcBorders>
            <w:shd w:fill="0171B9" w:val="clear"/>
            <w:tcMar>
              <w:bottom w:w="28" w:type="dxa"/>
            </w:tcMar>
            <w:vAlign w:val="center"/>
          </w:tcPr>
          <w:p>
            <w:pPr>
              <w:pStyle w:val="TableContents"/>
              <w:bidi w:val="0"/>
              <w:spacing w:before="0" w:after="0"/>
              <w:jc w:val="right"/>
              <w:rPr>
                <w:rFonts w:ascii="arial" w:hAnsi="arial"/>
                <w:b/>
                <w:color w:val="FFFFFF"/>
                <w:sz w:val="15"/>
              </w:rPr>
            </w:pPr>
            <w:r>
              <w:rPr>
                <w:rFonts w:ascii="arial" w:hAnsi="arial"/>
                <w:b/>
                <w:color w:val="FFFFFF"/>
                <w:sz w:val="15"/>
              </w:rPr>
              <w:t>Equity Incentive</w:t>
              <w:br/>
              <w:t>Plan Awards:</w:t>
              <w:br/>
              <w:t>Number of</w:t>
              <w:br/>
              <w:t>Unearned Shares,</w:t>
              <w:br/>
              <w:t>Units or Other</w:t>
              <w:br/>
              <w:t>Rights That Have</w:t>
              <w:br/>
              <w:t>Not Vested</w:t>
            </w:r>
          </w:p>
          <w:p>
            <w:pPr>
              <w:pStyle w:val="TableContents"/>
              <w:bidi w:val="0"/>
              <w:spacing w:before="0" w:after="20"/>
              <w:jc w:val="right"/>
              <w:rPr>
                <w:rFonts w:ascii="arial" w:hAnsi="arial"/>
                <w:b/>
                <w:color w:val="FFFFFF"/>
                <w:sz w:val="15"/>
              </w:rPr>
            </w:pPr>
            <w:r>
              <w:rPr>
                <w:rFonts w:ascii="arial" w:hAnsi="arial"/>
                <w:b/>
                <w:color w:val="FFFFFF"/>
                <w:sz w:val="15"/>
              </w:rPr>
              <w:t>(#)</w:t>
            </w:r>
          </w:p>
        </w:tc>
        <w:tc>
          <w:tcPr>
            <w:tcW w:w="215"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370" w:type="dxa"/>
            <w:gridSpan w:val="2"/>
            <w:tcBorders>
              <w:bottom w:val="single" w:sz="8" w:space="0" w:color="FFFFFF"/>
            </w:tcBorders>
            <w:shd w:fill="0171B9" w:val="clear"/>
            <w:tcMar>
              <w:bottom w:w="28" w:type="dxa"/>
            </w:tcMar>
            <w:vAlign w:val="center"/>
          </w:tcPr>
          <w:p>
            <w:pPr>
              <w:pStyle w:val="TableContents"/>
              <w:bidi w:val="0"/>
              <w:spacing w:before="0" w:after="0"/>
              <w:jc w:val="right"/>
              <w:rPr>
                <w:rFonts w:ascii="arial" w:hAnsi="arial"/>
                <w:b/>
                <w:color w:val="FFFFFF"/>
                <w:sz w:val="15"/>
              </w:rPr>
            </w:pPr>
            <w:r>
              <w:rPr>
                <w:rFonts w:ascii="arial" w:hAnsi="arial"/>
                <w:b/>
                <w:color w:val="FFFFFF"/>
                <w:sz w:val="15"/>
              </w:rPr>
              <w:t>Equity Incentive</w:t>
              <w:br/>
              <w:t>Plan Awards:</w:t>
              <w:br/>
              <w:t>Market or Payout</w:t>
              <w:br/>
              <w:t>Value of Unearned</w:t>
              <w:br/>
              <w:t>Shares, Units or</w:t>
              <w:br/>
              <w:t>Other Rights That</w:t>
              <w:br/>
              <w:t>Have Not Vested</w:t>
            </w:r>
          </w:p>
          <w:p>
            <w:pPr>
              <w:pStyle w:val="TableContents"/>
              <w:bidi w:val="0"/>
              <w:spacing w:before="0" w:after="20"/>
              <w:jc w:val="right"/>
              <w:rPr>
                <w:rFonts w:ascii="arial" w:hAnsi="arial"/>
                <w:b/>
                <w:color w:val="FFFFFF"/>
                <w:sz w:val="15"/>
              </w:rPr>
            </w:pPr>
            <w:r>
              <w:rPr>
                <w:rFonts w:ascii="arial" w:hAnsi="arial"/>
                <w:b/>
                <w:color w:val="FFFFFF"/>
                <w:sz w:val="15"/>
              </w:rPr>
              <w:t>($)(3)</w:t>
            </w:r>
          </w:p>
        </w:tc>
        <w:tc>
          <w:tcPr>
            <w:tcW w:w="75"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r>
      <w:tr>
        <w:trPr/>
        <w:tc>
          <w:tcPr>
            <w:tcW w:w="68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5300" w:type="dxa"/>
            <w:gridSpan w:val="14"/>
            <w:tcBorders/>
            <w:shd w:fill="0171B9" w:val="clear"/>
            <w:vAlign w:val="center"/>
          </w:tcPr>
          <w:p>
            <w:pPr>
              <w:pStyle w:val="TableContents"/>
              <w:bidi w:val="0"/>
              <w:spacing w:before="0" w:after="0"/>
              <w:jc w:val="center"/>
              <w:rPr>
                <w:rFonts w:ascii="arial" w:hAnsi="arial"/>
                <w:i/>
                <w:color w:val="FFFFFF"/>
                <w:sz w:val="15"/>
              </w:rPr>
            </w:pPr>
            <w:r>
              <w:rPr>
                <w:rFonts w:ascii="arial" w:hAnsi="arial"/>
                <w:i/>
                <w:color w:val="FFFFFF"/>
                <w:sz w:val="15"/>
              </w:rPr>
              <w:t>Stock Options(1)</w:t>
            </w:r>
          </w:p>
          <w:p>
            <w:pPr>
              <w:pStyle w:val="TableContents"/>
              <w:bidi w:val="0"/>
              <w:spacing w:before="0" w:after="20"/>
              <w:jc w:val="left"/>
              <w:rPr/>
            </w:pPr>
            <w:r>
              <w:rPr/>
              <w:t> </w:t>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2410" w:type="dxa"/>
            <w:gridSpan w:val="6"/>
            <w:tcBorders/>
            <w:shd w:fill="0171B9" w:val="clear"/>
            <w:vAlign w:val="center"/>
          </w:tcPr>
          <w:p>
            <w:pPr>
              <w:pStyle w:val="TableContents"/>
              <w:bidi w:val="0"/>
              <w:spacing w:before="0" w:after="0"/>
              <w:jc w:val="left"/>
              <w:rPr/>
            </w:pPr>
            <w:r>
              <w:rPr/>
              <w:t> </w:t>
            </w:r>
          </w:p>
          <w:p>
            <w:pPr>
              <w:pStyle w:val="TableContents"/>
              <w:bidi w:val="0"/>
              <w:spacing w:before="0" w:after="0"/>
              <w:jc w:val="center"/>
              <w:rPr>
                <w:rFonts w:ascii="arial" w:hAnsi="arial"/>
                <w:i/>
                <w:color w:val="FFFFFF"/>
                <w:sz w:val="15"/>
              </w:rPr>
            </w:pPr>
            <w:r>
              <w:rPr>
                <w:rFonts w:ascii="arial" w:hAnsi="arial"/>
                <w:i/>
                <w:color w:val="FFFFFF"/>
                <w:sz w:val="15"/>
              </w:rPr>
              <w:t>Restricted Stock Units and</w:t>
            </w:r>
          </w:p>
          <w:p>
            <w:pPr>
              <w:pStyle w:val="TableContents"/>
              <w:bidi w:val="0"/>
              <w:spacing w:before="0" w:after="0"/>
              <w:jc w:val="center"/>
              <w:rPr>
                <w:rFonts w:ascii="arial" w:hAnsi="arial"/>
                <w:i/>
                <w:color w:val="FFFFFF"/>
                <w:sz w:val="15"/>
              </w:rPr>
            </w:pPr>
            <w:r>
              <w:rPr>
                <w:rFonts w:ascii="arial" w:hAnsi="arial"/>
                <w:i/>
                <w:color w:val="FFFFFF"/>
                <w:sz w:val="15"/>
              </w:rPr>
              <w:t>Dividend Equivalents</w:t>
            </w:r>
          </w:p>
          <w:p>
            <w:pPr>
              <w:pStyle w:val="TableContents"/>
              <w:bidi w:val="0"/>
              <w:spacing w:before="0" w:after="20"/>
              <w:jc w:val="left"/>
              <w:rPr/>
            </w:pPr>
            <w:r>
              <w:rPr/>
              <w:t> </w:t>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2985" w:type="dxa"/>
            <w:gridSpan w:val="6"/>
            <w:tcBorders/>
            <w:shd w:fill="0171B9" w:val="clear"/>
            <w:vAlign w:val="center"/>
          </w:tcPr>
          <w:p>
            <w:pPr>
              <w:pStyle w:val="TableContents"/>
              <w:bidi w:val="0"/>
              <w:spacing w:before="0" w:after="0"/>
              <w:jc w:val="left"/>
              <w:rPr/>
            </w:pPr>
            <w:r>
              <w:rPr/>
              <w:t> </w:t>
            </w:r>
          </w:p>
          <w:p>
            <w:pPr>
              <w:pStyle w:val="TableContents"/>
              <w:bidi w:val="0"/>
              <w:spacing w:before="0" w:after="0"/>
              <w:jc w:val="center"/>
              <w:rPr>
                <w:rFonts w:ascii="arial" w:hAnsi="arial"/>
                <w:i/>
                <w:color w:val="FFFFFF"/>
                <w:sz w:val="15"/>
              </w:rPr>
            </w:pPr>
            <w:r>
              <w:rPr>
                <w:rFonts w:ascii="arial" w:hAnsi="arial"/>
                <w:i/>
                <w:color w:val="FFFFFF"/>
                <w:sz w:val="15"/>
              </w:rPr>
              <w:t>Performance Units and Dividend</w:t>
            </w:r>
          </w:p>
          <w:p>
            <w:pPr>
              <w:pStyle w:val="TableContents"/>
              <w:bidi w:val="0"/>
              <w:spacing w:before="0" w:after="0"/>
              <w:jc w:val="center"/>
              <w:rPr>
                <w:rFonts w:ascii="arial" w:hAnsi="arial"/>
                <w:i/>
                <w:color w:val="FFFFFF"/>
                <w:sz w:val="15"/>
              </w:rPr>
            </w:pPr>
            <w:r>
              <w:rPr>
                <w:rFonts w:ascii="arial" w:hAnsi="arial"/>
                <w:i/>
                <w:color w:val="FFFFFF"/>
                <w:sz w:val="15"/>
              </w:rPr>
              <w:t>Equivalents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283"/>
              <w:jc w:val="left"/>
              <w:rPr/>
            </w:pPr>
            <w:r>
              <w:rPr/>
              <w:t> </w:t>
            </w:r>
          </w:p>
        </w:tc>
      </w:tr>
      <w:tr>
        <w:trPr/>
        <w:tc>
          <w:tcPr>
            <w:tcW w:w="680" w:type="dxa"/>
            <w:tcBorders/>
            <w:shd w:fill="CCE2F1" w:val="clear"/>
            <w:vAlign w:val="center"/>
          </w:tcPr>
          <w:p>
            <w:pPr>
              <w:pStyle w:val="TableContents"/>
              <w:bidi w:val="0"/>
              <w:spacing w:before="0" w:after="283"/>
              <w:jc w:val="left"/>
              <w:rPr>
                <w:sz w:val="4"/>
                <w:szCs w:val="4"/>
              </w:rPr>
            </w:pPr>
            <w:r>
              <w:rPr>
                <w:sz w:val="4"/>
                <w:szCs w:val="4"/>
              </w:rPr>
            </w:r>
          </w:p>
        </w:tc>
        <w:tc>
          <w:tcPr>
            <w:tcW w:w="1415" w:type="dxa"/>
            <w:gridSpan w:val="4"/>
            <w:tcBorders/>
            <w:shd w:fill="CCE2F1" w:val="clear"/>
            <w:vAlign w:val="center"/>
          </w:tcPr>
          <w:p>
            <w:pPr>
              <w:pStyle w:val="TableContents"/>
              <w:bidi w:val="0"/>
              <w:spacing w:before="0" w:after="283"/>
              <w:jc w:val="left"/>
              <w:rPr>
                <w:sz w:val="4"/>
                <w:szCs w:val="4"/>
              </w:rPr>
            </w:pPr>
            <w:r>
              <w:rPr>
                <w:sz w:val="4"/>
                <w:szCs w:val="4"/>
              </w:rPr>
            </w:r>
          </w:p>
        </w:tc>
        <w:tc>
          <w:tcPr>
            <w:tcW w:w="1670" w:type="dxa"/>
            <w:gridSpan w:val="4"/>
            <w:tcBorders/>
            <w:shd w:fill="CCE2F1" w:val="clear"/>
            <w:vAlign w:val="center"/>
          </w:tcPr>
          <w:p>
            <w:pPr>
              <w:pStyle w:val="TableContents"/>
              <w:bidi w:val="0"/>
              <w:spacing w:before="0" w:after="283"/>
              <w:jc w:val="left"/>
              <w:rPr>
                <w:sz w:val="4"/>
                <w:szCs w:val="4"/>
              </w:rPr>
            </w:pPr>
            <w:r>
              <w:rPr>
                <w:sz w:val="4"/>
                <w:szCs w:val="4"/>
              </w:rPr>
            </w:r>
          </w:p>
        </w:tc>
        <w:tc>
          <w:tcPr>
            <w:tcW w:w="1100" w:type="dxa"/>
            <w:gridSpan w:val="4"/>
            <w:tcBorders/>
            <w:shd w:fill="CCE2F1" w:val="clear"/>
            <w:vAlign w:val="center"/>
          </w:tcPr>
          <w:p>
            <w:pPr>
              <w:pStyle w:val="TableContents"/>
              <w:bidi w:val="0"/>
              <w:spacing w:before="0" w:after="283"/>
              <w:jc w:val="left"/>
              <w:rPr>
                <w:sz w:val="4"/>
                <w:szCs w:val="4"/>
              </w:rPr>
            </w:pPr>
            <w:r>
              <w:rPr>
                <w:sz w:val="4"/>
                <w:szCs w:val="4"/>
              </w:rPr>
            </w:r>
          </w:p>
        </w:tc>
        <w:tc>
          <w:tcPr>
            <w:tcW w:w="1235" w:type="dxa"/>
            <w:gridSpan w:val="4"/>
            <w:tcBorders/>
            <w:shd w:fill="CCE2F1" w:val="clear"/>
            <w:vAlign w:val="center"/>
          </w:tcPr>
          <w:p>
            <w:pPr>
              <w:pStyle w:val="TableContents"/>
              <w:bidi w:val="0"/>
              <w:spacing w:before="0" w:after="283"/>
              <w:jc w:val="left"/>
              <w:rPr>
                <w:sz w:val="4"/>
                <w:szCs w:val="4"/>
              </w:rPr>
            </w:pPr>
            <w:r>
              <w:rPr>
                <w:sz w:val="4"/>
                <w:szCs w:val="4"/>
              </w:rPr>
            </w:r>
          </w:p>
        </w:tc>
        <w:tc>
          <w:tcPr>
            <w:tcW w:w="1085" w:type="dxa"/>
            <w:gridSpan w:val="4"/>
            <w:tcBorders/>
            <w:shd w:fill="CCE2F1" w:val="clear"/>
            <w:vAlign w:val="center"/>
          </w:tcPr>
          <w:p>
            <w:pPr>
              <w:pStyle w:val="TableContents"/>
              <w:bidi w:val="0"/>
              <w:spacing w:before="0" w:after="283"/>
              <w:jc w:val="left"/>
              <w:rPr>
                <w:sz w:val="4"/>
                <w:szCs w:val="4"/>
              </w:rPr>
            </w:pPr>
            <w:r>
              <w:rPr>
                <w:sz w:val="4"/>
                <w:szCs w:val="4"/>
              </w:rPr>
            </w:r>
          </w:p>
        </w:tc>
        <w:tc>
          <w:tcPr>
            <w:tcW w:w="1445" w:type="dxa"/>
            <w:gridSpan w:val="4"/>
            <w:tcBorders/>
            <w:shd w:fill="CCE2F1" w:val="clear"/>
            <w:vAlign w:val="center"/>
          </w:tcPr>
          <w:p>
            <w:pPr>
              <w:pStyle w:val="TableContents"/>
              <w:bidi w:val="0"/>
              <w:spacing w:before="0" w:after="283"/>
              <w:jc w:val="left"/>
              <w:rPr>
                <w:sz w:val="4"/>
                <w:szCs w:val="4"/>
              </w:rPr>
            </w:pPr>
            <w:r>
              <w:rPr>
                <w:sz w:val="4"/>
                <w:szCs w:val="4"/>
              </w:rPr>
            </w:r>
          </w:p>
        </w:tc>
        <w:tc>
          <w:tcPr>
            <w:tcW w:w="1615" w:type="dxa"/>
            <w:gridSpan w:val="4"/>
            <w:tcBorders/>
            <w:shd w:fill="CCE2F1" w:val="clear"/>
            <w:vAlign w:val="center"/>
          </w:tcPr>
          <w:p>
            <w:pPr>
              <w:pStyle w:val="TableContents"/>
              <w:bidi w:val="0"/>
              <w:spacing w:before="0" w:after="283"/>
              <w:jc w:val="left"/>
              <w:rPr>
                <w:sz w:val="4"/>
                <w:szCs w:val="4"/>
              </w:rPr>
            </w:pPr>
            <w:r>
              <w:rPr>
                <w:sz w:val="4"/>
                <w:szCs w:val="4"/>
              </w:rPr>
            </w:r>
          </w:p>
        </w:tc>
        <w:tc>
          <w:tcPr>
            <w:tcW w:w="1505"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680" w:type="dxa"/>
            <w:tcBorders/>
            <w:shd w:fill="CCE2F1" w:val="clear"/>
            <w:vAlign w:val="center"/>
          </w:tcPr>
          <w:p>
            <w:pPr>
              <w:pStyle w:val="TableContents"/>
              <w:bidi w:val="0"/>
              <w:spacing w:before="0" w:after="0"/>
              <w:jc w:val="left"/>
              <w:rPr/>
            </w:pPr>
            <w:r>
              <w:rPr/>
              <w:t> </w:t>
            </w:r>
            <w:r>
              <w:rPr>
                <w:rFonts w:ascii="arial" w:hAnsi="arial"/>
                <w:sz w:val="16"/>
              </w:rPr>
              <w:t>Robert A. Bradway</w:t>
            </w:r>
          </w:p>
        </w:tc>
        <w:tc>
          <w:tcPr>
            <w:tcW w:w="60" w:type="dxa"/>
            <w:tcBorders/>
            <w:shd w:fill="CCE2F1" w:val="clear"/>
            <w:vAlign w:val="center"/>
          </w:tcPr>
          <w:p>
            <w:pPr>
              <w:pStyle w:val="TableContents"/>
              <w:bidi w:val="0"/>
              <w:spacing w:before="0" w:after="283"/>
              <w:jc w:val="left"/>
              <w:rPr/>
            </w:pPr>
            <w:r>
              <w:rPr/>
              <w:t> </w:t>
            </w:r>
          </w:p>
        </w:tc>
        <w:tc>
          <w:tcPr>
            <w:tcW w:w="90" w:type="dxa"/>
            <w:tcBorders/>
            <w:shd w:fill="CCE2F1" w:val="clear"/>
            <w:vAlign w:val="center"/>
          </w:tcPr>
          <w:p>
            <w:pPr>
              <w:pStyle w:val="TableContents"/>
              <w:bidi w:val="0"/>
              <w:spacing w:before="0" w:after="283"/>
              <w:jc w:val="left"/>
              <w:rPr/>
            </w:pPr>
            <w:r>
              <w:rPr/>
              <w:t> </w:t>
            </w:r>
          </w:p>
        </w:tc>
        <w:tc>
          <w:tcPr>
            <w:tcW w:w="1205"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pPr>
            <w:r>
              <w:rPr/>
              <w:t> </w:t>
            </w:r>
          </w:p>
        </w:tc>
        <w:tc>
          <w:tcPr>
            <w:tcW w:w="1442" w:type="dxa"/>
            <w:tcBorders/>
            <w:shd w:fill="CCE2F1" w:val="clear"/>
            <w:vAlign w:val="center"/>
          </w:tcPr>
          <w:p>
            <w:pPr>
              <w:pStyle w:val="TableContents"/>
              <w:bidi w:val="0"/>
              <w:spacing w:before="0" w:after="283"/>
              <w:jc w:val="right"/>
              <w:rPr/>
            </w:pPr>
            <w:r>
              <w:rPr/>
              <w:t>114,040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9" w:type="dxa"/>
            <w:tcBorders/>
            <w:shd w:fill="CCE2F1" w:val="clear"/>
            <w:vAlign w:val="center"/>
          </w:tcPr>
          <w:p>
            <w:pPr>
              <w:pStyle w:val="TableContents"/>
              <w:bidi w:val="0"/>
              <w:spacing w:before="0" w:after="283"/>
              <w:jc w:val="left"/>
              <w:rPr/>
            </w:pPr>
            <w:r>
              <w:rPr/>
              <w:t> </w:t>
            </w:r>
          </w:p>
        </w:tc>
        <w:tc>
          <w:tcPr>
            <w:tcW w:w="901" w:type="dxa"/>
            <w:tcBorders/>
            <w:shd w:fill="CCE2F1" w:val="clear"/>
            <w:vAlign w:val="center"/>
          </w:tcPr>
          <w:p>
            <w:pPr>
              <w:pStyle w:val="TableContents"/>
              <w:bidi w:val="0"/>
              <w:spacing w:before="0" w:after="283"/>
              <w:jc w:val="right"/>
              <w:rPr/>
            </w:pPr>
            <w:r>
              <w:rPr/>
              <w:t>235.97</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55" w:type="dxa"/>
            <w:tcBorders/>
            <w:shd w:fill="CCE2F1" w:val="clear"/>
            <w:vAlign w:val="center"/>
          </w:tcPr>
          <w:p>
            <w:pPr>
              <w:pStyle w:val="TableContents"/>
              <w:bidi w:val="0"/>
              <w:spacing w:before="0" w:after="283"/>
              <w:jc w:val="right"/>
              <w:rPr/>
            </w:pPr>
            <w:r>
              <w:rPr/>
              <w:t>5/2/2033</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8" w:type="dxa"/>
            <w:tcBorders/>
            <w:shd w:fill="CCE2F1" w:val="clear"/>
            <w:vAlign w:val="center"/>
          </w:tcPr>
          <w:p>
            <w:pPr>
              <w:pStyle w:val="TableContents"/>
              <w:bidi w:val="0"/>
              <w:spacing w:before="0" w:after="283"/>
              <w:jc w:val="left"/>
              <w:rPr/>
            </w:pPr>
            <w:r>
              <w:rPr/>
              <w:t> </w:t>
            </w:r>
          </w:p>
        </w:tc>
        <w:tc>
          <w:tcPr>
            <w:tcW w:w="887" w:type="dxa"/>
            <w:tcBorders/>
            <w:shd w:fill="CCE2F1" w:val="clear"/>
            <w:vAlign w:val="center"/>
          </w:tcPr>
          <w:p>
            <w:pPr>
              <w:pStyle w:val="TableContents"/>
              <w:bidi w:val="0"/>
              <w:spacing w:before="0" w:after="283"/>
              <w:jc w:val="right"/>
              <w:rPr/>
            </w:pPr>
            <w:r>
              <w:rPr/>
              <w:t>42,825</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68" w:type="dxa"/>
            <w:tcBorders/>
            <w:shd w:fill="CCE2F1" w:val="clear"/>
            <w:vAlign w:val="center"/>
          </w:tcPr>
          <w:p>
            <w:pPr>
              <w:pStyle w:val="TableContents"/>
              <w:bidi w:val="0"/>
              <w:spacing w:before="0" w:after="283"/>
              <w:jc w:val="left"/>
              <w:rPr/>
            </w:pPr>
            <w:r>
              <w:rPr/>
              <w:t> </w:t>
            </w:r>
          </w:p>
        </w:tc>
        <w:tc>
          <w:tcPr>
            <w:tcW w:w="1257" w:type="dxa"/>
            <w:tcBorders/>
            <w:shd w:fill="CCE2F1" w:val="clear"/>
            <w:vAlign w:val="center"/>
          </w:tcPr>
          <w:p>
            <w:pPr>
              <w:pStyle w:val="TableContents"/>
              <w:bidi w:val="0"/>
              <w:spacing w:before="0" w:after="283"/>
              <w:jc w:val="right"/>
              <w:rPr/>
            </w:pPr>
            <w:r>
              <w:rPr/>
              <w:t>12,334,457</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pPr>
            <w:r>
              <w:rPr/>
              <w:t> </w:t>
            </w:r>
          </w:p>
        </w:tc>
        <w:tc>
          <w:tcPr>
            <w:tcW w:w="1232" w:type="dxa"/>
            <w:tcBorders/>
            <w:shd w:fill="CCE2F1" w:val="clear"/>
            <w:vAlign w:val="center"/>
          </w:tcPr>
          <w:p>
            <w:pPr>
              <w:pStyle w:val="TableContents"/>
              <w:bidi w:val="0"/>
              <w:spacing w:before="0" w:after="283"/>
              <w:jc w:val="right"/>
              <w:rPr/>
            </w:pPr>
            <w:r>
              <w:rPr/>
              <w:t>64,666</w:t>
            </w:r>
          </w:p>
        </w:tc>
        <w:tc>
          <w:tcPr>
            <w:tcW w:w="215" w:type="dxa"/>
            <w:tcBorders/>
            <w:shd w:fill="CCE2F1" w:val="clear"/>
            <w:vAlign w:val="center"/>
          </w:tcPr>
          <w:p>
            <w:pPr>
              <w:pStyle w:val="TableContents"/>
              <w:bidi w:val="0"/>
              <w:spacing w:before="0" w:after="283"/>
              <w:jc w:val="left"/>
              <w:rPr/>
            </w:pPr>
            <w:r>
              <w:rPr/>
              <w:t>(4) </w:t>
            </w:r>
          </w:p>
        </w:tc>
        <w:tc>
          <w:tcPr>
            <w:tcW w:w="60" w:type="dxa"/>
            <w:tcBorders/>
            <w:shd w:fill="CCE2F1" w:val="clear"/>
            <w:vAlign w:val="center"/>
          </w:tcPr>
          <w:p>
            <w:pPr>
              <w:pStyle w:val="TableContents"/>
              <w:bidi w:val="0"/>
              <w:spacing w:before="0" w:after="283"/>
              <w:jc w:val="left"/>
              <w:rPr/>
            </w:pPr>
            <w:r>
              <w:rPr/>
              <w:t> </w:t>
            </w:r>
          </w:p>
        </w:tc>
        <w:tc>
          <w:tcPr>
            <w:tcW w:w="70" w:type="dxa"/>
            <w:tcBorders/>
            <w:shd w:fill="CCE2F1" w:val="clear"/>
            <w:vAlign w:val="center"/>
          </w:tcPr>
          <w:p>
            <w:pPr>
              <w:pStyle w:val="TableContents"/>
              <w:bidi w:val="0"/>
              <w:spacing w:before="0" w:after="283"/>
              <w:jc w:val="left"/>
              <w:rPr/>
            </w:pPr>
            <w:r>
              <w:rPr/>
              <w:t> </w:t>
            </w:r>
          </w:p>
        </w:tc>
        <w:tc>
          <w:tcPr>
            <w:tcW w:w="1300" w:type="dxa"/>
            <w:tcBorders/>
            <w:shd w:fill="CCE2F1" w:val="clear"/>
            <w:vAlign w:val="center"/>
          </w:tcPr>
          <w:p>
            <w:pPr>
              <w:pStyle w:val="TableContents"/>
              <w:bidi w:val="0"/>
              <w:spacing w:before="0" w:after="283"/>
              <w:jc w:val="right"/>
              <w:rPr/>
            </w:pPr>
            <w:r>
              <w:rPr/>
              <w:t>18,625,101</w:t>
            </w:r>
          </w:p>
        </w:tc>
        <w:tc>
          <w:tcPr>
            <w:tcW w:w="75" w:type="dxa"/>
            <w:tcBorders/>
            <w:shd w:fill="CCE2F1" w:val="clear"/>
            <w:vAlign w:val="center"/>
          </w:tcPr>
          <w:p>
            <w:pPr>
              <w:pStyle w:val="TableContents"/>
              <w:bidi w:val="0"/>
              <w:spacing w:before="0" w:after="283"/>
              <w:jc w:val="left"/>
              <w:rPr/>
            </w:pPr>
            <w:r>
              <w:rPr/>
              <w:t> </w:t>
            </w:r>
          </w:p>
        </w:tc>
      </w:tr>
      <w:tr>
        <w:trPr/>
        <w:tc>
          <w:tcPr>
            <w:tcW w:w="68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90" w:type="dxa"/>
            <w:tcBorders/>
            <w:shd w:fill="CCE2F1" w:val="clear"/>
            <w:vAlign w:val="center"/>
          </w:tcPr>
          <w:p>
            <w:pPr>
              <w:pStyle w:val="TableContents"/>
              <w:bidi w:val="0"/>
              <w:spacing w:before="0" w:after="283"/>
              <w:jc w:val="left"/>
              <w:rPr/>
            </w:pPr>
            <w:r>
              <w:rPr/>
              <w:t> </w:t>
            </w:r>
          </w:p>
        </w:tc>
        <w:tc>
          <w:tcPr>
            <w:tcW w:w="1205"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pPr>
            <w:r>
              <w:rPr/>
              <w:t> </w:t>
            </w:r>
          </w:p>
        </w:tc>
        <w:tc>
          <w:tcPr>
            <w:tcW w:w="1442" w:type="dxa"/>
            <w:tcBorders/>
            <w:shd w:fill="CCE2F1" w:val="clear"/>
            <w:vAlign w:val="center"/>
          </w:tcPr>
          <w:p>
            <w:pPr>
              <w:pStyle w:val="TableContents"/>
              <w:bidi w:val="0"/>
              <w:spacing w:before="0" w:after="283"/>
              <w:jc w:val="right"/>
              <w:rPr/>
            </w:pPr>
            <w:r>
              <w:rPr/>
              <w:t>112,508</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9" w:type="dxa"/>
            <w:tcBorders/>
            <w:shd w:fill="CCE2F1" w:val="clear"/>
            <w:vAlign w:val="center"/>
          </w:tcPr>
          <w:p>
            <w:pPr>
              <w:pStyle w:val="TableContents"/>
              <w:bidi w:val="0"/>
              <w:spacing w:before="0" w:after="283"/>
              <w:jc w:val="left"/>
              <w:rPr/>
            </w:pPr>
            <w:r>
              <w:rPr/>
              <w:t> </w:t>
            </w:r>
          </w:p>
        </w:tc>
        <w:tc>
          <w:tcPr>
            <w:tcW w:w="901" w:type="dxa"/>
            <w:tcBorders/>
            <w:shd w:fill="CCE2F1" w:val="clear"/>
            <w:vAlign w:val="center"/>
          </w:tcPr>
          <w:p>
            <w:pPr>
              <w:pStyle w:val="TableContents"/>
              <w:bidi w:val="0"/>
              <w:spacing w:before="0" w:after="283"/>
              <w:jc w:val="right"/>
              <w:rPr/>
            </w:pPr>
            <w:r>
              <w:rPr/>
              <w:t>230.92</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55" w:type="dxa"/>
            <w:tcBorders/>
            <w:shd w:fill="CCE2F1" w:val="clear"/>
            <w:vAlign w:val="center"/>
          </w:tcPr>
          <w:p>
            <w:pPr>
              <w:pStyle w:val="TableContents"/>
              <w:bidi w:val="0"/>
              <w:spacing w:before="0" w:after="283"/>
              <w:jc w:val="right"/>
              <w:rPr/>
            </w:pPr>
            <w:r>
              <w:rPr/>
              <w:t>5/2/2032</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8" w:type="dxa"/>
            <w:tcBorders/>
            <w:shd w:fill="CCE2F1" w:val="clear"/>
            <w:vAlign w:val="center"/>
          </w:tcPr>
          <w:p>
            <w:pPr>
              <w:pStyle w:val="TableContents"/>
              <w:bidi w:val="0"/>
              <w:spacing w:before="0" w:after="283"/>
              <w:jc w:val="left"/>
              <w:rPr>
                <w:sz w:val="4"/>
                <w:szCs w:val="4"/>
              </w:rPr>
            </w:pPr>
            <w:r>
              <w:rPr>
                <w:sz w:val="4"/>
                <w:szCs w:val="4"/>
              </w:rPr>
            </w:r>
          </w:p>
        </w:tc>
        <w:tc>
          <w:tcPr>
            <w:tcW w:w="887"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8" w:type="dxa"/>
            <w:tcBorders/>
            <w:shd w:fill="CCE2F1" w:val="clear"/>
            <w:vAlign w:val="center"/>
          </w:tcPr>
          <w:p>
            <w:pPr>
              <w:pStyle w:val="TableContents"/>
              <w:bidi w:val="0"/>
              <w:spacing w:before="0" w:after="283"/>
              <w:jc w:val="left"/>
              <w:rPr>
                <w:sz w:val="4"/>
                <w:szCs w:val="4"/>
              </w:rPr>
            </w:pPr>
            <w:r>
              <w:rPr>
                <w:sz w:val="4"/>
                <w:szCs w:val="4"/>
              </w:rPr>
            </w:r>
          </w:p>
        </w:tc>
        <w:tc>
          <w:tcPr>
            <w:tcW w:w="1257"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pPr>
            <w:r>
              <w:rPr/>
              <w:t> </w:t>
            </w:r>
          </w:p>
        </w:tc>
        <w:tc>
          <w:tcPr>
            <w:tcW w:w="1232" w:type="dxa"/>
            <w:tcBorders/>
            <w:shd w:fill="CCE2F1" w:val="clear"/>
            <w:vAlign w:val="center"/>
          </w:tcPr>
          <w:p>
            <w:pPr>
              <w:pStyle w:val="TableContents"/>
              <w:bidi w:val="0"/>
              <w:spacing w:before="0" w:after="283"/>
              <w:jc w:val="right"/>
              <w:rPr/>
            </w:pPr>
            <w:r>
              <w:rPr/>
              <w:t>34,053</w:t>
            </w:r>
          </w:p>
        </w:tc>
        <w:tc>
          <w:tcPr>
            <w:tcW w:w="215" w:type="dxa"/>
            <w:tcBorders/>
            <w:shd w:fill="CCE2F1" w:val="clear"/>
            <w:vAlign w:val="center"/>
          </w:tcPr>
          <w:p>
            <w:pPr>
              <w:pStyle w:val="TableContents"/>
              <w:bidi w:val="0"/>
              <w:spacing w:before="0" w:after="283"/>
              <w:jc w:val="left"/>
              <w:rPr/>
            </w:pPr>
            <w:r>
              <w:rPr/>
              <w:t>(5) </w:t>
            </w:r>
          </w:p>
        </w:tc>
        <w:tc>
          <w:tcPr>
            <w:tcW w:w="60" w:type="dxa"/>
            <w:tcBorders/>
            <w:shd w:fill="CCE2F1" w:val="clear"/>
            <w:vAlign w:val="center"/>
          </w:tcPr>
          <w:p>
            <w:pPr>
              <w:pStyle w:val="TableContents"/>
              <w:bidi w:val="0"/>
              <w:spacing w:before="0" w:after="283"/>
              <w:jc w:val="left"/>
              <w:rPr/>
            </w:pPr>
            <w:r>
              <w:rPr/>
              <w:t> </w:t>
            </w:r>
          </w:p>
        </w:tc>
        <w:tc>
          <w:tcPr>
            <w:tcW w:w="70" w:type="dxa"/>
            <w:tcBorders/>
            <w:shd w:fill="CCE2F1" w:val="clear"/>
            <w:vAlign w:val="center"/>
          </w:tcPr>
          <w:p>
            <w:pPr>
              <w:pStyle w:val="TableContents"/>
              <w:bidi w:val="0"/>
              <w:spacing w:before="0" w:after="283"/>
              <w:jc w:val="left"/>
              <w:rPr/>
            </w:pPr>
            <w:r>
              <w:rPr/>
              <w:t> </w:t>
            </w:r>
          </w:p>
        </w:tc>
        <w:tc>
          <w:tcPr>
            <w:tcW w:w="1300" w:type="dxa"/>
            <w:tcBorders/>
            <w:shd w:fill="CCE2F1" w:val="clear"/>
            <w:vAlign w:val="center"/>
          </w:tcPr>
          <w:p>
            <w:pPr>
              <w:pStyle w:val="TableContents"/>
              <w:bidi w:val="0"/>
              <w:spacing w:before="0" w:after="283"/>
              <w:jc w:val="right"/>
              <w:rPr/>
            </w:pPr>
            <w:r>
              <w:rPr/>
              <w:t>9,807,945</w:t>
            </w:r>
          </w:p>
        </w:tc>
        <w:tc>
          <w:tcPr>
            <w:tcW w:w="75" w:type="dxa"/>
            <w:tcBorders/>
            <w:shd w:fill="CCE2F1" w:val="clear"/>
            <w:vAlign w:val="center"/>
          </w:tcPr>
          <w:p>
            <w:pPr>
              <w:pStyle w:val="TableContents"/>
              <w:bidi w:val="0"/>
              <w:spacing w:before="0" w:after="283"/>
              <w:jc w:val="left"/>
              <w:rPr/>
            </w:pPr>
            <w:r>
              <w:rPr/>
              <w:t> </w:t>
            </w:r>
          </w:p>
        </w:tc>
      </w:tr>
      <w:tr>
        <w:trPr/>
        <w:tc>
          <w:tcPr>
            <w:tcW w:w="68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90" w:type="dxa"/>
            <w:tcBorders/>
            <w:shd w:fill="CCE2F1" w:val="clear"/>
            <w:vAlign w:val="center"/>
          </w:tcPr>
          <w:p>
            <w:pPr>
              <w:pStyle w:val="TableContents"/>
              <w:bidi w:val="0"/>
              <w:spacing w:before="0" w:after="283"/>
              <w:jc w:val="left"/>
              <w:rPr/>
            </w:pPr>
            <w:r>
              <w:rPr/>
              <w:t> </w:t>
            </w:r>
          </w:p>
        </w:tc>
        <w:tc>
          <w:tcPr>
            <w:tcW w:w="1205" w:type="dxa"/>
            <w:tcBorders/>
            <w:shd w:fill="CCE2F1" w:val="clear"/>
            <w:vAlign w:val="center"/>
          </w:tcPr>
          <w:p>
            <w:pPr>
              <w:pStyle w:val="TableContents"/>
              <w:bidi w:val="0"/>
              <w:spacing w:before="0" w:after="283"/>
              <w:jc w:val="right"/>
              <w:rPr/>
            </w:pPr>
            <w:r>
              <w:rPr/>
              <w:t>38,051</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pPr>
            <w:r>
              <w:rPr/>
              <w:t> </w:t>
            </w:r>
          </w:p>
        </w:tc>
        <w:tc>
          <w:tcPr>
            <w:tcW w:w="1442" w:type="dxa"/>
            <w:tcBorders/>
            <w:shd w:fill="CCE2F1" w:val="clear"/>
            <w:vAlign w:val="center"/>
          </w:tcPr>
          <w:p>
            <w:pPr>
              <w:pStyle w:val="TableContents"/>
              <w:bidi w:val="0"/>
              <w:spacing w:before="0" w:after="283"/>
              <w:jc w:val="right"/>
              <w:rPr/>
            </w:pPr>
            <w:r>
              <w:rPr/>
              <w:t>77,256</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9" w:type="dxa"/>
            <w:tcBorders/>
            <w:shd w:fill="CCE2F1" w:val="clear"/>
            <w:vAlign w:val="center"/>
          </w:tcPr>
          <w:p>
            <w:pPr>
              <w:pStyle w:val="TableContents"/>
              <w:bidi w:val="0"/>
              <w:spacing w:before="0" w:after="283"/>
              <w:jc w:val="left"/>
              <w:rPr/>
            </w:pPr>
            <w:r>
              <w:rPr/>
              <w:t> </w:t>
            </w:r>
          </w:p>
        </w:tc>
        <w:tc>
          <w:tcPr>
            <w:tcW w:w="901" w:type="dxa"/>
            <w:tcBorders/>
            <w:shd w:fill="CCE2F1" w:val="clear"/>
            <w:vAlign w:val="center"/>
          </w:tcPr>
          <w:p>
            <w:pPr>
              <w:pStyle w:val="TableContents"/>
              <w:bidi w:val="0"/>
              <w:spacing w:before="0" w:after="283"/>
              <w:jc w:val="right"/>
              <w:rPr/>
            </w:pPr>
            <w:r>
              <w:rPr/>
              <w:t>239.64</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55" w:type="dxa"/>
            <w:tcBorders/>
            <w:shd w:fill="CCE2F1" w:val="clear"/>
            <w:vAlign w:val="center"/>
          </w:tcPr>
          <w:p>
            <w:pPr>
              <w:pStyle w:val="TableContents"/>
              <w:bidi w:val="0"/>
              <w:spacing w:before="0" w:after="283"/>
              <w:jc w:val="right"/>
              <w:rPr/>
            </w:pPr>
            <w:r>
              <w:rPr/>
              <w:t>4/30/2031</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8" w:type="dxa"/>
            <w:tcBorders/>
            <w:shd w:fill="CCE2F1" w:val="clear"/>
            <w:vAlign w:val="center"/>
          </w:tcPr>
          <w:p>
            <w:pPr>
              <w:pStyle w:val="TableContents"/>
              <w:bidi w:val="0"/>
              <w:spacing w:before="0" w:after="283"/>
              <w:jc w:val="left"/>
              <w:rPr>
                <w:sz w:val="4"/>
                <w:szCs w:val="4"/>
              </w:rPr>
            </w:pPr>
            <w:r>
              <w:rPr>
                <w:sz w:val="4"/>
                <w:szCs w:val="4"/>
              </w:rPr>
            </w:r>
          </w:p>
        </w:tc>
        <w:tc>
          <w:tcPr>
            <w:tcW w:w="887"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8" w:type="dxa"/>
            <w:tcBorders/>
            <w:shd w:fill="CCE2F1" w:val="clear"/>
            <w:vAlign w:val="center"/>
          </w:tcPr>
          <w:p>
            <w:pPr>
              <w:pStyle w:val="TableContents"/>
              <w:bidi w:val="0"/>
              <w:spacing w:before="0" w:after="283"/>
              <w:jc w:val="left"/>
              <w:rPr>
                <w:sz w:val="4"/>
                <w:szCs w:val="4"/>
              </w:rPr>
            </w:pPr>
            <w:r>
              <w:rPr>
                <w:sz w:val="4"/>
                <w:szCs w:val="4"/>
              </w:rPr>
            </w:r>
          </w:p>
        </w:tc>
        <w:tc>
          <w:tcPr>
            <w:tcW w:w="1257"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pPr>
            <w:r>
              <w:rPr/>
              <w:t> </w:t>
            </w:r>
          </w:p>
        </w:tc>
        <w:tc>
          <w:tcPr>
            <w:tcW w:w="1232" w:type="dxa"/>
            <w:tcBorders/>
            <w:shd w:fill="CCE2F1" w:val="clear"/>
            <w:vAlign w:val="center"/>
          </w:tcPr>
          <w:p>
            <w:pPr>
              <w:pStyle w:val="TableContents"/>
              <w:bidi w:val="0"/>
              <w:spacing w:before="0" w:after="283"/>
              <w:jc w:val="right"/>
              <w:rPr/>
            </w:pPr>
            <w:r>
              <w:rPr/>
              <w:t>41,133</w:t>
            </w:r>
          </w:p>
        </w:tc>
        <w:tc>
          <w:tcPr>
            <w:tcW w:w="215" w:type="dxa"/>
            <w:tcBorders/>
            <w:shd w:fill="CCE2F1" w:val="clear"/>
            <w:vAlign w:val="center"/>
          </w:tcPr>
          <w:p>
            <w:pPr>
              <w:pStyle w:val="TableContents"/>
              <w:bidi w:val="0"/>
              <w:spacing w:before="0" w:after="283"/>
              <w:jc w:val="left"/>
              <w:rPr/>
            </w:pPr>
            <w:r>
              <w:rPr/>
              <w:t>(6) </w:t>
            </w:r>
          </w:p>
        </w:tc>
        <w:tc>
          <w:tcPr>
            <w:tcW w:w="60" w:type="dxa"/>
            <w:tcBorders/>
            <w:shd w:fill="CCE2F1" w:val="clear"/>
            <w:vAlign w:val="center"/>
          </w:tcPr>
          <w:p>
            <w:pPr>
              <w:pStyle w:val="TableContents"/>
              <w:bidi w:val="0"/>
              <w:spacing w:before="0" w:after="283"/>
              <w:jc w:val="left"/>
              <w:rPr/>
            </w:pPr>
            <w:r>
              <w:rPr/>
              <w:t> </w:t>
            </w:r>
          </w:p>
        </w:tc>
        <w:tc>
          <w:tcPr>
            <w:tcW w:w="70" w:type="dxa"/>
            <w:tcBorders/>
            <w:shd w:fill="CCE2F1" w:val="clear"/>
            <w:vAlign w:val="center"/>
          </w:tcPr>
          <w:p>
            <w:pPr>
              <w:pStyle w:val="TableContents"/>
              <w:bidi w:val="0"/>
              <w:spacing w:before="0" w:after="283"/>
              <w:jc w:val="left"/>
              <w:rPr/>
            </w:pPr>
            <w:r>
              <w:rPr/>
              <w:t> </w:t>
            </w:r>
          </w:p>
        </w:tc>
        <w:tc>
          <w:tcPr>
            <w:tcW w:w="1300" w:type="dxa"/>
            <w:tcBorders/>
            <w:shd w:fill="CCE2F1" w:val="clear"/>
            <w:vAlign w:val="center"/>
          </w:tcPr>
          <w:p>
            <w:pPr>
              <w:pStyle w:val="TableContents"/>
              <w:bidi w:val="0"/>
              <w:spacing w:before="0" w:after="283"/>
              <w:jc w:val="right"/>
              <w:rPr/>
            </w:pPr>
            <w:r>
              <w:rPr/>
              <w:t>11,847,127</w:t>
            </w:r>
          </w:p>
        </w:tc>
        <w:tc>
          <w:tcPr>
            <w:tcW w:w="75" w:type="dxa"/>
            <w:tcBorders/>
            <w:shd w:fill="CCE2F1" w:val="clear"/>
            <w:vAlign w:val="center"/>
          </w:tcPr>
          <w:p>
            <w:pPr>
              <w:pStyle w:val="TableContents"/>
              <w:bidi w:val="0"/>
              <w:spacing w:before="0" w:after="283"/>
              <w:jc w:val="left"/>
              <w:rPr/>
            </w:pPr>
            <w:r>
              <w:rPr/>
              <w:t> </w:t>
            </w:r>
          </w:p>
        </w:tc>
      </w:tr>
      <w:tr>
        <w:trPr/>
        <w:tc>
          <w:tcPr>
            <w:tcW w:w="68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90" w:type="dxa"/>
            <w:tcBorders/>
            <w:shd w:fill="CCE2F1" w:val="clear"/>
            <w:vAlign w:val="center"/>
          </w:tcPr>
          <w:p>
            <w:pPr>
              <w:pStyle w:val="TableContents"/>
              <w:bidi w:val="0"/>
              <w:spacing w:before="0" w:after="283"/>
              <w:jc w:val="left"/>
              <w:rPr/>
            </w:pPr>
            <w:r>
              <w:rPr/>
              <w:t> </w:t>
            </w:r>
          </w:p>
        </w:tc>
        <w:tc>
          <w:tcPr>
            <w:tcW w:w="1205" w:type="dxa"/>
            <w:tcBorders/>
            <w:shd w:fill="CCE2F1" w:val="clear"/>
            <w:vAlign w:val="center"/>
          </w:tcPr>
          <w:p>
            <w:pPr>
              <w:pStyle w:val="TableContents"/>
              <w:bidi w:val="0"/>
              <w:spacing w:before="0" w:after="283"/>
              <w:jc w:val="right"/>
              <w:rPr/>
            </w:pPr>
            <w:r>
              <w:rPr/>
              <w:t>67,340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pPr>
            <w:r>
              <w:rPr/>
              <w:t> </w:t>
            </w:r>
          </w:p>
        </w:tc>
        <w:tc>
          <w:tcPr>
            <w:tcW w:w="1442" w:type="dxa"/>
            <w:tcBorders/>
            <w:shd w:fill="CCE2F1" w:val="clear"/>
            <w:vAlign w:val="center"/>
          </w:tcPr>
          <w:p>
            <w:pPr>
              <w:pStyle w:val="TableContents"/>
              <w:bidi w:val="0"/>
              <w:spacing w:before="0" w:after="283"/>
              <w:jc w:val="right"/>
              <w:rPr/>
            </w:pPr>
            <w:r>
              <w:rPr/>
              <w:t>34,691</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9" w:type="dxa"/>
            <w:tcBorders/>
            <w:shd w:fill="CCE2F1" w:val="clear"/>
            <w:vAlign w:val="center"/>
          </w:tcPr>
          <w:p>
            <w:pPr>
              <w:pStyle w:val="TableContents"/>
              <w:bidi w:val="0"/>
              <w:spacing w:before="0" w:after="283"/>
              <w:jc w:val="left"/>
              <w:rPr/>
            </w:pPr>
            <w:r>
              <w:rPr/>
              <w:t> </w:t>
            </w:r>
          </w:p>
        </w:tc>
        <w:tc>
          <w:tcPr>
            <w:tcW w:w="901" w:type="dxa"/>
            <w:tcBorders/>
            <w:shd w:fill="CCE2F1" w:val="clear"/>
            <w:vAlign w:val="center"/>
          </w:tcPr>
          <w:p>
            <w:pPr>
              <w:pStyle w:val="TableContents"/>
              <w:bidi w:val="0"/>
              <w:spacing w:before="0" w:after="283"/>
              <w:jc w:val="right"/>
              <w:rPr/>
            </w:pPr>
            <w:r>
              <w:rPr/>
              <w:t>236.36</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55" w:type="dxa"/>
            <w:tcBorders/>
            <w:shd w:fill="CCE2F1" w:val="clear"/>
            <w:vAlign w:val="center"/>
          </w:tcPr>
          <w:p>
            <w:pPr>
              <w:pStyle w:val="TableContents"/>
              <w:bidi w:val="0"/>
              <w:spacing w:before="0" w:after="283"/>
              <w:jc w:val="right"/>
              <w:rPr/>
            </w:pPr>
            <w:r>
              <w:rPr/>
              <w:t>5/5/2030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8" w:type="dxa"/>
            <w:tcBorders/>
            <w:shd w:fill="CCE2F1" w:val="clear"/>
            <w:vAlign w:val="center"/>
          </w:tcPr>
          <w:p>
            <w:pPr>
              <w:pStyle w:val="TableContents"/>
              <w:bidi w:val="0"/>
              <w:spacing w:before="0" w:after="283"/>
              <w:jc w:val="left"/>
              <w:rPr>
                <w:sz w:val="4"/>
                <w:szCs w:val="4"/>
              </w:rPr>
            </w:pPr>
            <w:r>
              <w:rPr>
                <w:sz w:val="4"/>
                <w:szCs w:val="4"/>
              </w:rPr>
            </w:r>
          </w:p>
        </w:tc>
        <w:tc>
          <w:tcPr>
            <w:tcW w:w="887"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8" w:type="dxa"/>
            <w:tcBorders/>
            <w:shd w:fill="CCE2F1" w:val="clear"/>
            <w:vAlign w:val="center"/>
          </w:tcPr>
          <w:p>
            <w:pPr>
              <w:pStyle w:val="TableContents"/>
              <w:bidi w:val="0"/>
              <w:spacing w:before="0" w:after="283"/>
              <w:jc w:val="left"/>
              <w:rPr>
                <w:sz w:val="4"/>
                <w:szCs w:val="4"/>
              </w:rPr>
            </w:pPr>
            <w:r>
              <w:rPr>
                <w:sz w:val="4"/>
                <w:szCs w:val="4"/>
              </w:rPr>
            </w:r>
          </w:p>
        </w:tc>
        <w:tc>
          <w:tcPr>
            <w:tcW w:w="1257"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sz w:val="4"/>
                <w:szCs w:val="4"/>
              </w:rPr>
            </w:pPr>
            <w:r>
              <w:rPr>
                <w:sz w:val="4"/>
                <w:szCs w:val="4"/>
              </w:rPr>
            </w:r>
          </w:p>
        </w:tc>
        <w:tc>
          <w:tcPr>
            <w:tcW w:w="1232" w:type="dxa"/>
            <w:tcBorders/>
            <w:shd w:fill="CCE2F1" w:val="clear"/>
            <w:vAlign w:val="center"/>
          </w:tcPr>
          <w:p>
            <w:pPr>
              <w:pStyle w:val="TableContents"/>
              <w:bidi w:val="0"/>
              <w:spacing w:before="0" w:after="283"/>
              <w:jc w:val="left"/>
              <w:rPr>
                <w:sz w:val="4"/>
                <w:szCs w:val="4"/>
              </w:rPr>
            </w:pPr>
            <w:r>
              <w:rPr>
                <w:sz w:val="4"/>
                <w:szCs w:val="4"/>
              </w:rPr>
            </w:r>
          </w:p>
        </w:tc>
        <w:tc>
          <w:tcPr>
            <w:tcW w:w="21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70" w:type="dxa"/>
            <w:tcBorders/>
            <w:shd w:fill="CCE2F1" w:val="clear"/>
            <w:vAlign w:val="center"/>
          </w:tcPr>
          <w:p>
            <w:pPr>
              <w:pStyle w:val="TableContents"/>
              <w:bidi w:val="0"/>
              <w:spacing w:before="0" w:after="283"/>
              <w:jc w:val="left"/>
              <w:rPr>
                <w:sz w:val="4"/>
                <w:szCs w:val="4"/>
              </w:rPr>
            </w:pPr>
            <w:r>
              <w:rPr>
                <w:sz w:val="4"/>
                <w:szCs w:val="4"/>
              </w:rPr>
            </w:r>
          </w:p>
        </w:tc>
        <w:tc>
          <w:tcPr>
            <w:tcW w:w="1300" w:type="dxa"/>
            <w:tcBorders/>
            <w:shd w:fill="CCE2F1" w:val="clear"/>
            <w:vAlign w:val="center"/>
          </w:tcPr>
          <w:p>
            <w:pPr>
              <w:pStyle w:val="TableContents"/>
              <w:bidi w:val="0"/>
              <w:spacing w:before="0" w:after="283"/>
              <w:jc w:val="left"/>
              <w:rPr>
                <w:sz w:val="4"/>
                <w:szCs w:val="4"/>
              </w:rPr>
            </w:pPr>
            <w:r>
              <w:rPr>
                <w:sz w:val="4"/>
                <w:szCs w:val="4"/>
              </w:rPr>
            </w:r>
          </w:p>
        </w:tc>
        <w:tc>
          <w:tcPr>
            <w:tcW w:w="75" w:type="dxa"/>
            <w:tcBorders/>
            <w:shd w:fill="CCE2F1" w:val="clear"/>
            <w:vAlign w:val="center"/>
          </w:tcPr>
          <w:p>
            <w:pPr>
              <w:pStyle w:val="TableContents"/>
              <w:bidi w:val="0"/>
              <w:spacing w:before="0" w:after="283"/>
              <w:jc w:val="left"/>
              <w:rPr>
                <w:sz w:val="4"/>
                <w:szCs w:val="4"/>
              </w:rPr>
            </w:pPr>
            <w:r>
              <w:rPr>
                <w:sz w:val="4"/>
                <w:szCs w:val="4"/>
              </w:rPr>
            </w:r>
          </w:p>
        </w:tc>
      </w:tr>
      <w:tr>
        <w:trPr/>
        <w:tc>
          <w:tcPr>
            <w:tcW w:w="68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90" w:type="dxa"/>
            <w:tcBorders/>
            <w:shd w:fill="CCE2F1" w:val="clear"/>
            <w:vAlign w:val="center"/>
          </w:tcPr>
          <w:p>
            <w:pPr>
              <w:pStyle w:val="TableContents"/>
              <w:bidi w:val="0"/>
              <w:spacing w:before="0" w:after="283"/>
              <w:jc w:val="left"/>
              <w:rPr/>
            </w:pPr>
            <w:r>
              <w:rPr/>
              <w:t> </w:t>
            </w:r>
          </w:p>
        </w:tc>
        <w:tc>
          <w:tcPr>
            <w:tcW w:w="1205" w:type="dxa"/>
            <w:tcBorders/>
            <w:shd w:fill="CCE2F1" w:val="clear"/>
            <w:vAlign w:val="center"/>
          </w:tcPr>
          <w:p>
            <w:pPr>
              <w:pStyle w:val="TableContents"/>
              <w:bidi w:val="0"/>
              <w:spacing w:before="0" w:after="283"/>
              <w:jc w:val="right"/>
              <w:rPr/>
            </w:pPr>
            <w:r>
              <w:rPr/>
              <w:t>137,840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pPr>
            <w:r>
              <w:rPr/>
              <w:t> </w:t>
            </w:r>
          </w:p>
        </w:tc>
        <w:tc>
          <w:tcPr>
            <w:tcW w:w="1442"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9" w:type="dxa"/>
            <w:tcBorders/>
            <w:shd w:fill="CCE2F1" w:val="clear"/>
            <w:vAlign w:val="center"/>
          </w:tcPr>
          <w:p>
            <w:pPr>
              <w:pStyle w:val="TableContents"/>
              <w:bidi w:val="0"/>
              <w:spacing w:before="0" w:after="283"/>
              <w:jc w:val="left"/>
              <w:rPr/>
            </w:pPr>
            <w:r>
              <w:rPr/>
              <w:t> </w:t>
            </w:r>
          </w:p>
        </w:tc>
        <w:tc>
          <w:tcPr>
            <w:tcW w:w="901" w:type="dxa"/>
            <w:tcBorders/>
            <w:shd w:fill="CCE2F1" w:val="clear"/>
            <w:vAlign w:val="center"/>
          </w:tcPr>
          <w:p>
            <w:pPr>
              <w:pStyle w:val="TableContents"/>
              <w:bidi w:val="0"/>
              <w:spacing w:before="0" w:after="283"/>
              <w:jc w:val="right"/>
              <w:rPr/>
            </w:pPr>
            <w:r>
              <w:rPr/>
              <w:t>177.31</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55" w:type="dxa"/>
            <w:tcBorders/>
            <w:shd w:fill="CCE2F1" w:val="clear"/>
            <w:vAlign w:val="center"/>
          </w:tcPr>
          <w:p>
            <w:pPr>
              <w:pStyle w:val="TableContents"/>
              <w:bidi w:val="0"/>
              <w:spacing w:before="0" w:after="283"/>
              <w:jc w:val="right"/>
              <w:rPr/>
            </w:pPr>
            <w:r>
              <w:rPr/>
              <w:t>5/3/2029</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8" w:type="dxa"/>
            <w:tcBorders/>
            <w:shd w:fill="CCE2F1" w:val="clear"/>
            <w:vAlign w:val="center"/>
          </w:tcPr>
          <w:p>
            <w:pPr>
              <w:pStyle w:val="TableContents"/>
              <w:bidi w:val="0"/>
              <w:spacing w:before="0" w:after="283"/>
              <w:jc w:val="left"/>
              <w:rPr>
                <w:sz w:val="4"/>
                <w:szCs w:val="4"/>
              </w:rPr>
            </w:pPr>
            <w:r>
              <w:rPr>
                <w:sz w:val="4"/>
                <w:szCs w:val="4"/>
              </w:rPr>
            </w:r>
          </w:p>
        </w:tc>
        <w:tc>
          <w:tcPr>
            <w:tcW w:w="887"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8" w:type="dxa"/>
            <w:tcBorders/>
            <w:shd w:fill="CCE2F1" w:val="clear"/>
            <w:vAlign w:val="center"/>
          </w:tcPr>
          <w:p>
            <w:pPr>
              <w:pStyle w:val="TableContents"/>
              <w:bidi w:val="0"/>
              <w:spacing w:before="0" w:after="283"/>
              <w:jc w:val="left"/>
              <w:rPr>
                <w:sz w:val="4"/>
                <w:szCs w:val="4"/>
              </w:rPr>
            </w:pPr>
            <w:r>
              <w:rPr>
                <w:sz w:val="4"/>
                <w:szCs w:val="4"/>
              </w:rPr>
            </w:r>
          </w:p>
        </w:tc>
        <w:tc>
          <w:tcPr>
            <w:tcW w:w="1257"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sz w:val="4"/>
                <w:szCs w:val="4"/>
              </w:rPr>
            </w:pPr>
            <w:r>
              <w:rPr>
                <w:sz w:val="4"/>
                <w:szCs w:val="4"/>
              </w:rPr>
            </w:r>
          </w:p>
        </w:tc>
        <w:tc>
          <w:tcPr>
            <w:tcW w:w="1232" w:type="dxa"/>
            <w:tcBorders/>
            <w:shd w:fill="CCE2F1" w:val="clear"/>
            <w:vAlign w:val="center"/>
          </w:tcPr>
          <w:p>
            <w:pPr>
              <w:pStyle w:val="TableContents"/>
              <w:bidi w:val="0"/>
              <w:spacing w:before="0" w:after="283"/>
              <w:jc w:val="left"/>
              <w:rPr>
                <w:sz w:val="4"/>
                <w:szCs w:val="4"/>
              </w:rPr>
            </w:pPr>
            <w:r>
              <w:rPr>
                <w:sz w:val="4"/>
                <w:szCs w:val="4"/>
              </w:rPr>
            </w:r>
          </w:p>
        </w:tc>
        <w:tc>
          <w:tcPr>
            <w:tcW w:w="21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70" w:type="dxa"/>
            <w:tcBorders/>
            <w:shd w:fill="CCE2F1" w:val="clear"/>
            <w:vAlign w:val="center"/>
          </w:tcPr>
          <w:p>
            <w:pPr>
              <w:pStyle w:val="TableContents"/>
              <w:bidi w:val="0"/>
              <w:spacing w:before="0" w:after="283"/>
              <w:jc w:val="left"/>
              <w:rPr>
                <w:sz w:val="4"/>
                <w:szCs w:val="4"/>
              </w:rPr>
            </w:pPr>
            <w:r>
              <w:rPr>
                <w:sz w:val="4"/>
                <w:szCs w:val="4"/>
              </w:rPr>
            </w:r>
          </w:p>
        </w:tc>
        <w:tc>
          <w:tcPr>
            <w:tcW w:w="1300" w:type="dxa"/>
            <w:tcBorders/>
            <w:shd w:fill="CCE2F1" w:val="clear"/>
            <w:vAlign w:val="center"/>
          </w:tcPr>
          <w:p>
            <w:pPr>
              <w:pStyle w:val="TableContents"/>
              <w:bidi w:val="0"/>
              <w:spacing w:before="0" w:after="283"/>
              <w:jc w:val="left"/>
              <w:rPr>
                <w:sz w:val="4"/>
                <w:szCs w:val="4"/>
              </w:rPr>
            </w:pPr>
            <w:r>
              <w:rPr>
                <w:sz w:val="4"/>
                <w:szCs w:val="4"/>
              </w:rPr>
            </w:r>
          </w:p>
        </w:tc>
        <w:tc>
          <w:tcPr>
            <w:tcW w:w="75" w:type="dxa"/>
            <w:tcBorders/>
            <w:shd w:fill="CCE2F1" w:val="clear"/>
            <w:vAlign w:val="center"/>
          </w:tcPr>
          <w:p>
            <w:pPr>
              <w:pStyle w:val="TableContents"/>
              <w:bidi w:val="0"/>
              <w:spacing w:before="0" w:after="283"/>
              <w:jc w:val="left"/>
              <w:rPr>
                <w:sz w:val="4"/>
                <w:szCs w:val="4"/>
              </w:rPr>
            </w:pPr>
            <w:r>
              <w:rPr>
                <w:sz w:val="4"/>
                <w:szCs w:val="4"/>
              </w:rPr>
            </w:r>
          </w:p>
        </w:tc>
      </w:tr>
      <w:tr>
        <w:trPr/>
        <w:tc>
          <w:tcPr>
            <w:tcW w:w="68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90" w:type="dxa"/>
            <w:tcBorders/>
            <w:shd w:fill="CCE2F1" w:val="clear"/>
            <w:vAlign w:val="center"/>
          </w:tcPr>
          <w:p>
            <w:pPr>
              <w:pStyle w:val="TableContents"/>
              <w:bidi w:val="0"/>
              <w:spacing w:before="0" w:after="283"/>
              <w:jc w:val="left"/>
              <w:rPr/>
            </w:pPr>
            <w:r>
              <w:rPr/>
              <w:t> </w:t>
            </w:r>
          </w:p>
        </w:tc>
        <w:tc>
          <w:tcPr>
            <w:tcW w:w="1205" w:type="dxa"/>
            <w:tcBorders/>
            <w:shd w:fill="CCE2F1" w:val="clear"/>
            <w:vAlign w:val="center"/>
          </w:tcPr>
          <w:p>
            <w:pPr>
              <w:pStyle w:val="TableContents"/>
              <w:bidi w:val="0"/>
              <w:spacing w:before="0" w:after="283"/>
              <w:jc w:val="right"/>
              <w:rPr/>
            </w:pPr>
            <w:r>
              <w:rPr/>
              <w:t>108,444</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pPr>
            <w:r>
              <w:rPr/>
              <w:t> </w:t>
            </w:r>
          </w:p>
        </w:tc>
        <w:tc>
          <w:tcPr>
            <w:tcW w:w="1442"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9" w:type="dxa"/>
            <w:tcBorders/>
            <w:shd w:fill="CCE2F1" w:val="clear"/>
            <w:vAlign w:val="center"/>
          </w:tcPr>
          <w:p>
            <w:pPr>
              <w:pStyle w:val="TableContents"/>
              <w:bidi w:val="0"/>
              <w:spacing w:before="0" w:after="283"/>
              <w:jc w:val="left"/>
              <w:rPr/>
            </w:pPr>
            <w:r>
              <w:rPr/>
              <w:t> </w:t>
            </w:r>
          </w:p>
        </w:tc>
        <w:tc>
          <w:tcPr>
            <w:tcW w:w="901" w:type="dxa"/>
            <w:tcBorders/>
            <w:shd w:fill="CCE2F1" w:val="clear"/>
            <w:vAlign w:val="center"/>
          </w:tcPr>
          <w:p>
            <w:pPr>
              <w:pStyle w:val="TableContents"/>
              <w:bidi w:val="0"/>
              <w:spacing w:before="0" w:after="283"/>
              <w:jc w:val="right"/>
              <w:rPr/>
            </w:pPr>
            <w:r>
              <w:rPr/>
              <w:t>177.46</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55" w:type="dxa"/>
            <w:tcBorders/>
            <w:shd w:fill="CCE2F1" w:val="clear"/>
            <w:vAlign w:val="center"/>
          </w:tcPr>
          <w:p>
            <w:pPr>
              <w:pStyle w:val="TableContents"/>
              <w:bidi w:val="0"/>
              <w:spacing w:before="0" w:after="283"/>
              <w:jc w:val="right"/>
              <w:rPr/>
            </w:pPr>
            <w:r>
              <w:rPr/>
              <w:t> </w:t>
            </w:r>
            <w:r>
              <w:rPr/>
              <w:t>4/27/2028</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8" w:type="dxa"/>
            <w:tcBorders/>
            <w:shd w:fill="CCE2F1" w:val="clear"/>
            <w:vAlign w:val="center"/>
          </w:tcPr>
          <w:p>
            <w:pPr>
              <w:pStyle w:val="TableContents"/>
              <w:bidi w:val="0"/>
              <w:spacing w:before="0" w:after="283"/>
              <w:jc w:val="left"/>
              <w:rPr>
                <w:sz w:val="4"/>
                <w:szCs w:val="4"/>
              </w:rPr>
            </w:pPr>
            <w:r>
              <w:rPr>
                <w:sz w:val="4"/>
                <w:szCs w:val="4"/>
              </w:rPr>
            </w:r>
          </w:p>
        </w:tc>
        <w:tc>
          <w:tcPr>
            <w:tcW w:w="887"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8" w:type="dxa"/>
            <w:tcBorders/>
            <w:shd w:fill="CCE2F1" w:val="clear"/>
            <w:vAlign w:val="center"/>
          </w:tcPr>
          <w:p>
            <w:pPr>
              <w:pStyle w:val="TableContents"/>
              <w:bidi w:val="0"/>
              <w:spacing w:before="0" w:after="283"/>
              <w:jc w:val="left"/>
              <w:rPr>
                <w:sz w:val="4"/>
                <w:szCs w:val="4"/>
              </w:rPr>
            </w:pPr>
            <w:r>
              <w:rPr>
                <w:sz w:val="4"/>
                <w:szCs w:val="4"/>
              </w:rPr>
            </w:r>
          </w:p>
        </w:tc>
        <w:tc>
          <w:tcPr>
            <w:tcW w:w="1257"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sz w:val="4"/>
                <w:szCs w:val="4"/>
              </w:rPr>
            </w:pPr>
            <w:r>
              <w:rPr>
                <w:sz w:val="4"/>
                <w:szCs w:val="4"/>
              </w:rPr>
            </w:r>
          </w:p>
        </w:tc>
        <w:tc>
          <w:tcPr>
            <w:tcW w:w="1232" w:type="dxa"/>
            <w:tcBorders/>
            <w:shd w:fill="CCE2F1" w:val="clear"/>
            <w:vAlign w:val="center"/>
          </w:tcPr>
          <w:p>
            <w:pPr>
              <w:pStyle w:val="TableContents"/>
              <w:bidi w:val="0"/>
              <w:spacing w:before="0" w:after="283"/>
              <w:jc w:val="left"/>
              <w:rPr>
                <w:sz w:val="4"/>
                <w:szCs w:val="4"/>
              </w:rPr>
            </w:pPr>
            <w:r>
              <w:rPr>
                <w:sz w:val="4"/>
                <w:szCs w:val="4"/>
              </w:rPr>
            </w:r>
          </w:p>
        </w:tc>
        <w:tc>
          <w:tcPr>
            <w:tcW w:w="21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70" w:type="dxa"/>
            <w:tcBorders/>
            <w:shd w:fill="CCE2F1" w:val="clear"/>
            <w:vAlign w:val="center"/>
          </w:tcPr>
          <w:p>
            <w:pPr>
              <w:pStyle w:val="TableContents"/>
              <w:bidi w:val="0"/>
              <w:spacing w:before="0" w:after="283"/>
              <w:jc w:val="left"/>
              <w:rPr>
                <w:sz w:val="4"/>
                <w:szCs w:val="4"/>
              </w:rPr>
            </w:pPr>
            <w:r>
              <w:rPr>
                <w:sz w:val="4"/>
                <w:szCs w:val="4"/>
              </w:rPr>
            </w:r>
          </w:p>
        </w:tc>
        <w:tc>
          <w:tcPr>
            <w:tcW w:w="1300" w:type="dxa"/>
            <w:tcBorders/>
            <w:shd w:fill="CCE2F1" w:val="clear"/>
            <w:vAlign w:val="center"/>
          </w:tcPr>
          <w:p>
            <w:pPr>
              <w:pStyle w:val="TableContents"/>
              <w:bidi w:val="0"/>
              <w:spacing w:before="0" w:after="283"/>
              <w:jc w:val="left"/>
              <w:rPr>
                <w:sz w:val="4"/>
                <w:szCs w:val="4"/>
              </w:rPr>
            </w:pPr>
            <w:r>
              <w:rPr>
                <w:sz w:val="4"/>
                <w:szCs w:val="4"/>
              </w:rPr>
            </w:r>
          </w:p>
        </w:tc>
        <w:tc>
          <w:tcPr>
            <w:tcW w:w="75" w:type="dxa"/>
            <w:tcBorders/>
            <w:shd w:fill="CCE2F1" w:val="clear"/>
            <w:vAlign w:val="center"/>
          </w:tcPr>
          <w:p>
            <w:pPr>
              <w:pStyle w:val="TableContents"/>
              <w:bidi w:val="0"/>
              <w:spacing w:before="0" w:after="283"/>
              <w:jc w:val="left"/>
              <w:rPr>
                <w:sz w:val="4"/>
                <w:szCs w:val="4"/>
              </w:rPr>
            </w:pPr>
            <w:r>
              <w:rPr>
                <w:sz w:val="4"/>
                <w:szCs w:val="4"/>
              </w:rPr>
            </w:r>
          </w:p>
        </w:tc>
      </w:tr>
      <w:tr>
        <w:trPr/>
        <w:tc>
          <w:tcPr>
            <w:tcW w:w="68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90" w:type="dxa"/>
            <w:tcBorders/>
            <w:shd w:fill="CCE2F1" w:val="clear"/>
            <w:vAlign w:val="center"/>
          </w:tcPr>
          <w:p>
            <w:pPr>
              <w:pStyle w:val="TableContents"/>
              <w:bidi w:val="0"/>
              <w:spacing w:before="0" w:after="283"/>
              <w:jc w:val="left"/>
              <w:rPr/>
            </w:pPr>
            <w:r>
              <w:rPr/>
              <w:t> </w:t>
            </w:r>
          </w:p>
        </w:tc>
        <w:tc>
          <w:tcPr>
            <w:tcW w:w="1205" w:type="dxa"/>
            <w:tcBorders/>
            <w:shd w:fill="CCE2F1" w:val="clear"/>
            <w:vAlign w:val="center"/>
          </w:tcPr>
          <w:p>
            <w:pPr>
              <w:pStyle w:val="TableContents"/>
              <w:bidi w:val="0"/>
              <w:spacing w:before="0" w:after="283"/>
              <w:jc w:val="right"/>
              <w:rPr/>
            </w:pPr>
            <w:r>
              <w:rPr/>
              <w:t>130,718</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pPr>
            <w:r>
              <w:rPr/>
              <w:t> </w:t>
            </w:r>
          </w:p>
        </w:tc>
        <w:tc>
          <w:tcPr>
            <w:tcW w:w="1442"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9" w:type="dxa"/>
            <w:tcBorders/>
            <w:shd w:fill="CCE2F1" w:val="clear"/>
            <w:vAlign w:val="center"/>
          </w:tcPr>
          <w:p>
            <w:pPr>
              <w:pStyle w:val="TableContents"/>
              <w:bidi w:val="0"/>
              <w:spacing w:before="0" w:after="283"/>
              <w:jc w:val="left"/>
              <w:rPr/>
            </w:pPr>
            <w:r>
              <w:rPr/>
              <w:t> </w:t>
            </w:r>
          </w:p>
        </w:tc>
        <w:tc>
          <w:tcPr>
            <w:tcW w:w="901" w:type="dxa"/>
            <w:tcBorders/>
            <w:shd w:fill="CCE2F1" w:val="clear"/>
            <w:vAlign w:val="center"/>
          </w:tcPr>
          <w:p>
            <w:pPr>
              <w:pStyle w:val="TableContents"/>
              <w:bidi w:val="0"/>
              <w:spacing w:before="0" w:after="283"/>
              <w:jc w:val="right"/>
              <w:rPr/>
            </w:pPr>
            <w:r>
              <w:rPr/>
              <w:t>162.60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55" w:type="dxa"/>
            <w:tcBorders/>
            <w:shd w:fill="CCE2F1" w:val="clear"/>
            <w:vAlign w:val="center"/>
          </w:tcPr>
          <w:p>
            <w:pPr>
              <w:pStyle w:val="TableContents"/>
              <w:bidi w:val="0"/>
              <w:spacing w:before="0" w:after="283"/>
              <w:jc w:val="right"/>
              <w:rPr/>
            </w:pPr>
            <w:r>
              <w:rPr/>
              <w:t>5/1/2027</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8" w:type="dxa"/>
            <w:tcBorders/>
            <w:shd w:fill="CCE2F1" w:val="clear"/>
            <w:vAlign w:val="center"/>
          </w:tcPr>
          <w:p>
            <w:pPr>
              <w:pStyle w:val="TableContents"/>
              <w:bidi w:val="0"/>
              <w:spacing w:before="0" w:after="283"/>
              <w:jc w:val="left"/>
              <w:rPr>
                <w:sz w:val="4"/>
                <w:szCs w:val="4"/>
              </w:rPr>
            </w:pPr>
            <w:r>
              <w:rPr>
                <w:sz w:val="4"/>
                <w:szCs w:val="4"/>
              </w:rPr>
            </w:r>
          </w:p>
        </w:tc>
        <w:tc>
          <w:tcPr>
            <w:tcW w:w="887"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8" w:type="dxa"/>
            <w:tcBorders/>
            <w:shd w:fill="CCE2F1" w:val="clear"/>
            <w:vAlign w:val="center"/>
          </w:tcPr>
          <w:p>
            <w:pPr>
              <w:pStyle w:val="TableContents"/>
              <w:bidi w:val="0"/>
              <w:spacing w:before="0" w:after="283"/>
              <w:jc w:val="left"/>
              <w:rPr>
                <w:sz w:val="4"/>
                <w:szCs w:val="4"/>
              </w:rPr>
            </w:pPr>
            <w:r>
              <w:rPr>
                <w:sz w:val="4"/>
                <w:szCs w:val="4"/>
              </w:rPr>
            </w:r>
          </w:p>
        </w:tc>
        <w:tc>
          <w:tcPr>
            <w:tcW w:w="1257"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sz w:val="4"/>
                <w:szCs w:val="4"/>
              </w:rPr>
            </w:pPr>
            <w:r>
              <w:rPr>
                <w:sz w:val="4"/>
                <w:szCs w:val="4"/>
              </w:rPr>
            </w:r>
          </w:p>
        </w:tc>
        <w:tc>
          <w:tcPr>
            <w:tcW w:w="1232" w:type="dxa"/>
            <w:tcBorders/>
            <w:shd w:fill="CCE2F1" w:val="clear"/>
            <w:vAlign w:val="center"/>
          </w:tcPr>
          <w:p>
            <w:pPr>
              <w:pStyle w:val="TableContents"/>
              <w:bidi w:val="0"/>
              <w:spacing w:before="0" w:after="283"/>
              <w:jc w:val="left"/>
              <w:rPr>
                <w:sz w:val="4"/>
                <w:szCs w:val="4"/>
              </w:rPr>
            </w:pPr>
            <w:r>
              <w:rPr>
                <w:sz w:val="4"/>
                <w:szCs w:val="4"/>
              </w:rPr>
            </w:r>
          </w:p>
        </w:tc>
        <w:tc>
          <w:tcPr>
            <w:tcW w:w="21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70" w:type="dxa"/>
            <w:tcBorders/>
            <w:shd w:fill="CCE2F1" w:val="clear"/>
            <w:vAlign w:val="center"/>
          </w:tcPr>
          <w:p>
            <w:pPr>
              <w:pStyle w:val="TableContents"/>
              <w:bidi w:val="0"/>
              <w:spacing w:before="0" w:after="283"/>
              <w:jc w:val="left"/>
              <w:rPr>
                <w:sz w:val="4"/>
                <w:szCs w:val="4"/>
              </w:rPr>
            </w:pPr>
            <w:r>
              <w:rPr>
                <w:sz w:val="4"/>
                <w:szCs w:val="4"/>
              </w:rPr>
            </w:r>
          </w:p>
        </w:tc>
        <w:tc>
          <w:tcPr>
            <w:tcW w:w="1300" w:type="dxa"/>
            <w:tcBorders/>
            <w:shd w:fill="CCE2F1" w:val="clear"/>
            <w:vAlign w:val="center"/>
          </w:tcPr>
          <w:p>
            <w:pPr>
              <w:pStyle w:val="TableContents"/>
              <w:bidi w:val="0"/>
              <w:spacing w:before="0" w:after="283"/>
              <w:jc w:val="left"/>
              <w:rPr>
                <w:sz w:val="4"/>
                <w:szCs w:val="4"/>
              </w:rPr>
            </w:pPr>
            <w:r>
              <w:rPr>
                <w:sz w:val="4"/>
                <w:szCs w:val="4"/>
              </w:rPr>
            </w:r>
          </w:p>
        </w:tc>
        <w:tc>
          <w:tcPr>
            <w:tcW w:w="75" w:type="dxa"/>
            <w:tcBorders/>
            <w:shd w:fill="CCE2F1" w:val="clear"/>
            <w:vAlign w:val="center"/>
          </w:tcPr>
          <w:p>
            <w:pPr>
              <w:pStyle w:val="TableContents"/>
              <w:bidi w:val="0"/>
              <w:spacing w:before="0" w:after="283"/>
              <w:jc w:val="left"/>
              <w:rPr>
                <w:sz w:val="4"/>
                <w:szCs w:val="4"/>
              </w:rPr>
            </w:pPr>
            <w:r>
              <w:rPr>
                <w:sz w:val="4"/>
                <w:szCs w:val="4"/>
              </w:rPr>
            </w:r>
          </w:p>
        </w:tc>
      </w:tr>
      <w:tr>
        <w:trPr/>
        <w:tc>
          <w:tcPr>
            <w:tcW w:w="68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90" w:type="dxa"/>
            <w:tcBorders/>
            <w:shd w:fill="CCE2F1" w:val="clear"/>
            <w:vAlign w:val="center"/>
          </w:tcPr>
          <w:p>
            <w:pPr>
              <w:pStyle w:val="TableContents"/>
              <w:bidi w:val="0"/>
              <w:spacing w:before="0" w:after="283"/>
              <w:jc w:val="left"/>
              <w:rPr/>
            </w:pPr>
            <w:r>
              <w:rPr/>
              <w:t> </w:t>
            </w:r>
          </w:p>
        </w:tc>
        <w:tc>
          <w:tcPr>
            <w:tcW w:w="1205" w:type="dxa"/>
            <w:tcBorders/>
            <w:shd w:fill="CCE2F1" w:val="clear"/>
            <w:vAlign w:val="center"/>
          </w:tcPr>
          <w:p>
            <w:pPr>
              <w:pStyle w:val="TableContents"/>
              <w:bidi w:val="0"/>
              <w:spacing w:before="0" w:after="283"/>
              <w:jc w:val="right"/>
              <w:rPr/>
            </w:pPr>
            <w:r>
              <w:rPr/>
              <w:t>119,782</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pPr>
            <w:r>
              <w:rPr/>
              <w:t> </w:t>
            </w:r>
          </w:p>
        </w:tc>
        <w:tc>
          <w:tcPr>
            <w:tcW w:w="1442"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9" w:type="dxa"/>
            <w:tcBorders/>
            <w:shd w:fill="CCE2F1" w:val="clear"/>
            <w:vAlign w:val="center"/>
          </w:tcPr>
          <w:p>
            <w:pPr>
              <w:pStyle w:val="TableContents"/>
              <w:bidi w:val="0"/>
              <w:spacing w:before="0" w:after="283"/>
              <w:jc w:val="left"/>
              <w:rPr/>
            </w:pPr>
            <w:r>
              <w:rPr/>
              <w:t> </w:t>
            </w:r>
          </w:p>
        </w:tc>
        <w:tc>
          <w:tcPr>
            <w:tcW w:w="901" w:type="dxa"/>
            <w:tcBorders/>
            <w:shd w:fill="CCE2F1" w:val="clear"/>
            <w:vAlign w:val="center"/>
          </w:tcPr>
          <w:p>
            <w:pPr>
              <w:pStyle w:val="TableContents"/>
              <w:bidi w:val="0"/>
              <w:spacing w:before="0" w:after="283"/>
              <w:jc w:val="right"/>
              <w:rPr/>
            </w:pPr>
            <w:r>
              <w:rPr/>
              <w:t>156.35</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55" w:type="dxa"/>
            <w:tcBorders/>
            <w:shd w:fill="CCE2F1" w:val="clear"/>
            <w:vAlign w:val="center"/>
          </w:tcPr>
          <w:p>
            <w:pPr>
              <w:pStyle w:val="TableContents"/>
              <w:bidi w:val="0"/>
              <w:spacing w:before="0" w:after="283"/>
              <w:jc w:val="right"/>
              <w:rPr/>
            </w:pPr>
            <w:r>
              <w:rPr/>
              <w:t>5/3/2026</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8" w:type="dxa"/>
            <w:tcBorders/>
            <w:shd w:fill="CCE2F1" w:val="clear"/>
            <w:vAlign w:val="center"/>
          </w:tcPr>
          <w:p>
            <w:pPr>
              <w:pStyle w:val="TableContents"/>
              <w:bidi w:val="0"/>
              <w:spacing w:before="0" w:after="283"/>
              <w:jc w:val="left"/>
              <w:rPr>
                <w:sz w:val="4"/>
                <w:szCs w:val="4"/>
              </w:rPr>
            </w:pPr>
            <w:r>
              <w:rPr>
                <w:sz w:val="4"/>
                <w:szCs w:val="4"/>
              </w:rPr>
            </w:r>
          </w:p>
        </w:tc>
        <w:tc>
          <w:tcPr>
            <w:tcW w:w="887"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8" w:type="dxa"/>
            <w:tcBorders/>
            <w:shd w:fill="CCE2F1" w:val="clear"/>
            <w:vAlign w:val="center"/>
          </w:tcPr>
          <w:p>
            <w:pPr>
              <w:pStyle w:val="TableContents"/>
              <w:bidi w:val="0"/>
              <w:spacing w:before="0" w:after="283"/>
              <w:jc w:val="left"/>
              <w:rPr>
                <w:sz w:val="4"/>
                <w:szCs w:val="4"/>
              </w:rPr>
            </w:pPr>
            <w:r>
              <w:rPr>
                <w:sz w:val="4"/>
                <w:szCs w:val="4"/>
              </w:rPr>
            </w:r>
          </w:p>
        </w:tc>
        <w:tc>
          <w:tcPr>
            <w:tcW w:w="1257"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sz w:val="4"/>
                <w:szCs w:val="4"/>
              </w:rPr>
            </w:pPr>
            <w:r>
              <w:rPr>
                <w:sz w:val="4"/>
                <w:szCs w:val="4"/>
              </w:rPr>
            </w:r>
          </w:p>
        </w:tc>
        <w:tc>
          <w:tcPr>
            <w:tcW w:w="1232" w:type="dxa"/>
            <w:tcBorders/>
            <w:shd w:fill="CCE2F1" w:val="clear"/>
            <w:vAlign w:val="center"/>
          </w:tcPr>
          <w:p>
            <w:pPr>
              <w:pStyle w:val="TableContents"/>
              <w:bidi w:val="0"/>
              <w:spacing w:before="0" w:after="283"/>
              <w:jc w:val="left"/>
              <w:rPr>
                <w:sz w:val="4"/>
                <w:szCs w:val="4"/>
              </w:rPr>
            </w:pPr>
            <w:r>
              <w:rPr>
                <w:sz w:val="4"/>
                <w:szCs w:val="4"/>
              </w:rPr>
            </w:r>
          </w:p>
        </w:tc>
        <w:tc>
          <w:tcPr>
            <w:tcW w:w="21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70" w:type="dxa"/>
            <w:tcBorders/>
            <w:shd w:fill="CCE2F1" w:val="clear"/>
            <w:vAlign w:val="center"/>
          </w:tcPr>
          <w:p>
            <w:pPr>
              <w:pStyle w:val="TableContents"/>
              <w:bidi w:val="0"/>
              <w:spacing w:before="0" w:after="283"/>
              <w:jc w:val="left"/>
              <w:rPr>
                <w:sz w:val="4"/>
                <w:szCs w:val="4"/>
              </w:rPr>
            </w:pPr>
            <w:r>
              <w:rPr>
                <w:sz w:val="4"/>
                <w:szCs w:val="4"/>
              </w:rPr>
            </w:r>
          </w:p>
        </w:tc>
        <w:tc>
          <w:tcPr>
            <w:tcW w:w="1300" w:type="dxa"/>
            <w:tcBorders/>
            <w:shd w:fill="CCE2F1" w:val="clear"/>
            <w:vAlign w:val="center"/>
          </w:tcPr>
          <w:p>
            <w:pPr>
              <w:pStyle w:val="TableContents"/>
              <w:bidi w:val="0"/>
              <w:spacing w:before="0" w:after="283"/>
              <w:jc w:val="left"/>
              <w:rPr>
                <w:sz w:val="4"/>
                <w:szCs w:val="4"/>
              </w:rPr>
            </w:pPr>
            <w:r>
              <w:rPr>
                <w:sz w:val="4"/>
                <w:szCs w:val="4"/>
              </w:rPr>
            </w:r>
          </w:p>
        </w:tc>
        <w:tc>
          <w:tcPr>
            <w:tcW w:w="75" w:type="dxa"/>
            <w:tcBorders/>
            <w:shd w:fill="CCE2F1" w:val="clear"/>
            <w:vAlign w:val="center"/>
          </w:tcPr>
          <w:p>
            <w:pPr>
              <w:pStyle w:val="TableContents"/>
              <w:bidi w:val="0"/>
              <w:spacing w:before="0" w:after="283"/>
              <w:jc w:val="left"/>
              <w:rPr>
                <w:sz w:val="4"/>
                <w:szCs w:val="4"/>
              </w:rPr>
            </w:pPr>
            <w:r>
              <w:rPr>
                <w:sz w:val="4"/>
                <w:szCs w:val="4"/>
              </w:rPr>
            </w:r>
          </w:p>
        </w:tc>
      </w:tr>
      <w:tr>
        <w:trPr/>
        <w:tc>
          <w:tcPr>
            <w:tcW w:w="680" w:type="dxa"/>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085" w:type="dxa"/>
            <w:gridSpan w:val="4"/>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c>
          <w:tcPr>
            <w:tcW w:w="1615" w:type="dxa"/>
            <w:gridSpan w:val="4"/>
            <w:tcBorders/>
            <w:vAlign w:val="center"/>
          </w:tcPr>
          <w:p>
            <w:pPr>
              <w:pStyle w:val="TableContents"/>
              <w:bidi w:val="0"/>
              <w:spacing w:before="0" w:after="283"/>
              <w:jc w:val="left"/>
              <w:rPr>
                <w:sz w:val="4"/>
                <w:szCs w:val="4"/>
              </w:rPr>
            </w:pPr>
            <w:r>
              <w:rPr>
                <w:sz w:val="4"/>
                <w:szCs w:val="4"/>
              </w:rPr>
            </w:r>
          </w:p>
        </w:tc>
        <w:tc>
          <w:tcPr>
            <w:tcW w:w="1505" w:type="dxa"/>
            <w:gridSpan w:val="4"/>
            <w:tcBorders/>
            <w:vAlign w:val="center"/>
          </w:tcPr>
          <w:p>
            <w:pPr>
              <w:pStyle w:val="TableContents"/>
              <w:bidi w:val="0"/>
              <w:spacing w:before="0" w:after="283"/>
              <w:jc w:val="left"/>
              <w:rPr>
                <w:sz w:val="4"/>
                <w:szCs w:val="4"/>
              </w:rPr>
            </w:pPr>
            <w:r>
              <w:rPr>
                <w:sz w:val="4"/>
                <w:szCs w:val="4"/>
              </w:rPr>
            </w:r>
          </w:p>
        </w:tc>
      </w:tr>
      <w:tr>
        <w:trPr/>
        <w:tc>
          <w:tcPr>
            <w:tcW w:w="680" w:type="dxa"/>
            <w:tcBorders/>
            <w:vAlign w:val="center"/>
          </w:tcPr>
          <w:p>
            <w:pPr>
              <w:pStyle w:val="TableContents"/>
              <w:bidi w:val="0"/>
              <w:spacing w:before="0" w:after="0"/>
              <w:jc w:val="left"/>
              <w:rPr/>
            </w:pPr>
            <w:r>
              <w:rPr/>
              <w:t> </w:t>
            </w:r>
            <w:r>
              <w:rPr>
                <w:rFonts w:ascii="arial" w:hAnsi="arial"/>
                <w:sz w:val="16"/>
              </w:rPr>
              <w:t>Murdo Gordon</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35,833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235.97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5/2/2033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13,317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right"/>
              <w:rPr/>
            </w:pPr>
            <w:r>
              <w:rPr/>
              <w:t>3,835,562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20,318</w:t>
            </w:r>
          </w:p>
        </w:tc>
        <w:tc>
          <w:tcPr>
            <w:tcW w:w="215"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right"/>
              <w:rPr/>
            </w:pPr>
            <w:r>
              <w:rPr/>
              <w:t>5,851,990</w:t>
            </w:r>
          </w:p>
        </w:tc>
        <w:tc>
          <w:tcPr>
            <w:tcW w:w="75"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35,352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230.92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5/2/2032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10,699</w:t>
            </w:r>
          </w:p>
        </w:tc>
        <w:tc>
          <w:tcPr>
            <w:tcW w:w="215"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right"/>
              <w:rPr/>
            </w:pPr>
            <w:r>
              <w:rPr/>
              <w:t>3,081,526</w:t>
            </w:r>
          </w:p>
        </w:tc>
        <w:tc>
          <w:tcPr>
            <w:tcW w:w="75"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11,956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24,275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239.64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4/30/2031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12,924</w:t>
            </w:r>
          </w:p>
        </w:tc>
        <w:tc>
          <w:tcPr>
            <w:tcW w:w="215"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right"/>
              <w:rPr/>
            </w:pPr>
            <w:r>
              <w:rPr/>
              <w:t>3,722,370</w:t>
            </w:r>
          </w:p>
        </w:tc>
        <w:tc>
          <w:tcPr>
            <w:tcW w:w="75"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19,173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9,877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236.36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5/5/2030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39,382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177.31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5/3/2029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80" w:type="dxa"/>
            <w:tcBorders/>
            <w:shd w:fill="CCE2F1" w:val="clear"/>
            <w:vAlign w:val="center"/>
          </w:tcPr>
          <w:p>
            <w:pPr>
              <w:pStyle w:val="TableContents"/>
              <w:bidi w:val="0"/>
              <w:spacing w:before="0" w:after="283"/>
              <w:jc w:val="left"/>
              <w:rPr>
                <w:sz w:val="4"/>
                <w:szCs w:val="4"/>
              </w:rPr>
            </w:pPr>
            <w:r>
              <w:rPr>
                <w:sz w:val="4"/>
                <w:szCs w:val="4"/>
              </w:rPr>
            </w:r>
          </w:p>
        </w:tc>
        <w:tc>
          <w:tcPr>
            <w:tcW w:w="1415" w:type="dxa"/>
            <w:gridSpan w:val="4"/>
            <w:tcBorders/>
            <w:shd w:fill="CCE2F1" w:val="clear"/>
            <w:vAlign w:val="center"/>
          </w:tcPr>
          <w:p>
            <w:pPr>
              <w:pStyle w:val="TableContents"/>
              <w:bidi w:val="0"/>
              <w:spacing w:before="0" w:after="283"/>
              <w:jc w:val="left"/>
              <w:rPr>
                <w:sz w:val="4"/>
                <w:szCs w:val="4"/>
              </w:rPr>
            </w:pPr>
            <w:r>
              <w:rPr>
                <w:sz w:val="4"/>
                <w:szCs w:val="4"/>
              </w:rPr>
            </w:r>
          </w:p>
        </w:tc>
        <w:tc>
          <w:tcPr>
            <w:tcW w:w="1670" w:type="dxa"/>
            <w:gridSpan w:val="4"/>
            <w:tcBorders/>
            <w:shd w:fill="CCE2F1" w:val="clear"/>
            <w:vAlign w:val="center"/>
          </w:tcPr>
          <w:p>
            <w:pPr>
              <w:pStyle w:val="TableContents"/>
              <w:bidi w:val="0"/>
              <w:spacing w:before="0" w:after="283"/>
              <w:jc w:val="left"/>
              <w:rPr>
                <w:sz w:val="4"/>
                <w:szCs w:val="4"/>
              </w:rPr>
            </w:pPr>
            <w:r>
              <w:rPr>
                <w:sz w:val="4"/>
                <w:szCs w:val="4"/>
              </w:rPr>
            </w:r>
          </w:p>
        </w:tc>
        <w:tc>
          <w:tcPr>
            <w:tcW w:w="1100" w:type="dxa"/>
            <w:gridSpan w:val="4"/>
            <w:tcBorders/>
            <w:shd w:fill="CCE2F1" w:val="clear"/>
            <w:vAlign w:val="center"/>
          </w:tcPr>
          <w:p>
            <w:pPr>
              <w:pStyle w:val="TableContents"/>
              <w:bidi w:val="0"/>
              <w:spacing w:before="0" w:after="283"/>
              <w:jc w:val="left"/>
              <w:rPr>
                <w:sz w:val="4"/>
                <w:szCs w:val="4"/>
              </w:rPr>
            </w:pPr>
            <w:r>
              <w:rPr>
                <w:sz w:val="4"/>
                <w:szCs w:val="4"/>
              </w:rPr>
            </w:r>
          </w:p>
        </w:tc>
        <w:tc>
          <w:tcPr>
            <w:tcW w:w="1235" w:type="dxa"/>
            <w:gridSpan w:val="4"/>
            <w:tcBorders/>
            <w:shd w:fill="CCE2F1" w:val="clear"/>
            <w:vAlign w:val="center"/>
          </w:tcPr>
          <w:p>
            <w:pPr>
              <w:pStyle w:val="TableContents"/>
              <w:bidi w:val="0"/>
              <w:spacing w:before="0" w:after="283"/>
              <w:jc w:val="left"/>
              <w:rPr>
                <w:sz w:val="4"/>
                <w:szCs w:val="4"/>
              </w:rPr>
            </w:pPr>
            <w:r>
              <w:rPr>
                <w:sz w:val="4"/>
                <w:szCs w:val="4"/>
              </w:rPr>
            </w:r>
          </w:p>
        </w:tc>
        <w:tc>
          <w:tcPr>
            <w:tcW w:w="1085" w:type="dxa"/>
            <w:gridSpan w:val="4"/>
            <w:tcBorders/>
            <w:shd w:fill="CCE2F1" w:val="clear"/>
            <w:vAlign w:val="center"/>
          </w:tcPr>
          <w:p>
            <w:pPr>
              <w:pStyle w:val="TableContents"/>
              <w:bidi w:val="0"/>
              <w:spacing w:before="0" w:after="283"/>
              <w:jc w:val="left"/>
              <w:rPr>
                <w:sz w:val="4"/>
                <w:szCs w:val="4"/>
              </w:rPr>
            </w:pPr>
            <w:r>
              <w:rPr>
                <w:sz w:val="4"/>
                <w:szCs w:val="4"/>
              </w:rPr>
            </w:r>
          </w:p>
        </w:tc>
        <w:tc>
          <w:tcPr>
            <w:tcW w:w="1445" w:type="dxa"/>
            <w:gridSpan w:val="4"/>
            <w:tcBorders/>
            <w:shd w:fill="CCE2F1" w:val="clear"/>
            <w:vAlign w:val="center"/>
          </w:tcPr>
          <w:p>
            <w:pPr>
              <w:pStyle w:val="TableContents"/>
              <w:bidi w:val="0"/>
              <w:spacing w:before="0" w:after="283"/>
              <w:jc w:val="left"/>
              <w:rPr>
                <w:sz w:val="4"/>
                <w:szCs w:val="4"/>
              </w:rPr>
            </w:pPr>
            <w:r>
              <w:rPr>
                <w:sz w:val="4"/>
                <w:szCs w:val="4"/>
              </w:rPr>
            </w:r>
          </w:p>
        </w:tc>
        <w:tc>
          <w:tcPr>
            <w:tcW w:w="1615" w:type="dxa"/>
            <w:gridSpan w:val="4"/>
            <w:tcBorders/>
            <w:shd w:fill="CCE2F1" w:val="clear"/>
            <w:vAlign w:val="center"/>
          </w:tcPr>
          <w:p>
            <w:pPr>
              <w:pStyle w:val="TableContents"/>
              <w:bidi w:val="0"/>
              <w:spacing w:before="0" w:after="283"/>
              <w:jc w:val="left"/>
              <w:rPr>
                <w:sz w:val="4"/>
                <w:szCs w:val="4"/>
              </w:rPr>
            </w:pPr>
            <w:r>
              <w:rPr>
                <w:sz w:val="4"/>
                <w:szCs w:val="4"/>
              </w:rPr>
            </w:r>
          </w:p>
        </w:tc>
        <w:tc>
          <w:tcPr>
            <w:tcW w:w="1505"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680" w:type="dxa"/>
            <w:tcBorders/>
            <w:shd w:fill="CCE2F1" w:val="clear"/>
            <w:vAlign w:val="center"/>
          </w:tcPr>
          <w:p>
            <w:pPr>
              <w:pStyle w:val="TableContents"/>
              <w:bidi w:val="0"/>
              <w:spacing w:before="0" w:after="0"/>
              <w:jc w:val="left"/>
              <w:rPr/>
            </w:pPr>
            <w:r>
              <w:rPr/>
              <w:t> </w:t>
            </w:r>
            <w:r>
              <w:rPr>
                <w:rFonts w:ascii="arial" w:hAnsi="arial"/>
                <w:sz w:val="16"/>
              </w:rPr>
              <w:t>David M. Reese</w:t>
            </w:r>
          </w:p>
        </w:tc>
        <w:tc>
          <w:tcPr>
            <w:tcW w:w="60" w:type="dxa"/>
            <w:tcBorders/>
            <w:shd w:fill="CCE2F1" w:val="clear"/>
            <w:vAlign w:val="center"/>
          </w:tcPr>
          <w:p>
            <w:pPr>
              <w:pStyle w:val="TableContents"/>
              <w:bidi w:val="0"/>
              <w:spacing w:before="0" w:after="283"/>
              <w:jc w:val="left"/>
              <w:rPr/>
            </w:pPr>
            <w:r>
              <w:rPr/>
              <w:t> </w:t>
            </w:r>
          </w:p>
        </w:tc>
        <w:tc>
          <w:tcPr>
            <w:tcW w:w="90" w:type="dxa"/>
            <w:tcBorders/>
            <w:shd w:fill="CCE2F1" w:val="clear"/>
            <w:vAlign w:val="center"/>
          </w:tcPr>
          <w:p>
            <w:pPr>
              <w:pStyle w:val="TableContents"/>
              <w:bidi w:val="0"/>
              <w:spacing w:before="0" w:after="283"/>
              <w:jc w:val="left"/>
              <w:rPr/>
            </w:pPr>
            <w:r>
              <w:rPr/>
              <w:t> </w:t>
            </w:r>
          </w:p>
        </w:tc>
        <w:tc>
          <w:tcPr>
            <w:tcW w:w="1205"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pPr>
            <w:r>
              <w:rPr/>
              <w:t> </w:t>
            </w:r>
          </w:p>
        </w:tc>
        <w:tc>
          <w:tcPr>
            <w:tcW w:w="1442" w:type="dxa"/>
            <w:tcBorders/>
            <w:shd w:fill="CCE2F1" w:val="clear"/>
            <w:vAlign w:val="center"/>
          </w:tcPr>
          <w:p>
            <w:pPr>
              <w:pStyle w:val="TableContents"/>
              <w:bidi w:val="0"/>
              <w:spacing w:before="0" w:after="283"/>
              <w:jc w:val="right"/>
              <w:rPr/>
            </w:pPr>
            <w:r>
              <w:rPr/>
              <w:t>32,250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9" w:type="dxa"/>
            <w:tcBorders/>
            <w:shd w:fill="CCE2F1" w:val="clear"/>
            <w:vAlign w:val="center"/>
          </w:tcPr>
          <w:p>
            <w:pPr>
              <w:pStyle w:val="TableContents"/>
              <w:bidi w:val="0"/>
              <w:spacing w:before="0" w:after="283"/>
              <w:jc w:val="left"/>
              <w:rPr/>
            </w:pPr>
            <w:r>
              <w:rPr/>
              <w:t> </w:t>
            </w:r>
          </w:p>
        </w:tc>
        <w:tc>
          <w:tcPr>
            <w:tcW w:w="901" w:type="dxa"/>
            <w:tcBorders/>
            <w:shd w:fill="CCE2F1" w:val="clear"/>
            <w:vAlign w:val="center"/>
          </w:tcPr>
          <w:p>
            <w:pPr>
              <w:pStyle w:val="TableContents"/>
              <w:bidi w:val="0"/>
              <w:spacing w:before="0" w:after="283"/>
              <w:jc w:val="right"/>
              <w:rPr/>
            </w:pPr>
            <w:r>
              <w:rPr/>
              <w:t>235.97</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55" w:type="dxa"/>
            <w:tcBorders/>
            <w:shd w:fill="CCE2F1" w:val="clear"/>
            <w:vAlign w:val="center"/>
          </w:tcPr>
          <w:p>
            <w:pPr>
              <w:pStyle w:val="TableContents"/>
              <w:bidi w:val="0"/>
              <w:spacing w:before="0" w:after="283"/>
              <w:jc w:val="right"/>
              <w:rPr/>
            </w:pPr>
            <w:r>
              <w:rPr/>
              <w:t>5/2/2033</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8" w:type="dxa"/>
            <w:tcBorders/>
            <w:shd w:fill="CCE2F1" w:val="clear"/>
            <w:vAlign w:val="center"/>
          </w:tcPr>
          <w:p>
            <w:pPr>
              <w:pStyle w:val="TableContents"/>
              <w:bidi w:val="0"/>
              <w:spacing w:before="0" w:after="283"/>
              <w:jc w:val="left"/>
              <w:rPr/>
            </w:pPr>
            <w:r>
              <w:rPr/>
              <w:t> </w:t>
            </w:r>
          </w:p>
        </w:tc>
        <w:tc>
          <w:tcPr>
            <w:tcW w:w="887" w:type="dxa"/>
            <w:tcBorders/>
            <w:shd w:fill="CCE2F1" w:val="clear"/>
            <w:vAlign w:val="center"/>
          </w:tcPr>
          <w:p>
            <w:pPr>
              <w:pStyle w:val="TableContents"/>
              <w:bidi w:val="0"/>
              <w:spacing w:before="0" w:after="283"/>
              <w:jc w:val="right"/>
              <w:rPr/>
            </w:pPr>
            <w:r>
              <w:rPr/>
              <w:t>12,303</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68" w:type="dxa"/>
            <w:tcBorders/>
            <w:shd w:fill="CCE2F1" w:val="clear"/>
            <w:vAlign w:val="center"/>
          </w:tcPr>
          <w:p>
            <w:pPr>
              <w:pStyle w:val="TableContents"/>
              <w:bidi w:val="0"/>
              <w:spacing w:before="0" w:after="283"/>
              <w:jc w:val="left"/>
              <w:rPr/>
            </w:pPr>
            <w:r>
              <w:rPr/>
              <w:t> </w:t>
            </w:r>
          </w:p>
        </w:tc>
        <w:tc>
          <w:tcPr>
            <w:tcW w:w="1257" w:type="dxa"/>
            <w:tcBorders/>
            <w:shd w:fill="CCE2F1" w:val="clear"/>
            <w:vAlign w:val="center"/>
          </w:tcPr>
          <w:p>
            <w:pPr>
              <w:pStyle w:val="TableContents"/>
              <w:bidi w:val="0"/>
              <w:spacing w:before="0" w:after="283"/>
              <w:jc w:val="right"/>
              <w:rPr/>
            </w:pPr>
            <w:r>
              <w:rPr/>
              <w:t>3,543,510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pPr>
            <w:r>
              <w:rPr/>
              <w:t> </w:t>
            </w:r>
          </w:p>
        </w:tc>
        <w:tc>
          <w:tcPr>
            <w:tcW w:w="1232" w:type="dxa"/>
            <w:tcBorders/>
            <w:shd w:fill="CCE2F1" w:val="clear"/>
            <w:vAlign w:val="center"/>
          </w:tcPr>
          <w:p>
            <w:pPr>
              <w:pStyle w:val="TableContents"/>
              <w:bidi w:val="0"/>
              <w:spacing w:before="0" w:after="283"/>
              <w:jc w:val="right"/>
              <w:rPr/>
            </w:pPr>
            <w:r>
              <w:rPr/>
              <w:t>18,287</w:t>
            </w:r>
          </w:p>
        </w:tc>
        <w:tc>
          <w:tcPr>
            <w:tcW w:w="215" w:type="dxa"/>
            <w:tcBorders/>
            <w:shd w:fill="CCE2F1" w:val="clear"/>
            <w:vAlign w:val="center"/>
          </w:tcPr>
          <w:p>
            <w:pPr>
              <w:pStyle w:val="TableContents"/>
              <w:bidi w:val="0"/>
              <w:spacing w:before="0" w:after="283"/>
              <w:jc w:val="left"/>
              <w:rPr/>
            </w:pPr>
            <w:r>
              <w:rPr/>
              <w:t>(4) </w:t>
            </w:r>
          </w:p>
        </w:tc>
        <w:tc>
          <w:tcPr>
            <w:tcW w:w="60" w:type="dxa"/>
            <w:tcBorders/>
            <w:shd w:fill="CCE2F1" w:val="clear"/>
            <w:vAlign w:val="center"/>
          </w:tcPr>
          <w:p>
            <w:pPr>
              <w:pStyle w:val="TableContents"/>
              <w:bidi w:val="0"/>
              <w:spacing w:before="0" w:after="283"/>
              <w:jc w:val="left"/>
              <w:rPr/>
            </w:pPr>
            <w:r>
              <w:rPr/>
              <w:t> </w:t>
            </w:r>
          </w:p>
        </w:tc>
        <w:tc>
          <w:tcPr>
            <w:tcW w:w="70" w:type="dxa"/>
            <w:tcBorders/>
            <w:shd w:fill="CCE2F1" w:val="clear"/>
            <w:vAlign w:val="center"/>
          </w:tcPr>
          <w:p>
            <w:pPr>
              <w:pStyle w:val="TableContents"/>
              <w:bidi w:val="0"/>
              <w:spacing w:before="0" w:after="283"/>
              <w:jc w:val="left"/>
              <w:rPr/>
            </w:pPr>
            <w:r>
              <w:rPr/>
              <w:t> </w:t>
            </w:r>
          </w:p>
        </w:tc>
        <w:tc>
          <w:tcPr>
            <w:tcW w:w="1300" w:type="dxa"/>
            <w:tcBorders/>
            <w:shd w:fill="CCE2F1" w:val="clear"/>
            <w:vAlign w:val="center"/>
          </w:tcPr>
          <w:p>
            <w:pPr>
              <w:pStyle w:val="TableContents"/>
              <w:bidi w:val="0"/>
              <w:spacing w:before="0" w:after="283"/>
              <w:jc w:val="right"/>
              <w:rPr/>
            </w:pPr>
            <w:r>
              <w:rPr/>
              <w:t>5,267,022</w:t>
            </w:r>
          </w:p>
        </w:tc>
        <w:tc>
          <w:tcPr>
            <w:tcW w:w="75" w:type="dxa"/>
            <w:tcBorders/>
            <w:shd w:fill="CCE2F1" w:val="clear"/>
            <w:vAlign w:val="center"/>
          </w:tcPr>
          <w:p>
            <w:pPr>
              <w:pStyle w:val="TableContents"/>
              <w:bidi w:val="0"/>
              <w:spacing w:before="0" w:after="283"/>
              <w:jc w:val="left"/>
              <w:rPr/>
            </w:pPr>
            <w:r>
              <w:rPr/>
              <w:t> </w:t>
            </w:r>
          </w:p>
        </w:tc>
      </w:tr>
      <w:tr>
        <w:trPr/>
        <w:tc>
          <w:tcPr>
            <w:tcW w:w="68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90" w:type="dxa"/>
            <w:tcBorders/>
            <w:shd w:fill="CCE2F1" w:val="clear"/>
            <w:vAlign w:val="center"/>
          </w:tcPr>
          <w:p>
            <w:pPr>
              <w:pStyle w:val="TableContents"/>
              <w:bidi w:val="0"/>
              <w:spacing w:before="0" w:after="283"/>
              <w:jc w:val="left"/>
              <w:rPr/>
            </w:pPr>
            <w:r>
              <w:rPr/>
              <w:t> </w:t>
            </w:r>
          </w:p>
        </w:tc>
        <w:tc>
          <w:tcPr>
            <w:tcW w:w="1205"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pPr>
            <w:r>
              <w:rPr/>
              <w:t> </w:t>
            </w:r>
          </w:p>
        </w:tc>
        <w:tc>
          <w:tcPr>
            <w:tcW w:w="1442" w:type="dxa"/>
            <w:tcBorders/>
            <w:shd w:fill="CCE2F1" w:val="clear"/>
            <w:vAlign w:val="center"/>
          </w:tcPr>
          <w:p>
            <w:pPr>
              <w:pStyle w:val="TableContents"/>
              <w:bidi w:val="0"/>
              <w:spacing w:before="0" w:after="283"/>
              <w:jc w:val="right"/>
              <w:rPr/>
            </w:pPr>
            <w:r>
              <w:rPr/>
              <w:t>31,817</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9" w:type="dxa"/>
            <w:tcBorders/>
            <w:shd w:fill="CCE2F1" w:val="clear"/>
            <w:vAlign w:val="center"/>
          </w:tcPr>
          <w:p>
            <w:pPr>
              <w:pStyle w:val="TableContents"/>
              <w:bidi w:val="0"/>
              <w:spacing w:before="0" w:after="283"/>
              <w:jc w:val="left"/>
              <w:rPr/>
            </w:pPr>
            <w:r>
              <w:rPr/>
              <w:t> </w:t>
            </w:r>
          </w:p>
        </w:tc>
        <w:tc>
          <w:tcPr>
            <w:tcW w:w="901" w:type="dxa"/>
            <w:tcBorders/>
            <w:shd w:fill="CCE2F1" w:val="clear"/>
            <w:vAlign w:val="center"/>
          </w:tcPr>
          <w:p>
            <w:pPr>
              <w:pStyle w:val="TableContents"/>
              <w:bidi w:val="0"/>
              <w:spacing w:before="0" w:after="283"/>
              <w:jc w:val="right"/>
              <w:rPr/>
            </w:pPr>
            <w:r>
              <w:rPr/>
              <w:t>230.92</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55" w:type="dxa"/>
            <w:tcBorders/>
            <w:shd w:fill="CCE2F1" w:val="clear"/>
            <w:vAlign w:val="center"/>
          </w:tcPr>
          <w:p>
            <w:pPr>
              <w:pStyle w:val="TableContents"/>
              <w:bidi w:val="0"/>
              <w:spacing w:before="0" w:after="283"/>
              <w:jc w:val="right"/>
              <w:rPr/>
            </w:pPr>
            <w:r>
              <w:rPr/>
              <w:t>5/2/2032</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8" w:type="dxa"/>
            <w:tcBorders/>
            <w:shd w:fill="CCE2F1" w:val="clear"/>
            <w:vAlign w:val="center"/>
          </w:tcPr>
          <w:p>
            <w:pPr>
              <w:pStyle w:val="TableContents"/>
              <w:bidi w:val="0"/>
              <w:spacing w:before="0" w:after="283"/>
              <w:jc w:val="left"/>
              <w:rPr>
                <w:sz w:val="4"/>
                <w:szCs w:val="4"/>
              </w:rPr>
            </w:pPr>
            <w:r>
              <w:rPr>
                <w:sz w:val="4"/>
                <w:szCs w:val="4"/>
              </w:rPr>
            </w:r>
          </w:p>
        </w:tc>
        <w:tc>
          <w:tcPr>
            <w:tcW w:w="887"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8" w:type="dxa"/>
            <w:tcBorders/>
            <w:shd w:fill="CCE2F1" w:val="clear"/>
            <w:vAlign w:val="center"/>
          </w:tcPr>
          <w:p>
            <w:pPr>
              <w:pStyle w:val="TableContents"/>
              <w:bidi w:val="0"/>
              <w:spacing w:before="0" w:after="283"/>
              <w:jc w:val="left"/>
              <w:rPr>
                <w:sz w:val="4"/>
                <w:szCs w:val="4"/>
              </w:rPr>
            </w:pPr>
            <w:r>
              <w:rPr>
                <w:sz w:val="4"/>
                <w:szCs w:val="4"/>
              </w:rPr>
            </w:r>
          </w:p>
        </w:tc>
        <w:tc>
          <w:tcPr>
            <w:tcW w:w="1257"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pPr>
            <w:r>
              <w:rPr/>
              <w:t> </w:t>
            </w:r>
          </w:p>
        </w:tc>
        <w:tc>
          <w:tcPr>
            <w:tcW w:w="1232" w:type="dxa"/>
            <w:tcBorders/>
            <w:shd w:fill="CCE2F1" w:val="clear"/>
            <w:vAlign w:val="center"/>
          </w:tcPr>
          <w:p>
            <w:pPr>
              <w:pStyle w:val="TableContents"/>
              <w:bidi w:val="0"/>
              <w:spacing w:before="0" w:after="283"/>
              <w:jc w:val="right"/>
              <w:rPr/>
            </w:pPr>
            <w:r>
              <w:rPr/>
              <w:t>9,629</w:t>
            </w:r>
          </w:p>
        </w:tc>
        <w:tc>
          <w:tcPr>
            <w:tcW w:w="215" w:type="dxa"/>
            <w:tcBorders/>
            <w:shd w:fill="CCE2F1" w:val="clear"/>
            <w:vAlign w:val="center"/>
          </w:tcPr>
          <w:p>
            <w:pPr>
              <w:pStyle w:val="TableContents"/>
              <w:bidi w:val="0"/>
              <w:spacing w:before="0" w:after="283"/>
              <w:jc w:val="left"/>
              <w:rPr/>
            </w:pPr>
            <w:r>
              <w:rPr/>
              <w:t>(5) </w:t>
            </w:r>
          </w:p>
        </w:tc>
        <w:tc>
          <w:tcPr>
            <w:tcW w:w="60" w:type="dxa"/>
            <w:tcBorders/>
            <w:shd w:fill="CCE2F1" w:val="clear"/>
            <w:vAlign w:val="center"/>
          </w:tcPr>
          <w:p>
            <w:pPr>
              <w:pStyle w:val="TableContents"/>
              <w:bidi w:val="0"/>
              <w:spacing w:before="0" w:after="283"/>
              <w:jc w:val="left"/>
              <w:rPr/>
            </w:pPr>
            <w:r>
              <w:rPr/>
              <w:t> </w:t>
            </w:r>
          </w:p>
        </w:tc>
        <w:tc>
          <w:tcPr>
            <w:tcW w:w="70" w:type="dxa"/>
            <w:tcBorders/>
            <w:shd w:fill="CCE2F1" w:val="clear"/>
            <w:vAlign w:val="center"/>
          </w:tcPr>
          <w:p>
            <w:pPr>
              <w:pStyle w:val="TableContents"/>
              <w:bidi w:val="0"/>
              <w:spacing w:before="0" w:after="283"/>
              <w:jc w:val="left"/>
              <w:rPr/>
            </w:pPr>
            <w:r>
              <w:rPr/>
              <w:t> </w:t>
            </w:r>
          </w:p>
        </w:tc>
        <w:tc>
          <w:tcPr>
            <w:tcW w:w="1300" w:type="dxa"/>
            <w:tcBorders/>
            <w:shd w:fill="CCE2F1" w:val="clear"/>
            <w:vAlign w:val="center"/>
          </w:tcPr>
          <w:p>
            <w:pPr>
              <w:pStyle w:val="TableContents"/>
              <w:bidi w:val="0"/>
              <w:spacing w:before="0" w:after="283"/>
              <w:jc w:val="right"/>
              <w:rPr/>
            </w:pPr>
            <w:r>
              <w:rPr/>
              <w:t>2,773,345</w:t>
            </w:r>
          </w:p>
        </w:tc>
        <w:tc>
          <w:tcPr>
            <w:tcW w:w="75" w:type="dxa"/>
            <w:tcBorders/>
            <w:shd w:fill="CCE2F1" w:val="clear"/>
            <w:vAlign w:val="center"/>
          </w:tcPr>
          <w:p>
            <w:pPr>
              <w:pStyle w:val="TableContents"/>
              <w:bidi w:val="0"/>
              <w:spacing w:before="0" w:after="283"/>
              <w:jc w:val="left"/>
              <w:rPr/>
            </w:pPr>
            <w:r>
              <w:rPr/>
              <w:t> </w:t>
            </w:r>
          </w:p>
        </w:tc>
      </w:tr>
      <w:tr>
        <w:trPr/>
        <w:tc>
          <w:tcPr>
            <w:tcW w:w="68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90" w:type="dxa"/>
            <w:tcBorders/>
            <w:shd w:fill="CCE2F1" w:val="clear"/>
            <w:vAlign w:val="center"/>
          </w:tcPr>
          <w:p>
            <w:pPr>
              <w:pStyle w:val="TableContents"/>
              <w:bidi w:val="0"/>
              <w:spacing w:before="0" w:after="283"/>
              <w:jc w:val="left"/>
              <w:rPr/>
            </w:pPr>
            <w:r>
              <w:rPr/>
              <w:t> </w:t>
            </w:r>
          </w:p>
        </w:tc>
        <w:tc>
          <w:tcPr>
            <w:tcW w:w="1205" w:type="dxa"/>
            <w:tcBorders/>
            <w:shd w:fill="CCE2F1" w:val="clear"/>
            <w:vAlign w:val="center"/>
          </w:tcPr>
          <w:p>
            <w:pPr>
              <w:pStyle w:val="TableContents"/>
              <w:bidi w:val="0"/>
              <w:spacing w:before="0" w:after="283"/>
              <w:jc w:val="right"/>
              <w:rPr/>
            </w:pPr>
            <w:r>
              <w:rPr/>
              <w:t>11,478</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pPr>
            <w:r>
              <w:rPr/>
              <w:t> </w:t>
            </w:r>
          </w:p>
        </w:tc>
        <w:tc>
          <w:tcPr>
            <w:tcW w:w="1442" w:type="dxa"/>
            <w:tcBorders/>
            <w:shd w:fill="CCE2F1" w:val="clear"/>
            <w:vAlign w:val="center"/>
          </w:tcPr>
          <w:p>
            <w:pPr>
              <w:pStyle w:val="TableContents"/>
              <w:bidi w:val="0"/>
              <w:spacing w:before="0" w:after="283"/>
              <w:jc w:val="right"/>
              <w:rPr/>
            </w:pPr>
            <w:r>
              <w:rPr/>
              <w:t>23,304</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9" w:type="dxa"/>
            <w:tcBorders/>
            <w:shd w:fill="CCE2F1" w:val="clear"/>
            <w:vAlign w:val="center"/>
          </w:tcPr>
          <w:p>
            <w:pPr>
              <w:pStyle w:val="TableContents"/>
              <w:bidi w:val="0"/>
              <w:spacing w:before="0" w:after="283"/>
              <w:jc w:val="left"/>
              <w:rPr/>
            </w:pPr>
            <w:r>
              <w:rPr/>
              <w:t> </w:t>
            </w:r>
          </w:p>
        </w:tc>
        <w:tc>
          <w:tcPr>
            <w:tcW w:w="901" w:type="dxa"/>
            <w:tcBorders/>
            <w:shd w:fill="CCE2F1" w:val="clear"/>
            <w:vAlign w:val="center"/>
          </w:tcPr>
          <w:p>
            <w:pPr>
              <w:pStyle w:val="TableContents"/>
              <w:bidi w:val="0"/>
              <w:spacing w:before="0" w:after="283"/>
              <w:jc w:val="right"/>
              <w:rPr/>
            </w:pPr>
            <w:r>
              <w:rPr/>
              <w:t>239.64</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55" w:type="dxa"/>
            <w:tcBorders/>
            <w:shd w:fill="CCE2F1" w:val="clear"/>
            <w:vAlign w:val="center"/>
          </w:tcPr>
          <w:p>
            <w:pPr>
              <w:pStyle w:val="TableContents"/>
              <w:bidi w:val="0"/>
              <w:spacing w:before="0" w:after="283"/>
              <w:jc w:val="right"/>
              <w:rPr/>
            </w:pPr>
            <w:r>
              <w:rPr/>
              <w:t>4/30/2031</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8" w:type="dxa"/>
            <w:tcBorders/>
            <w:shd w:fill="CCE2F1" w:val="clear"/>
            <w:vAlign w:val="center"/>
          </w:tcPr>
          <w:p>
            <w:pPr>
              <w:pStyle w:val="TableContents"/>
              <w:bidi w:val="0"/>
              <w:spacing w:before="0" w:after="283"/>
              <w:jc w:val="left"/>
              <w:rPr>
                <w:sz w:val="4"/>
                <w:szCs w:val="4"/>
              </w:rPr>
            </w:pPr>
            <w:r>
              <w:rPr>
                <w:sz w:val="4"/>
                <w:szCs w:val="4"/>
              </w:rPr>
            </w:r>
          </w:p>
        </w:tc>
        <w:tc>
          <w:tcPr>
            <w:tcW w:w="887"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8" w:type="dxa"/>
            <w:tcBorders/>
            <w:shd w:fill="CCE2F1" w:val="clear"/>
            <w:vAlign w:val="center"/>
          </w:tcPr>
          <w:p>
            <w:pPr>
              <w:pStyle w:val="TableContents"/>
              <w:bidi w:val="0"/>
              <w:spacing w:before="0" w:after="283"/>
              <w:jc w:val="left"/>
              <w:rPr>
                <w:sz w:val="4"/>
                <w:szCs w:val="4"/>
              </w:rPr>
            </w:pPr>
            <w:r>
              <w:rPr>
                <w:sz w:val="4"/>
                <w:szCs w:val="4"/>
              </w:rPr>
            </w:r>
          </w:p>
        </w:tc>
        <w:tc>
          <w:tcPr>
            <w:tcW w:w="1257"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pPr>
            <w:r>
              <w:rPr/>
              <w:t> </w:t>
            </w:r>
          </w:p>
        </w:tc>
        <w:tc>
          <w:tcPr>
            <w:tcW w:w="1232" w:type="dxa"/>
            <w:tcBorders/>
            <w:shd w:fill="CCE2F1" w:val="clear"/>
            <w:vAlign w:val="center"/>
          </w:tcPr>
          <w:p>
            <w:pPr>
              <w:pStyle w:val="TableContents"/>
              <w:bidi w:val="0"/>
              <w:spacing w:before="0" w:after="283"/>
              <w:jc w:val="right"/>
              <w:rPr/>
            </w:pPr>
            <w:r>
              <w:rPr/>
              <w:t>12,407</w:t>
            </w:r>
          </w:p>
        </w:tc>
        <w:tc>
          <w:tcPr>
            <w:tcW w:w="215" w:type="dxa"/>
            <w:tcBorders/>
            <w:shd w:fill="CCE2F1" w:val="clear"/>
            <w:vAlign w:val="center"/>
          </w:tcPr>
          <w:p>
            <w:pPr>
              <w:pStyle w:val="TableContents"/>
              <w:bidi w:val="0"/>
              <w:spacing w:before="0" w:after="283"/>
              <w:jc w:val="left"/>
              <w:rPr/>
            </w:pPr>
            <w:r>
              <w:rPr/>
              <w:t>(6) </w:t>
            </w:r>
          </w:p>
        </w:tc>
        <w:tc>
          <w:tcPr>
            <w:tcW w:w="60" w:type="dxa"/>
            <w:tcBorders/>
            <w:shd w:fill="CCE2F1" w:val="clear"/>
            <w:vAlign w:val="center"/>
          </w:tcPr>
          <w:p>
            <w:pPr>
              <w:pStyle w:val="TableContents"/>
              <w:bidi w:val="0"/>
              <w:spacing w:before="0" w:after="283"/>
              <w:jc w:val="left"/>
              <w:rPr/>
            </w:pPr>
            <w:r>
              <w:rPr/>
              <w:t> </w:t>
            </w:r>
          </w:p>
        </w:tc>
        <w:tc>
          <w:tcPr>
            <w:tcW w:w="70" w:type="dxa"/>
            <w:tcBorders/>
            <w:shd w:fill="CCE2F1" w:val="clear"/>
            <w:vAlign w:val="center"/>
          </w:tcPr>
          <w:p>
            <w:pPr>
              <w:pStyle w:val="TableContents"/>
              <w:bidi w:val="0"/>
              <w:spacing w:before="0" w:after="283"/>
              <w:jc w:val="left"/>
              <w:rPr/>
            </w:pPr>
            <w:r>
              <w:rPr/>
              <w:t> </w:t>
            </w:r>
          </w:p>
        </w:tc>
        <w:tc>
          <w:tcPr>
            <w:tcW w:w="1300" w:type="dxa"/>
            <w:tcBorders/>
            <w:shd w:fill="CCE2F1" w:val="clear"/>
            <w:vAlign w:val="center"/>
          </w:tcPr>
          <w:p>
            <w:pPr>
              <w:pStyle w:val="TableContents"/>
              <w:bidi w:val="0"/>
              <w:spacing w:before="0" w:after="283"/>
              <w:jc w:val="right"/>
              <w:rPr/>
            </w:pPr>
            <w:r>
              <w:rPr/>
              <w:t>3,573,464</w:t>
            </w:r>
          </w:p>
        </w:tc>
        <w:tc>
          <w:tcPr>
            <w:tcW w:w="75" w:type="dxa"/>
            <w:tcBorders/>
            <w:shd w:fill="CCE2F1" w:val="clear"/>
            <w:vAlign w:val="center"/>
          </w:tcPr>
          <w:p>
            <w:pPr>
              <w:pStyle w:val="TableContents"/>
              <w:bidi w:val="0"/>
              <w:spacing w:before="0" w:after="283"/>
              <w:jc w:val="left"/>
              <w:rPr/>
            </w:pPr>
            <w:r>
              <w:rPr/>
              <w:t> </w:t>
            </w:r>
          </w:p>
        </w:tc>
      </w:tr>
      <w:tr>
        <w:trPr/>
        <w:tc>
          <w:tcPr>
            <w:tcW w:w="68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90" w:type="dxa"/>
            <w:tcBorders/>
            <w:shd w:fill="CCE2F1" w:val="clear"/>
            <w:vAlign w:val="center"/>
          </w:tcPr>
          <w:p>
            <w:pPr>
              <w:pStyle w:val="TableContents"/>
              <w:bidi w:val="0"/>
              <w:spacing w:before="0" w:after="283"/>
              <w:jc w:val="left"/>
              <w:rPr/>
            </w:pPr>
            <w:r>
              <w:rPr/>
              <w:t> </w:t>
            </w:r>
          </w:p>
        </w:tc>
        <w:tc>
          <w:tcPr>
            <w:tcW w:w="1205" w:type="dxa"/>
            <w:tcBorders/>
            <w:shd w:fill="CCE2F1" w:val="clear"/>
            <w:vAlign w:val="center"/>
          </w:tcPr>
          <w:p>
            <w:pPr>
              <w:pStyle w:val="TableContents"/>
              <w:bidi w:val="0"/>
              <w:spacing w:before="0" w:after="283"/>
              <w:jc w:val="right"/>
              <w:rPr/>
            </w:pPr>
            <w:r>
              <w:rPr/>
              <w:t>19,173</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pPr>
            <w:r>
              <w:rPr/>
              <w:t> </w:t>
            </w:r>
          </w:p>
        </w:tc>
        <w:tc>
          <w:tcPr>
            <w:tcW w:w="1442" w:type="dxa"/>
            <w:tcBorders/>
            <w:shd w:fill="CCE2F1" w:val="clear"/>
            <w:vAlign w:val="center"/>
          </w:tcPr>
          <w:p>
            <w:pPr>
              <w:pStyle w:val="TableContents"/>
              <w:bidi w:val="0"/>
              <w:spacing w:before="0" w:after="283"/>
              <w:jc w:val="right"/>
              <w:rPr/>
            </w:pPr>
            <w:r>
              <w:rPr/>
              <w:t>9,877</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9" w:type="dxa"/>
            <w:tcBorders/>
            <w:shd w:fill="CCE2F1" w:val="clear"/>
            <w:vAlign w:val="center"/>
          </w:tcPr>
          <w:p>
            <w:pPr>
              <w:pStyle w:val="TableContents"/>
              <w:bidi w:val="0"/>
              <w:spacing w:before="0" w:after="283"/>
              <w:jc w:val="left"/>
              <w:rPr/>
            </w:pPr>
            <w:r>
              <w:rPr/>
              <w:t> </w:t>
            </w:r>
          </w:p>
        </w:tc>
        <w:tc>
          <w:tcPr>
            <w:tcW w:w="901" w:type="dxa"/>
            <w:tcBorders/>
            <w:shd w:fill="CCE2F1" w:val="clear"/>
            <w:vAlign w:val="center"/>
          </w:tcPr>
          <w:p>
            <w:pPr>
              <w:pStyle w:val="TableContents"/>
              <w:bidi w:val="0"/>
              <w:spacing w:before="0" w:after="283"/>
              <w:jc w:val="right"/>
              <w:rPr/>
            </w:pPr>
            <w:r>
              <w:rPr/>
              <w:t>236.36</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55" w:type="dxa"/>
            <w:tcBorders/>
            <w:shd w:fill="CCE2F1" w:val="clear"/>
            <w:vAlign w:val="center"/>
          </w:tcPr>
          <w:p>
            <w:pPr>
              <w:pStyle w:val="TableContents"/>
              <w:bidi w:val="0"/>
              <w:spacing w:before="0" w:after="283"/>
              <w:jc w:val="right"/>
              <w:rPr/>
            </w:pPr>
            <w:r>
              <w:rPr/>
              <w:t>5/5/2030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8" w:type="dxa"/>
            <w:tcBorders/>
            <w:shd w:fill="CCE2F1" w:val="clear"/>
            <w:vAlign w:val="center"/>
          </w:tcPr>
          <w:p>
            <w:pPr>
              <w:pStyle w:val="TableContents"/>
              <w:bidi w:val="0"/>
              <w:spacing w:before="0" w:after="283"/>
              <w:jc w:val="left"/>
              <w:rPr>
                <w:sz w:val="4"/>
                <w:szCs w:val="4"/>
              </w:rPr>
            </w:pPr>
            <w:r>
              <w:rPr>
                <w:sz w:val="4"/>
                <w:szCs w:val="4"/>
              </w:rPr>
            </w:r>
          </w:p>
        </w:tc>
        <w:tc>
          <w:tcPr>
            <w:tcW w:w="887"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8" w:type="dxa"/>
            <w:tcBorders/>
            <w:shd w:fill="CCE2F1" w:val="clear"/>
            <w:vAlign w:val="center"/>
          </w:tcPr>
          <w:p>
            <w:pPr>
              <w:pStyle w:val="TableContents"/>
              <w:bidi w:val="0"/>
              <w:spacing w:before="0" w:after="283"/>
              <w:jc w:val="left"/>
              <w:rPr>
                <w:sz w:val="4"/>
                <w:szCs w:val="4"/>
              </w:rPr>
            </w:pPr>
            <w:r>
              <w:rPr>
                <w:sz w:val="4"/>
                <w:szCs w:val="4"/>
              </w:rPr>
            </w:r>
          </w:p>
        </w:tc>
        <w:tc>
          <w:tcPr>
            <w:tcW w:w="1257"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sz w:val="4"/>
                <w:szCs w:val="4"/>
              </w:rPr>
            </w:pPr>
            <w:r>
              <w:rPr>
                <w:sz w:val="4"/>
                <w:szCs w:val="4"/>
              </w:rPr>
            </w:r>
          </w:p>
        </w:tc>
        <w:tc>
          <w:tcPr>
            <w:tcW w:w="1232" w:type="dxa"/>
            <w:tcBorders/>
            <w:shd w:fill="CCE2F1" w:val="clear"/>
            <w:vAlign w:val="center"/>
          </w:tcPr>
          <w:p>
            <w:pPr>
              <w:pStyle w:val="TableContents"/>
              <w:bidi w:val="0"/>
              <w:spacing w:before="0" w:after="283"/>
              <w:jc w:val="left"/>
              <w:rPr>
                <w:sz w:val="4"/>
                <w:szCs w:val="4"/>
              </w:rPr>
            </w:pPr>
            <w:r>
              <w:rPr>
                <w:sz w:val="4"/>
                <w:szCs w:val="4"/>
              </w:rPr>
            </w:r>
          </w:p>
        </w:tc>
        <w:tc>
          <w:tcPr>
            <w:tcW w:w="21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70" w:type="dxa"/>
            <w:tcBorders/>
            <w:shd w:fill="CCE2F1" w:val="clear"/>
            <w:vAlign w:val="center"/>
          </w:tcPr>
          <w:p>
            <w:pPr>
              <w:pStyle w:val="TableContents"/>
              <w:bidi w:val="0"/>
              <w:spacing w:before="0" w:after="283"/>
              <w:jc w:val="left"/>
              <w:rPr>
                <w:sz w:val="4"/>
                <w:szCs w:val="4"/>
              </w:rPr>
            </w:pPr>
            <w:r>
              <w:rPr>
                <w:sz w:val="4"/>
                <w:szCs w:val="4"/>
              </w:rPr>
            </w:r>
          </w:p>
        </w:tc>
        <w:tc>
          <w:tcPr>
            <w:tcW w:w="1300" w:type="dxa"/>
            <w:tcBorders/>
            <w:shd w:fill="CCE2F1" w:val="clear"/>
            <w:vAlign w:val="center"/>
          </w:tcPr>
          <w:p>
            <w:pPr>
              <w:pStyle w:val="TableContents"/>
              <w:bidi w:val="0"/>
              <w:spacing w:before="0" w:after="283"/>
              <w:jc w:val="left"/>
              <w:rPr>
                <w:sz w:val="4"/>
                <w:szCs w:val="4"/>
              </w:rPr>
            </w:pPr>
            <w:r>
              <w:rPr>
                <w:sz w:val="4"/>
                <w:szCs w:val="4"/>
              </w:rPr>
            </w:r>
          </w:p>
        </w:tc>
        <w:tc>
          <w:tcPr>
            <w:tcW w:w="75" w:type="dxa"/>
            <w:tcBorders/>
            <w:shd w:fill="CCE2F1" w:val="clear"/>
            <w:vAlign w:val="center"/>
          </w:tcPr>
          <w:p>
            <w:pPr>
              <w:pStyle w:val="TableContents"/>
              <w:bidi w:val="0"/>
              <w:spacing w:before="0" w:after="283"/>
              <w:jc w:val="left"/>
              <w:rPr>
                <w:sz w:val="4"/>
                <w:szCs w:val="4"/>
              </w:rPr>
            </w:pPr>
            <w:r>
              <w:rPr>
                <w:sz w:val="4"/>
                <w:szCs w:val="4"/>
              </w:rPr>
            </w:r>
          </w:p>
        </w:tc>
      </w:tr>
      <w:tr>
        <w:trPr/>
        <w:tc>
          <w:tcPr>
            <w:tcW w:w="68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90" w:type="dxa"/>
            <w:tcBorders/>
            <w:shd w:fill="CCE2F1" w:val="clear"/>
            <w:vAlign w:val="center"/>
          </w:tcPr>
          <w:p>
            <w:pPr>
              <w:pStyle w:val="TableContents"/>
              <w:bidi w:val="0"/>
              <w:spacing w:before="0" w:after="283"/>
              <w:jc w:val="left"/>
              <w:rPr/>
            </w:pPr>
            <w:r>
              <w:rPr/>
              <w:t> </w:t>
            </w:r>
          </w:p>
        </w:tc>
        <w:tc>
          <w:tcPr>
            <w:tcW w:w="1205" w:type="dxa"/>
            <w:tcBorders/>
            <w:shd w:fill="CCE2F1" w:val="clear"/>
            <w:vAlign w:val="center"/>
          </w:tcPr>
          <w:p>
            <w:pPr>
              <w:pStyle w:val="TableContents"/>
              <w:bidi w:val="0"/>
              <w:spacing w:before="0" w:after="283"/>
              <w:jc w:val="right"/>
              <w:rPr/>
            </w:pPr>
            <w:r>
              <w:rPr/>
              <w:t>39,382</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pPr>
            <w:r>
              <w:rPr/>
              <w:t> </w:t>
            </w:r>
          </w:p>
        </w:tc>
        <w:tc>
          <w:tcPr>
            <w:tcW w:w="1442"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9" w:type="dxa"/>
            <w:tcBorders/>
            <w:shd w:fill="CCE2F1" w:val="clear"/>
            <w:vAlign w:val="center"/>
          </w:tcPr>
          <w:p>
            <w:pPr>
              <w:pStyle w:val="TableContents"/>
              <w:bidi w:val="0"/>
              <w:spacing w:before="0" w:after="283"/>
              <w:jc w:val="left"/>
              <w:rPr/>
            </w:pPr>
            <w:r>
              <w:rPr/>
              <w:t> </w:t>
            </w:r>
          </w:p>
        </w:tc>
        <w:tc>
          <w:tcPr>
            <w:tcW w:w="901" w:type="dxa"/>
            <w:tcBorders/>
            <w:shd w:fill="CCE2F1" w:val="clear"/>
            <w:vAlign w:val="center"/>
          </w:tcPr>
          <w:p>
            <w:pPr>
              <w:pStyle w:val="TableContents"/>
              <w:bidi w:val="0"/>
              <w:spacing w:before="0" w:after="283"/>
              <w:jc w:val="right"/>
              <w:rPr/>
            </w:pPr>
            <w:r>
              <w:rPr/>
              <w:t>177.31</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55" w:type="dxa"/>
            <w:tcBorders/>
            <w:shd w:fill="CCE2F1" w:val="clear"/>
            <w:vAlign w:val="center"/>
          </w:tcPr>
          <w:p>
            <w:pPr>
              <w:pStyle w:val="TableContents"/>
              <w:bidi w:val="0"/>
              <w:spacing w:before="0" w:after="283"/>
              <w:jc w:val="right"/>
              <w:rPr/>
            </w:pPr>
            <w:r>
              <w:rPr/>
              <w:t>5/3/2029</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8" w:type="dxa"/>
            <w:tcBorders/>
            <w:shd w:fill="CCE2F1" w:val="clear"/>
            <w:vAlign w:val="center"/>
          </w:tcPr>
          <w:p>
            <w:pPr>
              <w:pStyle w:val="TableContents"/>
              <w:bidi w:val="0"/>
              <w:spacing w:before="0" w:after="283"/>
              <w:jc w:val="left"/>
              <w:rPr>
                <w:sz w:val="4"/>
                <w:szCs w:val="4"/>
              </w:rPr>
            </w:pPr>
            <w:r>
              <w:rPr>
                <w:sz w:val="4"/>
                <w:szCs w:val="4"/>
              </w:rPr>
            </w:r>
          </w:p>
        </w:tc>
        <w:tc>
          <w:tcPr>
            <w:tcW w:w="887"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8" w:type="dxa"/>
            <w:tcBorders/>
            <w:shd w:fill="CCE2F1" w:val="clear"/>
            <w:vAlign w:val="center"/>
          </w:tcPr>
          <w:p>
            <w:pPr>
              <w:pStyle w:val="TableContents"/>
              <w:bidi w:val="0"/>
              <w:spacing w:before="0" w:after="283"/>
              <w:jc w:val="left"/>
              <w:rPr>
                <w:sz w:val="4"/>
                <w:szCs w:val="4"/>
              </w:rPr>
            </w:pPr>
            <w:r>
              <w:rPr>
                <w:sz w:val="4"/>
                <w:szCs w:val="4"/>
              </w:rPr>
            </w:r>
          </w:p>
        </w:tc>
        <w:tc>
          <w:tcPr>
            <w:tcW w:w="1257"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sz w:val="4"/>
                <w:szCs w:val="4"/>
              </w:rPr>
            </w:pPr>
            <w:r>
              <w:rPr>
                <w:sz w:val="4"/>
                <w:szCs w:val="4"/>
              </w:rPr>
            </w:r>
          </w:p>
        </w:tc>
        <w:tc>
          <w:tcPr>
            <w:tcW w:w="1232" w:type="dxa"/>
            <w:tcBorders/>
            <w:shd w:fill="CCE2F1" w:val="clear"/>
            <w:vAlign w:val="center"/>
          </w:tcPr>
          <w:p>
            <w:pPr>
              <w:pStyle w:val="TableContents"/>
              <w:bidi w:val="0"/>
              <w:spacing w:before="0" w:after="283"/>
              <w:jc w:val="left"/>
              <w:rPr>
                <w:sz w:val="4"/>
                <w:szCs w:val="4"/>
              </w:rPr>
            </w:pPr>
            <w:r>
              <w:rPr>
                <w:sz w:val="4"/>
                <w:szCs w:val="4"/>
              </w:rPr>
            </w:r>
          </w:p>
        </w:tc>
        <w:tc>
          <w:tcPr>
            <w:tcW w:w="21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70" w:type="dxa"/>
            <w:tcBorders/>
            <w:shd w:fill="CCE2F1" w:val="clear"/>
            <w:vAlign w:val="center"/>
          </w:tcPr>
          <w:p>
            <w:pPr>
              <w:pStyle w:val="TableContents"/>
              <w:bidi w:val="0"/>
              <w:spacing w:before="0" w:after="283"/>
              <w:jc w:val="left"/>
              <w:rPr>
                <w:sz w:val="4"/>
                <w:szCs w:val="4"/>
              </w:rPr>
            </w:pPr>
            <w:r>
              <w:rPr>
                <w:sz w:val="4"/>
                <w:szCs w:val="4"/>
              </w:rPr>
            </w:r>
          </w:p>
        </w:tc>
        <w:tc>
          <w:tcPr>
            <w:tcW w:w="1300" w:type="dxa"/>
            <w:tcBorders/>
            <w:shd w:fill="CCE2F1" w:val="clear"/>
            <w:vAlign w:val="center"/>
          </w:tcPr>
          <w:p>
            <w:pPr>
              <w:pStyle w:val="TableContents"/>
              <w:bidi w:val="0"/>
              <w:spacing w:before="0" w:after="283"/>
              <w:jc w:val="left"/>
              <w:rPr>
                <w:sz w:val="4"/>
                <w:szCs w:val="4"/>
              </w:rPr>
            </w:pPr>
            <w:r>
              <w:rPr>
                <w:sz w:val="4"/>
                <w:szCs w:val="4"/>
              </w:rPr>
            </w:r>
          </w:p>
        </w:tc>
        <w:tc>
          <w:tcPr>
            <w:tcW w:w="75" w:type="dxa"/>
            <w:tcBorders/>
            <w:shd w:fill="CCE2F1" w:val="clear"/>
            <w:vAlign w:val="center"/>
          </w:tcPr>
          <w:p>
            <w:pPr>
              <w:pStyle w:val="TableContents"/>
              <w:bidi w:val="0"/>
              <w:spacing w:before="0" w:after="283"/>
              <w:jc w:val="left"/>
              <w:rPr>
                <w:sz w:val="4"/>
                <w:szCs w:val="4"/>
              </w:rPr>
            </w:pPr>
            <w:r>
              <w:rPr>
                <w:sz w:val="4"/>
                <w:szCs w:val="4"/>
              </w:rPr>
            </w:r>
          </w:p>
        </w:tc>
      </w:tr>
      <w:tr>
        <w:trPr/>
        <w:tc>
          <w:tcPr>
            <w:tcW w:w="68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90" w:type="dxa"/>
            <w:tcBorders/>
            <w:shd w:fill="CCE2F1" w:val="clear"/>
            <w:vAlign w:val="center"/>
          </w:tcPr>
          <w:p>
            <w:pPr>
              <w:pStyle w:val="TableContents"/>
              <w:bidi w:val="0"/>
              <w:spacing w:before="0" w:after="283"/>
              <w:jc w:val="left"/>
              <w:rPr/>
            </w:pPr>
            <w:r>
              <w:rPr/>
              <w:t> </w:t>
            </w:r>
          </w:p>
        </w:tc>
        <w:tc>
          <w:tcPr>
            <w:tcW w:w="1205" w:type="dxa"/>
            <w:tcBorders/>
            <w:shd w:fill="CCE2F1" w:val="clear"/>
            <w:vAlign w:val="center"/>
          </w:tcPr>
          <w:p>
            <w:pPr>
              <w:pStyle w:val="TableContents"/>
              <w:bidi w:val="0"/>
              <w:spacing w:before="0" w:after="283"/>
              <w:jc w:val="right"/>
              <w:rPr/>
            </w:pPr>
            <w:r>
              <w:rPr/>
              <w:t>7,807</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pPr>
            <w:r>
              <w:rPr/>
              <w:t> </w:t>
            </w:r>
          </w:p>
        </w:tc>
        <w:tc>
          <w:tcPr>
            <w:tcW w:w="1442"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9" w:type="dxa"/>
            <w:tcBorders/>
            <w:shd w:fill="CCE2F1" w:val="clear"/>
            <w:vAlign w:val="center"/>
          </w:tcPr>
          <w:p>
            <w:pPr>
              <w:pStyle w:val="TableContents"/>
              <w:bidi w:val="0"/>
              <w:spacing w:before="0" w:after="283"/>
              <w:jc w:val="left"/>
              <w:rPr/>
            </w:pPr>
            <w:r>
              <w:rPr/>
              <w:t> </w:t>
            </w:r>
          </w:p>
        </w:tc>
        <w:tc>
          <w:tcPr>
            <w:tcW w:w="901" w:type="dxa"/>
            <w:tcBorders/>
            <w:shd w:fill="CCE2F1" w:val="clear"/>
            <w:vAlign w:val="center"/>
          </w:tcPr>
          <w:p>
            <w:pPr>
              <w:pStyle w:val="TableContents"/>
              <w:bidi w:val="0"/>
              <w:spacing w:before="0" w:after="283"/>
              <w:jc w:val="right"/>
              <w:rPr/>
            </w:pPr>
            <w:r>
              <w:rPr/>
              <w:t>177.46</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55" w:type="dxa"/>
            <w:tcBorders/>
            <w:shd w:fill="CCE2F1" w:val="clear"/>
            <w:vAlign w:val="center"/>
          </w:tcPr>
          <w:p>
            <w:pPr>
              <w:pStyle w:val="TableContents"/>
              <w:bidi w:val="0"/>
              <w:spacing w:before="0" w:after="283"/>
              <w:jc w:val="right"/>
              <w:rPr/>
            </w:pPr>
            <w:r>
              <w:rPr/>
              <w:t>4/27/2028</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8" w:type="dxa"/>
            <w:tcBorders/>
            <w:shd w:fill="CCE2F1" w:val="clear"/>
            <w:vAlign w:val="center"/>
          </w:tcPr>
          <w:p>
            <w:pPr>
              <w:pStyle w:val="TableContents"/>
              <w:bidi w:val="0"/>
              <w:spacing w:before="0" w:after="283"/>
              <w:jc w:val="left"/>
              <w:rPr>
                <w:sz w:val="4"/>
                <w:szCs w:val="4"/>
              </w:rPr>
            </w:pPr>
            <w:r>
              <w:rPr>
                <w:sz w:val="4"/>
                <w:szCs w:val="4"/>
              </w:rPr>
            </w:r>
          </w:p>
        </w:tc>
        <w:tc>
          <w:tcPr>
            <w:tcW w:w="887"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8" w:type="dxa"/>
            <w:tcBorders/>
            <w:shd w:fill="CCE2F1" w:val="clear"/>
            <w:vAlign w:val="center"/>
          </w:tcPr>
          <w:p>
            <w:pPr>
              <w:pStyle w:val="TableContents"/>
              <w:bidi w:val="0"/>
              <w:spacing w:before="0" w:after="283"/>
              <w:jc w:val="left"/>
              <w:rPr>
                <w:sz w:val="4"/>
                <w:szCs w:val="4"/>
              </w:rPr>
            </w:pPr>
            <w:r>
              <w:rPr>
                <w:sz w:val="4"/>
                <w:szCs w:val="4"/>
              </w:rPr>
            </w:r>
          </w:p>
        </w:tc>
        <w:tc>
          <w:tcPr>
            <w:tcW w:w="1257"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sz w:val="4"/>
                <w:szCs w:val="4"/>
              </w:rPr>
            </w:pPr>
            <w:r>
              <w:rPr>
                <w:sz w:val="4"/>
                <w:szCs w:val="4"/>
              </w:rPr>
            </w:r>
          </w:p>
        </w:tc>
        <w:tc>
          <w:tcPr>
            <w:tcW w:w="1232" w:type="dxa"/>
            <w:tcBorders/>
            <w:shd w:fill="CCE2F1" w:val="clear"/>
            <w:vAlign w:val="center"/>
          </w:tcPr>
          <w:p>
            <w:pPr>
              <w:pStyle w:val="TableContents"/>
              <w:bidi w:val="0"/>
              <w:spacing w:before="0" w:after="283"/>
              <w:jc w:val="left"/>
              <w:rPr>
                <w:sz w:val="4"/>
                <w:szCs w:val="4"/>
              </w:rPr>
            </w:pPr>
            <w:r>
              <w:rPr>
                <w:sz w:val="4"/>
                <w:szCs w:val="4"/>
              </w:rPr>
            </w:r>
          </w:p>
        </w:tc>
        <w:tc>
          <w:tcPr>
            <w:tcW w:w="21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70" w:type="dxa"/>
            <w:tcBorders/>
            <w:shd w:fill="CCE2F1" w:val="clear"/>
            <w:vAlign w:val="center"/>
          </w:tcPr>
          <w:p>
            <w:pPr>
              <w:pStyle w:val="TableContents"/>
              <w:bidi w:val="0"/>
              <w:spacing w:before="0" w:after="283"/>
              <w:jc w:val="left"/>
              <w:rPr>
                <w:sz w:val="4"/>
                <w:szCs w:val="4"/>
              </w:rPr>
            </w:pPr>
            <w:r>
              <w:rPr>
                <w:sz w:val="4"/>
                <w:szCs w:val="4"/>
              </w:rPr>
            </w:r>
          </w:p>
        </w:tc>
        <w:tc>
          <w:tcPr>
            <w:tcW w:w="1300" w:type="dxa"/>
            <w:tcBorders/>
            <w:shd w:fill="CCE2F1" w:val="clear"/>
            <w:vAlign w:val="center"/>
          </w:tcPr>
          <w:p>
            <w:pPr>
              <w:pStyle w:val="TableContents"/>
              <w:bidi w:val="0"/>
              <w:spacing w:before="0" w:after="283"/>
              <w:jc w:val="left"/>
              <w:rPr>
                <w:sz w:val="4"/>
                <w:szCs w:val="4"/>
              </w:rPr>
            </w:pPr>
            <w:r>
              <w:rPr>
                <w:sz w:val="4"/>
                <w:szCs w:val="4"/>
              </w:rPr>
            </w:r>
          </w:p>
        </w:tc>
        <w:tc>
          <w:tcPr>
            <w:tcW w:w="75" w:type="dxa"/>
            <w:tcBorders/>
            <w:shd w:fill="CCE2F1" w:val="clear"/>
            <w:vAlign w:val="center"/>
          </w:tcPr>
          <w:p>
            <w:pPr>
              <w:pStyle w:val="TableContents"/>
              <w:bidi w:val="0"/>
              <w:spacing w:before="0" w:after="283"/>
              <w:jc w:val="left"/>
              <w:rPr>
                <w:sz w:val="4"/>
                <w:szCs w:val="4"/>
              </w:rPr>
            </w:pPr>
            <w:r>
              <w:rPr>
                <w:sz w:val="4"/>
                <w:szCs w:val="4"/>
              </w:rPr>
            </w:r>
          </w:p>
        </w:tc>
      </w:tr>
      <w:tr>
        <w:trPr/>
        <w:tc>
          <w:tcPr>
            <w:tcW w:w="68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90" w:type="dxa"/>
            <w:tcBorders/>
            <w:shd w:fill="CCE2F1" w:val="clear"/>
            <w:vAlign w:val="center"/>
          </w:tcPr>
          <w:p>
            <w:pPr>
              <w:pStyle w:val="TableContents"/>
              <w:bidi w:val="0"/>
              <w:spacing w:before="0" w:after="283"/>
              <w:jc w:val="left"/>
              <w:rPr/>
            </w:pPr>
            <w:r>
              <w:rPr/>
              <w:t> </w:t>
            </w:r>
          </w:p>
        </w:tc>
        <w:tc>
          <w:tcPr>
            <w:tcW w:w="1205" w:type="dxa"/>
            <w:tcBorders/>
            <w:shd w:fill="CCE2F1" w:val="clear"/>
            <w:vAlign w:val="center"/>
          </w:tcPr>
          <w:p>
            <w:pPr>
              <w:pStyle w:val="TableContents"/>
              <w:bidi w:val="0"/>
              <w:spacing w:before="0" w:after="283"/>
              <w:jc w:val="right"/>
              <w:rPr/>
            </w:pPr>
            <w:r>
              <w:rPr/>
              <w:t>8,714</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pPr>
            <w:r>
              <w:rPr/>
              <w:t> </w:t>
            </w:r>
          </w:p>
        </w:tc>
        <w:tc>
          <w:tcPr>
            <w:tcW w:w="1442"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9" w:type="dxa"/>
            <w:tcBorders/>
            <w:shd w:fill="CCE2F1" w:val="clear"/>
            <w:vAlign w:val="center"/>
          </w:tcPr>
          <w:p>
            <w:pPr>
              <w:pStyle w:val="TableContents"/>
              <w:bidi w:val="0"/>
              <w:spacing w:before="0" w:after="283"/>
              <w:jc w:val="left"/>
              <w:rPr/>
            </w:pPr>
            <w:r>
              <w:rPr/>
              <w:t> </w:t>
            </w:r>
          </w:p>
        </w:tc>
        <w:tc>
          <w:tcPr>
            <w:tcW w:w="901" w:type="dxa"/>
            <w:tcBorders/>
            <w:shd w:fill="CCE2F1" w:val="clear"/>
            <w:vAlign w:val="center"/>
          </w:tcPr>
          <w:p>
            <w:pPr>
              <w:pStyle w:val="TableContents"/>
              <w:bidi w:val="0"/>
              <w:spacing w:before="0" w:after="283"/>
              <w:jc w:val="right"/>
              <w:rPr/>
            </w:pPr>
            <w:r>
              <w:rPr/>
              <w:t>162.60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55" w:type="dxa"/>
            <w:tcBorders/>
            <w:shd w:fill="CCE2F1" w:val="clear"/>
            <w:vAlign w:val="center"/>
          </w:tcPr>
          <w:p>
            <w:pPr>
              <w:pStyle w:val="TableContents"/>
              <w:bidi w:val="0"/>
              <w:spacing w:before="0" w:after="283"/>
              <w:jc w:val="right"/>
              <w:rPr/>
            </w:pPr>
            <w:r>
              <w:rPr/>
              <w:t>5/1/2027</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8" w:type="dxa"/>
            <w:tcBorders/>
            <w:shd w:fill="CCE2F1" w:val="clear"/>
            <w:vAlign w:val="center"/>
          </w:tcPr>
          <w:p>
            <w:pPr>
              <w:pStyle w:val="TableContents"/>
              <w:bidi w:val="0"/>
              <w:spacing w:before="0" w:after="283"/>
              <w:jc w:val="left"/>
              <w:rPr>
                <w:sz w:val="4"/>
                <w:szCs w:val="4"/>
              </w:rPr>
            </w:pPr>
            <w:r>
              <w:rPr>
                <w:sz w:val="4"/>
                <w:szCs w:val="4"/>
              </w:rPr>
            </w:r>
          </w:p>
        </w:tc>
        <w:tc>
          <w:tcPr>
            <w:tcW w:w="887"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8" w:type="dxa"/>
            <w:tcBorders/>
            <w:shd w:fill="CCE2F1" w:val="clear"/>
            <w:vAlign w:val="center"/>
          </w:tcPr>
          <w:p>
            <w:pPr>
              <w:pStyle w:val="TableContents"/>
              <w:bidi w:val="0"/>
              <w:spacing w:before="0" w:after="283"/>
              <w:jc w:val="left"/>
              <w:rPr>
                <w:sz w:val="4"/>
                <w:szCs w:val="4"/>
              </w:rPr>
            </w:pPr>
            <w:r>
              <w:rPr>
                <w:sz w:val="4"/>
                <w:szCs w:val="4"/>
              </w:rPr>
            </w:r>
          </w:p>
        </w:tc>
        <w:tc>
          <w:tcPr>
            <w:tcW w:w="1257"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sz w:val="4"/>
                <w:szCs w:val="4"/>
              </w:rPr>
            </w:pPr>
            <w:r>
              <w:rPr>
                <w:sz w:val="4"/>
                <w:szCs w:val="4"/>
              </w:rPr>
            </w:r>
          </w:p>
        </w:tc>
        <w:tc>
          <w:tcPr>
            <w:tcW w:w="1232" w:type="dxa"/>
            <w:tcBorders/>
            <w:shd w:fill="CCE2F1" w:val="clear"/>
            <w:vAlign w:val="center"/>
          </w:tcPr>
          <w:p>
            <w:pPr>
              <w:pStyle w:val="TableContents"/>
              <w:bidi w:val="0"/>
              <w:spacing w:before="0" w:after="283"/>
              <w:jc w:val="left"/>
              <w:rPr>
                <w:sz w:val="4"/>
                <w:szCs w:val="4"/>
              </w:rPr>
            </w:pPr>
            <w:r>
              <w:rPr>
                <w:sz w:val="4"/>
                <w:szCs w:val="4"/>
              </w:rPr>
            </w:r>
          </w:p>
        </w:tc>
        <w:tc>
          <w:tcPr>
            <w:tcW w:w="21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70" w:type="dxa"/>
            <w:tcBorders/>
            <w:shd w:fill="CCE2F1" w:val="clear"/>
            <w:vAlign w:val="center"/>
          </w:tcPr>
          <w:p>
            <w:pPr>
              <w:pStyle w:val="TableContents"/>
              <w:bidi w:val="0"/>
              <w:spacing w:before="0" w:after="283"/>
              <w:jc w:val="left"/>
              <w:rPr>
                <w:sz w:val="4"/>
                <w:szCs w:val="4"/>
              </w:rPr>
            </w:pPr>
            <w:r>
              <w:rPr>
                <w:sz w:val="4"/>
                <w:szCs w:val="4"/>
              </w:rPr>
            </w:r>
          </w:p>
        </w:tc>
        <w:tc>
          <w:tcPr>
            <w:tcW w:w="1300" w:type="dxa"/>
            <w:tcBorders/>
            <w:shd w:fill="CCE2F1" w:val="clear"/>
            <w:vAlign w:val="center"/>
          </w:tcPr>
          <w:p>
            <w:pPr>
              <w:pStyle w:val="TableContents"/>
              <w:bidi w:val="0"/>
              <w:spacing w:before="0" w:after="283"/>
              <w:jc w:val="left"/>
              <w:rPr>
                <w:sz w:val="4"/>
                <w:szCs w:val="4"/>
              </w:rPr>
            </w:pPr>
            <w:r>
              <w:rPr>
                <w:sz w:val="4"/>
                <w:szCs w:val="4"/>
              </w:rPr>
            </w:r>
          </w:p>
        </w:tc>
        <w:tc>
          <w:tcPr>
            <w:tcW w:w="75" w:type="dxa"/>
            <w:tcBorders/>
            <w:shd w:fill="CCE2F1" w:val="clear"/>
            <w:vAlign w:val="center"/>
          </w:tcPr>
          <w:p>
            <w:pPr>
              <w:pStyle w:val="TableContents"/>
              <w:bidi w:val="0"/>
              <w:spacing w:before="0" w:after="283"/>
              <w:jc w:val="left"/>
              <w:rPr>
                <w:sz w:val="4"/>
                <w:szCs w:val="4"/>
              </w:rPr>
            </w:pPr>
            <w:r>
              <w:rPr>
                <w:sz w:val="4"/>
                <w:szCs w:val="4"/>
              </w:rPr>
            </w:r>
          </w:p>
        </w:tc>
      </w:tr>
      <w:tr>
        <w:trPr/>
        <w:tc>
          <w:tcPr>
            <w:tcW w:w="68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90" w:type="dxa"/>
            <w:tcBorders/>
            <w:shd w:fill="CCE2F1" w:val="clear"/>
            <w:vAlign w:val="center"/>
          </w:tcPr>
          <w:p>
            <w:pPr>
              <w:pStyle w:val="TableContents"/>
              <w:bidi w:val="0"/>
              <w:spacing w:before="0" w:after="283"/>
              <w:jc w:val="left"/>
              <w:rPr/>
            </w:pPr>
            <w:r>
              <w:rPr/>
              <w:t> </w:t>
            </w:r>
          </w:p>
        </w:tc>
        <w:tc>
          <w:tcPr>
            <w:tcW w:w="1205" w:type="dxa"/>
            <w:tcBorders/>
            <w:shd w:fill="CCE2F1" w:val="clear"/>
            <w:vAlign w:val="center"/>
          </w:tcPr>
          <w:p>
            <w:pPr>
              <w:pStyle w:val="TableContents"/>
              <w:bidi w:val="0"/>
              <w:spacing w:before="0" w:after="283"/>
              <w:jc w:val="right"/>
              <w:rPr/>
            </w:pPr>
            <w:r>
              <w:rPr/>
              <w:t>8,711</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pPr>
            <w:r>
              <w:rPr/>
              <w:t> </w:t>
            </w:r>
          </w:p>
        </w:tc>
        <w:tc>
          <w:tcPr>
            <w:tcW w:w="1442"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9" w:type="dxa"/>
            <w:tcBorders/>
            <w:shd w:fill="CCE2F1" w:val="clear"/>
            <w:vAlign w:val="center"/>
          </w:tcPr>
          <w:p>
            <w:pPr>
              <w:pStyle w:val="TableContents"/>
              <w:bidi w:val="0"/>
              <w:spacing w:before="0" w:after="283"/>
              <w:jc w:val="left"/>
              <w:rPr/>
            </w:pPr>
            <w:r>
              <w:rPr/>
              <w:t> </w:t>
            </w:r>
          </w:p>
        </w:tc>
        <w:tc>
          <w:tcPr>
            <w:tcW w:w="901" w:type="dxa"/>
            <w:tcBorders/>
            <w:shd w:fill="CCE2F1" w:val="clear"/>
            <w:vAlign w:val="center"/>
          </w:tcPr>
          <w:p>
            <w:pPr>
              <w:pStyle w:val="TableContents"/>
              <w:bidi w:val="0"/>
              <w:spacing w:before="0" w:after="283"/>
              <w:jc w:val="right"/>
              <w:rPr/>
            </w:pPr>
            <w:r>
              <w:rPr/>
              <w:t>156.35</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55" w:type="dxa"/>
            <w:tcBorders/>
            <w:shd w:fill="CCE2F1" w:val="clear"/>
            <w:vAlign w:val="center"/>
          </w:tcPr>
          <w:p>
            <w:pPr>
              <w:pStyle w:val="TableContents"/>
              <w:bidi w:val="0"/>
              <w:spacing w:before="0" w:after="283"/>
              <w:jc w:val="right"/>
              <w:rPr/>
            </w:pPr>
            <w:r>
              <w:rPr/>
              <w:t>5/3/2026</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8" w:type="dxa"/>
            <w:tcBorders/>
            <w:shd w:fill="CCE2F1" w:val="clear"/>
            <w:vAlign w:val="center"/>
          </w:tcPr>
          <w:p>
            <w:pPr>
              <w:pStyle w:val="TableContents"/>
              <w:bidi w:val="0"/>
              <w:spacing w:before="0" w:after="283"/>
              <w:jc w:val="left"/>
              <w:rPr>
                <w:sz w:val="4"/>
                <w:szCs w:val="4"/>
              </w:rPr>
            </w:pPr>
            <w:r>
              <w:rPr>
                <w:sz w:val="4"/>
                <w:szCs w:val="4"/>
              </w:rPr>
            </w:r>
          </w:p>
        </w:tc>
        <w:tc>
          <w:tcPr>
            <w:tcW w:w="887"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8" w:type="dxa"/>
            <w:tcBorders/>
            <w:shd w:fill="CCE2F1" w:val="clear"/>
            <w:vAlign w:val="center"/>
          </w:tcPr>
          <w:p>
            <w:pPr>
              <w:pStyle w:val="TableContents"/>
              <w:bidi w:val="0"/>
              <w:spacing w:before="0" w:after="283"/>
              <w:jc w:val="left"/>
              <w:rPr>
                <w:sz w:val="4"/>
                <w:szCs w:val="4"/>
              </w:rPr>
            </w:pPr>
            <w:r>
              <w:rPr>
                <w:sz w:val="4"/>
                <w:szCs w:val="4"/>
              </w:rPr>
            </w:r>
          </w:p>
        </w:tc>
        <w:tc>
          <w:tcPr>
            <w:tcW w:w="1257"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sz w:val="4"/>
                <w:szCs w:val="4"/>
              </w:rPr>
            </w:pPr>
            <w:r>
              <w:rPr>
                <w:sz w:val="4"/>
                <w:szCs w:val="4"/>
              </w:rPr>
            </w:r>
          </w:p>
        </w:tc>
        <w:tc>
          <w:tcPr>
            <w:tcW w:w="1232" w:type="dxa"/>
            <w:tcBorders/>
            <w:shd w:fill="CCE2F1" w:val="clear"/>
            <w:vAlign w:val="center"/>
          </w:tcPr>
          <w:p>
            <w:pPr>
              <w:pStyle w:val="TableContents"/>
              <w:bidi w:val="0"/>
              <w:spacing w:before="0" w:after="283"/>
              <w:jc w:val="left"/>
              <w:rPr>
                <w:sz w:val="4"/>
                <w:szCs w:val="4"/>
              </w:rPr>
            </w:pPr>
            <w:r>
              <w:rPr>
                <w:sz w:val="4"/>
                <w:szCs w:val="4"/>
              </w:rPr>
            </w:r>
          </w:p>
        </w:tc>
        <w:tc>
          <w:tcPr>
            <w:tcW w:w="21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70" w:type="dxa"/>
            <w:tcBorders/>
            <w:shd w:fill="CCE2F1" w:val="clear"/>
            <w:vAlign w:val="center"/>
          </w:tcPr>
          <w:p>
            <w:pPr>
              <w:pStyle w:val="TableContents"/>
              <w:bidi w:val="0"/>
              <w:spacing w:before="0" w:after="283"/>
              <w:jc w:val="left"/>
              <w:rPr>
                <w:sz w:val="4"/>
                <w:szCs w:val="4"/>
              </w:rPr>
            </w:pPr>
            <w:r>
              <w:rPr>
                <w:sz w:val="4"/>
                <w:szCs w:val="4"/>
              </w:rPr>
            </w:r>
          </w:p>
        </w:tc>
        <w:tc>
          <w:tcPr>
            <w:tcW w:w="1300" w:type="dxa"/>
            <w:tcBorders/>
            <w:shd w:fill="CCE2F1" w:val="clear"/>
            <w:vAlign w:val="center"/>
          </w:tcPr>
          <w:p>
            <w:pPr>
              <w:pStyle w:val="TableContents"/>
              <w:bidi w:val="0"/>
              <w:spacing w:before="0" w:after="283"/>
              <w:jc w:val="left"/>
              <w:rPr>
                <w:sz w:val="4"/>
                <w:szCs w:val="4"/>
              </w:rPr>
            </w:pPr>
            <w:r>
              <w:rPr>
                <w:sz w:val="4"/>
                <w:szCs w:val="4"/>
              </w:rPr>
            </w:r>
          </w:p>
        </w:tc>
        <w:tc>
          <w:tcPr>
            <w:tcW w:w="75" w:type="dxa"/>
            <w:tcBorders/>
            <w:shd w:fill="CCE2F1" w:val="clear"/>
            <w:vAlign w:val="center"/>
          </w:tcPr>
          <w:p>
            <w:pPr>
              <w:pStyle w:val="TableContents"/>
              <w:bidi w:val="0"/>
              <w:spacing w:before="0" w:after="283"/>
              <w:jc w:val="left"/>
              <w:rPr>
                <w:sz w:val="4"/>
                <w:szCs w:val="4"/>
              </w:rPr>
            </w:pPr>
            <w:r>
              <w:rPr>
                <w:sz w:val="4"/>
                <w:szCs w:val="4"/>
              </w:rPr>
            </w:r>
          </w:p>
        </w:tc>
      </w:tr>
      <w:tr>
        <w:trPr/>
        <w:tc>
          <w:tcPr>
            <w:tcW w:w="680" w:type="dxa"/>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085" w:type="dxa"/>
            <w:gridSpan w:val="4"/>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c>
          <w:tcPr>
            <w:tcW w:w="1615" w:type="dxa"/>
            <w:gridSpan w:val="4"/>
            <w:tcBorders/>
            <w:vAlign w:val="center"/>
          </w:tcPr>
          <w:p>
            <w:pPr>
              <w:pStyle w:val="TableContents"/>
              <w:bidi w:val="0"/>
              <w:spacing w:before="0" w:after="283"/>
              <w:jc w:val="left"/>
              <w:rPr>
                <w:sz w:val="4"/>
                <w:szCs w:val="4"/>
              </w:rPr>
            </w:pPr>
            <w:r>
              <w:rPr>
                <w:sz w:val="4"/>
                <w:szCs w:val="4"/>
              </w:rPr>
            </w:r>
          </w:p>
        </w:tc>
        <w:tc>
          <w:tcPr>
            <w:tcW w:w="1505" w:type="dxa"/>
            <w:gridSpan w:val="4"/>
            <w:tcBorders/>
            <w:vAlign w:val="center"/>
          </w:tcPr>
          <w:p>
            <w:pPr>
              <w:pStyle w:val="TableContents"/>
              <w:bidi w:val="0"/>
              <w:spacing w:before="0" w:after="283"/>
              <w:jc w:val="left"/>
              <w:rPr>
                <w:sz w:val="4"/>
                <w:szCs w:val="4"/>
              </w:rPr>
            </w:pPr>
            <w:r>
              <w:rPr>
                <w:sz w:val="4"/>
                <w:szCs w:val="4"/>
              </w:rPr>
            </w:r>
          </w:p>
        </w:tc>
      </w:tr>
      <w:tr>
        <w:trPr/>
        <w:tc>
          <w:tcPr>
            <w:tcW w:w="680" w:type="dxa"/>
            <w:tcBorders/>
            <w:vAlign w:val="center"/>
          </w:tcPr>
          <w:p>
            <w:pPr>
              <w:pStyle w:val="TableContents"/>
              <w:bidi w:val="0"/>
              <w:spacing w:before="0" w:after="0"/>
              <w:jc w:val="left"/>
              <w:rPr/>
            </w:pPr>
            <w:r>
              <w:rPr/>
              <w:t> </w:t>
            </w:r>
            <w:r>
              <w:rPr>
                <w:rFonts w:ascii="arial" w:hAnsi="arial"/>
                <w:sz w:val="16"/>
              </w:rPr>
              <w:t>Peter H. Griffith</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32,250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235.97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5/2/2033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11,780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right"/>
              <w:rPr/>
            </w:pPr>
            <w:r>
              <w:rPr/>
              <w:t>3,392,876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18,287</w:t>
            </w:r>
          </w:p>
        </w:tc>
        <w:tc>
          <w:tcPr>
            <w:tcW w:w="215"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right"/>
              <w:rPr/>
            </w:pPr>
            <w:r>
              <w:rPr/>
              <w:t>5,267,022</w:t>
            </w:r>
          </w:p>
        </w:tc>
        <w:tc>
          <w:tcPr>
            <w:tcW w:w="75"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085" w:type="dxa"/>
            <w:gridSpan w:val="4"/>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c>
          <w:tcPr>
            <w:tcW w:w="1615" w:type="dxa"/>
            <w:gridSpan w:val="4"/>
            <w:tcBorders/>
            <w:vAlign w:val="center"/>
          </w:tcPr>
          <w:p>
            <w:pPr>
              <w:pStyle w:val="TableContents"/>
              <w:bidi w:val="0"/>
              <w:spacing w:before="0" w:after="283"/>
              <w:jc w:val="left"/>
              <w:rPr>
                <w:sz w:val="4"/>
                <w:szCs w:val="4"/>
              </w:rPr>
            </w:pPr>
            <w:r>
              <w:rPr>
                <w:sz w:val="4"/>
                <w:szCs w:val="4"/>
              </w:rPr>
            </w:r>
          </w:p>
        </w:tc>
        <w:tc>
          <w:tcPr>
            <w:tcW w:w="1505" w:type="dxa"/>
            <w:gridSpan w:val="4"/>
            <w:tcBorders/>
            <w:vAlign w:val="center"/>
          </w:tcPr>
          <w:p>
            <w:pPr>
              <w:pStyle w:val="TableContents"/>
              <w:bidi w:val="0"/>
              <w:spacing w:before="0" w:after="283"/>
              <w:jc w:val="left"/>
              <w:rPr>
                <w:sz w:val="4"/>
                <w:szCs w:val="4"/>
              </w:rPr>
            </w:pPr>
            <w:r>
              <w:rPr>
                <w:sz w:val="4"/>
                <w:szCs w:val="4"/>
              </w:rPr>
            </w:r>
          </w:p>
        </w:tc>
      </w:tr>
      <w:tr>
        <w:trPr/>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31,817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230.92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5/2/2032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9,629</w:t>
            </w:r>
          </w:p>
        </w:tc>
        <w:tc>
          <w:tcPr>
            <w:tcW w:w="215"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right"/>
              <w:rPr/>
            </w:pPr>
            <w:r>
              <w:rPr/>
              <w:t>2,773,345</w:t>
            </w:r>
          </w:p>
        </w:tc>
        <w:tc>
          <w:tcPr>
            <w:tcW w:w="75"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085" w:type="dxa"/>
            <w:gridSpan w:val="4"/>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c>
          <w:tcPr>
            <w:tcW w:w="1615" w:type="dxa"/>
            <w:gridSpan w:val="4"/>
            <w:tcBorders/>
            <w:vAlign w:val="center"/>
          </w:tcPr>
          <w:p>
            <w:pPr>
              <w:pStyle w:val="TableContents"/>
              <w:bidi w:val="0"/>
              <w:spacing w:before="0" w:after="283"/>
              <w:jc w:val="left"/>
              <w:rPr>
                <w:sz w:val="4"/>
                <w:szCs w:val="4"/>
              </w:rPr>
            </w:pPr>
            <w:r>
              <w:rPr>
                <w:sz w:val="4"/>
                <w:szCs w:val="4"/>
              </w:rPr>
            </w:r>
          </w:p>
        </w:tc>
        <w:tc>
          <w:tcPr>
            <w:tcW w:w="1505" w:type="dxa"/>
            <w:gridSpan w:val="4"/>
            <w:tcBorders/>
            <w:vAlign w:val="center"/>
          </w:tcPr>
          <w:p>
            <w:pPr>
              <w:pStyle w:val="TableContents"/>
              <w:bidi w:val="0"/>
              <w:spacing w:before="0" w:after="283"/>
              <w:jc w:val="left"/>
              <w:rPr>
                <w:sz w:val="4"/>
                <w:szCs w:val="4"/>
              </w:rPr>
            </w:pPr>
            <w:r>
              <w:rPr>
                <w:sz w:val="4"/>
                <w:szCs w:val="4"/>
              </w:rPr>
            </w:r>
          </w:p>
        </w:tc>
      </w:tr>
      <w:tr>
        <w:trPr/>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9,565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19,420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239.64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4/30/2031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10,338</w:t>
            </w:r>
          </w:p>
        </w:tc>
        <w:tc>
          <w:tcPr>
            <w:tcW w:w="215"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right"/>
              <w:rPr/>
            </w:pPr>
            <w:r>
              <w:rPr/>
              <w:t>2,977,551</w:t>
            </w:r>
          </w:p>
        </w:tc>
        <w:tc>
          <w:tcPr>
            <w:tcW w:w="75" w:type="dxa"/>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085" w:type="dxa"/>
            <w:gridSpan w:val="4"/>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c>
          <w:tcPr>
            <w:tcW w:w="1615" w:type="dxa"/>
            <w:gridSpan w:val="4"/>
            <w:tcBorders/>
            <w:vAlign w:val="center"/>
          </w:tcPr>
          <w:p>
            <w:pPr>
              <w:pStyle w:val="TableContents"/>
              <w:bidi w:val="0"/>
              <w:spacing w:before="0" w:after="283"/>
              <w:jc w:val="left"/>
              <w:rPr>
                <w:sz w:val="4"/>
                <w:szCs w:val="4"/>
              </w:rPr>
            </w:pPr>
            <w:r>
              <w:rPr>
                <w:sz w:val="4"/>
                <w:szCs w:val="4"/>
              </w:rPr>
            </w:r>
          </w:p>
        </w:tc>
        <w:tc>
          <w:tcPr>
            <w:tcW w:w="1505" w:type="dxa"/>
            <w:gridSpan w:val="4"/>
            <w:tcBorders/>
            <w:vAlign w:val="center"/>
          </w:tcPr>
          <w:p>
            <w:pPr>
              <w:pStyle w:val="TableContents"/>
              <w:bidi w:val="0"/>
              <w:spacing w:before="0" w:after="283"/>
              <w:jc w:val="left"/>
              <w:rPr>
                <w:sz w:val="4"/>
                <w:szCs w:val="4"/>
              </w:rPr>
            </w:pPr>
            <w:r>
              <w:rPr>
                <w:sz w:val="4"/>
                <w:szCs w:val="4"/>
              </w:rPr>
            </w:r>
          </w:p>
        </w:tc>
      </w:tr>
      <w:tr>
        <w:trPr/>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18,705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9,636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236.36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5/5/2030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80" w:type="dxa"/>
            <w:tcBorders/>
            <w:shd w:fill="CCE2F1" w:val="clear"/>
            <w:vAlign w:val="center"/>
          </w:tcPr>
          <w:p>
            <w:pPr>
              <w:pStyle w:val="TableContents"/>
              <w:bidi w:val="0"/>
              <w:spacing w:before="0" w:after="283"/>
              <w:jc w:val="left"/>
              <w:rPr>
                <w:sz w:val="4"/>
                <w:szCs w:val="4"/>
              </w:rPr>
            </w:pPr>
            <w:r>
              <w:rPr>
                <w:sz w:val="4"/>
                <w:szCs w:val="4"/>
              </w:rPr>
            </w:r>
          </w:p>
        </w:tc>
        <w:tc>
          <w:tcPr>
            <w:tcW w:w="1415" w:type="dxa"/>
            <w:gridSpan w:val="4"/>
            <w:tcBorders/>
            <w:shd w:fill="CCE2F1" w:val="clear"/>
            <w:vAlign w:val="center"/>
          </w:tcPr>
          <w:p>
            <w:pPr>
              <w:pStyle w:val="TableContents"/>
              <w:bidi w:val="0"/>
              <w:spacing w:before="0" w:after="283"/>
              <w:jc w:val="left"/>
              <w:rPr>
                <w:sz w:val="4"/>
                <w:szCs w:val="4"/>
              </w:rPr>
            </w:pPr>
            <w:r>
              <w:rPr>
                <w:sz w:val="4"/>
                <w:szCs w:val="4"/>
              </w:rPr>
            </w:r>
          </w:p>
        </w:tc>
        <w:tc>
          <w:tcPr>
            <w:tcW w:w="1670" w:type="dxa"/>
            <w:gridSpan w:val="4"/>
            <w:tcBorders/>
            <w:shd w:fill="CCE2F1" w:val="clear"/>
            <w:vAlign w:val="center"/>
          </w:tcPr>
          <w:p>
            <w:pPr>
              <w:pStyle w:val="TableContents"/>
              <w:bidi w:val="0"/>
              <w:spacing w:before="0" w:after="283"/>
              <w:jc w:val="left"/>
              <w:rPr>
                <w:sz w:val="4"/>
                <w:szCs w:val="4"/>
              </w:rPr>
            </w:pPr>
            <w:r>
              <w:rPr>
                <w:sz w:val="4"/>
                <w:szCs w:val="4"/>
              </w:rPr>
            </w:r>
          </w:p>
        </w:tc>
        <w:tc>
          <w:tcPr>
            <w:tcW w:w="1100" w:type="dxa"/>
            <w:gridSpan w:val="4"/>
            <w:tcBorders/>
            <w:shd w:fill="CCE2F1" w:val="clear"/>
            <w:vAlign w:val="center"/>
          </w:tcPr>
          <w:p>
            <w:pPr>
              <w:pStyle w:val="TableContents"/>
              <w:bidi w:val="0"/>
              <w:spacing w:before="0" w:after="283"/>
              <w:jc w:val="left"/>
              <w:rPr>
                <w:sz w:val="4"/>
                <w:szCs w:val="4"/>
              </w:rPr>
            </w:pPr>
            <w:r>
              <w:rPr>
                <w:sz w:val="4"/>
                <w:szCs w:val="4"/>
              </w:rPr>
            </w:r>
          </w:p>
        </w:tc>
        <w:tc>
          <w:tcPr>
            <w:tcW w:w="1235" w:type="dxa"/>
            <w:gridSpan w:val="4"/>
            <w:tcBorders/>
            <w:shd w:fill="CCE2F1" w:val="clear"/>
            <w:vAlign w:val="center"/>
          </w:tcPr>
          <w:p>
            <w:pPr>
              <w:pStyle w:val="TableContents"/>
              <w:bidi w:val="0"/>
              <w:spacing w:before="0" w:after="283"/>
              <w:jc w:val="left"/>
              <w:rPr>
                <w:sz w:val="4"/>
                <w:szCs w:val="4"/>
              </w:rPr>
            </w:pPr>
            <w:r>
              <w:rPr>
                <w:sz w:val="4"/>
                <w:szCs w:val="4"/>
              </w:rPr>
            </w:r>
          </w:p>
        </w:tc>
        <w:tc>
          <w:tcPr>
            <w:tcW w:w="1085" w:type="dxa"/>
            <w:gridSpan w:val="4"/>
            <w:tcBorders/>
            <w:shd w:fill="CCE2F1" w:val="clear"/>
            <w:vAlign w:val="center"/>
          </w:tcPr>
          <w:p>
            <w:pPr>
              <w:pStyle w:val="TableContents"/>
              <w:bidi w:val="0"/>
              <w:spacing w:before="0" w:after="283"/>
              <w:jc w:val="left"/>
              <w:rPr>
                <w:sz w:val="4"/>
                <w:szCs w:val="4"/>
              </w:rPr>
            </w:pPr>
            <w:r>
              <w:rPr>
                <w:sz w:val="4"/>
                <w:szCs w:val="4"/>
              </w:rPr>
            </w:r>
          </w:p>
        </w:tc>
        <w:tc>
          <w:tcPr>
            <w:tcW w:w="1445" w:type="dxa"/>
            <w:gridSpan w:val="4"/>
            <w:tcBorders/>
            <w:shd w:fill="CCE2F1" w:val="clear"/>
            <w:vAlign w:val="center"/>
          </w:tcPr>
          <w:p>
            <w:pPr>
              <w:pStyle w:val="TableContents"/>
              <w:bidi w:val="0"/>
              <w:spacing w:before="0" w:after="283"/>
              <w:jc w:val="left"/>
              <w:rPr>
                <w:sz w:val="4"/>
                <w:szCs w:val="4"/>
              </w:rPr>
            </w:pPr>
            <w:r>
              <w:rPr>
                <w:sz w:val="4"/>
                <w:szCs w:val="4"/>
              </w:rPr>
            </w:r>
          </w:p>
        </w:tc>
        <w:tc>
          <w:tcPr>
            <w:tcW w:w="1615" w:type="dxa"/>
            <w:gridSpan w:val="4"/>
            <w:tcBorders/>
            <w:shd w:fill="CCE2F1" w:val="clear"/>
            <w:vAlign w:val="center"/>
          </w:tcPr>
          <w:p>
            <w:pPr>
              <w:pStyle w:val="TableContents"/>
              <w:bidi w:val="0"/>
              <w:spacing w:before="0" w:after="283"/>
              <w:jc w:val="left"/>
              <w:rPr>
                <w:sz w:val="4"/>
                <w:szCs w:val="4"/>
              </w:rPr>
            </w:pPr>
            <w:r>
              <w:rPr>
                <w:sz w:val="4"/>
                <w:szCs w:val="4"/>
              </w:rPr>
            </w:r>
          </w:p>
        </w:tc>
        <w:tc>
          <w:tcPr>
            <w:tcW w:w="1505"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680" w:type="dxa"/>
            <w:tcBorders/>
            <w:shd w:fill="CCE2F1" w:val="clear"/>
            <w:vAlign w:val="center"/>
          </w:tcPr>
          <w:p>
            <w:pPr>
              <w:pStyle w:val="TableContents"/>
              <w:bidi w:val="0"/>
              <w:spacing w:before="0" w:after="0"/>
              <w:jc w:val="left"/>
              <w:rPr/>
            </w:pPr>
            <w:r>
              <w:rPr/>
              <w:t> </w:t>
            </w:r>
            <w:r>
              <w:rPr>
                <w:rFonts w:ascii="arial" w:hAnsi="arial"/>
                <w:sz w:val="16"/>
              </w:rPr>
              <w:t>Esteban Santos</w:t>
            </w:r>
          </w:p>
        </w:tc>
        <w:tc>
          <w:tcPr>
            <w:tcW w:w="60" w:type="dxa"/>
            <w:tcBorders/>
            <w:shd w:fill="CCE2F1" w:val="clear"/>
            <w:vAlign w:val="center"/>
          </w:tcPr>
          <w:p>
            <w:pPr>
              <w:pStyle w:val="TableContents"/>
              <w:bidi w:val="0"/>
              <w:spacing w:before="0" w:after="283"/>
              <w:jc w:val="left"/>
              <w:rPr/>
            </w:pPr>
            <w:r>
              <w:rPr/>
              <w:t> </w:t>
            </w:r>
          </w:p>
        </w:tc>
        <w:tc>
          <w:tcPr>
            <w:tcW w:w="90" w:type="dxa"/>
            <w:tcBorders/>
            <w:shd w:fill="CCE2F1" w:val="clear"/>
            <w:vAlign w:val="center"/>
          </w:tcPr>
          <w:p>
            <w:pPr>
              <w:pStyle w:val="TableContents"/>
              <w:bidi w:val="0"/>
              <w:spacing w:before="0" w:after="283"/>
              <w:jc w:val="left"/>
              <w:rPr/>
            </w:pPr>
            <w:r>
              <w:rPr/>
              <w:t> </w:t>
            </w:r>
          </w:p>
        </w:tc>
        <w:tc>
          <w:tcPr>
            <w:tcW w:w="1205"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pPr>
            <w:r>
              <w:rPr/>
              <w:t> </w:t>
            </w:r>
          </w:p>
        </w:tc>
        <w:tc>
          <w:tcPr>
            <w:tcW w:w="1442" w:type="dxa"/>
            <w:tcBorders/>
            <w:shd w:fill="CCE2F1" w:val="clear"/>
            <w:vAlign w:val="center"/>
          </w:tcPr>
          <w:p>
            <w:pPr>
              <w:pStyle w:val="TableContents"/>
              <w:bidi w:val="0"/>
              <w:spacing w:before="0" w:after="283"/>
              <w:jc w:val="right"/>
              <w:rPr/>
            </w:pPr>
            <w:r>
              <w:rPr/>
              <w:t>30,100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9" w:type="dxa"/>
            <w:tcBorders/>
            <w:shd w:fill="CCE2F1" w:val="clear"/>
            <w:vAlign w:val="center"/>
          </w:tcPr>
          <w:p>
            <w:pPr>
              <w:pStyle w:val="TableContents"/>
              <w:bidi w:val="0"/>
              <w:spacing w:before="0" w:after="283"/>
              <w:jc w:val="left"/>
              <w:rPr/>
            </w:pPr>
            <w:r>
              <w:rPr/>
              <w:t> </w:t>
            </w:r>
          </w:p>
        </w:tc>
        <w:tc>
          <w:tcPr>
            <w:tcW w:w="901" w:type="dxa"/>
            <w:tcBorders/>
            <w:shd w:fill="CCE2F1" w:val="clear"/>
            <w:vAlign w:val="center"/>
          </w:tcPr>
          <w:p>
            <w:pPr>
              <w:pStyle w:val="TableContents"/>
              <w:bidi w:val="0"/>
              <w:spacing w:before="0" w:after="283"/>
              <w:jc w:val="right"/>
              <w:rPr/>
            </w:pPr>
            <w:r>
              <w:rPr/>
              <w:t>235.97</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55" w:type="dxa"/>
            <w:tcBorders/>
            <w:shd w:fill="CCE2F1" w:val="clear"/>
            <w:vAlign w:val="center"/>
          </w:tcPr>
          <w:p>
            <w:pPr>
              <w:pStyle w:val="TableContents"/>
              <w:bidi w:val="0"/>
              <w:spacing w:before="0" w:after="283"/>
              <w:jc w:val="right"/>
              <w:rPr/>
            </w:pPr>
            <w:r>
              <w:rPr/>
              <w:t>5/2/2033</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8" w:type="dxa"/>
            <w:tcBorders/>
            <w:shd w:fill="CCE2F1" w:val="clear"/>
            <w:vAlign w:val="center"/>
          </w:tcPr>
          <w:p>
            <w:pPr>
              <w:pStyle w:val="TableContents"/>
              <w:bidi w:val="0"/>
              <w:spacing w:before="0" w:after="283"/>
              <w:jc w:val="left"/>
              <w:rPr/>
            </w:pPr>
            <w:r>
              <w:rPr/>
              <w:t> </w:t>
            </w:r>
          </w:p>
        </w:tc>
        <w:tc>
          <w:tcPr>
            <w:tcW w:w="887" w:type="dxa"/>
            <w:tcBorders/>
            <w:shd w:fill="CCE2F1" w:val="clear"/>
            <w:vAlign w:val="center"/>
          </w:tcPr>
          <w:p>
            <w:pPr>
              <w:pStyle w:val="TableContents"/>
              <w:bidi w:val="0"/>
              <w:spacing w:before="0" w:after="283"/>
              <w:jc w:val="right"/>
              <w:rPr/>
            </w:pPr>
            <w:r>
              <w:rPr/>
              <w:t>11,701</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68" w:type="dxa"/>
            <w:tcBorders/>
            <w:shd w:fill="CCE2F1" w:val="clear"/>
            <w:vAlign w:val="center"/>
          </w:tcPr>
          <w:p>
            <w:pPr>
              <w:pStyle w:val="TableContents"/>
              <w:bidi w:val="0"/>
              <w:spacing w:before="0" w:after="283"/>
              <w:jc w:val="left"/>
              <w:rPr/>
            </w:pPr>
            <w:r>
              <w:rPr/>
              <w:t> </w:t>
            </w:r>
          </w:p>
        </w:tc>
        <w:tc>
          <w:tcPr>
            <w:tcW w:w="1257" w:type="dxa"/>
            <w:tcBorders/>
            <w:shd w:fill="CCE2F1" w:val="clear"/>
            <w:vAlign w:val="center"/>
          </w:tcPr>
          <w:p>
            <w:pPr>
              <w:pStyle w:val="TableContents"/>
              <w:bidi w:val="0"/>
              <w:spacing w:before="0" w:after="283"/>
              <w:jc w:val="right"/>
              <w:rPr/>
            </w:pPr>
            <w:r>
              <w:rPr/>
              <w:t>3,370,122</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pPr>
            <w:r>
              <w:rPr/>
              <w:t> </w:t>
            </w:r>
          </w:p>
        </w:tc>
        <w:tc>
          <w:tcPr>
            <w:tcW w:w="1232" w:type="dxa"/>
            <w:tcBorders/>
            <w:shd w:fill="CCE2F1" w:val="clear"/>
            <w:vAlign w:val="center"/>
          </w:tcPr>
          <w:p>
            <w:pPr>
              <w:pStyle w:val="TableContents"/>
              <w:bidi w:val="0"/>
              <w:spacing w:before="0" w:after="283"/>
              <w:jc w:val="right"/>
              <w:rPr/>
            </w:pPr>
            <w:r>
              <w:rPr/>
              <w:t>17,068</w:t>
            </w:r>
          </w:p>
        </w:tc>
        <w:tc>
          <w:tcPr>
            <w:tcW w:w="215" w:type="dxa"/>
            <w:tcBorders/>
            <w:shd w:fill="CCE2F1" w:val="clear"/>
            <w:vAlign w:val="center"/>
          </w:tcPr>
          <w:p>
            <w:pPr>
              <w:pStyle w:val="TableContents"/>
              <w:bidi w:val="0"/>
              <w:spacing w:before="0" w:after="283"/>
              <w:jc w:val="left"/>
              <w:rPr/>
            </w:pPr>
            <w:r>
              <w:rPr/>
              <w:t>(4) </w:t>
            </w:r>
          </w:p>
        </w:tc>
        <w:tc>
          <w:tcPr>
            <w:tcW w:w="60" w:type="dxa"/>
            <w:tcBorders/>
            <w:shd w:fill="CCE2F1" w:val="clear"/>
            <w:vAlign w:val="center"/>
          </w:tcPr>
          <w:p>
            <w:pPr>
              <w:pStyle w:val="TableContents"/>
              <w:bidi w:val="0"/>
              <w:spacing w:before="0" w:after="283"/>
              <w:jc w:val="left"/>
              <w:rPr/>
            </w:pPr>
            <w:r>
              <w:rPr/>
              <w:t> </w:t>
            </w:r>
          </w:p>
        </w:tc>
        <w:tc>
          <w:tcPr>
            <w:tcW w:w="70" w:type="dxa"/>
            <w:tcBorders/>
            <w:shd w:fill="CCE2F1" w:val="clear"/>
            <w:vAlign w:val="center"/>
          </w:tcPr>
          <w:p>
            <w:pPr>
              <w:pStyle w:val="TableContents"/>
              <w:bidi w:val="0"/>
              <w:spacing w:before="0" w:after="283"/>
              <w:jc w:val="left"/>
              <w:rPr/>
            </w:pPr>
            <w:r>
              <w:rPr/>
              <w:t> </w:t>
            </w:r>
          </w:p>
        </w:tc>
        <w:tc>
          <w:tcPr>
            <w:tcW w:w="1300" w:type="dxa"/>
            <w:tcBorders/>
            <w:shd w:fill="CCE2F1" w:val="clear"/>
            <w:vAlign w:val="center"/>
          </w:tcPr>
          <w:p>
            <w:pPr>
              <w:pStyle w:val="TableContents"/>
              <w:bidi w:val="0"/>
              <w:spacing w:before="0" w:after="283"/>
              <w:jc w:val="right"/>
              <w:rPr/>
            </w:pPr>
            <w:r>
              <w:rPr/>
              <w:t>4,915,925</w:t>
            </w:r>
          </w:p>
        </w:tc>
        <w:tc>
          <w:tcPr>
            <w:tcW w:w="75" w:type="dxa"/>
            <w:tcBorders/>
            <w:shd w:fill="CCE2F1" w:val="clear"/>
            <w:vAlign w:val="center"/>
          </w:tcPr>
          <w:p>
            <w:pPr>
              <w:pStyle w:val="TableContents"/>
              <w:bidi w:val="0"/>
              <w:spacing w:before="0" w:after="283"/>
              <w:jc w:val="left"/>
              <w:rPr/>
            </w:pPr>
            <w:r>
              <w:rPr/>
              <w:t> </w:t>
            </w:r>
          </w:p>
        </w:tc>
      </w:tr>
      <w:tr>
        <w:trPr/>
        <w:tc>
          <w:tcPr>
            <w:tcW w:w="68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90" w:type="dxa"/>
            <w:tcBorders/>
            <w:shd w:fill="CCE2F1" w:val="clear"/>
            <w:vAlign w:val="center"/>
          </w:tcPr>
          <w:p>
            <w:pPr>
              <w:pStyle w:val="TableContents"/>
              <w:bidi w:val="0"/>
              <w:spacing w:before="0" w:after="283"/>
              <w:jc w:val="left"/>
              <w:rPr/>
            </w:pPr>
            <w:r>
              <w:rPr/>
              <w:t> </w:t>
            </w:r>
          </w:p>
        </w:tc>
        <w:tc>
          <w:tcPr>
            <w:tcW w:w="1205"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pPr>
            <w:r>
              <w:rPr/>
              <w:t> </w:t>
            </w:r>
          </w:p>
        </w:tc>
        <w:tc>
          <w:tcPr>
            <w:tcW w:w="1442" w:type="dxa"/>
            <w:tcBorders/>
            <w:shd w:fill="CCE2F1" w:val="clear"/>
            <w:vAlign w:val="center"/>
          </w:tcPr>
          <w:p>
            <w:pPr>
              <w:pStyle w:val="TableContents"/>
              <w:bidi w:val="0"/>
              <w:spacing w:before="0" w:after="283"/>
              <w:jc w:val="right"/>
              <w:rPr/>
            </w:pPr>
            <w:r>
              <w:rPr/>
              <w:t>29,695</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9" w:type="dxa"/>
            <w:tcBorders/>
            <w:shd w:fill="CCE2F1" w:val="clear"/>
            <w:vAlign w:val="center"/>
          </w:tcPr>
          <w:p>
            <w:pPr>
              <w:pStyle w:val="TableContents"/>
              <w:bidi w:val="0"/>
              <w:spacing w:before="0" w:after="283"/>
              <w:jc w:val="left"/>
              <w:rPr/>
            </w:pPr>
            <w:r>
              <w:rPr/>
              <w:t> </w:t>
            </w:r>
          </w:p>
        </w:tc>
        <w:tc>
          <w:tcPr>
            <w:tcW w:w="901" w:type="dxa"/>
            <w:tcBorders/>
            <w:shd w:fill="CCE2F1" w:val="clear"/>
            <w:vAlign w:val="center"/>
          </w:tcPr>
          <w:p>
            <w:pPr>
              <w:pStyle w:val="TableContents"/>
              <w:bidi w:val="0"/>
              <w:spacing w:before="0" w:after="283"/>
              <w:jc w:val="right"/>
              <w:rPr/>
            </w:pPr>
            <w:r>
              <w:rPr/>
              <w:t>230.92</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55" w:type="dxa"/>
            <w:tcBorders/>
            <w:shd w:fill="CCE2F1" w:val="clear"/>
            <w:vAlign w:val="center"/>
          </w:tcPr>
          <w:p>
            <w:pPr>
              <w:pStyle w:val="TableContents"/>
              <w:bidi w:val="0"/>
              <w:spacing w:before="0" w:after="283"/>
              <w:jc w:val="right"/>
              <w:rPr/>
            </w:pPr>
            <w:r>
              <w:rPr/>
              <w:t>5/2/2032</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8" w:type="dxa"/>
            <w:tcBorders/>
            <w:shd w:fill="CCE2F1" w:val="clear"/>
            <w:vAlign w:val="center"/>
          </w:tcPr>
          <w:p>
            <w:pPr>
              <w:pStyle w:val="TableContents"/>
              <w:bidi w:val="0"/>
              <w:spacing w:before="0" w:after="283"/>
              <w:jc w:val="left"/>
              <w:rPr>
                <w:sz w:val="4"/>
                <w:szCs w:val="4"/>
              </w:rPr>
            </w:pPr>
            <w:r>
              <w:rPr>
                <w:sz w:val="4"/>
                <w:szCs w:val="4"/>
              </w:rPr>
            </w:r>
          </w:p>
        </w:tc>
        <w:tc>
          <w:tcPr>
            <w:tcW w:w="887"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8" w:type="dxa"/>
            <w:tcBorders/>
            <w:shd w:fill="CCE2F1" w:val="clear"/>
            <w:vAlign w:val="center"/>
          </w:tcPr>
          <w:p>
            <w:pPr>
              <w:pStyle w:val="TableContents"/>
              <w:bidi w:val="0"/>
              <w:spacing w:before="0" w:after="283"/>
              <w:jc w:val="left"/>
              <w:rPr>
                <w:sz w:val="4"/>
                <w:szCs w:val="4"/>
              </w:rPr>
            </w:pPr>
            <w:r>
              <w:rPr>
                <w:sz w:val="4"/>
                <w:szCs w:val="4"/>
              </w:rPr>
            </w:r>
          </w:p>
        </w:tc>
        <w:tc>
          <w:tcPr>
            <w:tcW w:w="1257"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pPr>
            <w:r>
              <w:rPr/>
              <w:t> </w:t>
            </w:r>
          </w:p>
        </w:tc>
        <w:tc>
          <w:tcPr>
            <w:tcW w:w="1232" w:type="dxa"/>
            <w:tcBorders/>
            <w:shd w:fill="CCE2F1" w:val="clear"/>
            <w:vAlign w:val="center"/>
          </w:tcPr>
          <w:p>
            <w:pPr>
              <w:pStyle w:val="TableContents"/>
              <w:bidi w:val="0"/>
              <w:spacing w:before="0" w:after="283"/>
              <w:jc w:val="right"/>
              <w:rPr/>
            </w:pPr>
            <w:r>
              <w:rPr/>
              <w:t>8,987</w:t>
            </w:r>
          </w:p>
        </w:tc>
        <w:tc>
          <w:tcPr>
            <w:tcW w:w="215" w:type="dxa"/>
            <w:tcBorders/>
            <w:shd w:fill="CCE2F1" w:val="clear"/>
            <w:vAlign w:val="center"/>
          </w:tcPr>
          <w:p>
            <w:pPr>
              <w:pStyle w:val="TableContents"/>
              <w:bidi w:val="0"/>
              <w:spacing w:before="0" w:after="283"/>
              <w:jc w:val="left"/>
              <w:rPr/>
            </w:pPr>
            <w:r>
              <w:rPr/>
              <w:t>(5) </w:t>
            </w:r>
          </w:p>
        </w:tc>
        <w:tc>
          <w:tcPr>
            <w:tcW w:w="60" w:type="dxa"/>
            <w:tcBorders/>
            <w:shd w:fill="CCE2F1" w:val="clear"/>
            <w:vAlign w:val="center"/>
          </w:tcPr>
          <w:p>
            <w:pPr>
              <w:pStyle w:val="TableContents"/>
              <w:bidi w:val="0"/>
              <w:spacing w:before="0" w:after="283"/>
              <w:jc w:val="left"/>
              <w:rPr/>
            </w:pPr>
            <w:r>
              <w:rPr/>
              <w:t> </w:t>
            </w:r>
          </w:p>
        </w:tc>
        <w:tc>
          <w:tcPr>
            <w:tcW w:w="70" w:type="dxa"/>
            <w:tcBorders/>
            <w:shd w:fill="CCE2F1" w:val="clear"/>
            <w:vAlign w:val="center"/>
          </w:tcPr>
          <w:p>
            <w:pPr>
              <w:pStyle w:val="TableContents"/>
              <w:bidi w:val="0"/>
              <w:spacing w:before="0" w:after="283"/>
              <w:jc w:val="left"/>
              <w:rPr/>
            </w:pPr>
            <w:r>
              <w:rPr/>
              <w:t> </w:t>
            </w:r>
          </w:p>
        </w:tc>
        <w:tc>
          <w:tcPr>
            <w:tcW w:w="1300" w:type="dxa"/>
            <w:tcBorders/>
            <w:shd w:fill="CCE2F1" w:val="clear"/>
            <w:vAlign w:val="center"/>
          </w:tcPr>
          <w:p>
            <w:pPr>
              <w:pStyle w:val="TableContents"/>
              <w:bidi w:val="0"/>
              <w:spacing w:before="0" w:after="283"/>
              <w:jc w:val="right"/>
              <w:rPr/>
            </w:pPr>
            <w:r>
              <w:rPr/>
              <w:t>2,588,436</w:t>
            </w:r>
          </w:p>
        </w:tc>
        <w:tc>
          <w:tcPr>
            <w:tcW w:w="75" w:type="dxa"/>
            <w:tcBorders/>
            <w:shd w:fill="CCE2F1" w:val="clear"/>
            <w:vAlign w:val="center"/>
          </w:tcPr>
          <w:p>
            <w:pPr>
              <w:pStyle w:val="TableContents"/>
              <w:bidi w:val="0"/>
              <w:spacing w:before="0" w:after="283"/>
              <w:jc w:val="left"/>
              <w:rPr/>
            </w:pPr>
            <w:r>
              <w:rPr/>
              <w:t> </w:t>
            </w:r>
          </w:p>
        </w:tc>
      </w:tr>
      <w:tr>
        <w:trPr/>
        <w:tc>
          <w:tcPr>
            <w:tcW w:w="68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90" w:type="dxa"/>
            <w:tcBorders/>
            <w:shd w:fill="CCE2F1" w:val="clear"/>
            <w:vAlign w:val="center"/>
          </w:tcPr>
          <w:p>
            <w:pPr>
              <w:pStyle w:val="TableContents"/>
              <w:bidi w:val="0"/>
              <w:spacing w:before="0" w:after="283"/>
              <w:jc w:val="left"/>
              <w:rPr/>
            </w:pPr>
            <w:r>
              <w:rPr/>
              <w:t> </w:t>
            </w:r>
          </w:p>
        </w:tc>
        <w:tc>
          <w:tcPr>
            <w:tcW w:w="1205" w:type="dxa"/>
            <w:tcBorders/>
            <w:shd w:fill="CCE2F1" w:val="clear"/>
            <w:vAlign w:val="center"/>
          </w:tcPr>
          <w:p>
            <w:pPr>
              <w:pStyle w:val="TableContents"/>
              <w:bidi w:val="0"/>
              <w:spacing w:before="0" w:after="283"/>
              <w:jc w:val="right"/>
              <w:rPr/>
            </w:pPr>
            <w:r>
              <w:rPr/>
              <w:t>11,358</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pPr>
            <w:r>
              <w:rPr/>
              <w:t> </w:t>
            </w:r>
          </w:p>
        </w:tc>
        <w:tc>
          <w:tcPr>
            <w:tcW w:w="1442" w:type="dxa"/>
            <w:tcBorders/>
            <w:shd w:fill="CCE2F1" w:val="clear"/>
            <w:vAlign w:val="center"/>
          </w:tcPr>
          <w:p>
            <w:pPr>
              <w:pStyle w:val="TableContents"/>
              <w:bidi w:val="0"/>
              <w:spacing w:before="0" w:after="283"/>
              <w:jc w:val="right"/>
              <w:rPr/>
            </w:pPr>
            <w:r>
              <w:rPr/>
              <w:t>23,062</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9" w:type="dxa"/>
            <w:tcBorders/>
            <w:shd w:fill="CCE2F1" w:val="clear"/>
            <w:vAlign w:val="center"/>
          </w:tcPr>
          <w:p>
            <w:pPr>
              <w:pStyle w:val="TableContents"/>
              <w:bidi w:val="0"/>
              <w:spacing w:before="0" w:after="283"/>
              <w:jc w:val="left"/>
              <w:rPr/>
            </w:pPr>
            <w:r>
              <w:rPr/>
              <w:t> </w:t>
            </w:r>
          </w:p>
        </w:tc>
        <w:tc>
          <w:tcPr>
            <w:tcW w:w="901" w:type="dxa"/>
            <w:tcBorders/>
            <w:shd w:fill="CCE2F1" w:val="clear"/>
            <w:vAlign w:val="center"/>
          </w:tcPr>
          <w:p>
            <w:pPr>
              <w:pStyle w:val="TableContents"/>
              <w:bidi w:val="0"/>
              <w:spacing w:before="0" w:after="283"/>
              <w:jc w:val="right"/>
              <w:rPr/>
            </w:pPr>
            <w:r>
              <w:rPr/>
              <w:t>239.64</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55" w:type="dxa"/>
            <w:tcBorders/>
            <w:shd w:fill="CCE2F1" w:val="clear"/>
            <w:vAlign w:val="center"/>
          </w:tcPr>
          <w:p>
            <w:pPr>
              <w:pStyle w:val="TableContents"/>
              <w:bidi w:val="0"/>
              <w:spacing w:before="0" w:after="283"/>
              <w:jc w:val="right"/>
              <w:rPr/>
            </w:pPr>
            <w:r>
              <w:rPr/>
              <w:t>4/30/2031</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8" w:type="dxa"/>
            <w:tcBorders/>
            <w:shd w:fill="CCE2F1" w:val="clear"/>
            <w:vAlign w:val="center"/>
          </w:tcPr>
          <w:p>
            <w:pPr>
              <w:pStyle w:val="TableContents"/>
              <w:bidi w:val="0"/>
              <w:spacing w:before="0" w:after="283"/>
              <w:jc w:val="left"/>
              <w:rPr>
                <w:sz w:val="4"/>
                <w:szCs w:val="4"/>
              </w:rPr>
            </w:pPr>
            <w:r>
              <w:rPr>
                <w:sz w:val="4"/>
                <w:szCs w:val="4"/>
              </w:rPr>
            </w:r>
          </w:p>
        </w:tc>
        <w:tc>
          <w:tcPr>
            <w:tcW w:w="887"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8" w:type="dxa"/>
            <w:tcBorders/>
            <w:shd w:fill="CCE2F1" w:val="clear"/>
            <w:vAlign w:val="center"/>
          </w:tcPr>
          <w:p>
            <w:pPr>
              <w:pStyle w:val="TableContents"/>
              <w:bidi w:val="0"/>
              <w:spacing w:before="0" w:after="283"/>
              <w:jc w:val="left"/>
              <w:rPr>
                <w:sz w:val="4"/>
                <w:szCs w:val="4"/>
              </w:rPr>
            </w:pPr>
            <w:r>
              <w:rPr>
                <w:sz w:val="4"/>
                <w:szCs w:val="4"/>
              </w:rPr>
            </w:r>
          </w:p>
        </w:tc>
        <w:tc>
          <w:tcPr>
            <w:tcW w:w="1257"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pPr>
            <w:r>
              <w:rPr/>
              <w:t> </w:t>
            </w:r>
          </w:p>
        </w:tc>
        <w:tc>
          <w:tcPr>
            <w:tcW w:w="1232" w:type="dxa"/>
            <w:tcBorders/>
            <w:shd w:fill="CCE2F1" w:val="clear"/>
            <w:vAlign w:val="center"/>
          </w:tcPr>
          <w:p>
            <w:pPr>
              <w:pStyle w:val="TableContents"/>
              <w:bidi w:val="0"/>
              <w:spacing w:before="0" w:after="283"/>
              <w:jc w:val="right"/>
              <w:rPr/>
            </w:pPr>
            <w:r>
              <w:rPr/>
              <w:t>12,278</w:t>
            </w:r>
          </w:p>
        </w:tc>
        <w:tc>
          <w:tcPr>
            <w:tcW w:w="215" w:type="dxa"/>
            <w:tcBorders/>
            <w:shd w:fill="CCE2F1" w:val="clear"/>
            <w:vAlign w:val="center"/>
          </w:tcPr>
          <w:p>
            <w:pPr>
              <w:pStyle w:val="TableContents"/>
              <w:bidi w:val="0"/>
              <w:spacing w:before="0" w:after="283"/>
              <w:jc w:val="left"/>
              <w:rPr/>
            </w:pPr>
            <w:r>
              <w:rPr/>
              <w:t>(6) </w:t>
            </w:r>
          </w:p>
        </w:tc>
        <w:tc>
          <w:tcPr>
            <w:tcW w:w="60" w:type="dxa"/>
            <w:tcBorders/>
            <w:shd w:fill="CCE2F1" w:val="clear"/>
            <w:vAlign w:val="center"/>
          </w:tcPr>
          <w:p>
            <w:pPr>
              <w:pStyle w:val="TableContents"/>
              <w:bidi w:val="0"/>
              <w:spacing w:before="0" w:after="283"/>
              <w:jc w:val="left"/>
              <w:rPr/>
            </w:pPr>
            <w:r>
              <w:rPr/>
              <w:t> </w:t>
            </w:r>
          </w:p>
        </w:tc>
        <w:tc>
          <w:tcPr>
            <w:tcW w:w="70" w:type="dxa"/>
            <w:tcBorders/>
            <w:shd w:fill="CCE2F1" w:val="clear"/>
            <w:vAlign w:val="center"/>
          </w:tcPr>
          <w:p>
            <w:pPr>
              <w:pStyle w:val="TableContents"/>
              <w:bidi w:val="0"/>
              <w:spacing w:before="0" w:after="283"/>
              <w:jc w:val="left"/>
              <w:rPr/>
            </w:pPr>
            <w:r>
              <w:rPr/>
              <w:t> </w:t>
            </w:r>
          </w:p>
        </w:tc>
        <w:tc>
          <w:tcPr>
            <w:tcW w:w="1300" w:type="dxa"/>
            <w:tcBorders/>
            <w:shd w:fill="CCE2F1" w:val="clear"/>
            <w:vAlign w:val="center"/>
          </w:tcPr>
          <w:p>
            <w:pPr>
              <w:pStyle w:val="TableContents"/>
              <w:bidi w:val="0"/>
              <w:spacing w:before="0" w:after="283"/>
              <w:jc w:val="right"/>
              <w:rPr/>
            </w:pPr>
            <w:r>
              <w:rPr/>
              <w:t>3,536,310</w:t>
            </w:r>
          </w:p>
        </w:tc>
        <w:tc>
          <w:tcPr>
            <w:tcW w:w="75" w:type="dxa"/>
            <w:tcBorders/>
            <w:shd w:fill="CCE2F1" w:val="clear"/>
            <w:vAlign w:val="center"/>
          </w:tcPr>
          <w:p>
            <w:pPr>
              <w:pStyle w:val="TableContents"/>
              <w:bidi w:val="0"/>
              <w:spacing w:before="0" w:after="283"/>
              <w:jc w:val="left"/>
              <w:rPr/>
            </w:pPr>
            <w:r>
              <w:rPr/>
              <w:t> </w:t>
            </w:r>
          </w:p>
        </w:tc>
      </w:tr>
      <w:tr>
        <w:trPr/>
        <w:tc>
          <w:tcPr>
            <w:tcW w:w="68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90" w:type="dxa"/>
            <w:tcBorders/>
            <w:shd w:fill="CCE2F1" w:val="clear"/>
            <w:vAlign w:val="center"/>
          </w:tcPr>
          <w:p>
            <w:pPr>
              <w:pStyle w:val="TableContents"/>
              <w:bidi w:val="0"/>
              <w:spacing w:before="0" w:after="283"/>
              <w:jc w:val="left"/>
              <w:rPr/>
            </w:pPr>
            <w:r>
              <w:rPr/>
              <w:t> </w:t>
            </w:r>
          </w:p>
        </w:tc>
        <w:tc>
          <w:tcPr>
            <w:tcW w:w="1205" w:type="dxa"/>
            <w:tcBorders/>
            <w:shd w:fill="CCE2F1" w:val="clear"/>
            <w:vAlign w:val="center"/>
          </w:tcPr>
          <w:p>
            <w:pPr>
              <w:pStyle w:val="TableContents"/>
              <w:bidi w:val="0"/>
              <w:spacing w:before="0" w:after="283"/>
              <w:jc w:val="right"/>
              <w:rPr/>
            </w:pPr>
            <w:r>
              <w:rPr/>
              <w:t>18,705</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pPr>
            <w:r>
              <w:rPr/>
              <w:t> </w:t>
            </w:r>
          </w:p>
        </w:tc>
        <w:tc>
          <w:tcPr>
            <w:tcW w:w="1442" w:type="dxa"/>
            <w:tcBorders/>
            <w:shd w:fill="CCE2F1" w:val="clear"/>
            <w:vAlign w:val="center"/>
          </w:tcPr>
          <w:p>
            <w:pPr>
              <w:pStyle w:val="TableContents"/>
              <w:bidi w:val="0"/>
              <w:spacing w:before="0" w:after="283"/>
              <w:jc w:val="right"/>
              <w:rPr/>
            </w:pPr>
            <w:r>
              <w:rPr/>
              <w:t>9,636</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9" w:type="dxa"/>
            <w:tcBorders/>
            <w:shd w:fill="CCE2F1" w:val="clear"/>
            <w:vAlign w:val="center"/>
          </w:tcPr>
          <w:p>
            <w:pPr>
              <w:pStyle w:val="TableContents"/>
              <w:bidi w:val="0"/>
              <w:spacing w:before="0" w:after="283"/>
              <w:jc w:val="left"/>
              <w:rPr/>
            </w:pPr>
            <w:r>
              <w:rPr/>
              <w:t> </w:t>
            </w:r>
          </w:p>
        </w:tc>
        <w:tc>
          <w:tcPr>
            <w:tcW w:w="901" w:type="dxa"/>
            <w:tcBorders/>
            <w:shd w:fill="CCE2F1" w:val="clear"/>
            <w:vAlign w:val="center"/>
          </w:tcPr>
          <w:p>
            <w:pPr>
              <w:pStyle w:val="TableContents"/>
              <w:bidi w:val="0"/>
              <w:spacing w:before="0" w:after="283"/>
              <w:jc w:val="right"/>
              <w:rPr/>
            </w:pPr>
            <w:r>
              <w:rPr/>
              <w:t>236.36</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55" w:type="dxa"/>
            <w:tcBorders/>
            <w:shd w:fill="CCE2F1" w:val="clear"/>
            <w:vAlign w:val="center"/>
          </w:tcPr>
          <w:p>
            <w:pPr>
              <w:pStyle w:val="TableContents"/>
              <w:bidi w:val="0"/>
              <w:spacing w:before="0" w:after="283"/>
              <w:jc w:val="right"/>
              <w:rPr/>
            </w:pPr>
            <w:r>
              <w:rPr/>
              <w:t>5/5/2030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8" w:type="dxa"/>
            <w:tcBorders/>
            <w:shd w:fill="CCE2F1" w:val="clear"/>
            <w:vAlign w:val="center"/>
          </w:tcPr>
          <w:p>
            <w:pPr>
              <w:pStyle w:val="TableContents"/>
              <w:bidi w:val="0"/>
              <w:spacing w:before="0" w:after="283"/>
              <w:jc w:val="left"/>
              <w:rPr>
                <w:sz w:val="4"/>
                <w:szCs w:val="4"/>
              </w:rPr>
            </w:pPr>
            <w:r>
              <w:rPr>
                <w:sz w:val="4"/>
                <w:szCs w:val="4"/>
              </w:rPr>
            </w:r>
          </w:p>
        </w:tc>
        <w:tc>
          <w:tcPr>
            <w:tcW w:w="887"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8" w:type="dxa"/>
            <w:tcBorders/>
            <w:shd w:fill="CCE2F1" w:val="clear"/>
            <w:vAlign w:val="center"/>
          </w:tcPr>
          <w:p>
            <w:pPr>
              <w:pStyle w:val="TableContents"/>
              <w:bidi w:val="0"/>
              <w:spacing w:before="0" w:after="283"/>
              <w:jc w:val="left"/>
              <w:rPr>
                <w:sz w:val="4"/>
                <w:szCs w:val="4"/>
              </w:rPr>
            </w:pPr>
            <w:r>
              <w:rPr>
                <w:sz w:val="4"/>
                <w:szCs w:val="4"/>
              </w:rPr>
            </w:r>
          </w:p>
        </w:tc>
        <w:tc>
          <w:tcPr>
            <w:tcW w:w="1257"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sz w:val="4"/>
                <w:szCs w:val="4"/>
              </w:rPr>
            </w:pPr>
            <w:r>
              <w:rPr>
                <w:sz w:val="4"/>
                <w:szCs w:val="4"/>
              </w:rPr>
            </w:r>
          </w:p>
        </w:tc>
        <w:tc>
          <w:tcPr>
            <w:tcW w:w="1232" w:type="dxa"/>
            <w:tcBorders/>
            <w:shd w:fill="CCE2F1" w:val="clear"/>
            <w:vAlign w:val="center"/>
          </w:tcPr>
          <w:p>
            <w:pPr>
              <w:pStyle w:val="TableContents"/>
              <w:bidi w:val="0"/>
              <w:spacing w:before="0" w:after="283"/>
              <w:jc w:val="left"/>
              <w:rPr>
                <w:sz w:val="4"/>
                <w:szCs w:val="4"/>
              </w:rPr>
            </w:pPr>
            <w:r>
              <w:rPr>
                <w:sz w:val="4"/>
                <w:szCs w:val="4"/>
              </w:rPr>
            </w:r>
          </w:p>
        </w:tc>
        <w:tc>
          <w:tcPr>
            <w:tcW w:w="21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70" w:type="dxa"/>
            <w:tcBorders/>
            <w:shd w:fill="CCE2F1" w:val="clear"/>
            <w:vAlign w:val="center"/>
          </w:tcPr>
          <w:p>
            <w:pPr>
              <w:pStyle w:val="TableContents"/>
              <w:bidi w:val="0"/>
              <w:spacing w:before="0" w:after="283"/>
              <w:jc w:val="left"/>
              <w:rPr>
                <w:sz w:val="4"/>
                <w:szCs w:val="4"/>
              </w:rPr>
            </w:pPr>
            <w:r>
              <w:rPr>
                <w:sz w:val="4"/>
                <w:szCs w:val="4"/>
              </w:rPr>
            </w:r>
          </w:p>
        </w:tc>
        <w:tc>
          <w:tcPr>
            <w:tcW w:w="1300" w:type="dxa"/>
            <w:tcBorders/>
            <w:shd w:fill="CCE2F1" w:val="clear"/>
            <w:vAlign w:val="center"/>
          </w:tcPr>
          <w:p>
            <w:pPr>
              <w:pStyle w:val="TableContents"/>
              <w:bidi w:val="0"/>
              <w:spacing w:before="0" w:after="283"/>
              <w:jc w:val="left"/>
              <w:rPr>
                <w:sz w:val="4"/>
                <w:szCs w:val="4"/>
              </w:rPr>
            </w:pPr>
            <w:r>
              <w:rPr>
                <w:sz w:val="4"/>
                <w:szCs w:val="4"/>
              </w:rPr>
            </w:r>
          </w:p>
        </w:tc>
        <w:tc>
          <w:tcPr>
            <w:tcW w:w="75" w:type="dxa"/>
            <w:tcBorders/>
            <w:shd w:fill="CCE2F1" w:val="clear"/>
            <w:vAlign w:val="center"/>
          </w:tcPr>
          <w:p>
            <w:pPr>
              <w:pStyle w:val="TableContents"/>
              <w:bidi w:val="0"/>
              <w:spacing w:before="0" w:after="283"/>
              <w:jc w:val="left"/>
              <w:rPr>
                <w:sz w:val="4"/>
                <w:szCs w:val="4"/>
              </w:rPr>
            </w:pPr>
            <w:r>
              <w:rPr>
                <w:sz w:val="4"/>
                <w:szCs w:val="4"/>
              </w:rPr>
            </w:r>
          </w:p>
        </w:tc>
      </w:tr>
      <w:tr>
        <w:trPr/>
        <w:tc>
          <w:tcPr>
            <w:tcW w:w="68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90" w:type="dxa"/>
            <w:tcBorders/>
            <w:shd w:fill="CCE2F1" w:val="clear"/>
            <w:vAlign w:val="center"/>
          </w:tcPr>
          <w:p>
            <w:pPr>
              <w:pStyle w:val="TableContents"/>
              <w:bidi w:val="0"/>
              <w:spacing w:before="0" w:after="283"/>
              <w:jc w:val="left"/>
              <w:rPr/>
            </w:pPr>
            <w:r>
              <w:rPr/>
              <w:t> </w:t>
            </w:r>
          </w:p>
        </w:tc>
        <w:tc>
          <w:tcPr>
            <w:tcW w:w="1205" w:type="dxa"/>
            <w:tcBorders/>
            <w:shd w:fill="CCE2F1" w:val="clear"/>
            <w:vAlign w:val="center"/>
          </w:tcPr>
          <w:p>
            <w:pPr>
              <w:pStyle w:val="TableContents"/>
              <w:bidi w:val="0"/>
              <w:spacing w:before="0" w:after="283"/>
              <w:jc w:val="right"/>
              <w:rPr/>
            </w:pPr>
            <w:r>
              <w:rPr/>
              <w:t>34,460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pPr>
            <w:r>
              <w:rPr/>
              <w:t> </w:t>
            </w:r>
          </w:p>
        </w:tc>
        <w:tc>
          <w:tcPr>
            <w:tcW w:w="1442"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9" w:type="dxa"/>
            <w:tcBorders/>
            <w:shd w:fill="CCE2F1" w:val="clear"/>
            <w:vAlign w:val="center"/>
          </w:tcPr>
          <w:p>
            <w:pPr>
              <w:pStyle w:val="TableContents"/>
              <w:bidi w:val="0"/>
              <w:spacing w:before="0" w:after="283"/>
              <w:jc w:val="left"/>
              <w:rPr/>
            </w:pPr>
            <w:r>
              <w:rPr/>
              <w:t> </w:t>
            </w:r>
          </w:p>
        </w:tc>
        <w:tc>
          <w:tcPr>
            <w:tcW w:w="901" w:type="dxa"/>
            <w:tcBorders/>
            <w:shd w:fill="CCE2F1" w:val="clear"/>
            <w:vAlign w:val="center"/>
          </w:tcPr>
          <w:p>
            <w:pPr>
              <w:pStyle w:val="TableContents"/>
              <w:bidi w:val="0"/>
              <w:spacing w:before="0" w:after="283"/>
              <w:jc w:val="right"/>
              <w:rPr/>
            </w:pPr>
            <w:r>
              <w:rPr/>
              <w:t>177.31</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55" w:type="dxa"/>
            <w:tcBorders/>
            <w:shd w:fill="CCE2F1" w:val="clear"/>
            <w:vAlign w:val="center"/>
          </w:tcPr>
          <w:p>
            <w:pPr>
              <w:pStyle w:val="TableContents"/>
              <w:bidi w:val="0"/>
              <w:spacing w:before="0" w:after="283"/>
              <w:jc w:val="right"/>
              <w:rPr/>
            </w:pPr>
            <w:r>
              <w:rPr/>
              <w:t>5/3/2029</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8" w:type="dxa"/>
            <w:tcBorders/>
            <w:shd w:fill="CCE2F1" w:val="clear"/>
            <w:vAlign w:val="center"/>
          </w:tcPr>
          <w:p>
            <w:pPr>
              <w:pStyle w:val="TableContents"/>
              <w:bidi w:val="0"/>
              <w:spacing w:before="0" w:after="283"/>
              <w:jc w:val="left"/>
              <w:rPr>
                <w:sz w:val="4"/>
                <w:szCs w:val="4"/>
              </w:rPr>
            </w:pPr>
            <w:r>
              <w:rPr>
                <w:sz w:val="4"/>
                <w:szCs w:val="4"/>
              </w:rPr>
            </w:r>
          </w:p>
        </w:tc>
        <w:tc>
          <w:tcPr>
            <w:tcW w:w="887"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8" w:type="dxa"/>
            <w:tcBorders/>
            <w:shd w:fill="CCE2F1" w:val="clear"/>
            <w:vAlign w:val="center"/>
          </w:tcPr>
          <w:p>
            <w:pPr>
              <w:pStyle w:val="TableContents"/>
              <w:bidi w:val="0"/>
              <w:spacing w:before="0" w:after="283"/>
              <w:jc w:val="left"/>
              <w:rPr>
                <w:sz w:val="4"/>
                <w:szCs w:val="4"/>
              </w:rPr>
            </w:pPr>
            <w:r>
              <w:rPr>
                <w:sz w:val="4"/>
                <w:szCs w:val="4"/>
              </w:rPr>
            </w:r>
          </w:p>
        </w:tc>
        <w:tc>
          <w:tcPr>
            <w:tcW w:w="1257"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sz w:val="4"/>
                <w:szCs w:val="4"/>
              </w:rPr>
            </w:pPr>
            <w:r>
              <w:rPr>
                <w:sz w:val="4"/>
                <w:szCs w:val="4"/>
              </w:rPr>
            </w:r>
          </w:p>
        </w:tc>
        <w:tc>
          <w:tcPr>
            <w:tcW w:w="1232" w:type="dxa"/>
            <w:tcBorders/>
            <w:shd w:fill="CCE2F1" w:val="clear"/>
            <w:vAlign w:val="center"/>
          </w:tcPr>
          <w:p>
            <w:pPr>
              <w:pStyle w:val="TableContents"/>
              <w:bidi w:val="0"/>
              <w:spacing w:before="0" w:after="283"/>
              <w:jc w:val="left"/>
              <w:rPr>
                <w:sz w:val="4"/>
                <w:szCs w:val="4"/>
              </w:rPr>
            </w:pPr>
            <w:r>
              <w:rPr>
                <w:sz w:val="4"/>
                <w:szCs w:val="4"/>
              </w:rPr>
            </w:r>
          </w:p>
        </w:tc>
        <w:tc>
          <w:tcPr>
            <w:tcW w:w="21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70" w:type="dxa"/>
            <w:tcBorders/>
            <w:shd w:fill="CCE2F1" w:val="clear"/>
            <w:vAlign w:val="center"/>
          </w:tcPr>
          <w:p>
            <w:pPr>
              <w:pStyle w:val="TableContents"/>
              <w:bidi w:val="0"/>
              <w:spacing w:before="0" w:after="283"/>
              <w:jc w:val="left"/>
              <w:rPr>
                <w:sz w:val="4"/>
                <w:szCs w:val="4"/>
              </w:rPr>
            </w:pPr>
            <w:r>
              <w:rPr>
                <w:sz w:val="4"/>
                <w:szCs w:val="4"/>
              </w:rPr>
            </w:r>
          </w:p>
        </w:tc>
        <w:tc>
          <w:tcPr>
            <w:tcW w:w="1300" w:type="dxa"/>
            <w:tcBorders/>
            <w:shd w:fill="CCE2F1" w:val="clear"/>
            <w:vAlign w:val="center"/>
          </w:tcPr>
          <w:p>
            <w:pPr>
              <w:pStyle w:val="TableContents"/>
              <w:bidi w:val="0"/>
              <w:spacing w:before="0" w:after="283"/>
              <w:jc w:val="left"/>
              <w:rPr>
                <w:sz w:val="4"/>
                <w:szCs w:val="4"/>
              </w:rPr>
            </w:pPr>
            <w:r>
              <w:rPr>
                <w:sz w:val="4"/>
                <w:szCs w:val="4"/>
              </w:rPr>
            </w:r>
          </w:p>
        </w:tc>
        <w:tc>
          <w:tcPr>
            <w:tcW w:w="75" w:type="dxa"/>
            <w:tcBorders/>
            <w:shd w:fill="CCE2F1" w:val="clear"/>
            <w:vAlign w:val="center"/>
          </w:tcPr>
          <w:p>
            <w:pPr>
              <w:pStyle w:val="TableContents"/>
              <w:bidi w:val="0"/>
              <w:spacing w:before="0" w:after="283"/>
              <w:jc w:val="left"/>
              <w:rPr>
                <w:sz w:val="4"/>
                <w:szCs w:val="4"/>
              </w:rPr>
            </w:pPr>
            <w:r>
              <w:rPr>
                <w:sz w:val="4"/>
                <w:szCs w:val="4"/>
              </w:rPr>
            </w:r>
          </w:p>
        </w:tc>
      </w:tr>
      <w:tr>
        <w:trPr/>
        <w:tc>
          <w:tcPr>
            <w:tcW w:w="68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90" w:type="dxa"/>
            <w:tcBorders/>
            <w:shd w:fill="CCE2F1" w:val="clear"/>
            <w:vAlign w:val="center"/>
          </w:tcPr>
          <w:p>
            <w:pPr>
              <w:pStyle w:val="TableContents"/>
              <w:bidi w:val="0"/>
              <w:spacing w:before="0" w:after="283"/>
              <w:jc w:val="left"/>
              <w:rPr/>
            </w:pPr>
            <w:r>
              <w:rPr/>
              <w:t> </w:t>
            </w:r>
          </w:p>
        </w:tc>
        <w:tc>
          <w:tcPr>
            <w:tcW w:w="1205" w:type="dxa"/>
            <w:tcBorders/>
            <w:shd w:fill="CCE2F1" w:val="clear"/>
            <w:vAlign w:val="center"/>
          </w:tcPr>
          <w:p>
            <w:pPr>
              <w:pStyle w:val="TableContents"/>
              <w:bidi w:val="0"/>
              <w:spacing w:before="0" w:after="283"/>
              <w:jc w:val="right"/>
              <w:rPr/>
            </w:pPr>
            <w:r>
              <w:rPr/>
              <w:t>24,291</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pPr>
            <w:r>
              <w:rPr/>
              <w:t> </w:t>
            </w:r>
          </w:p>
        </w:tc>
        <w:tc>
          <w:tcPr>
            <w:tcW w:w="1442"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9" w:type="dxa"/>
            <w:tcBorders/>
            <w:shd w:fill="CCE2F1" w:val="clear"/>
            <w:vAlign w:val="center"/>
          </w:tcPr>
          <w:p>
            <w:pPr>
              <w:pStyle w:val="TableContents"/>
              <w:bidi w:val="0"/>
              <w:spacing w:before="0" w:after="283"/>
              <w:jc w:val="left"/>
              <w:rPr/>
            </w:pPr>
            <w:r>
              <w:rPr/>
              <w:t> </w:t>
            </w:r>
          </w:p>
        </w:tc>
        <w:tc>
          <w:tcPr>
            <w:tcW w:w="901" w:type="dxa"/>
            <w:tcBorders/>
            <w:shd w:fill="CCE2F1" w:val="clear"/>
            <w:vAlign w:val="center"/>
          </w:tcPr>
          <w:p>
            <w:pPr>
              <w:pStyle w:val="TableContents"/>
              <w:bidi w:val="0"/>
              <w:spacing w:before="0" w:after="283"/>
              <w:jc w:val="right"/>
              <w:rPr/>
            </w:pPr>
            <w:r>
              <w:rPr/>
              <w:t>177.46</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55" w:type="dxa"/>
            <w:tcBorders/>
            <w:shd w:fill="CCE2F1" w:val="clear"/>
            <w:vAlign w:val="center"/>
          </w:tcPr>
          <w:p>
            <w:pPr>
              <w:pStyle w:val="TableContents"/>
              <w:bidi w:val="0"/>
              <w:spacing w:before="0" w:after="283"/>
              <w:jc w:val="right"/>
              <w:rPr/>
            </w:pPr>
            <w:r>
              <w:rPr/>
              <w:t>4/27/2028</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8" w:type="dxa"/>
            <w:tcBorders/>
            <w:shd w:fill="CCE2F1" w:val="clear"/>
            <w:vAlign w:val="center"/>
          </w:tcPr>
          <w:p>
            <w:pPr>
              <w:pStyle w:val="TableContents"/>
              <w:bidi w:val="0"/>
              <w:spacing w:before="0" w:after="283"/>
              <w:jc w:val="left"/>
              <w:rPr>
                <w:sz w:val="4"/>
                <w:szCs w:val="4"/>
              </w:rPr>
            </w:pPr>
            <w:r>
              <w:rPr>
                <w:sz w:val="4"/>
                <w:szCs w:val="4"/>
              </w:rPr>
            </w:r>
          </w:p>
        </w:tc>
        <w:tc>
          <w:tcPr>
            <w:tcW w:w="887"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8" w:type="dxa"/>
            <w:tcBorders/>
            <w:shd w:fill="CCE2F1" w:val="clear"/>
            <w:vAlign w:val="center"/>
          </w:tcPr>
          <w:p>
            <w:pPr>
              <w:pStyle w:val="TableContents"/>
              <w:bidi w:val="0"/>
              <w:spacing w:before="0" w:after="283"/>
              <w:jc w:val="left"/>
              <w:rPr>
                <w:sz w:val="4"/>
                <w:szCs w:val="4"/>
              </w:rPr>
            </w:pPr>
            <w:r>
              <w:rPr>
                <w:sz w:val="4"/>
                <w:szCs w:val="4"/>
              </w:rPr>
            </w:r>
          </w:p>
        </w:tc>
        <w:tc>
          <w:tcPr>
            <w:tcW w:w="1257"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sz w:val="4"/>
                <w:szCs w:val="4"/>
              </w:rPr>
            </w:pPr>
            <w:r>
              <w:rPr>
                <w:sz w:val="4"/>
                <w:szCs w:val="4"/>
              </w:rPr>
            </w:r>
          </w:p>
        </w:tc>
        <w:tc>
          <w:tcPr>
            <w:tcW w:w="1232" w:type="dxa"/>
            <w:tcBorders/>
            <w:shd w:fill="CCE2F1" w:val="clear"/>
            <w:vAlign w:val="center"/>
          </w:tcPr>
          <w:p>
            <w:pPr>
              <w:pStyle w:val="TableContents"/>
              <w:bidi w:val="0"/>
              <w:spacing w:before="0" w:after="283"/>
              <w:jc w:val="left"/>
              <w:rPr>
                <w:sz w:val="4"/>
                <w:szCs w:val="4"/>
              </w:rPr>
            </w:pPr>
            <w:r>
              <w:rPr>
                <w:sz w:val="4"/>
                <w:szCs w:val="4"/>
              </w:rPr>
            </w:r>
          </w:p>
        </w:tc>
        <w:tc>
          <w:tcPr>
            <w:tcW w:w="21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70" w:type="dxa"/>
            <w:tcBorders/>
            <w:shd w:fill="CCE2F1" w:val="clear"/>
            <w:vAlign w:val="center"/>
          </w:tcPr>
          <w:p>
            <w:pPr>
              <w:pStyle w:val="TableContents"/>
              <w:bidi w:val="0"/>
              <w:spacing w:before="0" w:after="283"/>
              <w:jc w:val="left"/>
              <w:rPr>
                <w:sz w:val="4"/>
                <w:szCs w:val="4"/>
              </w:rPr>
            </w:pPr>
            <w:r>
              <w:rPr>
                <w:sz w:val="4"/>
                <w:szCs w:val="4"/>
              </w:rPr>
            </w:r>
          </w:p>
        </w:tc>
        <w:tc>
          <w:tcPr>
            <w:tcW w:w="1300" w:type="dxa"/>
            <w:tcBorders/>
            <w:shd w:fill="CCE2F1" w:val="clear"/>
            <w:vAlign w:val="center"/>
          </w:tcPr>
          <w:p>
            <w:pPr>
              <w:pStyle w:val="TableContents"/>
              <w:bidi w:val="0"/>
              <w:spacing w:before="0" w:after="283"/>
              <w:jc w:val="left"/>
              <w:rPr>
                <w:sz w:val="4"/>
                <w:szCs w:val="4"/>
              </w:rPr>
            </w:pPr>
            <w:r>
              <w:rPr>
                <w:sz w:val="4"/>
                <w:szCs w:val="4"/>
              </w:rPr>
            </w:r>
          </w:p>
        </w:tc>
        <w:tc>
          <w:tcPr>
            <w:tcW w:w="75" w:type="dxa"/>
            <w:tcBorders/>
            <w:shd w:fill="CCE2F1" w:val="clear"/>
            <w:vAlign w:val="center"/>
          </w:tcPr>
          <w:p>
            <w:pPr>
              <w:pStyle w:val="TableContents"/>
              <w:bidi w:val="0"/>
              <w:spacing w:before="0" w:after="283"/>
              <w:jc w:val="left"/>
              <w:rPr>
                <w:sz w:val="4"/>
                <w:szCs w:val="4"/>
              </w:rPr>
            </w:pPr>
            <w:r>
              <w:rPr>
                <w:sz w:val="4"/>
                <w:szCs w:val="4"/>
              </w:rPr>
            </w:r>
          </w:p>
        </w:tc>
      </w:tr>
      <w:tr>
        <w:trPr/>
        <w:tc>
          <w:tcPr>
            <w:tcW w:w="68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90" w:type="dxa"/>
            <w:tcBorders/>
            <w:shd w:fill="CCE2F1" w:val="clear"/>
            <w:vAlign w:val="center"/>
          </w:tcPr>
          <w:p>
            <w:pPr>
              <w:pStyle w:val="TableContents"/>
              <w:bidi w:val="0"/>
              <w:spacing w:before="0" w:after="283"/>
              <w:jc w:val="left"/>
              <w:rPr/>
            </w:pPr>
            <w:r>
              <w:rPr/>
              <w:t> </w:t>
            </w:r>
          </w:p>
        </w:tc>
        <w:tc>
          <w:tcPr>
            <w:tcW w:w="1205" w:type="dxa"/>
            <w:tcBorders/>
            <w:shd w:fill="CCE2F1" w:val="clear"/>
            <w:vAlign w:val="center"/>
          </w:tcPr>
          <w:p>
            <w:pPr>
              <w:pStyle w:val="TableContents"/>
              <w:bidi w:val="0"/>
              <w:spacing w:before="0" w:after="283"/>
              <w:jc w:val="right"/>
              <w:rPr/>
            </w:pPr>
            <w:r>
              <w:rPr/>
              <w:t>30,501</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pPr>
            <w:r>
              <w:rPr/>
              <w:t> </w:t>
            </w:r>
          </w:p>
        </w:tc>
        <w:tc>
          <w:tcPr>
            <w:tcW w:w="1442"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9" w:type="dxa"/>
            <w:tcBorders/>
            <w:shd w:fill="CCE2F1" w:val="clear"/>
            <w:vAlign w:val="center"/>
          </w:tcPr>
          <w:p>
            <w:pPr>
              <w:pStyle w:val="TableContents"/>
              <w:bidi w:val="0"/>
              <w:spacing w:before="0" w:after="283"/>
              <w:jc w:val="left"/>
              <w:rPr/>
            </w:pPr>
            <w:r>
              <w:rPr/>
              <w:t> </w:t>
            </w:r>
          </w:p>
        </w:tc>
        <w:tc>
          <w:tcPr>
            <w:tcW w:w="901" w:type="dxa"/>
            <w:tcBorders/>
            <w:shd w:fill="CCE2F1" w:val="clear"/>
            <w:vAlign w:val="center"/>
          </w:tcPr>
          <w:p>
            <w:pPr>
              <w:pStyle w:val="TableContents"/>
              <w:bidi w:val="0"/>
              <w:spacing w:before="0" w:after="283"/>
              <w:jc w:val="right"/>
              <w:rPr/>
            </w:pPr>
            <w:r>
              <w:rPr/>
              <w:t>162.60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55" w:type="dxa"/>
            <w:tcBorders/>
            <w:shd w:fill="CCE2F1" w:val="clear"/>
            <w:vAlign w:val="center"/>
          </w:tcPr>
          <w:p>
            <w:pPr>
              <w:pStyle w:val="TableContents"/>
              <w:bidi w:val="0"/>
              <w:spacing w:before="0" w:after="283"/>
              <w:jc w:val="right"/>
              <w:rPr/>
            </w:pPr>
            <w:r>
              <w:rPr/>
              <w:t>5/1/2027</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8" w:type="dxa"/>
            <w:tcBorders/>
            <w:shd w:fill="CCE2F1" w:val="clear"/>
            <w:vAlign w:val="center"/>
          </w:tcPr>
          <w:p>
            <w:pPr>
              <w:pStyle w:val="TableContents"/>
              <w:bidi w:val="0"/>
              <w:spacing w:before="0" w:after="283"/>
              <w:jc w:val="left"/>
              <w:rPr>
                <w:sz w:val="4"/>
                <w:szCs w:val="4"/>
              </w:rPr>
            </w:pPr>
            <w:r>
              <w:rPr>
                <w:sz w:val="4"/>
                <w:szCs w:val="4"/>
              </w:rPr>
            </w:r>
          </w:p>
        </w:tc>
        <w:tc>
          <w:tcPr>
            <w:tcW w:w="887"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8" w:type="dxa"/>
            <w:tcBorders/>
            <w:shd w:fill="CCE2F1" w:val="clear"/>
            <w:vAlign w:val="center"/>
          </w:tcPr>
          <w:p>
            <w:pPr>
              <w:pStyle w:val="TableContents"/>
              <w:bidi w:val="0"/>
              <w:spacing w:before="0" w:after="283"/>
              <w:jc w:val="left"/>
              <w:rPr>
                <w:sz w:val="4"/>
                <w:szCs w:val="4"/>
              </w:rPr>
            </w:pPr>
            <w:r>
              <w:rPr>
                <w:sz w:val="4"/>
                <w:szCs w:val="4"/>
              </w:rPr>
            </w:r>
          </w:p>
        </w:tc>
        <w:tc>
          <w:tcPr>
            <w:tcW w:w="1257"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sz w:val="4"/>
                <w:szCs w:val="4"/>
              </w:rPr>
            </w:pPr>
            <w:r>
              <w:rPr>
                <w:sz w:val="4"/>
                <w:szCs w:val="4"/>
              </w:rPr>
            </w:r>
          </w:p>
        </w:tc>
        <w:tc>
          <w:tcPr>
            <w:tcW w:w="1232" w:type="dxa"/>
            <w:tcBorders/>
            <w:shd w:fill="CCE2F1" w:val="clear"/>
            <w:vAlign w:val="center"/>
          </w:tcPr>
          <w:p>
            <w:pPr>
              <w:pStyle w:val="TableContents"/>
              <w:bidi w:val="0"/>
              <w:spacing w:before="0" w:after="283"/>
              <w:jc w:val="left"/>
              <w:rPr>
                <w:sz w:val="4"/>
                <w:szCs w:val="4"/>
              </w:rPr>
            </w:pPr>
            <w:r>
              <w:rPr>
                <w:sz w:val="4"/>
                <w:szCs w:val="4"/>
              </w:rPr>
            </w:r>
          </w:p>
        </w:tc>
        <w:tc>
          <w:tcPr>
            <w:tcW w:w="21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70" w:type="dxa"/>
            <w:tcBorders/>
            <w:shd w:fill="CCE2F1" w:val="clear"/>
            <w:vAlign w:val="center"/>
          </w:tcPr>
          <w:p>
            <w:pPr>
              <w:pStyle w:val="TableContents"/>
              <w:bidi w:val="0"/>
              <w:spacing w:before="0" w:after="283"/>
              <w:jc w:val="left"/>
              <w:rPr>
                <w:sz w:val="4"/>
                <w:szCs w:val="4"/>
              </w:rPr>
            </w:pPr>
            <w:r>
              <w:rPr>
                <w:sz w:val="4"/>
                <w:szCs w:val="4"/>
              </w:rPr>
            </w:r>
          </w:p>
        </w:tc>
        <w:tc>
          <w:tcPr>
            <w:tcW w:w="1300" w:type="dxa"/>
            <w:tcBorders/>
            <w:shd w:fill="CCE2F1" w:val="clear"/>
            <w:vAlign w:val="center"/>
          </w:tcPr>
          <w:p>
            <w:pPr>
              <w:pStyle w:val="TableContents"/>
              <w:bidi w:val="0"/>
              <w:spacing w:before="0" w:after="283"/>
              <w:jc w:val="left"/>
              <w:rPr>
                <w:sz w:val="4"/>
                <w:szCs w:val="4"/>
              </w:rPr>
            </w:pPr>
            <w:r>
              <w:rPr>
                <w:sz w:val="4"/>
                <w:szCs w:val="4"/>
              </w:rPr>
            </w:r>
          </w:p>
        </w:tc>
        <w:tc>
          <w:tcPr>
            <w:tcW w:w="75" w:type="dxa"/>
            <w:tcBorders/>
            <w:shd w:fill="CCE2F1" w:val="clear"/>
            <w:vAlign w:val="center"/>
          </w:tcPr>
          <w:p>
            <w:pPr>
              <w:pStyle w:val="TableContents"/>
              <w:bidi w:val="0"/>
              <w:spacing w:before="0" w:after="283"/>
              <w:jc w:val="left"/>
              <w:rPr>
                <w:sz w:val="4"/>
                <w:szCs w:val="4"/>
              </w:rPr>
            </w:pPr>
            <w:r>
              <w:rPr>
                <w:sz w:val="4"/>
                <w:szCs w:val="4"/>
              </w:rPr>
            </w:r>
          </w:p>
        </w:tc>
      </w:tr>
      <w:tr>
        <w:trPr/>
        <w:tc>
          <w:tcPr>
            <w:tcW w:w="68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90" w:type="dxa"/>
            <w:tcBorders/>
            <w:shd w:fill="CCE2F1" w:val="clear"/>
            <w:vAlign w:val="center"/>
          </w:tcPr>
          <w:p>
            <w:pPr>
              <w:pStyle w:val="TableContents"/>
              <w:bidi w:val="0"/>
              <w:spacing w:before="0" w:after="283"/>
              <w:jc w:val="left"/>
              <w:rPr/>
            </w:pPr>
            <w:r>
              <w:rPr/>
              <w:t> </w:t>
            </w:r>
          </w:p>
        </w:tc>
        <w:tc>
          <w:tcPr>
            <w:tcW w:w="1205" w:type="dxa"/>
            <w:tcBorders/>
            <w:shd w:fill="CCE2F1" w:val="clear"/>
            <w:vAlign w:val="center"/>
          </w:tcPr>
          <w:p>
            <w:pPr>
              <w:pStyle w:val="TableContents"/>
              <w:bidi w:val="0"/>
              <w:spacing w:before="0" w:after="283"/>
              <w:jc w:val="right"/>
              <w:rPr/>
            </w:pPr>
            <w:r>
              <w:rPr/>
              <w:t>8,711</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pPr>
            <w:r>
              <w:rPr/>
              <w:t> </w:t>
            </w:r>
          </w:p>
        </w:tc>
        <w:tc>
          <w:tcPr>
            <w:tcW w:w="1442"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9" w:type="dxa"/>
            <w:tcBorders/>
            <w:shd w:fill="CCE2F1" w:val="clear"/>
            <w:vAlign w:val="center"/>
          </w:tcPr>
          <w:p>
            <w:pPr>
              <w:pStyle w:val="TableContents"/>
              <w:bidi w:val="0"/>
              <w:spacing w:before="0" w:after="283"/>
              <w:jc w:val="left"/>
              <w:rPr/>
            </w:pPr>
            <w:r>
              <w:rPr/>
              <w:t> </w:t>
            </w:r>
          </w:p>
        </w:tc>
        <w:tc>
          <w:tcPr>
            <w:tcW w:w="901" w:type="dxa"/>
            <w:tcBorders/>
            <w:shd w:fill="CCE2F1" w:val="clear"/>
            <w:vAlign w:val="center"/>
          </w:tcPr>
          <w:p>
            <w:pPr>
              <w:pStyle w:val="TableContents"/>
              <w:bidi w:val="0"/>
              <w:spacing w:before="0" w:after="283"/>
              <w:jc w:val="right"/>
              <w:rPr/>
            </w:pPr>
            <w:r>
              <w:rPr/>
              <w:t>156.35</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55" w:type="dxa"/>
            <w:tcBorders/>
            <w:shd w:fill="CCE2F1" w:val="clear"/>
            <w:vAlign w:val="center"/>
          </w:tcPr>
          <w:p>
            <w:pPr>
              <w:pStyle w:val="TableContents"/>
              <w:bidi w:val="0"/>
              <w:spacing w:before="0" w:after="283"/>
              <w:jc w:val="right"/>
              <w:rPr/>
            </w:pPr>
            <w:r>
              <w:rPr/>
              <w:t>5/3/2026</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8" w:type="dxa"/>
            <w:tcBorders/>
            <w:shd w:fill="CCE2F1" w:val="clear"/>
            <w:vAlign w:val="center"/>
          </w:tcPr>
          <w:p>
            <w:pPr>
              <w:pStyle w:val="TableContents"/>
              <w:bidi w:val="0"/>
              <w:spacing w:before="0" w:after="283"/>
              <w:jc w:val="left"/>
              <w:rPr>
                <w:sz w:val="4"/>
                <w:szCs w:val="4"/>
              </w:rPr>
            </w:pPr>
            <w:r>
              <w:rPr>
                <w:sz w:val="4"/>
                <w:szCs w:val="4"/>
              </w:rPr>
            </w:r>
          </w:p>
        </w:tc>
        <w:tc>
          <w:tcPr>
            <w:tcW w:w="887"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8" w:type="dxa"/>
            <w:tcBorders/>
            <w:shd w:fill="CCE2F1" w:val="clear"/>
            <w:vAlign w:val="center"/>
          </w:tcPr>
          <w:p>
            <w:pPr>
              <w:pStyle w:val="TableContents"/>
              <w:bidi w:val="0"/>
              <w:spacing w:before="0" w:after="283"/>
              <w:jc w:val="left"/>
              <w:rPr>
                <w:sz w:val="4"/>
                <w:szCs w:val="4"/>
              </w:rPr>
            </w:pPr>
            <w:r>
              <w:rPr>
                <w:sz w:val="4"/>
                <w:szCs w:val="4"/>
              </w:rPr>
            </w:r>
          </w:p>
        </w:tc>
        <w:tc>
          <w:tcPr>
            <w:tcW w:w="1257"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sz w:val="4"/>
                <w:szCs w:val="4"/>
              </w:rPr>
            </w:pPr>
            <w:r>
              <w:rPr>
                <w:sz w:val="4"/>
                <w:szCs w:val="4"/>
              </w:rPr>
            </w:r>
          </w:p>
        </w:tc>
        <w:tc>
          <w:tcPr>
            <w:tcW w:w="1232" w:type="dxa"/>
            <w:tcBorders/>
            <w:shd w:fill="CCE2F1" w:val="clear"/>
            <w:vAlign w:val="center"/>
          </w:tcPr>
          <w:p>
            <w:pPr>
              <w:pStyle w:val="TableContents"/>
              <w:bidi w:val="0"/>
              <w:spacing w:before="0" w:after="283"/>
              <w:jc w:val="left"/>
              <w:rPr>
                <w:sz w:val="4"/>
                <w:szCs w:val="4"/>
              </w:rPr>
            </w:pPr>
            <w:r>
              <w:rPr>
                <w:sz w:val="4"/>
                <w:szCs w:val="4"/>
              </w:rPr>
            </w:r>
          </w:p>
        </w:tc>
        <w:tc>
          <w:tcPr>
            <w:tcW w:w="21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70" w:type="dxa"/>
            <w:tcBorders/>
            <w:shd w:fill="CCE2F1" w:val="clear"/>
            <w:vAlign w:val="center"/>
          </w:tcPr>
          <w:p>
            <w:pPr>
              <w:pStyle w:val="TableContents"/>
              <w:bidi w:val="0"/>
              <w:spacing w:before="0" w:after="283"/>
              <w:jc w:val="left"/>
              <w:rPr>
                <w:sz w:val="4"/>
                <w:szCs w:val="4"/>
              </w:rPr>
            </w:pPr>
            <w:r>
              <w:rPr>
                <w:sz w:val="4"/>
                <w:szCs w:val="4"/>
              </w:rPr>
            </w:r>
          </w:p>
        </w:tc>
        <w:tc>
          <w:tcPr>
            <w:tcW w:w="1300" w:type="dxa"/>
            <w:tcBorders/>
            <w:shd w:fill="CCE2F1" w:val="clear"/>
            <w:vAlign w:val="center"/>
          </w:tcPr>
          <w:p>
            <w:pPr>
              <w:pStyle w:val="TableContents"/>
              <w:bidi w:val="0"/>
              <w:spacing w:before="0" w:after="283"/>
              <w:jc w:val="left"/>
              <w:rPr>
                <w:sz w:val="4"/>
                <w:szCs w:val="4"/>
              </w:rPr>
            </w:pPr>
            <w:r>
              <w:rPr>
                <w:sz w:val="4"/>
                <w:szCs w:val="4"/>
              </w:rPr>
            </w:r>
          </w:p>
        </w:tc>
        <w:tc>
          <w:tcPr>
            <w:tcW w:w="75" w:type="dxa"/>
            <w:tcBorders/>
            <w:shd w:fill="CCE2F1" w:val="clear"/>
            <w:vAlign w:val="center"/>
          </w:tcPr>
          <w:p>
            <w:pPr>
              <w:pStyle w:val="TableContents"/>
              <w:bidi w:val="0"/>
              <w:spacing w:before="0" w:after="283"/>
              <w:jc w:val="left"/>
              <w:rPr>
                <w:sz w:val="4"/>
                <w:szCs w:val="4"/>
              </w:rPr>
            </w:pPr>
            <w:r>
              <w:rPr>
                <w:sz w:val="4"/>
                <w:szCs w:val="4"/>
              </w:rPr>
            </w:r>
          </w:p>
        </w:tc>
      </w:tr>
      <w:tr>
        <w:trPr/>
        <w:tc>
          <w:tcPr>
            <w:tcW w:w="68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9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1205"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108"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1442"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79"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901"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1055"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78"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887"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8"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1257"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108"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1232"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215"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7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130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75"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88  </w:t>
      </w:r>
      <w:r>
        <w:rPr>
          <w:rFonts w:ascii="arial" w:hAnsi="arial"/>
          <w:b/>
          <w:color w:val="474747"/>
          <w:sz w:val="22"/>
        </w:rPr>
        <w:drawing>
          <wp:inline distT="0" distB="0" distL="0" distR="0">
            <wp:extent cx="64770" cy="15240"/>
            <wp:effectExtent l="0" t="0" r="0" b="0"/>
            <wp:docPr id="315"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151" descr=""/>
                    <pic:cNvPicPr>
                      <a:picLocks noChangeAspect="1" noChangeArrowheads="1"/>
                    </pic:cNvPicPr>
                  </pic:nvPicPr>
                  <pic:blipFill>
                    <a:blip r:embed="rId164"/>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419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371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1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371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Executive Compensation Tables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(1) </w:t>
            </w:r>
          </w:p>
        </w:tc>
        <w:tc>
          <w:tcPr>
            <w:tcW w:w="9940" w:type="dxa"/>
            <w:tcBorders/>
            <w:vAlign w:val="center"/>
          </w:tcPr>
          <w:p>
            <w:pPr>
              <w:pStyle w:val="TableContents"/>
              <w:bidi w:val="0"/>
              <w:spacing w:before="0" w:after="0"/>
              <w:jc w:val="both"/>
              <w:rPr>
                <w:rFonts w:ascii="arial" w:hAnsi="arial"/>
                <w:sz w:val="16"/>
              </w:rPr>
            </w:pPr>
            <w:r>
              <w:rPr>
                <w:rFonts w:ascii="arial" w:hAnsi="arial"/>
                <w:sz w:val="16"/>
              </w:rPr>
              <w:t xml:space="preserve">In general, stock options expire on the tenth anniversary of their grant date. If a retirement-eligible staff member retires, their stock options continue to vest and expire on the earlier of: (i) the fifth anniversary of their retirement date; or (ii) the end of the option term. Stock options vest at a rate of approximately 33%, 33%, and 34% on the second, third, and fourth anniversaries of the grant date, respectively. The grant date is 10 years preceding the expiration date in the table.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(2) </w:t>
            </w:r>
          </w:p>
        </w:tc>
        <w:tc>
          <w:tcPr>
            <w:tcW w:w="9926" w:type="dxa"/>
            <w:tcBorders/>
            <w:vAlign w:val="center"/>
          </w:tcPr>
          <w:p>
            <w:pPr>
              <w:pStyle w:val="TableContents"/>
              <w:bidi w:val="0"/>
              <w:spacing w:before="0" w:after="0"/>
              <w:jc w:val="both"/>
              <w:rPr>
                <w:rFonts w:ascii="arial" w:hAnsi="arial"/>
                <w:sz w:val="16"/>
              </w:rPr>
            </w:pPr>
            <w:r>
              <w:rPr>
                <w:rFonts w:ascii="arial" w:hAnsi="arial"/>
                <w:sz w:val="16"/>
              </w:rPr>
              <w:t xml:space="preserve">The following table shows the vesting of RSUs and related accrued dividend equivalents (rounded down to the nearest whole number of units) outstanding as of December 31, 2023. RSUs accrue dividends that are deemed reinvested in shares and payable only when, and to the extent that, the underlying RSUs vest and are issued to the participant. </w:t>
            </w:r>
          </w:p>
        </w:tc>
      </w:tr>
    </w:tbl>
    <w:p>
      <w:pPr>
        <w:pStyle w:val="TextBody"/>
        <w:bidi w:val="0"/>
        <w:spacing w:before="0" w:after="0"/>
        <w:jc w:val="left"/>
        <w:rPr/>
      </w:pPr>
      <w:r>
        <w:rPr/>
        <w:t> </w:t>
      </w:r>
    </w:p>
    <w:tbl>
      <w:tblPr>
        <w:tblW w:w="5617" w:type="dxa"/>
        <w:jc w:val="left"/>
        <w:tblInd w:w="0" w:type="dxa"/>
        <w:tblLayout w:type="fixed"/>
        <w:tblCellMar>
          <w:top w:w="0" w:type="dxa"/>
          <w:left w:w="0" w:type="dxa"/>
          <w:bottom w:w="0" w:type="dxa"/>
          <w:right w:w="0" w:type="dxa"/>
        </w:tblCellMar>
      </w:tblPr>
      <w:tblGrid>
        <w:gridCol w:w="1670"/>
        <w:gridCol w:w="120"/>
        <w:gridCol w:w="69"/>
        <w:gridCol w:w="700"/>
        <w:gridCol w:w="60"/>
        <w:gridCol w:w="120"/>
        <w:gridCol w:w="69"/>
        <w:gridCol w:w="700"/>
        <w:gridCol w:w="60"/>
        <w:gridCol w:w="120"/>
        <w:gridCol w:w="98"/>
        <w:gridCol w:w="822"/>
        <w:gridCol w:w="60"/>
        <w:gridCol w:w="120"/>
        <w:gridCol w:w="80"/>
        <w:gridCol w:w="674"/>
        <w:gridCol w:w="75"/>
      </w:tblGrid>
      <w:tr>
        <w:trPr/>
        <w:tc>
          <w:tcPr>
            <w:tcW w:w="1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70" w:type="dxa"/>
            <w:tcBorders/>
            <w:shd w:fill="0171B9" w:val="clear"/>
            <w:vAlign w:val="center"/>
          </w:tcPr>
          <w:p>
            <w:pPr>
              <w:pStyle w:val="TableContents"/>
              <w:bidi w:val="0"/>
              <w:spacing w:before="0" w:after="283"/>
              <w:jc w:val="left"/>
              <w:rPr>
                <w:sz w:val="4"/>
                <w:szCs w:val="4"/>
              </w:rPr>
            </w:pPr>
            <w:r>
              <w:rPr>
                <w:sz w:val="4"/>
                <w:szCs w:val="4"/>
              </w:rPr>
            </w:r>
          </w:p>
        </w:tc>
        <w:tc>
          <w:tcPr>
            <w:tcW w:w="3947" w:type="dxa"/>
            <w:gridSpan w:val="16"/>
            <w:tcBorders/>
            <w:shd w:fill="0171B9" w:val="clear"/>
            <w:vAlign w:val="center"/>
          </w:tcPr>
          <w:p>
            <w:pPr>
              <w:pStyle w:val="TableContents"/>
              <w:bidi w:val="0"/>
              <w:spacing w:before="0" w:after="283"/>
              <w:jc w:val="left"/>
              <w:rPr>
                <w:sz w:val="4"/>
                <w:szCs w:val="4"/>
              </w:rPr>
            </w:pPr>
            <w:r>
              <w:rPr>
                <w:sz w:val="4"/>
                <w:szCs w:val="4"/>
              </w:rPr>
            </w:r>
          </w:p>
        </w:tc>
      </w:tr>
      <w:tr>
        <w:trPr/>
        <w:tc>
          <w:tcPr>
            <w:tcW w:w="1670" w:type="dxa"/>
            <w:tcBorders/>
            <w:shd w:fill="0171B9" w:val="clear"/>
            <w:vAlign w:val="center"/>
          </w:tcPr>
          <w:p>
            <w:pPr>
              <w:pStyle w:val="TableContents"/>
              <w:bidi w:val="0"/>
              <w:spacing w:before="0" w:after="283"/>
              <w:jc w:val="left"/>
              <w:rPr/>
            </w:pPr>
            <w:r>
              <w:rPr/>
              <w:t> </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3752" w:type="dxa"/>
            <w:gridSpan w:val="14"/>
            <w:tcBorders>
              <w:bottom w:val="single" w:sz="8" w:space="0" w:color="FFFFFF"/>
            </w:tcBorders>
            <w:shd w:fill="0171B9" w:val="clear"/>
            <w:tcMar>
              <w:bottom w:w="40" w:type="dxa"/>
            </w:tcMar>
            <w:vAlign w:val="center"/>
          </w:tcPr>
          <w:p>
            <w:pPr>
              <w:pStyle w:val="TableContents"/>
              <w:bidi w:val="0"/>
              <w:spacing w:before="0" w:after="283"/>
              <w:jc w:val="center"/>
              <w:rPr>
                <w:b/>
                <w:color w:val="FFFFFF"/>
              </w:rPr>
            </w:pPr>
            <w:r>
              <w:rPr>
                <w:b/>
                <w:color w:val="FFFFFF"/>
              </w:rPr>
              <w:t>Granted on</w:t>
            </w:r>
          </w:p>
        </w:tc>
        <w:tc>
          <w:tcPr>
            <w:tcW w:w="75"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r>
      <w:tr>
        <w:trPr/>
        <w:tc>
          <w:tcPr>
            <w:tcW w:w="1670" w:type="dxa"/>
            <w:tcBorders/>
            <w:shd w:fill="0171B9" w:val="clear"/>
            <w:vAlign w:val="center"/>
          </w:tcPr>
          <w:p>
            <w:pPr>
              <w:pStyle w:val="TableContents"/>
              <w:bidi w:val="0"/>
              <w:spacing w:before="0" w:after="283"/>
              <w:jc w:val="left"/>
              <w:rPr>
                <w:sz w:val="4"/>
                <w:szCs w:val="4"/>
              </w:rPr>
            </w:pPr>
            <w:r>
              <w:rPr>
                <w:sz w:val="4"/>
                <w:szCs w:val="4"/>
              </w:rPr>
            </w:r>
          </w:p>
        </w:tc>
        <w:tc>
          <w:tcPr>
            <w:tcW w:w="949" w:type="dxa"/>
            <w:gridSpan w:val="4"/>
            <w:tcBorders/>
            <w:shd w:fill="0171B9" w:val="clear"/>
            <w:vAlign w:val="center"/>
          </w:tcPr>
          <w:p>
            <w:pPr>
              <w:pStyle w:val="TableContents"/>
              <w:bidi w:val="0"/>
              <w:spacing w:before="0" w:after="283"/>
              <w:jc w:val="left"/>
              <w:rPr>
                <w:sz w:val="4"/>
                <w:szCs w:val="4"/>
              </w:rPr>
            </w:pPr>
            <w:r>
              <w:rPr>
                <w:sz w:val="4"/>
                <w:szCs w:val="4"/>
              </w:rPr>
            </w:r>
          </w:p>
        </w:tc>
        <w:tc>
          <w:tcPr>
            <w:tcW w:w="949" w:type="dxa"/>
            <w:gridSpan w:val="4"/>
            <w:tcBorders/>
            <w:shd w:fill="0171B9" w:val="clear"/>
            <w:vAlign w:val="center"/>
          </w:tcPr>
          <w:p>
            <w:pPr>
              <w:pStyle w:val="TableContents"/>
              <w:bidi w:val="0"/>
              <w:spacing w:before="0" w:after="283"/>
              <w:jc w:val="left"/>
              <w:rPr>
                <w:sz w:val="4"/>
                <w:szCs w:val="4"/>
              </w:rPr>
            </w:pPr>
            <w:r>
              <w:rPr>
                <w:sz w:val="4"/>
                <w:szCs w:val="4"/>
              </w:rPr>
            </w:r>
          </w:p>
        </w:tc>
        <w:tc>
          <w:tcPr>
            <w:tcW w:w="1100" w:type="dxa"/>
            <w:gridSpan w:val="4"/>
            <w:tcBorders/>
            <w:shd w:fill="0171B9" w:val="clear"/>
            <w:vAlign w:val="center"/>
          </w:tcPr>
          <w:p>
            <w:pPr>
              <w:pStyle w:val="TableContents"/>
              <w:bidi w:val="0"/>
              <w:spacing w:before="0" w:after="283"/>
              <w:jc w:val="left"/>
              <w:rPr>
                <w:sz w:val="4"/>
                <w:szCs w:val="4"/>
              </w:rPr>
            </w:pPr>
            <w:r>
              <w:rPr>
                <w:sz w:val="4"/>
                <w:szCs w:val="4"/>
              </w:rPr>
            </w:r>
          </w:p>
        </w:tc>
        <w:tc>
          <w:tcPr>
            <w:tcW w:w="949" w:type="dxa"/>
            <w:gridSpan w:val="4"/>
            <w:tcBorders/>
            <w:shd w:fill="0171B9" w:val="clear"/>
            <w:vAlign w:val="center"/>
          </w:tcPr>
          <w:p>
            <w:pPr>
              <w:pStyle w:val="TableContents"/>
              <w:bidi w:val="0"/>
              <w:spacing w:before="0" w:after="283"/>
              <w:jc w:val="left"/>
              <w:rPr>
                <w:sz w:val="4"/>
                <w:szCs w:val="4"/>
              </w:rPr>
            </w:pPr>
            <w:r>
              <w:rPr>
                <w:sz w:val="4"/>
                <w:szCs w:val="4"/>
              </w:rPr>
            </w:r>
          </w:p>
        </w:tc>
      </w:tr>
      <w:tr>
        <w:trPr/>
        <w:tc>
          <w:tcPr>
            <w:tcW w:w="1670" w:type="dxa"/>
            <w:tcBorders>
              <w:bottom w:val="single" w:sz="8" w:space="0" w:color="FFFFFF"/>
            </w:tcBorders>
            <w:shd w:fill="0171B9" w:val="clear"/>
            <w:tcMar>
              <w:bottom w:w="28" w:type="dxa"/>
            </w:tcMar>
            <w:vAlign w:val="center"/>
          </w:tcPr>
          <w:p>
            <w:pPr>
              <w:pStyle w:val="TableContents"/>
              <w:bidi w:val="0"/>
              <w:spacing w:before="0" w:after="283"/>
              <w:jc w:val="left"/>
              <w:rPr>
                <w:color w:val="FFFFFF"/>
              </w:rPr>
            </w:pPr>
            <w:r>
              <w:rPr>
                <w:color w:val="FFFFFF"/>
              </w:rPr>
              <w:t> </w:t>
            </w:r>
            <w:r>
              <w:rPr>
                <w:b/>
                <w:color w:val="FFFFFF"/>
              </w:rPr>
              <w:t>Name</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769" w:type="dxa"/>
            <w:gridSpan w:val="2"/>
            <w:tcBorders>
              <w:bottom w:val="single" w:sz="8" w:space="0" w:color="FFFFFF"/>
            </w:tcBorders>
            <w:shd w:fill="0171B9" w:val="clear"/>
            <w:tcMar>
              <w:bottom w:w="28" w:type="dxa"/>
            </w:tcMar>
            <w:vAlign w:val="center"/>
          </w:tcPr>
          <w:p>
            <w:pPr>
              <w:pStyle w:val="TableContents"/>
              <w:bidi w:val="0"/>
              <w:spacing w:before="0" w:after="283"/>
              <w:jc w:val="right"/>
              <w:rPr>
                <w:b/>
                <w:color w:val="FFFFFF"/>
              </w:rPr>
            </w:pPr>
            <w:r>
              <w:rPr>
                <w:b/>
                <w:color w:val="FFFFFF"/>
              </w:rPr>
              <w:t>May 2,</w:t>
              <w:br/>
              <w:t>2023(a)</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769" w:type="dxa"/>
            <w:gridSpan w:val="2"/>
            <w:tcBorders>
              <w:bottom w:val="single" w:sz="8" w:space="0" w:color="FFFFFF"/>
            </w:tcBorders>
            <w:shd w:fill="0171B9" w:val="clear"/>
            <w:tcMar>
              <w:bottom w:w="28" w:type="dxa"/>
            </w:tcMar>
            <w:vAlign w:val="center"/>
          </w:tcPr>
          <w:p>
            <w:pPr>
              <w:pStyle w:val="TableContents"/>
              <w:bidi w:val="0"/>
              <w:spacing w:before="0" w:after="283"/>
              <w:jc w:val="right"/>
              <w:rPr>
                <w:b/>
                <w:color w:val="FFFFFF"/>
              </w:rPr>
            </w:pPr>
            <w:r>
              <w:rPr>
                <w:b/>
                <w:color w:val="FFFFFF"/>
              </w:rPr>
              <w:t>May 2,</w:t>
              <w:br/>
              <w:t>2022(a)</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920" w:type="dxa"/>
            <w:gridSpan w:val="2"/>
            <w:tcBorders>
              <w:bottom w:val="single" w:sz="8" w:space="0" w:color="FFFFFF"/>
            </w:tcBorders>
            <w:shd w:fill="0171B9" w:val="clear"/>
            <w:tcMar>
              <w:bottom w:w="28" w:type="dxa"/>
            </w:tcMar>
            <w:vAlign w:val="center"/>
          </w:tcPr>
          <w:p>
            <w:pPr>
              <w:pStyle w:val="TableContents"/>
              <w:bidi w:val="0"/>
              <w:spacing w:before="0" w:after="283"/>
              <w:jc w:val="right"/>
              <w:rPr>
                <w:b/>
                <w:color w:val="FFFFFF"/>
              </w:rPr>
            </w:pPr>
            <w:r>
              <w:rPr>
                <w:b/>
                <w:color w:val="FFFFFF"/>
              </w:rPr>
              <w:t>April 30,</w:t>
              <w:br/>
              <w:t>2021(b)</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754" w:type="dxa"/>
            <w:gridSpan w:val="2"/>
            <w:tcBorders>
              <w:bottom w:val="single" w:sz="8" w:space="0" w:color="FFFFFF"/>
            </w:tcBorders>
            <w:shd w:fill="0171B9" w:val="clear"/>
            <w:tcMar>
              <w:bottom w:w="28" w:type="dxa"/>
            </w:tcMar>
            <w:vAlign w:val="center"/>
          </w:tcPr>
          <w:p>
            <w:pPr>
              <w:pStyle w:val="TableContents"/>
              <w:bidi w:val="0"/>
              <w:spacing w:before="0" w:after="283"/>
              <w:jc w:val="right"/>
              <w:rPr>
                <w:b/>
                <w:color w:val="FFFFFF"/>
              </w:rPr>
            </w:pPr>
            <w:r>
              <w:rPr>
                <w:b/>
                <w:color w:val="FFFFFF"/>
              </w:rPr>
              <w:t>May 5,</w:t>
              <w:br/>
              <w:t>2020(c)</w:t>
            </w:r>
          </w:p>
        </w:tc>
        <w:tc>
          <w:tcPr>
            <w:tcW w:w="75"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r>
      <w:tr>
        <w:trPr/>
        <w:tc>
          <w:tcPr>
            <w:tcW w:w="1670" w:type="dxa"/>
            <w:tcBorders/>
            <w:shd w:fill="CCE2F1" w:val="clear"/>
            <w:vAlign w:val="center"/>
          </w:tcPr>
          <w:p>
            <w:pPr>
              <w:pStyle w:val="TableContents"/>
              <w:bidi w:val="0"/>
              <w:spacing w:lineRule="atLeast" w:line="300" w:before="0" w:after="0"/>
              <w:jc w:val="left"/>
              <w:rPr>
                <w:rFonts w:ascii="arial" w:hAnsi="arial"/>
                <w:sz w:val="19"/>
              </w:rPr>
            </w:pPr>
            <w:r>
              <w:rPr>
                <w:rFonts w:ascii="arial" w:hAnsi="arial"/>
                <w:sz w:val="19"/>
              </w:rPr>
              <w:t>Robert A. Bradway</w:t>
            </w:r>
          </w:p>
        </w:tc>
        <w:tc>
          <w:tcPr>
            <w:tcW w:w="120" w:type="dxa"/>
            <w:tcBorders/>
            <w:shd w:fill="CCE2F1" w:val="clear"/>
            <w:vAlign w:val="center"/>
          </w:tcPr>
          <w:p>
            <w:pPr>
              <w:pStyle w:val="TableContents"/>
              <w:bidi w:val="0"/>
              <w:spacing w:before="0" w:after="283"/>
              <w:jc w:val="left"/>
              <w:rPr/>
            </w:pPr>
            <w:r>
              <w:rPr/>
              <w:t>  </w:t>
            </w:r>
          </w:p>
        </w:tc>
        <w:tc>
          <w:tcPr>
            <w:tcW w:w="69" w:type="dxa"/>
            <w:tcBorders/>
            <w:shd w:fill="CCE2F1" w:val="clear"/>
            <w:vAlign w:val="center"/>
          </w:tcPr>
          <w:p>
            <w:pPr>
              <w:pStyle w:val="TableContents"/>
              <w:bidi w:val="0"/>
              <w:spacing w:lineRule="atLeast" w:line="300" w:before="0" w:after="0"/>
              <w:jc w:val="left"/>
              <w:rPr/>
            </w:pPr>
            <w:r>
              <w:rPr/>
              <w:t> </w:t>
            </w:r>
          </w:p>
        </w:tc>
        <w:tc>
          <w:tcPr>
            <w:tcW w:w="700" w:type="dxa"/>
            <w:tcBorders/>
            <w:shd w:fill="CCE2F1" w:val="clear"/>
            <w:vAlign w:val="center"/>
          </w:tcPr>
          <w:p>
            <w:pPr>
              <w:pStyle w:val="TableContents"/>
              <w:bidi w:val="0"/>
              <w:spacing w:lineRule="atLeast" w:line="300" w:before="0" w:after="0"/>
              <w:jc w:val="right"/>
              <w:rPr>
                <w:rFonts w:ascii="arial" w:hAnsi="arial"/>
                <w:sz w:val="19"/>
              </w:rPr>
            </w:pPr>
            <w:r>
              <w:rPr>
                <w:rFonts w:ascii="arial" w:hAnsi="arial"/>
                <w:sz w:val="19"/>
              </w:rPr>
              <w:t>13,837</w:t>
            </w:r>
          </w:p>
        </w:tc>
        <w:tc>
          <w:tcPr>
            <w:tcW w:w="60" w:type="dxa"/>
            <w:tcBorders/>
            <w:shd w:fill="CCE2F1" w:val="clear"/>
            <w:vAlign w:val="center"/>
          </w:tcPr>
          <w:p>
            <w:pPr>
              <w:pStyle w:val="TableContents"/>
              <w:bidi w:val="0"/>
              <w:spacing w:lineRule="atLeast" w:line="300" w:before="0" w:after="0"/>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9" w:type="dxa"/>
            <w:tcBorders/>
            <w:shd w:fill="CCE2F1" w:val="clear"/>
            <w:vAlign w:val="center"/>
          </w:tcPr>
          <w:p>
            <w:pPr>
              <w:pStyle w:val="TableContents"/>
              <w:bidi w:val="0"/>
              <w:spacing w:lineRule="atLeast" w:line="300" w:before="0" w:after="0"/>
              <w:jc w:val="left"/>
              <w:rPr/>
            </w:pPr>
            <w:r>
              <w:rPr/>
              <w:t> </w:t>
            </w:r>
          </w:p>
        </w:tc>
        <w:tc>
          <w:tcPr>
            <w:tcW w:w="700" w:type="dxa"/>
            <w:tcBorders/>
            <w:shd w:fill="CCE2F1" w:val="clear"/>
            <w:vAlign w:val="center"/>
          </w:tcPr>
          <w:p>
            <w:pPr>
              <w:pStyle w:val="TableContents"/>
              <w:bidi w:val="0"/>
              <w:spacing w:lineRule="atLeast" w:line="300" w:before="0" w:after="0"/>
              <w:jc w:val="right"/>
              <w:rPr>
                <w:rFonts w:ascii="arial" w:hAnsi="arial"/>
                <w:sz w:val="19"/>
              </w:rPr>
            </w:pPr>
            <w:r>
              <w:rPr>
                <w:rFonts w:ascii="arial" w:hAnsi="arial"/>
                <w:sz w:val="19"/>
              </w:rPr>
              <w:t>14,597</w:t>
            </w:r>
          </w:p>
        </w:tc>
        <w:tc>
          <w:tcPr>
            <w:tcW w:w="60" w:type="dxa"/>
            <w:tcBorders/>
            <w:shd w:fill="CCE2F1" w:val="clear"/>
            <w:vAlign w:val="center"/>
          </w:tcPr>
          <w:p>
            <w:pPr>
              <w:pStyle w:val="TableContents"/>
              <w:bidi w:val="0"/>
              <w:spacing w:lineRule="atLeast" w:line="300" w:before="0" w:after="0"/>
              <w:jc w:val="left"/>
              <w:rPr/>
            </w:pPr>
            <w:r>
              <w:rPr/>
              <w:t> </w:t>
            </w:r>
          </w:p>
        </w:tc>
        <w:tc>
          <w:tcPr>
            <w:tcW w:w="120" w:type="dxa"/>
            <w:tcBorders/>
            <w:shd w:fill="CCE2F1" w:val="clear"/>
            <w:vAlign w:val="center"/>
          </w:tcPr>
          <w:p>
            <w:pPr>
              <w:pStyle w:val="TableContents"/>
              <w:bidi w:val="0"/>
              <w:spacing w:before="0" w:after="283"/>
              <w:jc w:val="left"/>
              <w:rPr/>
            </w:pPr>
            <w:r>
              <w:rPr/>
              <w:t>  </w:t>
            </w:r>
          </w:p>
        </w:tc>
        <w:tc>
          <w:tcPr>
            <w:tcW w:w="98" w:type="dxa"/>
            <w:tcBorders/>
            <w:shd w:fill="CCE2F1" w:val="clear"/>
            <w:vAlign w:val="center"/>
          </w:tcPr>
          <w:p>
            <w:pPr>
              <w:pStyle w:val="TableContents"/>
              <w:bidi w:val="0"/>
              <w:spacing w:lineRule="atLeast" w:line="300" w:before="0" w:after="0"/>
              <w:jc w:val="left"/>
              <w:rPr/>
            </w:pPr>
            <w:r>
              <w:rPr/>
              <w:t> </w:t>
            </w:r>
          </w:p>
        </w:tc>
        <w:tc>
          <w:tcPr>
            <w:tcW w:w="822" w:type="dxa"/>
            <w:tcBorders/>
            <w:shd w:fill="CCE2F1" w:val="clear"/>
            <w:vAlign w:val="center"/>
          </w:tcPr>
          <w:p>
            <w:pPr>
              <w:pStyle w:val="TableContents"/>
              <w:bidi w:val="0"/>
              <w:spacing w:lineRule="atLeast" w:line="300" w:before="0" w:after="0"/>
              <w:jc w:val="right"/>
              <w:rPr>
                <w:rFonts w:ascii="arial" w:hAnsi="arial"/>
                <w:sz w:val="19"/>
              </w:rPr>
            </w:pPr>
            <w:r>
              <w:rPr>
                <w:rFonts w:ascii="arial" w:hAnsi="arial"/>
                <w:sz w:val="19"/>
              </w:rPr>
              <w:t>9,730</w:t>
            </w:r>
          </w:p>
        </w:tc>
        <w:tc>
          <w:tcPr>
            <w:tcW w:w="60" w:type="dxa"/>
            <w:tcBorders/>
            <w:shd w:fill="CCE2F1" w:val="clear"/>
            <w:vAlign w:val="center"/>
          </w:tcPr>
          <w:p>
            <w:pPr>
              <w:pStyle w:val="TableContents"/>
              <w:bidi w:val="0"/>
              <w:spacing w:lineRule="atLeast" w:line="300" w:before="0" w:after="0"/>
              <w:jc w:val="left"/>
              <w:rPr/>
            </w:pPr>
            <w:r>
              <w:rPr/>
              <w:t> </w:t>
            </w:r>
          </w:p>
        </w:tc>
        <w:tc>
          <w:tcPr>
            <w:tcW w:w="120" w:type="dxa"/>
            <w:tcBorders/>
            <w:shd w:fill="CCE2F1" w:val="clear"/>
            <w:vAlign w:val="center"/>
          </w:tcPr>
          <w:p>
            <w:pPr>
              <w:pStyle w:val="TableContents"/>
              <w:bidi w:val="0"/>
              <w:spacing w:before="0" w:after="283"/>
              <w:jc w:val="left"/>
              <w:rPr/>
            </w:pPr>
            <w:r>
              <w:rPr/>
              <w:t>  </w:t>
            </w:r>
          </w:p>
        </w:tc>
        <w:tc>
          <w:tcPr>
            <w:tcW w:w="80" w:type="dxa"/>
            <w:tcBorders/>
            <w:shd w:fill="CCE2F1" w:val="clear"/>
            <w:vAlign w:val="center"/>
          </w:tcPr>
          <w:p>
            <w:pPr>
              <w:pStyle w:val="TableContents"/>
              <w:bidi w:val="0"/>
              <w:spacing w:lineRule="atLeast" w:line="300" w:before="0" w:after="0"/>
              <w:jc w:val="left"/>
              <w:rPr/>
            </w:pPr>
            <w:r>
              <w:rPr/>
              <w:t> </w:t>
            </w:r>
          </w:p>
        </w:tc>
        <w:tc>
          <w:tcPr>
            <w:tcW w:w="674" w:type="dxa"/>
            <w:tcBorders/>
            <w:shd w:fill="CCE2F1" w:val="clear"/>
            <w:vAlign w:val="center"/>
          </w:tcPr>
          <w:p>
            <w:pPr>
              <w:pStyle w:val="TableContents"/>
              <w:bidi w:val="0"/>
              <w:spacing w:lineRule="atLeast" w:line="300" w:before="0" w:after="0"/>
              <w:jc w:val="right"/>
              <w:rPr>
                <w:rFonts w:ascii="arial" w:hAnsi="arial"/>
                <w:sz w:val="19"/>
              </w:rPr>
            </w:pPr>
            <w:r>
              <w:rPr>
                <w:rFonts w:ascii="arial" w:hAnsi="arial"/>
                <w:sz w:val="19"/>
              </w:rPr>
              <w:t>4,661</w:t>
            </w:r>
          </w:p>
        </w:tc>
        <w:tc>
          <w:tcPr>
            <w:tcW w:w="75" w:type="dxa"/>
            <w:tcBorders/>
            <w:shd w:fill="CCE2F1" w:val="clear"/>
            <w:vAlign w:val="center"/>
          </w:tcPr>
          <w:p>
            <w:pPr>
              <w:pStyle w:val="TableContents"/>
              <w:bidi w:val="0"/>
              <w:spacing w:lineRule="atLeast" w:line="300" w:before="0" w:after="0"/>
              <w:jc w:val="left"/>
              <w:rPr/>
            </w:pPr>
            <w:r>
              <w:rPr/>
              <w:t> </w:t>
            </w:r>
          </w:p>
        </w:tc>
      </w:tr>
      <w:tr>
        <w:trPr/>
        <w:tc>
          <w:tcPr>
            <w:tcW w:w="1670" w:type="dxa"/>
            <w:tcBorders/>
            <w:vAlign w:val="center"/>
          </w:tcPr>
          <w:p>
            <w:pPr>
              <w:pStyle w:val="TableContents"/>
              <w:bidi w:val="0"/>
              <w:spacing w:lineRule="atLeast" w:line="300" w:before="0" w:after="0"/>
              <w:jc w:val="left"/>
              <w:rPr>
                <w:rFonts w:ascii="arial" w:hAnsi="arial"/>
                <w:sz w:val="19"/>
              </w:rPr>
            </w:pPr>
            <w:r>
              <w:rPr>
                <w:rFonts w:ascii="arial" w:hAnsi="arial"/>
                <w:sz w:val="19"/>
              </w:rPr>
              <w:t>Murdo Gordon</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lineRule="atLeast" w:line="300" w:before="0" w:after="0"/>
              <w:jc w:val="left"/>
              <w:rPr/>
            </w:pPr>
            <w:r>
              <w:rPr/>
              <w:t> </w:t>
            </w:r>
          </w:p>
        </w:tc>
        <w:tc>
          <w:tcPr>
            <w:tcW w:w="700" w:type="dxa"/>
            <w:tcBorders/>
            <w:vAlign w:val="center"/>
          </w:tcPr>
          <w:p>
            <w:pPr>
              <w:pStyle w:val="TableContents"/>
              <w:bidi w:val="0"/>
              <w:spacing w:lineRule="atLeast" w:line="300" w:before="0" w:after="0"/>
              <w:jc w:val="right"/>
              <w:rPr>
                <w:rFonts w:ascii="arial" w:hAnsi="arial"/>
                <w:sz w:val="19"/>
              </w:rPr>
            </w:pPr>
            <w:r>
              <w:rPr>
                <w:rFonts w:ascii="arial" w:hAnsi="arial"/>
                <w:sz w:val="19"/>
              </w:rPr>
              <w:t>4,347</w:t>
            </w:r>
          </w:p>
        </w:tc>
        <w:tc>
          <w:tcPr>
            <w:tcW w:w="60" w:type="dxa"/>
            <w:tcBorders/>
            <w:vAlign w:val="center"/>
          </w:tcPr>
          <w:p>
            <w:pPr>
              <w:pStyle w:val="TableContents"/>
              <w:bidi w:val="0"/>
              <w:spacing w:lineRule="atLeast" w:line="300" w:before="0" w:after="0"/>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lineRule="atLeast" w:line="300" w:before="0" w:after="0"/>
              <w:jc w:val="left"/>
              <w:rPr/>
            </w:pPr>
            <w:r>
              <w:rPr/>
              <w:t> </w:t>
            </w:r>
          </w:p>
        </w:tc>
        <w:tc>
          <w:tcPr>
            <w:tcW w:w="700" w:type="dxa"/>
            <w:tcBorders/>
            <w:vAlign w:val="center"/>
          </w:tcPr>
          <w:p>
            <w:pPr>
              <w:pStyle w:val="TableContents"/>
              <w:bidi w:val="0"/>
              <w:spacing w:lineRule="atLeast" w:line="300" w:before="0" w:after="0"/>
              <w:jc w:val="right"/>
              <w:rPr>
                <w:rFonts w:ascii="arial" w:hAnsi="arial"/>
                <w:sz w:val="19"/>
              </w:rPr>
            </w:pPr>
            <w:r>
              <w:rPr>
                <w:rFonts w:ascii="arial" w:hAnsi="arial"/>
                <w:sz w:val="19"/>
              </w:rPr>
              <w:t>4,586</w:t>
            </w:r>
          </w:p>
        </w:tc>
        <w:tc>
          <w:tcPr>
            <w:tcW w:w="60" w:type="dxa"/>
            <w:tcBorders/>
            <w:vAlign w:val="center"/>
          </w:tcPr>
          <w:p>
            <w:pPr>
              <w:pStyle w:val="TableContents"/>
              <w:bidi w:val="0"/>
              <w:spacing w:lineRule="atLeast" w:line="300" w:before="0" w:after="0"/>
              <w:jc w:val="left"/>
              <w:rPr/>
            </w:pPr>
            <w:r>
              <w:rPr/>
              <w:t> </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lineRule="atLeast" w:line="300" w:before="0" w:after="0"/>
              <w:jc w:val="left"/>
              <w:rPr/>
            </w:pPr>
            <w:r>
              <w:rPr/>
              <w:t> </w:t>
            </w:r>
          </w:p>
        </w:tc>
        <w:tc>
          <w:tcPr>
            <w:tcW w:w="822" w:type="dxa"/>
            <w:tcBorders/>
            <w:vAlign w:val="center"/>
          </w:tcPr>
          <w:p>
            <w:pPr>
              <w:pStyle w:val="TableContents"/>
              <w:bidi w:val="0"/>
              <w:spacing w:lineRule="atLeast" w:line="300" w:before="0" w:after="0"/>
              <w:jc w:val="right"/>
              <w:rPr>
                <w:rFonts w:ascii="arial" w:hAnsi="arial"/>
                <w:sz w:val="19"/>
              </w:rPr>
            </w:pPr>
            <w:r>
              <w:rPr>
                <w:rFonts w:ascii="arial" w:hAnsi="arial"/>
                <w:sz w:val="19"/>
              </w:rPr>
              <w:t>3,057</w:t>
            </w:r>
          </w:p>
        </w:tc>
        <w:tc>
          <w:tcPr>
            <w:tcW w:w="60" w:type="dxa"/>
            <w:tcBorders/>
            <w:vAlign w:val="center"/>
          </w:tcPr>
          <w:p>
            <w:pPr>
              <w:pStyle w:val="TableContents"/>
              <w:bidi w:val="0"/>
              <w:spacing w:lineRule="atLeast" w:line="300" w:before="0" w:after="0"/>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lineRule="atLeast" w:line="300" w:before="0" w:after="0"/>
              <w:jc w:val="left"/>
              <w:rPr/>
            </w:pPr>
            <w:r>
              <w:rPr/>
              <w:t> </w:t>
            </w:r>
          </w:p>
        </w:tc>
        <w:tc>
          <w:tcPr>
            <w:tcW w:w="674" w:type="dxa"/>
            <w:tcBorders/>
            <w:vAlign w:val="center"/>
          </w:tcPr>
          <w:p>
            <w:pPr>
              <w:pStyle w:val="TableContents"/>
              <w:bidi w:val="0"/>
              <w:spacing w:lineRule="atLeast" w:line="300" w:before="0" w:after="0"/>
              <w:jc w:val="right"/>
              <w:rPr>
                <w:rFonts w:ascii="arial" w:hAnsi="arial"/>
                <w:sz w:val="19"/>
              </w:rPr>
            </w:pPr>
            <w:r>
              <w:rPr>
                <w:rFonts w:ascii="arial" w:hAnsi="arial"/>
                <w:sz w:val="19"/>
              </w:rPr>
              <w:t>1,327</w:t>
            </w:r>
          </w:p>
        </w:tc>
        <w:tc>
          <w:tcPr>
            <w:tcW w:w="75" w:type="dxa"/>
            <w:tcBorders/>
            <w:vAlign w:val="center"/>
          </w:tcPr>
          <w:p>
            <w:pPr>
              <w:pStyle w:val="TableContents"/>
              <w:bidi w:val="0"/>
              <w:spacing w:lineRule="atLeast" w:line="300" w:before="0" w:after="0"/>
              <w:jc w:val="left"/>
              <w:rPr/>
            </w:pPr>
            <w:r>
              <w:rPr/>
              <w:t> </w:t>
            </w:r>
          </w:p>
        </w:tc>
      </w:tr>
      <w:tr>
        <w:trPr/>
        <w:tc>
          <w:tcPr>
            <w:tcW w:w="1670" w:type="dxa"/>
            <w:tcBorders/>
            <w:shd w:fill="CCE2F1" w:val="clear"/>
            <w:vAlign w:val="center"/>
          </w:tcPr>
          <w:p>
            <w:pPr>
              <w:pStyle w:val="TableContents"/>
              <w:bidi w:val="0"/>
              <w:spacing w:lineRule="atLeast" w:line="300" w:before="0" w:after="0"/>
              <w:jc w:val="left"/>
              <w:rPr>
                <w:rFonts w:ascii="arial" w:hAnsi="arial"/>
                <w:sz w:val="19"/>
              </w:rPr>
            </w:pPr>
            <w:r>
              <w:rPr>
                <w:rFonts w:ascii="arial" w:hAnsi="arial"/>
                <w:sz w:val="19"/>
              </w:rPr>
              <w:t>David M. Reese</w:t>
            </w:r>
          </w:p>
        </w:tc>
        <w:tc>
          <w:tcPr>
            <w:tcW w:w="120" w:type="dxa"/>
            <w:tcBorders/>
            <w:shd w:fill="CCE2F1" w:val="clear"/>
            <w:vAlign w:val="center"/>
          </w:tcPr>
          <w:p>
            <w:pPr>
              <w:pStyle w:val="TableContents"/>
              <w:bidi w:val="0"/>
              <w:spacing w:before="0" w:after="283"/>
              <w:jc w:val="left"/>
              <w:rPr/>
            </w:pPr>
            <w:r>
              <w:rPr/>
              <w:t>  </w:t>
            </w:r>
          </w:p>
        </w:tc>
        <w:tc>
          <w:tcPr>
            <w:tcW w:w="69" w:type="dxa"/>
            <w:tcBorders/>
            <w:shd w:fill="CCE2F1" w:val="clear"/>
            <w:vAlign w:val="center"/>
          </w:tcPr>
          <w:p>
            <w:pPr>
              <w:pStyle w:val="TableContents"/>
              <w:bidi w:val="0"/>
              <w:spacing w:lineRule="atLeast" w:line="300" w:before="0" w:after="0"/>
              <w:jc w:val="left"/>
              <w:rPr/>
            </w:pPr>
            <w:r>
              <w:rPr/>
              <w:t> </w:t>
            </w:r>
          </w:p>
        </w:tc>
        <w:tc>
          <w:tcPr>
            <w:tcW w:w="700" w:type="dxa"/>
            <w:tcBorders/>
            <w:shd w:fill="CCE2F1" w:val="clear"/>
            <w:vAlign w:val="center"/>
          </w:tcPr>
          <w:p>
            <w:pPr>
              <w:pStyle w:val="TableContents"/>
              <w:bidi w:val="0"/>
              <w:spacing w:lineRule="atLeast" w:line="300" w:before="0" w:after="0"/>
              <w:jc w:val="right"/>
              <w:rPr>
                <w:rFonts w:ascii="arial" w:hAnsi="arial"/>
                <w:sz w:val="19"/>
              </w:rPr>
            </w:pPr>
            <w:r>
              <w:rPr>
                <w:rFonts w:ascii="arial" w:hAnsi="arial"/>
                <w:sz w:val="19"/>
              </w:rPr>
              <w:t>3,913</w:t>
            </w:r>
          </w:p>
        </w:tc>
        <w:tc>
          <w:tcPr>
            <w:tcW w:w="60" w:type="dxa"/>
            <w:tcBorders/>
            <w:shd w:fill="CCE2F1" w:val="clear"/>
            <w:vAlign w:val="center"/>
          </w:tcPr>
          <w:p>
            <w:pPr>
              <w:pStyle w:val="TableContents"/>
              <w:bidi w:val="0"/>
              <w:spacing w:lineRule="atLeast" w:line="300" w:before="0" w:after="0"/>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9" w:type="dxa"/>
            <w:tcBorders/>
            <w:shd w:fill="CCE2F1" w:val="clear"/>
            <w:vAlign w:val="center"/>
          </w:tcPr>
          <w:p>
            <w:pPr>
              <w:pStyle w:val="TableContents"/>
              <w:bidi w:val="0"/>
              <w:spacing w:lineRule="atLeast" w:line="300" w:before="0" w:after="0"/>
              <w:jc w:val="left"/>
              <w:rPr/>
            </w:pPr>
            <w:r>
              <w:rPr/>
              <w:t> </w:t>
            </w:r>
          </w:p>
        </w:tc>
        <w:tc>
          <w:tcPr>
            <w:tcW w:w="700" w:type="dxa"/>
            <w:tcBorders/>
            <w:shd w:fill="CCE2F1" w:val="clear"/>
            <w:vAlign w:val="center"/>
          </w:tcPr>
          <w:p>
            <w:pPr>
              <w:pStyle w:val="TableContents"/>
              <w:bidi w:val="0"/>
              <w:spacing w:lineRule="atLeast" w:line="300" w:before="0" w:after="0"/>
              <w:jc w:val="right"/>
              <w:rPr>
                <w:rFonts w:ascii="arial" w:hAnsi="arial"/>
                <w:sz w:val="19"/>
              </w:rPr>
            </w:pPr>
            <w:r>
              <w:rPr>
                <w:rFonts w:ascii="arial" w:hAnsi="arial"/>
                <w:sz w:val="19"/>
              </w:rPr>
              <w:t>4,127</w:t>
            </w:r>
          </w:p>
        </w:tc>
        <w:tc>
          <w:tcPr>
            <w:tcW w:w="60" w:type="dxa"/>
            <w:tcBorders/>
            <w:shd w:fill="CCE2F1" w:val="clear"/>
            <w:vAlign w:val="center"/>
          </w:tcPr>
          <w:p>
            <w:pPr>
              <w:pStyle w:val="TableContents"/>
              <w:bidi w:val="0"/>
              <w:spacing w:lineRule="atLeast" w:line="300" w:before="0" w:after="0"/>
              <w:jc w:val="left"/>
              <w:rPr/>
            </w:pPr>
            <w:r>
              <w:rPr/>
              <w:t> </w:t>
            </w:r>
          </w:p>
        </w:tc>
        <w:tc>
          <w:tcPr>
            <w:tcW w:w="120" w:type="dxa"/>
            <w:tcBorders/>
            <w:shd w:fill="CCE2F1" w:val="clear"/>
            <w:vAlign w:val="center"/>
          </w:tcPr>
          <w:p>
            <w:pPr>
              <w:pStyle w:val="TableContents"/>
              <w:bidi w:val="0"/>
              <w:spacing w:before="0" w:after="283"/>
              <w:jc w:val="left"/>
              <w:rPr/>
            </w:pPr>
            <w:r>
              <w:rPr/>
              <w:t>  </w:t>
            </w:r>
          </w:p>
        </w:tc>
        <w:tc>
          <w:tcPr>
            <w:tcW w:w="98" w:type="dxa"/>
            <w:tcBorders/>
            <w:shd w:fill="CCE2F1" w:val="clear"/>
            <w:vAlign w:val="center"/>
          </w:tcPr>
          <w:p>
            <w:pPr>
              <w:pStyle w:val="TableContents"/>
              <w:bidi w:val="0"/>
              <w:spacing w:lineRule="atLeast" w:line="300" w:before="0" w:after="0"/>
              <w:jc w:val="left"/>
              <w:rPr/>
            </w:pPr>
            <w:r>
              <w:rPr/>
              <w:t> </w:t>
            </w:r>
          </w:p>
        </w:tc>
        <w:tc>
          <w:tcPr>
            <w:tcW w:w="822" w:type="dxa"/>
            <w:tcBorders/>
            <w:shd w:fill="CCE2F1" w:val="clear"/>
            <w:vAlign w:val="center"/>
          </w:tcPr>
          <w:p>
            <w:pPr>
              <w:pStyle w:val="TableContents"/>
              <w:bidi w:val="0"/>
              <w:spacing w:lineRule="atLeast" w:line="300" w:before="0" w:after="0"/>
              <w:jc w:val="right"/>
              <w:rPr>
                <w:rFonts w:ascii="arial" w:hAnsi="arial"/>
                <w:sz w:val="19"/>
              </w:rPr>
            </w:pPr>
            <w:r>
              <w:rPr>
                <w:rFonts w:ascii="arial" w:hAnsi="arial"/>
                <w:sz w:val="19"/>
              </w:rPr>
              <w:t>2,936</w:t>
            </w:r>
          </w:p>
        </w:tc>
        <w:tc>
          <w:tcPr>
            <w:tcW w:w="60" w:type="dxa"/>
            <w:tcBorders/>
            <w:shd w:fill="CCE2F1" w:val="clear"/>
            <w:vAlign w:val="center"/>
          </w:tcPr>
          <w:p>
            <w:pPr>
              <w:pStyle w:val="TableContents"/>
              <w:bidi w:val="0"/>
              <w:spacing w:lineRule="atLeast" w:line="300" w:before="0" w:after="0"/>
              <w:jc w:val="left"/>
              <w:rPr/>
            </w:pPr>
            <w:r>
              <w:rPr/>
              <w:t> </w:t>
            </w:r>
          </w:p>
        </w:tc>
        <w:tc>
          <w:tcPr>
            <w:tcW w:w="120" w:type="dxa"/>
            <w:tcBorders/>
            <w:shd w:fill="CCE2F1" w:val="clear"/>
            <w:vAlign w:val="center"/>
          </w:tcPr>
          <w:p>
            <w:pPr>
              <w:pStyle w:val="TableContents"/>
              <w:bidi w:val="0"/>
              <w:spacing w:before="0" w:after="283"/>
              <w:jc w:val="left"/>
              <w:rPr/>
            </w:pPr>
            <w:r>
              <w:rPr/>
              <w:t>  </w:t>
            </w:r>
          </w:p>
        </w:tc>
        <w:tc>
          <w:tcPr>
            <w:tcW w:w="80" w:type="dxa"/>
            <w:tcBorders/>
            <w:shd w:fill="CCE2F1" w:val="clear"/>
            <w:vAlign w:val="center"/>
          </w:tcPr>
          <w:p>
            <w:pPr>
              <w:pStyle w:val="TableContents"/>
              <w:bidi w:val="0"/>
              <w:spacing w:lineRule="atLeast" w:line="300" w:before="0" w:after="0"/>
              <w:jc w:val="left"/>
              <w:rPr/>
            </w:pPr>
            <w:r>
              <w:rPr/>
              <w:t> </w:t>
            </w:r>
          </w:p>
        </w:tc>
        <w:tc>
          <w:tcPr>
            <w:tcW w:w="674" w:type="dxa"/>
            <w:tcBorders/>
            <w:shd w:fill="CCE2F1" w:val="clear"/>
            <w:vAlign w:val="center"/>
          </w:tcPr>
          <w:p>
            <w:pPr>
              <w:pStyle w:val="TableContents"/>
              <w:bidi w:val="0"/>
              <w:spacing w:lineRule="atLeast" w:line="300" w:before="0" w:after="0"/>
              <w:jc w:val="right"/>
              <w:rPr>
                <w:rFonts w:ascii="arial" w:hAnsi="arial"/>
                <w:sz w:val="19"/>
              </w:rPr>
            </w:pPr>
            <w:r>
              <w:rPr>
                <w:rFonts w:ascii="arial" w:hAnsi="arial"/>
                <w:sz w:val="19"/>
              </w:rPr>
              <w:t>1,327</w:t>
            </w:r>
          </w:p>
        </w:tc>
        <w:tc>
          <w:tcPr>
            <w:tcW w:w="75" w:type="dxa"/>
            <w:tcBorders/>
            <w:shd w:fill="CCE2F1" w:val="clear"/>
            <w:vAlign w:val="center"/>
          </w:tcPr>
          <w:p>
            <w:pPr>
              <w:pStyle w:val="TableContents"/>
              <w:bidi w:val="0"/>
              <w:spacing w:lineRule="atLeast" w:line="300" w:before="0" w:after="0"/>
              <w:jc w:val="left"/>
              <w:rPr/>
            </w:pPr>
            <w:r>
              <w:rPr/>
              <w:t> </w:t>
            </w:r>
          </w:p>
        </w:tc>
      </w:tr>
      <w:tr>
        <w:trPr/>
        <w:tc>
          <w:tcPr>
            <w:tcW w:w="1670" w:type="dxa"/>
            <w:tcBorders/>
            <w:vAlign w:val="center"/>
          </w:tcPr>
          <w:p>
            <w:pPr>
              <w:pStyle w:val="TableContents"/>
              <w:bidi w:val="0"/>
              <w:spacing w:lineRule="atLeast" w:line="300" w:before="0" w:after="0"/>
              <w:jc w:val="left"/>
              <w:rPr>
                <w:rFonts w:ascii="arial" w:hAnsi="arial"/>
                <w:sz w:val="19"/>
              </w:rPr>
            </w:pPr>
            <w:r>
              <w:rPr>
                <w:rFonts w:ascii="arial" w:hAnsi="arial"/>
                <w:sz w:val="19"/>
              </w:rPr>
              <w:t>Peter H. Griffith</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lineRule="atLeast" w:line="300" w:before="0" w:after="0"/>
              <w:jc w:val="left"/>
              <w:rPr/>
            </w:pPr>
            <w:r>
              <w:rPr/>
              <w:t> </w:t>
            </w:r>
          </w:p>
        </w:tc>
        <w:tc>
          <w:tcPr>
            <w:tcW w:w="700" w:type="dxa"/>
            <w:tcBorders/>
            <w:vAlign w:val="center"/>
          </w:tcPr>
          <w:p>
            <w:pPr>
              <w:pStyle w:val="TableContents"/>
              <w:bidi w:val="0"/>
              <w:spacing w:lineRule="atLeast" w:line="300" w:before="0" w:after="0"/>
              <w:jc w:val="right"/>
              <w:rPr>
                <w:rFonts w:ascii="arial" w:hAnsi="arial"/>
                <w:sz w:val="19"/>
              </w:rPr>
            </w:pPr>
            <w:r>
              <w:rPr>
                <w:rFonts w:ascii="arial" w:hAnsi="arial"/>
                <w:sz w:val="19"/>
              </w:rPr>
              <w:t>3,913</w:t>
            </w:r>
          </w:p>
        </w:tc>
        <w:tc>
          <w:tcPr>
            <w:tcW w:w="60" w:type="dxa"/>
            <w:tcBorders/>
            <w:vAlign w:val="center"/>
          </w:tcPr>
          <w:p>
            <w:pPr>
              <w:pStyle w:val="TableContents"/>
              <w:bidi w:val="0"/>
              <w:spacing w:lineRule="atLeast" w:line="300" w:before="0" w:after="0"/>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lineRule="atLeast" w:line="300" w:before="0" w:after="0"/>
              <w:jc w:val="left"/>
              <w:rPr/>
            </w:pPr>
            <w:r>
              <w:rPr/>
              <w:t> </w:t>
            </w:r>
          </w:p>
        </w:tc>
        <w:tc>
          <w:tcPr>
            <w:tcW w:w="700" w:type="dxa"/>
            <w:tcBorders/>
            <w:vAlign w:val="center"/>
          </w:tcPr>
          <w:p>
            <w:pPr>
              <w:pStyle w:val="TableContents"/>
              <w:bidi w:val="0"/>
              <w:spacing w:lineRule="atLeast" w:line="300" w:before="0" w:after="0"/>
              <w:jc w:val="right"/>
              <w:rPr>
                <w:rFonts w:ascii="arial" w:hAnsi="arial"/>
                <w:sz w:val="19"/>
              </w:rPr>
            </w:pPr>
            <w:r>
              <w:rPr>
                <w:rFonts w:ascii="arial" w:hAnsi="arial"/>
                <w:sz w:val="19"/>
              </w:rPr>
              <w:t>4,127</w:t>
            </w:r>
          </w:p>
        </w:tc>
        <w:tc>
          <w:tcPr>
            <w:tcW w:w="60" w:type="dxa"/>
            <w:tcBorders/>
            <w:vAlign w:val="center"/>
          </w:tcPr>
          <w:p>
            <w:pPr>
              <w:pStyle w:val="TableContents"/>
              <w:bidi w:val="0"/>
              <w:spacing w:lineRule="atLeast" w:line="300" w:before="0" w:after="0"/>
              <w:jc w:val="left"/>
              <w:rPr/>
            </w:pPr>
            <w:r>
              <w:rPr/>
              <w:t> </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lineRule="atLeast" w:line="300" w:before="0" w:after="0"/>
              <w:jc w:val="left"/>
              <w:rPr/>
            </w:pPr>
            <w:r>
              <w:rPr/>
              <w:t> </w:t>
            </w:r>
          </w:p>
        </w:tc>
        <w:tc>
          <w:tcPr>
            <w:tcW w:w="822" w:type="dxa"/>
            <w:tcBorders/>
            <w:vAlign w:val="center"/>
          </w:tcPr>
          <w:p>
            <w:pPr>
              <w:pStyle w:val="TableContents"/>
              <w:bidi w:val="0"/>
              <w:spacing w:lineRule="atLeast" w:line="300" w:before="0" w:after="0"/>
              <w:jc w:val="right"/>
              <w:rPr>
                <w:rFonts w:ascii="arial" w:hAnsi="arial"/>
                <w:sz w:val="19"/>
              </w:rPr>
            </w:pPr>
            <w:r>
              <w:rPr>
                <w:rFonts w:ascii="arial" w:hAnsi="arial"/>
                <w:sz w:val="19"/>
              </w:rPr>
              <w:t>2,446</w:t>
            </w:r>
          </w:p>
        </w:tc>
        <w:tc>
          <w:tcPr>
            <w:tcW w:w="60" w:type="dxa"/>
            <w:tcBorders/>
            <w:vAlign w:val="center"/>
          </w:tcPr>
          <w:p>
            <w:pPr>
              <w:pStyle w:val="TableContents"/>
              <w:bidi w:val="0"/>
              <w:spacing w:lineRule="atLeast" w:line="300" w:before="0" w:after="0"/>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lineRule="atLeast" w:line="300" w:before="0" w:after="0"/>
              <w:jc w:val="left"/>
              <w:rPr/>
            </w:pPr>
            <w:r>
              <w:rPr/>
              <w:t> </w:t>
            </w:r>
          </w:p>
        </w:tc>
        <w:tc>
          <w:tcPr>
            <w:tcW w:w="674" w:type="dxa"/>
            <w:tcBorders/>
            <w:vAlign w:val="center"/>
          </w:tcPr>
          <w:p>
            <w:pPr>
              <w:pStyle w:val="TableContents"/>
              <w:bidi w:val="0"/>
              <w:spacing w:lineRule="atLeast" w:line="300" w:before="0" w:after="0"/>
              <w:jc w:val="right"/>
              <w:rPr>
                <w:rFonts w:ascii="arial" w:hAnsi="arial"/>
                <w:sz w:val="19"/>
              </w:rPr>
            </w:pPr>
            <w:r>
              <w:rPr>
                <w:rFonts w:ascii="arial" w:hAnsi="arial"/>
                <w:sz w:val="19"/>
              </w:rPr>
              <w:t>1,294</w:t>
            </w:r>
          </w:p>
        </w:tc>
        <w:tc>
          <w:tcPr>
            <w:tcW w:w="75" w:type="dxa"/>
            <w:tcBorders/>
            <w:vAlign w:val="center"/>
          </w:tcPr>
          <w:p>
            <w:pPr>
              <w:pStyle w:val="TableContents"/>
              <w:bidi w:val="0"/>
              <w:spacing w:lineRule="atLeast" w:line="300" w:before="0" w:after="0"/>
              <w:jc w:val="left"/>
              <w:rPr/>
            </w:pPr>
            <w:r>
              <w:rPr/>
              <w:t> </w:t>
            </w:r>
          </w:p>
        </w:tc>
      </w:tr>
      <w:tr>
        <w:trPr/>
        <w:tc>
          <w:tcPr>
            <w:tcW w:w="1670"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rFonts w:ascii="arial" w:hAnsi="arial"/>
                <w:sz w:val="19"/>
              </w:rPr>
            </w:pPr>
            <w:r>
              <w:rPr>
                <w:rFonts w:ascii="arial" w:hAnsi="arial"/>
                <w:sz w:val="19"/>
              </w:rPr>
              <w:t>Esteban Santos</w:t>
            </w:r>
          </w:p>
        </w:tc>
        <w:tc>
          <w:tcPr>
            <w:tcW w:w="12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9"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c>
          <w:tcPr>
            <w:tcW w:w="700" w:type="dxa"/>
            <w:tcBorders>
              <w:bottom w:val="single" w:sz="8" w:space="0" w:color="0171B9"/>
            </w:tcBorders>
            <w:shd w:fill="CCE2F1" w:val="clear"/>
            <w:tcMar>
              <w:bottom w:w="28" w:type="dxa"/>
            </w:tcMar>
            <w:vAlign w:val="center"/>
          </w:tcPr>
          <w:p>
            <w:pPr>
              <w:pStyle w:val="TableContents"/>
              <w:bidi w:val="0"/>
              <w:spacing w:lineRule="atLeast" w:line="300" w:before="0" w:after="0"/>
              <w:jc w:val="right"/>
              <w:rPr>
                <w:rFonts w:ascii="arial" w:hAnsi="arial"/>
                <w:sz w:val="19"/>
              </w:rPr>
            </w:pPr>
            <w:r>
              <w:rPr>
                <w:rFonts w:ascii="arial" w:hAnsi="arial"/>
                <w:sz w:val="19"/>
              </w:rPr>
              <w:t>3,651</w:t>
            </w:r>
          </w:p>
        </w:tc>
        <w:tc>
          <w:tcPr>
            <w:tcW w:w="60"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c>
          <w:tcPr>
            <w:tcW w:w="12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9"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c>
          <w:tcPr>
            <w:tcW w:w="700" w:type="dxa"/>
            <w:tcBorders>
              <w:bottom w:val="single" w:sz="8" w:space="0" w:color="0171B9"/>
            </w:tcBorders>
            <w:shd w:fill="CCE2F1" w:val="clear"/>
            <w:tcMar>
              <w:bottom w:w="28" w:type="dxa"/>
            </w:tcMar>
            <w:vAlign w:val="center"/>
          </w:tcPr>
          <w:p>
            <w:pPr>
              <w:pStyle w:val="TableContents"/>
              <w:bidi w:val="0"/>
              <w:spacing w:lineRule="atLeast" w:line="300" w:before="0" w:after="0"/>
              <w:jc w:val="right"/>
              <w:rPr>
                <w:rFonts w:ascii="arial" w:hAnsi="arial"/>
                <w:sz w:val="19"/>
              </w:rPr>
            </w:pPr>
            <w:r>
              <w:rPr>
                <w:rFonts w:ascii="arial" w:hAnsi="arial"/>
                <w:sz w:val="19"/>
              </w:rPr>
              <w:t>3,852</w:t>
            </w:r>
          </w:p>
        </w:tc>
        <w:tc>
          <w:tcPr>
            <w:tcW w:w="60"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c>
          <w:tcPr>
            <w:tcW w:w="12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98"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c>
          <w:tcPr>
            <w:tcW w:w="822" w:type="dxa"/>
            <w:tcBorders>
              <w:bottom w:val="single" w:sz="8" w:space="0" w:color="0171B9"/>
            </w:tcBorders>
            <w:shd w:fill="CCE2F1" w:val="clear"/>
            <w:tcMar>
              <w:bottom w:w="28" w:type="dxa"/>
            </w:tcMar>
            <w:vAlign w:val="center"/>
          </w:tcPr>
          <w:p>
            <w:pPr>
              <w:pStyle w:val="TableContents"/>
              <w:bidi w:val="0"/>
              <w:spacing w:lineRule="atLeast" w:line="300" w:before="0" w:after="0"/>
              <w:jc w:val="right"/>
              <w:rPr>
                <w:rFonts w:ascii="arial" w:hAnsi="arial"/>
                <w:sz w:val="19"/>
              </w:rPr>
            </w:pPr>
            <w:r>
              <w:rPr>
                <w:rFonts w:ascii="arial" w:hAnsi="arial"/>
                <w:sz w:val="19"/>
              </w:rPr>
              <w:t>2,904</w:t>
            </w:r>
          </w:p>
        </w:tc>
        <w:tc>
          <w:tcPr>
            <w:tcW w:w="60"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c>
          <w:tcPr>
            <w:tcW w:w="12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80"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c>
          <w:tcPr>
            <w:tcW w:w="674" w:type="dxa"/>
            <w:tcBorders>
              <w:bottom w:val="single" w:sz="8" w:space="0" w:color="0171B9"/>
            </w:tcBorders>
            <w:shd w:fill="CCE2F1" w:val="clear"/>
            <w:tcMar>
              <w:bottom w:w="28" w:type="dxa"/>
            </w:tcMar>
            <w:vAlign w:val="center"/>
          </w:tcPr>
          <w:p>
            <w:pPr>
              <w:pStyle w:val="TableContents"/>
              <w:bidi w:val="0"/>
              <w:spacing w:lineRule="atLeast" w:line="300" w:before="0" w:after="0"/>
              <w:jc w:val="right"/>
              <w:rPr>
                <w:rFonts w:ascii="arial" w:hAnsi="arial"/>
                <w:sz w:val="19"/>
              </w:rPr>
            </w:pPr>
            <w:r>
              <w:rPr>
                <w:rFonts w:ascii="arial" w:hAnsi="arial"/>
                <w:sz w:val="19"/>
              </w:rPr>
              <w:t>1,294</w:t>
            </w:r>
          </w:p>
        </w:tc>
        <w:tc>
          <w:tcPr>
            <w:tcW w:w="75"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26"/>
        <w:gridCol w:w="9804"/>
      </w:tblGrid>
      <w:tr>
        <w:trPr/>
        <w:tc>
          <w:tcPr>
            <w:tcW w:w="75"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(a) </w:t>
            </w:r>
          </w:p>
        </w:tc>
        <w:tc>
          <w:tcPr>
            <w:tcW w:w="9804" w:type="dxa"/>
            <w:tcBorders/>
            <w:vAlign w:val="center"/>
          </w:tcPr>
          <w:p>
            <w:pPr>
              <w:pStyle w:val="TableContents"/>
              <w:bidi w:val="0"/>
              <w:spacing w:before="0" w:after="0"/>
              <w:jc w:val="both"/>
              <w:rPr>
                <w:rFonts w:ascii="arial" w:hAnsi="arial"/>
                <w:sz w:val="16"/>
              </w:rPr>
            </w:pPr>
            <w:r>
              <w:rPr>
                <w:rFonts w:ascii="arial" w:hAnsi="arial"/>
                <w:sz w:val="16"/>
              </w:rPr>
              <w:t xml:space="preserve">Scheduled to vest at a rate of approximately 33%, 33%, and 34% on the second, third, and fourth anniversaries of the grant date, respectively. </w:t>
            </w:r>
          </w:p>
        </w:tc>
      </w:tr>
    </w:tbl>
    <w:tbl>
      <w:tblPr>
        <w:tblW w:w="8680" w:type="dxa"/>
        <w:jc w:val="left"/>
        <w:tblInd w:w="0" w:type="dxa"/>
        <w:tblLayout w:type="fixed"/>
        <w:tblCellMar>
          <w:top w:w="0" w:type="dxa"/>
          <w:left w:w="0" w:type="dxa"/>
          <w:bottom w:w="0" w:type="dxa"/>
          <w:right w:w="0" w:type="dxa"/>
        </w:tblCellMar>
      </w:tblPr>
      <w:tblGrid>
        <w:gridCol w:w="75"/>
        <w:gridCol w:w="350"/>
        <w:gridCol w:w="825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(b) </w:t>
            </w:r>
          </w:p>
        </w:tc>
        <w:tc>
          <w:tcPr>
            <w:tcW w:w="8255" w:type="dxa"/>
            <w:tcBorders/>
            <w:vAlign w:val="center"/>
          </w:tcPr>
          <w:p>
            <w:pPr>
              <w:pStyle w:val="TableContents"/>
              <w:bidi w:val="0"/>
              <w:spacing w:before="0" w:after="0"/>
              <w:jc w:val="both"/>
              <w:rPr>
                <w:rFonts w:ascii="arial" w:hAnsi="arial"/>
                <w:sz w:val="16"/>
              </w:rPr>
            </w:pPr>
            <w:r>
              <w:rPr>
                <w:rFonts w:ascii="arial" w:hAnsi="arial"/>
                <w:sz w:val="16"/>
              </w:rPr>
              <w:t xml:space="preserve">Scheduled to vest in approximately equal amounts on each of the third and fourth anniversaries of the grant date. </w:t>
            </w:r>
          </w:p>
        </w:tc>
      </w:tr>
    </w:tbl>
    <w:tbl>
      <w:tblPr>
        <w:tblW w:w="4945" w:type="dxa"/>
        <w:jc w:val="left"/>
        <w:tblInd w:w="0" w:type="dxa"/>
        <w:tblLayout w:type="fixed"/>
        <w:tblCellMar>
          <w:top w:w="0" w:type="dxa"/>
          <w:left w:w="0" w:type="dxa"/>
          <w:bottom w:w="0" w:type="dxa"/>
          <w:right w:w="0" w:type="dxa"/>
        </w:tblCellMar>
      </w:tblPr>
      <w:tblGrid>
        <w:gridCol w:w="75"/>
        <w:gridCol w:w="335"/>
        <w:gridCol w:w="4535"/>
      </w:tblGrid>
      <w:tr>
        <w:trPr/>
        <w:tc>
          <w:tcPr>
            <w:tcW w:w="7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(c) </w:t>
            </w:r>
          </w:p>
        </w:tc>
        <w:tc>
          <w:tcPr>
            <w:tcW w:w="4535" w:type="dxa"/>
            <w:tcBorders/>
            <w:vAlign w:val="center"/>
          </w:tcPr>
          <w:p>
            <w:pPr>
              <w:pStyle w:val="TableContents"/>
              <w:bidi w:val="0"/>
              <w:spacing w:before="0" w:after="0"/>
              <w:jc w:val="both"/>
              <w:rPr>
                <w:rFonts w:ascii="arial" w:hAnsi="arial"/>
                <w:sz w:val="16"/>
              </w:rPr>
            </w:pPr>
            <w:r>
              <w:rPr>
                <w:rFonts w:ascii="arial" w:hAnsi="arial"/>
                <w:sz w:val="16"/>
              </w:rPr>
              <w:t xml:space="preserve">Scheduled to vest on the fourth anniversary of the grant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pPr>
            <w:r>
              <w:rPr/>
              <w:t>(3) </w:t>
            </w:r>
          </w:p>
        </w:tc>
        <w:tc>
          <w:tcPr>
            <w:tcW w:w="9928" w:type="dxa"/>
            <w:tcBorders/>
            <w:vAlign w:val="center"/>
          </w:tcPr>
          <w:p>
            <w:pPr>
              <w:pStyle w:val="TableContents"/>
              <w:bidi w:val="0"/>
              <w:spacing w:before="0" w:after="0"/>
              <w:jc w:val="both"/>
              <w:rPr>
                <w:rFonts w:ascii="arial" w:hAnsi="arial"/>
                <w:sz w:val="16"/>
              </w:rPr>
            </w:pPr>
            <w:r>
              <w:rPr>
                <w:rFonts w:ascii="arial" w:hAnsi="arial"/>
                <w:sz w:val="16"/>
              </w:rPr>
              <w:t xml:space="preserve">The market values of RSUs and performance units (and related dividend equivalents) were calculated by multiplying the number of RSUs outstanding or the number of performance units as determined in accordance with the SEC, rules and footnotes 4 through 6 below, as applicable, by the closing price of our Common Stock on December 31, 2023 ($288.02).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(4) </w:t>
            </w:r>
          </w:p>
        </w:tc>
        <w:tc>
          <w:tcPr>
            <w:tcW w:w="9961" w:type="dxa"/>
            <w:tcBorders/>
            <w:vAlign w:val="center"/>
          </w:tcPr>
          <w:p>
            <w:pPr>
              <w:pStyle w:val="TableContents"/>
              <w:bidi w:val="0"/>
              <w:spacing w:before="0" w:after="0"/>
              <w:jc w:val="both"/>
              <w:rPr>
                <w:rFonts w:ascii="arial" w:hAnsi="arial"/>
                <w:sz w:val="16"/>
              </w:rPr>
            </w:pPr>
            <w:r>
              <w:rPr>
                <w:rFonts w:ascii="arial" w:hAnsi="arial"/>
                <w:sz w:val="16"/>
              </w:rPr>
              <w:t xml:space="preserve">Reflects the sum of the number of performance units granted for the 2023–2025 performance period (January 1, 2023 to December 31, 2025) and the related dividend equivalents accrued through December 31, 2023, multiplied by the maximum payout percentage of 200%. As required by SEC rules, the maximum payout percentage is disclosed in the table because the estimated payout percentage as of December 31, 2023 is greater than a target level of performance of the performance units granted (based on the sum of: (1) the estimated outcomes of our operating measures to be achieved; and (2) the TSR modifier based on our TSR percentile rank relative to the TSRs of the companies in the Reference Group for the period from the May 2, 2023 grant date to December 31, 2023). The number of dividend equivalents multiplied by the 200% payout percentage (rounded down to the nearest whole number of units) included in the table above are as follows: 1,644 units for Mr. Bradway; 516 units for Mr. Gordon; 465 units for Dr. Reese and Mr. Griffith; and 434 units for Mr. Santos. Dividend equivalents are only paid when and to the extent the underlying performance units are earned.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(5) </w:t>
            </w:r>
          </w:p>
        </w:tc>
        <w:tc>
          <w:tcPr>
            <w:tcW w:w="9961" w:type="dxa"/>
            <w:tcBorders/>
            <w:vAlign w:val="center"/>
          </w:tcPr>
          <w:p>
            <w:pPr>
              <w:pStyle w:val="TableContents"/>
              <w:bidi w:val="0"/>
              <w:spacing w:before="0" w:after="0"/>
              <w:jc w:val="both"/>
              <w:rPr>
                <w:rFonts w:ascii="arial" w:hAnsi="arial"/>
                <w:sz w:val="16"/>
              </w:rPr>
            </w:pPr>
            <w:r>
              <w:rPr>
                <w:rFonts w:ascii="arial" w:hAnsi="arial"/>
                <w:sz w:val="16"/>
              </w:rPr>
              <w:t xml:space="preserve">Reflects the sum of the number of performance units granted for the 2022–2024 performance period (January 1, 2022 to December 31, 2024) and the related dividend equivalents accrued through December 31, 2023, multiplied by the target payout percentage of 100%. As required by SEC rules, the target payout percentage is disclosed in the table because the estimated payout percentage as of December 31, 2023 is less than the target level of performance of the performance units granted (based on the sum of: (1) the estimated outcomes of our operating measures to be achieved; and (2) the TSR modifier based on our TSR percentile rank relative to the TSRs of the companies in the Reference Group for the period from the May 2, 2022 grant date to December 31, 2023). The number of dividend equivalents multiplied by the 100% payout percentage (rounded down to the nearest whole number of units) included in the table above are as follows: 1,904 units for Mr. Bradway; 598 units for Mr. Gordon; 538 units for Dr. Reese and Mr. Griffith; and 502 units for Mr. Santos. Dividend equivalents are only paid when and to the extent the underlying performance units are earned.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(6) </w:t>
            </w:r>
          </w:p>
        </w:tc>
        <w:tc>
          <w:tcPr>
            <w:tcW w:w="9960" w:type="dxa"/>
            <w:tcBorders/>
            <w:vAlign w:val="center"/>
          </w:tcPr>
          <w:p>
            <w:pPr>
              <w:pStyle w:val="TableContents"/>
              <w:bidi w:val="0"/>
              <w:spacing w:before="0" w:after="0"/>
              <w:jc w:val="both"/>
              <w:rPr>
                <w:rFonts w:ascii="arial" w:hAnsi="arial"/>
                <w:sz w:val="16"/>
              </w:rPr>
            </w:pPr>
            <w:r>
              <w:rPr>
                <w:rFonts w:ascii="arial" w:hAnsi="arial"/>
                <w:sz w:val="16"/>
              </w:rPr>
              <w:t xml:space="preserve">Reflects the number of performance units granted for the 2021-2023 performance period (January 1, 2021 to December 31, 2023), and related dividend equivalents accrued through December 31, 2023, multiplied by the actual payout percentage of 120.4%, which is based on our actual performance under our operating measures of 95.3% and the relative TSR percentage modifier of 25.1 percentage points based on our actual TSR percentile rank relative to the TSRs of the companies in the Reference Group for the period from the April 30, 2021 grant date to December 31, 2023. The number of dividend equivalents multiplied by the 120.4% payout percentage noted above (rounded down to the nearest whole number of units) included in the table above are as follows: 3,520 units for Mr. Bradway; 1,106 units for Mr. Gordon; 1,061 units for Dr. Reese; 884 units for Mr. Griffith; and 1,050 units for Mr. Santos. Since these performance units were paid in 2024, they will be reflected in the “Option Exercises and Stock Vested” table as vested shares in next year’s proxy statement. </w:t>
            </w:r>
          </w:p>
        </w:tc>
      </w:tr>
    </w:tbl>
    <w:p>
      <w:pPr>
        <w:pStyle w:val="TextBody"/>
        <w:bidi w:val="0"/>
        <w:spacing w:before="120" w:after="0"/>
        <w:jc w:val="both"/>
        <w:rPr>
          <w:rFonts w:ascii="arial" w:hAnsi="arial"/>
          <w:i/>
          <w:sz w:val="19"/>
        </w:rPr>
      </w:pPr>
      <w:r>
        <w:rPr>
          <w:rFonts w:ascii="arial" w:hAnsi="arial"/>
          <w:i/>
          <w:sz w:val="19"/>
        </w:rPr>
        <w:t xml:space="preserve">The estimated payouts of the performance units described above are disclosed in the limited context of our executive compensation program and should not be understood to be statements of our expectations of our stock price or estimates of results or other guidance. We specifically caution investors not to apply these statements to other contexts. </w:t>
      </w:r>
    </w:p>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316"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152" descr=""/>
                    <pic:cNvPicPr>
                      <a:picLocks noChangeAspect="1" noChangeArrowheads="1"/>
                    </pic:cNvPicPr>
                  </pic:nvPicPr>
                  <pic:blipFill>
                    <a:blip r:embed="rId165"/>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89</w:t>
      </w:r>
      <w:r>
        <w:rPr>
          <w:rFonts w:ascii="arial" w:hAnsi="arial"/>
          <w:b/>
          <w:sz w:val="22"/>
        </w:rPr>
        <w:t xml:space="preserve"> </w:t>
      </w:r>
      <w:r>
        <w:br w:type="page"/>
      </w:r>
    </w:p>
    <w:p>
      <w:pPr>
        <w:pStyle w:val="HorizontalLine"/>
        <w:bidi w:val="0"/>
        <w:jc w:val="left"/>
        <w:rPr/>
      </w:pPr>
      <w:r>
        <w:rPr/>
      </w:r>
    </w:p>
    <w:tbl>
      <w:tblPr>
        <w:tblW w:w="419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371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1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371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Executive Compensation Tables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171B9"/>
          <w:sz w:val="28"/>
        </w:rPr>
      </w:pPr>
      <w:r>
        <w:rPr>
          <w:rFonts w:ascii="arial" w:hAnsi="arial"/>
          <w:b/>
          <w:color w:val="0171B9"/>
          <w:sz w:val="28"/>
        </w:rPr>
        <w:t xml:space="preserve">Option Exercises and Stock Vested </w:t>
      </w:r>
    </w:p>
    <w:p>
      <w:pPr>
        <w:pStyle w:val="TextBody"/>
        <w:pBdr>
          <w:bottom w:val="single" w:sz="2" w:space="1" w:color="666666"/>
        </w:pBdr>
        <w:bidi w:val="0"/>
        <w:spacing w:lineRule="atLeast" w:line="142" w:before="0" w:after="40"/>
        <w:jc w:val="left"/>
        <w:rPr/>
      </w:pPr>
      <w:r>
        <w:rPr/>
        <w:t> </w:t>
      </w:r>
    </w:p>
    <w:p>
      <w:pPr>
        <w:pStyle w:val="TextBody"/>
        <w:bidi w:val="0"/>
        <w:spacing w:before="120" w:after="0"/>
        <w:jc w:val="both"/>
        <w:rPr>
          <w:rFonts w:ascii="arial" w:hAnsi="arial"/>
          <w:sz w:val="19"/>
        </w:rPr>
      </w:pPr>
      <w:r>
        <w:rPr>
          <w:rFonts w:ascii="arial" w:hAnsi="arial"/>
          <w:sz w:val="19"/>
        </w:rPr>
        <w:t xml:space="preserve">The following table summarizes the exercise of options, the vesting of RSUs, and the payment of performance units earned for the 2020-2022 performance period (and related dividend equivalents, as applicable) for each of our NEOs during the year ended December 31, 2023. The RSUs and performance units vested and converted to one share of our Common Stock for each vested RSU and performance unit. The 2020-2022 performance units had a performance period from January 1, 2020 through December 31, 2022 and became payable as shares upon certification by our Compensation Committee in March 2023.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09"/>
        <w:gridCol w:w="60"/>
        <w:gridCol w:w="888"/>
        <w:gridCol w:w="1856"/>
        <w:gridCol w:w="113"/>
        <w:gridCol w:w="113"/>
        <w:gridCol w:w="596"/>
        <w:gridCol w:w="1269"/>
        <w:gridCol w:w="60"/>
        <w:gridCol w:w="60"/>
        <w:gridCol w:w="221"/>
        <w:gridCol w:w="2229"/>
        <w:gridCol w:w="60"/>
        <w:gridCol w:w="60"/>
        <w:gridCol w:w="93"/>
        <w:gridCol w:w="1541"/>
        <w:gridCol w:w="77"/>
      </w:tblGrid>
      <w:tr>
        <w:trPr/>
        <w:tc>
          <w:tcPr>
            <w:tcW w:w="9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909"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4835" w:type="dxa"/>
            <w:gridSpan w:val="6"/>
            <w:tcBorders>
              <w:bottom w:val="single" w:sz="8" w:space="0" w:color="FFFFFF"/>
            </w:tcBorders>
            <w:shd w:fill="0171B9" w:val="clear"/>
            <w:tcMar>
              <w:bottom w:w="28" w:type="dxa"/>
            </w:tcMar>
            <w:vAlign w:val="center"/>
          </w:tcPr>
          <w:p>
            <w:pPr>
              <w:pStyle w:val="TableContents"/>
              <w:bidi w:val="0"/>
              <w:spacing w:before="0" w:after="283"/>
              <w:jc w:val="center"/>
              <w:rPr>
                <w:b/>
                <w:color w:val="FFFFFF"/>
              </w:rPr>
            </w:pPr>
            <w:r>
              <w:rPr>
                <w:b/>
                <w:color w:val="FFFFFF"/>
              </w:rPr>
              <w:t>Option Awards</w:t>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4204" w:type="dxa"/>
            <w:gridSpan w:val="6"/>
            <w:tcBorders>
              <w:bottom w:val="single" w:sz="8" w:space="0" w:color="FFFFFF"/>
            </w:tcBorders>
            <w:shd w:fill="0171B9" w:val="clear"/>
            <w:tcMar>
              <w:bottom w:w="28" w:type="dxa"/>
            </w:tcMar>
            <w:vAlign w:val="center"/>
          </w:tcPr>
          <w:p>
            <w:pPr>
              <w:pStyle w:val="TableContents"/>
              <w:bidi w:val="0"/>
              <w:spacing w:before="0" w:after="283"/>
              <w:jc w:val="center"/>
              <w:rPr>
                <w:b/>
                <w:color w:val="FFFFFF"/>
              </w:rPr>
            </w:pPr>
            <w:r>
              <w:rPr>
                <w:b/>
                <w:color w:val="FFFFFF"/>
              </w:rPr>
              <w:t>Stock Awards</w:t>
            </w:r>
          </w:p>
        </w:tc>
        <w:tc>
          <w:tcPr>
            <w:tcW w:w="77" w:type="dxa"/>
            <w:tcBorders/>
            <w:shd w:fill="0171B9" w:val="clear"/>
            <w:vAlign w:val="center"/>
          </w:tcPr>
          <w:p>
            <w:pPr>
              <w:pStyle w:val="TableContents"/>
              <w:bidi w:val="0"/>
              <w:spacing w:before="0" w:after="283"/>
              <w:jc w:val="left"/>
              <w:rPr/>
            </w:pPr>
            <w:r>
              <w:rPr/>
              <w:t> </w:t>
            </w:r>
          </w:p>
        </w:tc>
      </w:tr>
      <w:tr>
        <w:trPr/>
        <w:tc>
          <w:tcPr>
            <w:tcW w:w="909" w:type="dxa"/>
            <w:tcBorders>
              <w:bottom w:val="single" w:sz="8" w:space="0" w:color="FFFFFF"/>
            </w:tcBorders>
            <w:shd w:fill="0171B9" w:val="clear"/>
            <w:tcMar>
              <w:bottom w:w="28" w:type="dxa"/>
            </w:tcMar>
            <w:vAlign w:val="center"/>
          </w:tcPr>
          <w:p>
            <w:pPr>
              <w:pStyle w:val="TableContents"/>
              <w:bidi w:val="0"/>
              <w:spacing w:before="0" w:after="283"/>
              <w:jc w:val="left"/>
              <w:rPr>
                <w:color w:val="FFFFFF"/>
              </w:rPr>
            </w:pPr>
            <w:r>
              <w:rPr>
                <w:color w:val="FFFFFF"/>
              </w:rPr>
              <w:t> </w:t>
            </w:r>
            <w:r>
              <w:rPr>
                <w:b/>
                <w:color w:val="FFFFFF"/>
              </w:rPr>
              <w:t>Name</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2744" w:type="dxa"/>
            <w:gridSpan w:val="2"/>
            <w:tcBorders>
              <w:bottom w:val="single" w:sz="8" w:space="0" w:color="FFFFFF"/>
            </w:tcBorders>
            <w:shd w:fill="0171B9" w:val="clear"/>
            <w:tcMar>
              <w:bottom w:w="28" w:type="dxa"/>
            </w:tcMar>
            <w:vAlign w:val="center"/>
          </w:tcPr>
          <w:p>
            <w:pPr>
              <w:pStyle w:val="TableContents"/>
              <w:bidi w:val="0"/>
              <w:spacing w:before="0" w:after="283"/>
              <w:jc w:val="right"/>
              <w:rPr>
                <w:b/>
                <w:color w:val="FFFFFF"/>
              </w:rPr>
            </w:pPr>
            <w:r>
              <w:rPr>
                <w:b/>
                <w:color w:val="FFFFFF"/>
              </w:rPr>
              <w:t>Number of Securities</w:t>
              <w:br/>
              <w:t>Acquired on Exercise (#)(1)</w:t>
            </w:r>
          </w:p>
        </w:tc>
        <w:tc>
          <w:tcPr>
            <w:tcW w:w="113"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13"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865" w:type="dxa"/>
            <w:gridSpan w:val="2"/>
            <w:tcBorders>
              <w:bottom w:val="single" w:sz="8" w:space="0" w:color="FFFFFF"/>
            </w:tcBorders>
            <w:shd w:fill="0171B9" w:val="clear"/>
            <w:tcMar>
              <w:bottom w:w="28" w:type="dxa"/>
            </w:tcMar>
            <w:vAlign w:val="center"/>
          </w:tcPr>
          <w:p>
            <w:pPr>
              <w:pStyle w:val="TableContents"/>
              <w:bidi w:val="0"/>
              <w:spacing w:before="0" w:after="283"/>
              <w:jc w:val="right"/>
              <w:rPr>
                <w:b/>
                <w:color w:val="FFFFFF"/>
              </w:rPr>
            </w:pPr>
            <w:r>
              <w:rPr>
                <w:b/>
                <w:color w:val="FFFFFF"/>
              </w:rPr>
              <w:t>Value Realized on</w:t>
              <w:br/>
              <w:t>Exercise ($)(1)</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2450" w:type="dxa"/>
            <w:gridSpan w:val="2"/>
            <w:tcBorders>
              <w:bottom w:val="single" w:sz="8" w:space="0" w:color="FFFFFF"/>
            </w:tcBorders>
            <w:shd w:fill="0171B9" w:val="clear"/>
            <w:tcMar>
              <w:bottom w:w="28" w:type="dxa"/>
            </w:tcMar>
            <w:vAlign w:val="center"/>
          </w:tcPr>
          <w:p>
            <w:pPr>
              <w:pStyle w:val="TableContents"/>
              <w:bidi w:val="0"/>
              <w:spacing w:before="0" w:after="283"/>
              <w:jc w:val="right"/>
              <w:rPr>
                <w:b/>
                <w:color w:val="FFFFFF"/>
              </w:rPr>
            </w:pPr>
            <w:r>
              <w:rPr>
                <w:b/>
                <w:color w:val="FFFFFF"/>
              </w:rPr>
              <w:t>Number of Shares</w:t>
              <w:br/>
              <w:t>Acquired on Vesting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634" w:type="dxa"/>
            <w:gridSpan w:val="2"/>
            <w:tcBorders>
              <w:bottom w:val="single" w:sz="8" w:space="0" w:color="FFFFFF"/>
            </w:tcBorders>
            <w:shd w:fill="0171B9" w:val="clear"/>
            <w:tcMar>
              <w:bottom w:w="28" w:type="dxa"/>
            </w:tcMar>
            <w:vAlign w:val="center"/>
          </w:tcPr>
          <w:p>
            <w:pPr>
              <w:pStyle w:val="TableContents"/>
              <w:bidi w:val="0"/>
              <w:spacing w:before="0" w:after="283"/>
              <w:jc w:val="right"/>
              <w:rPr>
                <w:b/>
                <w:color w:val="FFFFFF"/>
              </w:rPr>
            </w:pPr>
            <w:r>
              <w:rPr>
                <w:b/>
                <w:color w:val="FFFFFF"/>
              </w:rPr>
              <w:t>Value Realized</w:t>
              <w:br/>
              <w:t>on Vesting ($)(2)</w:t>
            </w:r>
          </w:p>
        </w:tc>
        <w:tc>
          <w:tcPr>
            <w:tcW w:w="77"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r>
      <w:tr>
        <w:trPr/>
        <w:tc>
          <w:tcPr>
            <w:tcW w:w="909" w:type="dxa"/>
            <w:tcBorders/>
            <w:shd w:fill="CCE2F1" w:val="clear"/>
            <w:vAlign w:val="center"/>
          </w:tcPr>
          <w:p>
            <w:pPr>
              <w:pStyle w:val="TableContents"/>
              <w:bidi w:val="0"/>
              <w:spacing w:lineRule="atLeast" w:line="300" w:before="0" w:after="0"/>
              <w:jc w:val="left"/>
              <w:rPr>
                <w:rFonts w:ascii="arial" w:hAnsi="arial"/>
                <w:sz w:val="19"/>
              </w:rPr>
            </w:pPr>
            <w:r>
              <w:rPr>
                <w:rFonts w:ascii="arial" w:hAnsi="arial"/>
                <w:sz w:val="19"/>
              </w:rPr>
              <w:t>Robert A . Bradway</w:t>
            </w:r>
          </w:p>
        </w:tc>
        <w:tc>
          <w:tcPr>
            <w:tcW w:w="60" w:type="dxa"/>
            <w:tcBorders/>
            <w:shd w:fill="CCE2F1" w:val="clear"/>
            <w:vAlign w:val="center"/>
          </w:tcPr>
          <w:p>
            <w:pPr>
              <w:pStyle w:val="TableContents"/>
              <w:bidi w:val="0"/>
              <w:spacing w:before="0" w:after="283"/>
              <w:jc w:val="left"/>
              <w:rPr/>
            </w:pPr>
            <w:r>
              <w:rPr/>
              <w:t> </w:t>
            </w:r>
          </w:p>
        </w:tc>
        <w:tc>
          <w:tcPr>
            <w:tcW w:w="888" w:type="dxa"/>
            <w:tcBorders/>
            <w:shd w:fill="CCE2F1" w:val="clear"/>
            <w:vAlign w:val="center"/>
          </w:tcPr>
          <w:p>
            <w:pPr>
              <w:pStyle w:val="TableContents"/>
              <w:bidi w:val="0"/>
              <w:spacing w:lineRule="atLeast" w:line="300" w:before="0" w:after="0"/>
              <w:jc w:val="left"/>
              <w:rPr/>
            </w:pPr>
            <w:r>
              <w:rPr/>
              <w:t> </w:t>
            </w:r>
          </w:p>
        </w:tc>
        <w:tc>
          <w:tcPr>
            <w:tcW w:w="1856" w:type="dxa"/>
            <w:tcBorders/>
            <w:shd w:fill="CCE2F1" w:val="clear"/>
            <w:vAlign w:val="center"/>
          </w:tcPr>
          <w:p>
            <w:pPr>
              <w:pStyle w:val="TableContents"/>
              <w:bidi w:val="0"/>
              <w:spacing w:lineRule="atLeast" w:line="300" w:before="0" w:after="0"/>
              <w:jc w:val="right"/>
              <w:rPr>
                <w:rFonts w:ascii="arial" w:hAnsi="arial"/>
                <w:sz w:val="19"/>
              </w:rPr>
            </w:pPr>
            <w:r>
              <w:rPr>
                <w:rFonts w:ascii="arial" w:hAnsi="arial"/>
                <w:sz w:val="19"/>
              </w:rPr>
              <w:t>0</w:t>
            </w:r>
          </w:p>
        </w:tc>
        <w:tc>
          <w:tcPr>
            <w:tcW w:w="113" w:type="dxa"/>
            <w:tcBorders/>
            <w:shd w:fill="CCE2F1" w:val="clear"/>
            <w:vAlign w:val="center"/>
          </w:tcPr>
          <w:p>
            <w:pPr>
              <w:pStyle w:val="TableContents"/>
              <w:bidi w:val="0"/>
              <w:spacing w:lineRule="atLeast" w:line="300" w:before="0" w:after="0"/>
              <w:jc w:val="left"/>
              <w:rPr/>
            </w:pPr>
            <w:r>
              <w:rPr/>
              <w:t> </w:t>
            </w:r>
          </w:p>
        </w:tc>
        <w:tc>
          <w:tcPr>
            <w:tcW w:w="113" w:type="dxa"/>
            <w:tcBorders/>
            <w:shd w:fill="CCE2F1" w:val="clear"/>
            <w:vAlign w:val="center"/>
          </w:tcPr>
          <w:p>
            <w:pPr>
              <w:pStyle w:val="TableContents"/>
              <w:bidi w:val="0"/>
              <w:spacing w:before="0" w:after="283"/>
              <w:jc w:val="left"/>
              <w:rPr/>
            </w:pPr>
            <w:r>
              <w:rPr/>
              <w:t> </w:t>
            </w:r>
          </w:p>
        </w:tc>
        <w:tc>
          <w:tcPr>
            <w:tcW w:w="596" w:type="dxa"/>
            <w:tcBorders/>
            <w:shd w:fill="CCE2F1" w:val="clear"/>
            <w:vAlign w:val="center"/>
          </w:tcPr>
          <w:p>
            <w:pPr>
              <w:pStyle w:val="TableContents"/>
              <w:bidi w:val="0"/>
              <w:spacing w:lineRule="atLeast" w:line="300" w:before="0" w:after="0"/>
              <w:jc w:val="left"/>
              <w:rPr/>
            </w:pPr>
            <w:r>
              <w:rPr/>
              <w:t> </w:t>
            </w:r>
          </w:p>
        </w:tc>
        <w:tc>
          <w:tcPr>
            <w:tcW w:w="1269" w:type="dxa"/>
            <w:tcBorders/>
            <w:shd w:fill="CCE2F1" w:val="clear"/>
            <w:vAlign w:val="center"/>
          </w:tcPr>
          <w:p>
            <w:pPr>
              <w:pStyle w:val="TableContents"/>
              <w:bidi w:val="0"/>
              <w:spacing w:lineRule="atLeast" w:line="300" w:before="0" w:after="0"/>
              <w:jc w:val="right"/>
              <w:rPr>
                <w:rFonts w:ascii="arial" w:hAnsi="arial"/>
                <w:sz w:val="19"/>
              </w:rPr>
            </w:pPr>
            <w:r>
              <w:rPr>
                <w:rFonts w:ascii="arial" w:hAnsi="arial"/>
                <w:sz w:val="19"/>
              </w:rPr>
              <w:t>0</w:t>
            </w:r>
          </w:p>
        </w:tc>
        <w:tc>
          <w:tcPr>
            <w:tcW w:w="60" w:type="dxa"/>
            <w:tcBorders/>
            <w:shd w:fill="CCE2F1" w:val="clear"/>
            <w:vAlign w:val="center"/>
          </w:tcPr>
          <w:p>
            <w:pPr>
              <w:pStyle w:val="TableContents"/>
              <w:bidi w:val="0"/>
              <w:spacing w:lineRule="atLeast" w:line="300" w:before="0" w:after="0"/>
              <w:jc w:val="left"/>
              <w:rPr/>
            </w:pPr>
            <w:r>
              <w:rPr/>
              <w:t> </w:t>
            </w:r>
          </w:p>
        </w:tc>
        <w:tc>
          <w:tcPr>
            <w:tcW w:w="60" w:type="dxa"/>
            <w:tcBorders/>
            <w:shd w:fill="CCE2F1" w:val="clear"/>
            <w:vAlign w:val="center"/>
          </w:tcPr>
          <w:p>
            <w:pPr>
              <w:pStyle w:val="TableContents"/>
              <w:bidi w:val="0"/>
              <w:spacing w:before="0" w:after="283"/>
              <w:jc w:val="left"/>
              <w:rPr/>
            </w:pPr>
            <w:r>
              <w:rPr/>
              <w:t> </w:t>
            </w:r>
          </w:p>
        </w:tc>
        <w:tc>
          <w:tcPr>
            <w:tcW w:w="221" w:type="dxa"/>
            <w:tcBorders/>
            <w:shd w:fill="CCE2F1" w:val="clear"/>
            <w:vAlign w:val="center"/>
          </w:tcPr>
          <w:p>
            <w:pPr>
              <w:pStyle w:val="TableContents"/>
              <w:bidi w:val="0"/>
              <w:spacing w:lineRule="atLeast" w:line="300" w:before="0" w:after="0"/>
              <w:jc w:val="left"/>
              <w:rPr/>
            </w:pPr>
            <w:r>
              <w:rPr/>
              <w:t> </w:t>
            </w:r>
          </w:p>
        </w:tc>
        <w:tc>
          <w:tcPr>
            <w:tcW w:w="2229" w:type="dxa"/>
            <w:tcBorders/>
            <w:shd w:fill="CCE2F1" w:val="clear"/>
            <w:vAlign w:val="center"/>
          </w:tcPr>
          <w:p>
            <w:pPr>
              <w:pStyle w:val="TableContents"/>
              <w:bidi w:val="0"/>
              <w:spacing w:lineRule="atLeast" w:line="300" w:before="0" w:after="0"/>
              <w:jc w:val="right"/>
              <w:rPr>
                <w:rFonts w:ascii="arial" w:hAnsi="arial"/>
                <w:sz w:val="19"/>
              </w:rPr>
            </w:pPr>
            <w:r>
              <w:rPr>
                <w:rFonts w:ascii="arial" w:hAnsi="arial"/>
                <w:sz w:val="19"/>
              </w:rPr>
              <w:t>43,312</w:t>
            </w:r>
          </w:p>
        </w:tc>
        <w:tc>
          <w:tcPr>
            <w:tcW w:w="60" w:type="dxa"/>
            <w:tcBorders/>
            <w:shd w:fill="CCE2F1" w:val="clear"/>
            <w:vAlign w:val="center"/>
          </w:tcPr>
          <w:p>
            <w:pPr>
              <w:pStyle w:val="TableContents"/>
              <w:bidi w:val="0"/>
              <w:spacing w:lineRule="atLeast" w:line="300" w:before="0" w:after="0"/>
              <w:jc w:val="left"/>
              <w:rPr/>
            </w:pPr>
            <w:r>
              <w:rPr/>
              <w:t> </w:t>
            </w:r>
          </w:p>
        </w:tc>
        <w:tc>
          <w:tcPr>
            <w:tcW w:w="60" w:type="dxa"/>
            <w:tcBorders/>
            <w:shd w:fill="CCE2F1" w:val="clear"/>
            <w:vAlign w:val="center"/>
          </w:tcPr>
          <w:p>
            <w:pPr>
              <w:pStyle w:val="TableContents"/>
              <w:bidi w:val="0"/>
              <w:spacing w:before="0" w:after="283"/>
              <w:jc w:val="left"/>
              <w:rPr/>
            </w:pPr>
            <w:r>
              <w:rPr/>
              <w:t> </w:t>
            </w:r>
          </w:p>
        </w:tc>
        <w:tc>
          <w:tcPr>
            <w:tcW w:w="93" w:type="dxa"/>
            <w:tcBorders/>
            <w:shd w:fill="CCE2F1" w:val="clear"/>
            <w:vAlign w:val="center"/>
          </w:tcPr>
          <w:p>
            <w:pPr>
              <w:pStyle w:val="TableContents"/>
              <w:bidi w:val="0"/>
              <w:spacing w:lineRule="atLeast" w:line="300" w:before="0" w:after="0"/>
              <w:jc w:val="left"/>
              <w:rPr/>
            </w:pPr>
            <w:r>
              <w:rPr/>
              <w:t> </w:t>
            </w:r>
          </w:p>
        </w:tc>
        <w:tc>
          <w:tcPr>
            <w:tcW w:w="1541" w:type="dxa"/>
            <w:tcBorders/>
            <w:shd w:fill="CCE2F1" w:val="clear"/>
            <w:vAlign w:val="center"/>
          </w:tcPr>
          <w:p>
            <w:pPr>
              <w:pStyle w:val="TableContents"/>
              <w:bidi w:val="0"/>
              <w:spacing w:lineRule="atLeast" w:line="300" w:before="0" w:after="0"/>
              <w:jc w:val="right"/>
              <w:rPr>
                <w:rFonts w:ascii="arial" w:hAnsi="arial"/>
                <w:sz w:val="19"/>
              </w:rPr>
            </w:pPr>
            <w:r>
              <w:rPr>
                <w:rFonts w:ascii="arial" w:hAnsi="arial"/>
                <w:sz w:val="19"/>
              </w:rPr>
              <w:t>10,181,048</w:t>
            </w:r>
          </w:p>
        </w:tc>
        <w:tc>
          <w:tcPr>
            <w:tcW w:w="77" w:type="dxa"/>
            <w:tcBorders/>
            <w:shd w:fill="CCE2F1" w:val="clear"/>
            <w:vAlign w:val="center"/>
          </w:tcPr>
          <w:p>
            <w:pPr>
              <w:pStyle w:val="TableContents"/>
              <w:bidi w:val="0"/>
              <w:spacing w:lineRule="atLeast" w:line="300" w:before="0" w:after="0"/>
              <w:jc w:val="left"/>
              <w:rPr/>
            </w:pPr>
            <w:r>
              <w:rPr/>
              <w:t> </w:t>
            </w:r>
          </w:p>
        </w:tc>
      </w:tr>
      <w:tr>
        <w:trPr/>
        <w:tc>
          <w:tcPr>
            <w:tcW w:w="909" w:type="dxa"/>
            <w:tcBorders/>
            <w:vAlign w:val="center"/>
          </w:tcPr>
          <w:p>
            <w:pPr>
              <w:pStyle w:val="TableContents"/>
              <w:bidi w:val="0"/>
              <w:spacing w:lineRule="atLeast" w:line="300" w:before="0" w:after="0"/>
              <w:jc w:val="left"/>
              <w:rPr>
                <w:rFonts w:ascii="arial" w:hAnsi="arial"/>
                <w:sz w:val="19"/>
              </w:rPr>
            </w:pPr>
            <w:r>
              <w:rPr>
                <w:rFonts w:ascii="arial" w:hAnsi="arial"/>
                <w:sz w:val="19"/>
              </w:rPr>
              <w:t>Murdo Gordon</w:t>
            </w:r>
          </w:p>
        </w:tc>
        <w:tc>
          <w:tcPr>
            <w:tcW w:w="60"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lineRule="atLeast" w:line="300" w:before="0" w:after="0"/>
              <w:jc w:val="left"/>
              <w:rPr/>
            </w:pPr>
            <w:r>
              <w:rPr/>
              <w:t> </w:t>
            </w:r>
          </w:p>
        </w:tc>
        <w:tc>
          <w:tcPr>
            <w:tcW w:w="1856" w:type="dxa"/>
            <w:tcBorders/>
            <w:vAlign w:val="center"/>
          </w:tcPr>
          <w:p>
            <w:pPr>
              <w:pStyle w:val="TableContents"/>
              <w:bidi w:val="0"/>
              <w:spacing w:lineRule="atLeast" w:line="300" w:before="0" w:after="0"/>
              <w:jc w:val="right"/>
              <w:rPr>
                <w:rFonts w:ascii="arial" w:hAnsi="arial"/>
                <w:sz w:val="19"/>
              </w:rPr>
            </w:pPr>
            <w:r>
              <w:rPr>
                <w:rFonts w:ascii="arial" w:hAnsi="arial"/>
                <w:sz w:val="19"/>
              </w:rPr>
              <w:t>0</w:t>
            </w:r>
          </w:p>
        </w:tc>
        <w:tc>
          <w:tcPr>
            <w:tcW w:w="113" w:type="dxa"/>
            <w:tcBorders/>
            <w:vAlign w:val="center"/>
          </w:tcPr>
          <w:p>
            <w:pPr>
              <w:pStyle w:val="TableContents"/>
              <w:bidi w:val="0"/>
              <w:spacing w:lineRule="atLeast" w:line="300" w:before="0" w:after="0"/>
              <w:jc w:val="left"/>
              <w:rPr/>
            </w:pPr>
            <w:r>
              <w:rPr/>
              <w:t> </w:t>
            </w:r>
          </w:p>
        </w:tc>
        <w:tc>
          <w:tcPr>
            <w:tcW w:w="113"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lineRule="atLeast" w:line="300" w:before="0" w:after="0"/>
              <w:jc w:val="left"/>
              <w:rPr/>
            </w:pPr>
            <w:r>
              <w:rPr/>
              <w:t> </w:t>
            </w:r>
          </w:p>
        </w:tc>
        <w:tc>
          <w:tcPr>
            <w:tcW w:w="1269" w:type="dxa"/>
            <w:tcBorders/>
            <w:vAlign w:val="center"/>
          </w:tcPr>
          <w:p>
            <w:pPr>
              <w:pStyle w:val="TableContents"/>
              <w:bidi w:val="0"/>
              <w:spacing w:lineRule="atLeast" w:line="300" w:before="0" w:after="0"/>
              <w:jc w:val="right"/>
              <w:rPr>
                <w:rFonts w:ascii="arial" w:hAnsi="arial"/>
                <w:sz w:val="19"/>
              </w:rPr>
            </w:pPr>
            <w:r>
              <w:rPr>
                <w:rFonts w:ascii="arial" w:hAnsi="arial"/>
                <w:sz w:val="19"/>
              </w:rPr>
              <w:t>0</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lineRule="atLeast" w:line="300" w:before="0" w:after="0"/>
              <w:jc w:val="left"/>
              <w:rPr/>
            </w:pPr>
            <w:r>
              <w:rPr/>
              <w:t> </w:t>
            </w:r>
          </w:p>
        </w:tc>
        <w:tc>
          <w:tcPr>
            <w:tcW w:w="2229" w:type="dxa"/>
            <w:tcBorders/>
            <w:vAlign w:val="center"/>
          </w:tcPr>
          <w:p>
            <w:pPr>
              <w:pStyle w:val="TableContents"/>
              <w:bidi w:val="0"/>
              <w:spacing w:lineRule="atLeast" w:line="300" w:before="0" w:after="0"/>
              <w:jc w:val="right"/>
              <w:rPr>
                <w:rFonts w:ascii="arial" w:hAnsi="arial"/>
                <w:sz w:val="19"/>
              </w:rPr>
            </w:pPr>
            <w:r>
              <w:rPr>
                <w:rFonts w:ascii="arial" w:hAnsi="arial"/>
                <w:sz w:val="19"/>
              </w:rPr>
              <w:t>12,473</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lineRule="atLeast" w:line="300" w:before="0" w:after="0"/>
              <w:jc w:val="left"/>
              <w:rPr/>
            </w:pPr>
            <w:r>
              <w:rPr/>
              <w:t> </w:t>
            </w:r>
          </w:p>
        </w:tc>
        <w:tc>
          <w:tcPr>
            <w:tcW w:w="1541" w:type="dxa"/>
            <w:tcBorders/>
            <w:vAlign w:val="center"/>
          </w:tcPr>
          <w:p>
            <w:pPr>
              <w:pStyle w:val="TableContents"/>
              <w:bidi w:val="0"/>
              <w:spacing w:lineRule="atLeast" w:line="300" w:before="0" w:after="0"/>
              <w:jc w:val="right"/>
              <w:rPr>
                <w:rFonts w:ascii="arial" w:hAnsi="arial"/>
                <w:sz w:val="19"/>
              </w:rPr>
            </w:pPr>
            <w:r>
              <w:rPr>
                <w:rFonts w:ascii="arial" w:hAnsi="arial"/>
                <w:sz w:val="19"/>
              </w:rPr>
              <w:t>2,932,965</w:t>
            </w:r>
          </w:p>
        </w:tc>
        <w:tc>
          <w:tcPr>
            <w:tcW w:w="77" w:type="dxa"/>
            <w:tcBorders/>
            <w:vAlign w:val="center"/>
          </w:tcPr>
          <w:p>
            <w:pPr>
              <w:pStyle w:val="TableContents"/>
              <w:bidi w:val="0"/>
              <w:spacing w:lineRule="atLeast" w:line="300" w:before="0" w:after="0"/>
              <w:jc w:val="left"/>
              <w:rPr/>
            </w:pPr>
            <w:r>
              <w:rPr/>
              <w:t> </w:t>
            </w:r>
          </w:p>
        </w:tc>
      </w:tr>
      <w:tr>
        <w:trPr/>
        <w:tc>
          <w:tcPr>
            <w:tcW w:w="909" w:type="dxa"/>
            <w:tcBorders/>
            <w:shd w:fill="CCE2F1" w:val="clear"/>
            <w:vAlign w:val="center"/>
          </w:tcPr>
          <w:p>
            <w:pPr>
              <w:pStyle w:val="TableContents"/>
              <w:bidi w:val="0"/>
              <w:spacing w:lineRule="atLeast" w:line="300" w:before="0" w:after="0"/>
              <w:jc w:val="left"/>
              <w:rPr>
                <w:rFonts w:ascii="arial" w:hAnsi="arial"/>
                <w:sz w:val="19"/>
              </w:rPr>
            </w:pPr>
            <w:r>
              <w:rPr>
                <w:rFonts w:ascii="arial" w:hAnsi="arial"/>
                <w:sz w:val="19"/>
              </w:rPr>
              <w:t>David M. Reese</w:t>
            </w:r>
          </w:p>
        </w:tc>
        <w:tc>
          <w:tcPr>
            <w:tcW w:w="60" w:type="dxa"/>
            <w:tcBorders/>
            <w:shd w:fill="CCE2F1" w:val="clear"/>
            <w:vAlign w:val="center"/>
          </w:tcPr>
          <w:p>
            <w:pPr>
              <w:pStyle w:val="TableContents"/>
              <w:bidi w:val="0"/>
              <w:spacing w:before="0" w:after="283"/>
              <w:jc w:val="left"/>
              <w:rPr/>
            </w:pPr>
            <w:r>
              <w:rPr/>
              <w:t> </w:t>
            </w:r>
          </w:p>
        </w:tc>
        <w:tc>
          <w:tcPr>
            <w:tcW w:w="888" w:type="dxa"/>
            <w:tcBorders/>
            <w:shd w:fill="CCE2F1" w:val="clear"/>
            <w:vAlign w:val="center"/>
          </w:tcPr>
          <w:p>
            <w:pPr>
              <w:pStyle w:val="TableContents"/>
              <w:bidi w:val="0"/>
              <w:spacing w:lineRule="atLeast" w:line="300" w:before="0" w:after="0"/>
              <w:jc w:val="left"/>
              <w:rPr/>
            </w:pPr>
            <w:r>
              <w:rPr/>
              <w:t> </w:t>
            </w:r>
          </w:p>
        </w:tc>
        <w:tc>
          <w:tcPr>
            <w:tcW w:w="1856" w:type="dxa"/>
            <w:tcBorders/>
            <w:shd w:fill="CCE2F1" w:val="clear"/>
            <w:vAlign w:val="center"/>
          </w:tcPr>
          <w:p>
            <w:pPr>
              <w:pStyle w:val="TableContents"/>
              <w:bidi w:val="0"/>
              <w:spacing w:lineRule="atLeast" w:line="300" w:before="0" w:after="0"/>
              <w:jc w:val="right"/>
              <w:rPr>
                <w:rFonts w:ascii="arial" w:hAnsi="arial"/>
                <w:sz w:val="19"/>
              </w:rPr>
            </w:pPr>
            <w:r>
              <w:rPr>
                <w:rFonts w:ascii="arial" w:hAnsi="arial"/>
                <w:sz w:val="19"/>
              </w:rPr>
              <w:t>0</w:t>
            </w:r>
          </w:p>
        </w:tc>
        <w:tc>
          <w:tcPr>
            <w:tcW w:w="113" w:type="dxa"/>
            <w:tcBorders/>
            <w:shd w:fill="CCE2F1" w:val="clear"/>
            <w:vAlign w:val="center"/>
          </w:tcPr>
          <w:p>
            <w:pPr>
              <w:pStyle w:val="TableContents"/>
              <w:bidi w:val="0"/>
              <w:spacing w:lineRule="atLeast" w:line="300" w:before="0" w:after="0"/>
              <w:jc w:val="left"/>
              <w:rPr/>
            </w:pPr>
            <w:r>
              <w:rPr/>
              <w:t> </w:t>
            </w:r>
          </w:p>
        </w:tc>
        <w:tc>
          <w:tcPr>
            <w:tcW w:w="113" w:type="dxa"/>
            <w:tcBorders/>
            <w:shd w:fill="CCE2F1" w:val="clear"/>
            <w:vAlign w:val="center"/>
          </w:tcPr>
          <w:p>
            <w:pPr>
              <w:pStyle w:val="TableContents"/>
              <w:bidi w:val="0"/>
              <w:spacing w:before="0" w:after="283"/>
              <w:jc w:val="left"/>
              <w:rPr/>
            </w:pPr>
            <w:r>
              <w:rPr/>
              <w:t> </w:t>
            </w:r>
          </w:p>
        </w:tc>
        <w:tc>
          <w:tcPr>
            <w:tcW w:w="596" w:type="dxa"/>
            <w:tcBorders/>
            <w:shd w:fill="CCE2F1" w:val="clear"/>
            <w:vAlign w:val="center"/>
          </w:tcPr>
          <w:p>
            <w:pPr>
              <w:pStyle w:val="TableContents"/>
              <w:bidi w:val="0"/>
              <w:spacing w:lineRule="atLeast" w:line="300" w:before="0" w:after="0"/>
              <w:jc w:val="left"/>
              <w:rPr/>
            </w:pPr>
            <w:r>
              <w:rPr/>
              <w:t> </w:t>
            </w:r>
          </w:p>
        </w:tc>
        <w:tc>
          <w:tcPr>
            <w:tcW w:w="1269" w:type="dxa"/>
            <w:tcBorders/>
            <w:shd w:fill="CCE2F1" w:val="clear"/>
            <w:vAlign w:val="center"/>
          </w:tcPr>
          <w:p>
            <w:pPr>
              <w:pStyle w:val="TableContents"/>
              <w:bidi w:val="0"/>
              <w:spacing w:lineRule="atLeast" w:line="300" w:before="0" w:after="0"/>
              <w:jc w:val="right"/>
              <w:rPr>
                <w:rFonts w:ascii="arial" w:hAnsi="arial"/>
                <w:sz w:val="19"/>
              </w:rPr>
            </w:pPr>
            <w:r>
              <w:rPr>
                <w:rFonts w:ascii="arial" w:hAnsi="arial"/>
                <w:sz w:val="19"/>
              </w:rPr>
              <w:t>0</w:t>
            </w:r>
          </w:p>
        </w:tc>
        <w:tc>
          <w:tcPr>
            <w:tcW w:w="60" w:type="dxa"/>
            <w:tcBorders/>
            <w:shd w:fill="CCE2F1" w:val="clear"/>
            <w:vAlign w:val="center"/>
          </w:tcPr>
          <w:p>
            <w:pPr>
              <w:pStyle w:val="TableContents"/>
              <w:bidi w:val="0"/>
              <w:spacing w:lineRule="atLeast" w:line="300" w:before="0" w:after="0"/>
              <w:jc w:val="left"/>
              <w:rPr/>
            </w:pPr>
            <w:r>
              <w:rPr/>
              <w:t> </w:t>
            </w:r>
          </w:p>
        </w:tc>
        <w:tc>
          <w:tcPr>
            <w:tcW w:w="60" w:type="dxa"/>
            <w:tcBorders/>
            <w:shd w:fill="CCE2F1" w:val="clear"/>
            <w:vAlign w:val="center"/>
          </w:tcPr>
          <w:p>
            <w:pPr>
              <w:pStyle w:val="TableContents"/>
              <w:bidi w:val="0"/>
              <w:spacing w:before="0" w:after="283"/>
              <w:jc w:val="left"/>
              <w:rPr/>
            </w:pPr>
            <w:r>
              <w:rPr/>
              <w:t> </w:t>
            </w:r>
          </w:p>
        </w:tc>
        <w:tc>
          <w:tcPr>
            <w:tcW w:w="221" w:type="dxa"/>
            <w:tcBorders/>
            <w:shd w:fill="CCE2F1" w:val="clear"/>
            <w:vAlign w:val="center"/>
          </w:tcPr>
          <w:p>
            <w:pPr>
              <w:pStyle w:val="TableContents"/>
              <w:bidi w:val="0"/>
              <w:spacing w:lineRule="atLeast" w:line="300" w:before="0" w:after="0"/>
              <w:jc w:val="left"/>
              <w:rPr/>
            </w:pPr>
            <w:r>
              <w:rPr/>
              <w:t> </w:t>
            </w:r>
          </w:p>
        </w:tc>
        <w:tc>
          <w:tcPr>
            <w:tcW w:w="2229" w:type="dxa"/>
            <w:tcBorders/>
            <w:shd w:fill="CCE2F1" w:val="clear"/>
            <w:vAlign w:val="center"/>
          </w:tcPr>
          <w:p>
            <w:pPr>
              <w:pStyle w:val="TableContents"/>
              <w:bidi w:val="0"/>
              <w:spacing w:lineRule="atLeast" w:line="300" w:before="0" w:after="0"/>
              <w:jc w:val="right"/>
              <w:rPr>
                <w:rFonts w:ascii="arial" w:hAnsi="arial"/>
                <w:sz w:val="19"/>
              </w:rPr>
            </w:pPr>
            <w:r>
              <w:rPr>
                <w:rFonts w:ascii="arial" w:hAnsi="arial"/>
                <w:sz w:val="19"/>
              </w:rPr>
              <w:t>12,414</w:t>
            </w:r>
          </w:p>
        </w:tc>
        <w:tc>
          <w:tcPr>
            <w:tcW w:w="60" w:type="dxa"/>
            <w:tcBorders/>
            <w:shd w:fill="CCE2F1" w:val="clear"/>
            <w:vAlign w:val="center"/>
          </w:tcPr>
          <w:p>
            <w:pPr>
              <w:pStyle w:val="TableContents"/>
              <w:bidi w:val="0"/>
              <w:spacing w:lineRule="atLeast" w:line="300" w:before="0" w:after="0"/>
              <w:jc w:val="left"/>
              <w:rPr/>
            </w:pPr>
            <w:r>
              <w:rPr/>
              <w:t> </w:t>
            </w:r>
          </w:p>
        </w:tc>
        <w:tc>
          <w:tcPr>
            <w:tcW w:w="60" w:type="dxa"/>
            <w:tcBorders/>
            <w:shd w:fill="CCE2F1" w:val="clear"/>
            <w:vAlign w:val="center"/>
          </w:tcPr>
          <w:p>
            <w:pPr>
              <w:pStyle w:val="TableContents"/>
              <w:bidi w:val="0"/>
              <w:spacing w:before="0" w:after="283"/>
              <w:jc w:val="left"/>
              <w:rPr/>
            </w:pPr>
            <w:r>
              <w:rPr/>
              <w:t> </w:t>
            </w:r>
          </w:p>
        </w:tc>
        <w:tc>
          <w:tcPr>
            <w:tcW w:w="93" w:type="dxa"/>
            <w:tcBorders/>
            <w:shd w:fill="CCE2F1" w:val="clear"/>
            <w:vAlign w:val="center"/>
          </w:tcPr>
          <w:p>
            <w:pPr>
              <w:pStyle w:val="TableContents"/>
              <w:bidi w:val="0"/>
              <w:spacing w:lineRule="atLeast" w:line="300" w:before="0" w:after="0"/>
              <w:jc w:val="left"/>
              <w:rPr/>
            </w:pPr>
            <w:r>
              <w:rPr/>
              <w:t> </w:t>
            </w:r>
          </w:p>
        </w:tc>
        <w:tc>
          <w:tcPr>
            <w:tcW w:w="1541" w:type="dxa"/>
            <w:tcBorders/>
            <w:shd w:fill="CCE2F1" w:val="clear"/>
            <w:vAlign w:val="center"/>
          </w:tcPr>
          <w:p>
            <w:pPr>
              <w:pStyle w:val="TableContents"/>
              <w:bidi w:val="0"/>
              <w:spacing w:lineRule="atLeast" w:line="300" w:before="0" w:after="0"/>
              <w:jc w:val="right"/>
              <w:rPr>
                <w:rFonts w:ascii="arial" w:hAnsi="arial"/>
                <w:sz w:val="19"/>
              </w:rPr>
            </w:pPr>
            <w:r>
              <w:rPr>
                <w:rFonts w:ascii="arial" w:hAnsi="arial"/>
                <w:sz w:val="19"/>
              </w:rPr>
              <w:t>2,918,840</w:t>
            </w:r>
          </w:p>
        </w:tc>
        <w:tc>
          <w:tcPr>
            <w:tcW w:w="77" w:type="dxa"/>
            <w:tcBorders/>
            <w:shd w:fill="CCE2F1" w:val="clear"/>
            <w:vAlign w:val="center"/>
          </w:tcPr>
          <w:p>
            <w:pPr>
              <w:pStyle w:val="TableContents"/>
              <w:bidi w:val="0"/>
              <w:spacing w:lineRule="atLeast" w:line="300" w:before="0" w:after="0"/>
              <w:jc w:val="left"/>
              <w:rPr/>
            </w:pPr>
            <w:r>
              <w:rPr/>
              <w:t> </w:t>
            </w:r>
          </w:p>
        </w:tc>
      </w:tr>
      <w:tr>
        <w:trPr/>
        <w:tc>
          <w:tcPr>
            <w:tcW w:w="909" w:type="dxa"/>
            <w:tcBorders/>
            <w:vAlign w:val="center"/>
          </w:tcPr>
          <w:p>
            <w:pPr>
              <w:pStyle w:val="TableContents"/>
              <w:bidi w:val="0"/>
              <w:spacing w:lineRule="atLeast" w:line="300" w:before="0" w:after="0"/>
              <w:jc w:val="left"/>
              <w:rPr>
                <w:rFonts w:ascii="arial" w:hAnsi="arial"/>
                <w:sz w:val="19"/>
              </w:rPr>
            </w:pPr>
            <w:r>
              <w:rPr>
                <w:rFonts w:ascii="arial" w:hAnsi="arial"/>
                <w:sz w:val="19"/>
              </w:rPr>
              <w:t>Peter H. Griffith</w:t>
            </w:r>
          </w:p>
        </w:tc>
        <w:tc>
          <w:tcPr>
            <w:tcW w:w="60"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lineRule="atLeast" w:line="300" w:before="0" w:after="0"/>
              <w:jc w:val="left"/>
              <w:rPr/>
            </w:pPr>
            <w:r>
              <w:rPr/>
              <w:t> </w:t>
            </w:r>
          </w:p>
        </w:tc>
        <w:tc>
          <w:tcPr>
            <w:tcW w:w="1856" w:type="dxa"/>
            <w:tcBorders/>
            <w:vAlign w:val="center"/>
          </w:tcPr>
          <w:p>
            <w:pPr>
              <w:pStyle w:val="TableContents"/>
              <w:bidi w:val="0"/>
              <w:spacing w:lineRule="atLeast" w:line="300" w:before="0" w:after="0"/>
              <w:jc w:val="right"/>
              <w:rPr>
                <w:rFonts w:ascii="arial" w:hAnsi="arial"/>
                <w:sz w:val="19"/>
              </w:rPr>
            </w:pPr>
            <w:r>
              <w:rPr>
                <w:rFonts w:ascii="arial" w:hAnsi="arial"/>
                <w:sz w:val="19"/>
              </w:rPr>
              <w:t>0</w:t>
            </w:r>
          </w:p>
        </w:tc>
        <w:tc>
          <w:tcPr>
            <w:tcW w:w="113" w:type="dxa"/>
            <w:tcBorders/>
            <w:vAlign w:val="center"/>
          </w:tcPr>
          <w:p>
            <w:pPr>
              <w:pStyle w:val="TableContents"/>
              <w:bidi w:val="0"/>
              <w:spacing w:lineRule="atLeast" w:line="300" w:before="0" w:after="0"/>
              <w:jc w:val="left"/>
              <w:rPr/>
            </w:pPr>
            <w:r>
              <w:rPr/>
              <w:t> </w:t>
            </w:r>
          </w:p>
        </w:tc>
        <w:tc>
          <w:tcPr>
            <w:tcW w:w="113"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lineRule="atLeast" w:line="300" w:before="0" w:after="0"/>
              <w:jc w:val="left"/>
              <w:rPr/>
            </w:pPr>
            <w:r>
              <w:rPr/>
              <w:t> </w:t>
            </w:r>
          </w:p>
        </w:tc>
        <w:tc>
          <w:tcPr>
            <w:tcW w:w="1269" w:type="dxa"/>
            <w:tcBorders/>
            <w:vAlign w:val="center"/>
          </w:tcPr>
          <w:p>
            <w:pPr>
              <w:pStyle w:val="TableContents"/>
              <w:bidi w:val="0"/>
              <w:spacing w:lineRule="atLeast" w:line="300" w:before="0" w:after="0"/>
              <w:jc w:val="right"/>
              <w:rPr>
                <w:rFonts w:ascii="arial" w:hAnsi="arial"/>
                <w:sz w:val="19"/>
              </w:rPr>
            </w:pPr>
            <w:r>
              <w:rPr>
                <w:rFonts w:ascii="arial" w:hAnsi="arial"/>
                <w:sz w:val="19"/>
              </w:rPr>
              <w:t>0</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lineRule="atLeast" w:line="300" w:before="0" w:after="0"/>
              <w:jc w:val="left"/>
              <w:rPr/>
            </w:pPr>
            <w:r>
              <w:rPr/>
              <w:t> </w:t>
            </w:r>
          </w:p>
        </w:tc>
        <w:tc>
          <w:tcPr>
            <w:tcW w:w="2229" w:type="dxa"/>
            <w:tcBorders/>
            <w:vAlign w:val="center"/>
          </w:tcPr>
          <w:p>
            <w:pPr>
              <w:pStyle w:val="TableContents"/>
              <w:bidi w:val="0"/>
              <w:spacing w:lineRule="atLeast" w:line="300" w:before="0" w:after="0"/>
              <w:jc w:val="right"/>
              <w:rPr>
                <w:rFonts w:ascii="arial" w:hAnsi="arial"/>
                <w:sz w:val="19"/>
              </w:rPr>
            </w:pPr>
            <w:r>
              <w:rPr>
                <w:rFonts w:ascii="arial" w:hAnsi="arial"/>
                <w:sz w:val="19"/>
              </w:rPr>
              <w:t>17,284</w:t>
            </w:r>
          </w:p>
        </w:tc>
        <w:tc>
          <w:tcPr>
            <w:tcW w:w="60" w:type="dxa"/>
            <w:tcBorders/>
            <w:vAlign w:val="center"/>
          </w:tcPr>
          <w:p>
            <w:pPr>
              <w:pStyle w:val="TableContents"/>
              <w:bidi w:val="0"/>
              <w:spacing w:lineRule="atLeast" w:line="300" w:before="0" w:after="0"/>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lineRule="atLeast" w:line="300" w:before="0" w:after="0"/>
              <w:jc w:val="left"/>
              <w:rPr/>
            </w:pPr>
            <w:r>
              <w:rPr/>
              <w:t> </w:t>
            </w:r>
          </w:p>
        </w:tc>
        <w:tc>
          <w:tcPr>
            <w:tcW w:w="1541" w:type="dxa"/>
            <w:tcBorders/>
            <w:vAlign w:val="center"/>
          </w:tcPr>
          <w:p>
            <w:pPr>
              <w:pStyle w:val="TableContents"/>
              <w:bidi w:val="0"/>
              <w:spacing w:lineRule="atLeast" w:line="300" w:before="0" w:after="0"/>
              <w:jc w:val="right"/>
              <w:rPr>
                <w:rFonts w:ascii="arial" w:hAnsi="arial"/>
                <w:sz w:val="19"/>
              </w:rPr>
            </w:pPr>
            <w:r>
              <w:rPr>
                <w:rFonts w:ascii="arial" w:hAnsi="arial"/>
                <w:sz w:val="19"/>
              </w:rPr>
              <w:t>4,206,869</w:t>
            </w:r>
          </w:p>
        </w:tc>
        <w:tc>
          <w:tcPr>
            <w:tcW w:w="77" w:type="dxa"/>
            <w:tcBorders/>
            <w:vAlign w:val="center"/>
          </w:tcPr>
          <w:p>
            <w:pPr>
              <w:pStyle w:val="TableContents"/>
              <w:bidi w:val="0"/>
              <w:spacing w:lineRule="atLeast" w:line="300" w:before="0" w:after="0"/>
              <w:jc w:val="left"/>
              <w:rPr/>
            </w:pPr>
            <w:r>
              <w:rPr/>
              <w:t> </w:t>
            </w:r>
          </w:p>
        </w:tc>
      </w:tr>
      <w:tr>
        <w:trPr/>
        <w:tc>
          <w:tcPr>
            <w:tcW w:w="909"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rFonts w:ascii="arial" w:hAnsi="arial"/>
                <w:sz w:val="19"/>
              </w:rPr>
            </w:pPr>
            <w:r>
              <w:rPr>
                <w:rFonts w:ascii="arial" w:hAnsi="arial"/>
                <w:sz w:val="19"/>
              </w:rPr>
              <w:t>Esteban Santos</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888"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c>
          <w:tcPr>
            <w:tcW w:w="1856" w:type="dxa"/>
            <w:tcBorders>
              <w:bottom w:val="single" w:sz="8" w:space="0" w:color="0171B9"/>
            </w:tcBorders>
            <w:shd w:fill="CCE2F1" w:val="clear"/>
            <w:tcMar>
              <w:bottom w:w="28" w:type="dxa"/>
            </w:tcMar>
            <w:vAlign w:val="center"/>
          </w:tcPr>
          <w:p>
            <w:pPr>
              <w:pStyle w:val="TableContents"/>
              <w:bidi w:val="0"/>
              <w:spacing w:lineRule="atLeast" w:line="300" w:before="0" w:after="0"/>
              <w:jc w:val="right"/>
              <w:rPr>
                <w:rFonts w:ascii="arial" w:hAnsi="arial"/>
                <w:sz w:val="19"/>
              </w:rPr>
            </w:pPr>
            <w:r>
              <w:rPr>
                <w:rFonts w:ascii="arial" w:hAnsi="arial"/>
                <w:sz w:val="19"/>
              </w:rPr>
              <w:t>0</w:t>
            </w:r>
          </w:p>
        </w:tc>
        <w:tc>
          <w:tcPr>
            <w:tcW w:w="113"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c>
          <w:tcPr>
            <w:tcW w:w="113"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596"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c>
          <w:tcPr>
            <w:tcW w:w="1269" w:type="dxa"/>
            <w:tcBorders>
              <w:bottom w:val="single" w:sz="8" w:space="0" w:color="0171B9"/>
            </w:tcBorders>
            <w:shd w:fill="CCE2F1" w:val="clear"/>
            <w:tcMar>
              <w:bottom w:w="28" w:type="dxa"/>
            </w:tcMar>
            <w:vAlign w:val="center"/>
          </w:tcPr>
          <w:p>
            <w:pPr>
              <w:pStyle w:val="TableContents"/>
              <w:bidi w:val="0"/>
              <w:spacing w:lineRule="atLeast" w:line="300" w:before="0" w:after="0"/>
              <w:jc w:val="right"/>
              <w:rPr>
                <w:rFonts w:ascii="arial" w:hAnsi="arial"/>
                <w:sz w:val="19"/>
              </w:rPr>
            </w:pPr>
            <w:r>
              <w:rPr>
                <w:rFonts w:ascii="arial" w:hAnsi="arial"/>
                <w:sz w:val="19"/>
              </w:rPr>
              <w:t>0</w:t>
            </w:r>
          </w:p>
        </w:tc>
        <w:tc>
          <w:tcPr>
            <w:tcW w:w="60"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221"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c>
          <w:tcPr>
            <w:tcW w:w="2229" w:type="dxa"/>
            <w:tcBorders>
              <w:bottom w:val="single" w:sz="8" w:space="0" w:color="0171B9"/>
            </w:tcBorders>
            <w:shd w:fill="CCE2F1" w:val="clear"/>
            <w:tcMar>
              <w:bottom w:w="28" w:type="dxa"/>
            </w:tcMar>
            <w:vAlign w:val="center"/>
          </w:tcPr>
          <w:p>
            <w:pPr>
              <w:pStyle w:val="TableContents"/>
              <w:bidi w:val="0"/>
              <w:spacing w:lineRule="atLeast" w:line="300" w:before="0" w:after="0"/>
              <w:jc w:val="right"/>
              <w:rPr>
                <w:rFonts w:ascii="arial" w:hAnsi="arial"/>
                <w:sz w:val="19"/>
              </w:rPr>
            </w:pPr>
            <w:r>
              <w:rPr>
                <w:rFonts w:ascii="arial" w:hAnsi="arial"/>
                <w:sz w:val="19"/>
              </w:rPr>
              <w:t>11,956</w:t>
            </w:r>
          </w:p>
        </w:tc>
        <w:tc>
          <w:tcPr>
            <w:tcW w:w="60"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93"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c>
          <w:tcPr>
            <w:tcW w:w="1541" w:type="dxa"/>
            <w:tcBorders>
              <w:bottom w:val="single" w:sz="8" w:space="0" w:color="0171B9"/>
            </w:tcBorders>
            <w:shd w:fill="CCE2F1" w:val="clear"/>
            <w:tcMar>
              <w:bottom w:w="28" w:type="dxa"/>
            </w:tcMar>
            <w:vAlign w:val="center"/>
          </w:tcPr>
          <w:p>
            <w:pPr>
              <w:pStyle w:val="TableContents"/>
              <w:bidi w:val="0"/>
              <w:spacing w:lineRule="atLeast" w:line="300" w:before="0" w:after="0"/>
              <w:jc w:val="right"/>
              <w:rPr>
                <w:rFonts w:ascii="arial" w:hAnsi="arial"/>
                <w:sz w:val="19"/>
              </w:rPr>
            </w:pPr>
            <w:r>
              <w:rPr>
                <w:rFonts w:ascii="arial" w:hAnsi="arial"/>
                <w:sz w:val="19"/>
              </w:rPr>
              <w:t>2,811,248</w:t>
            </w:r>
          </w:p>
        </w:tc>
        <w:tc>
          <w:tcPr>
            <w:tcW w:w="77"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r>
    </w:tbl>
    <w:p>
      <w:pPr>
        <w:pStyle w:val="TextBody"/>
        <w:bidi w:val="0"/>
        <w:spacing w:before="0" w:after="0"/>
        <w:jc w:val="left"/>
        <w:rPr/>
      </w:pPr>
      <w:r>
        <w:rPr/>
        <w:t> </w:t>
      </w:r>
    </w:p>
    <w:tbl>
      <w:tblPr>
        <w:tblW w:w="5920" w:type="dxa"/>
        <w:jc w:val="left"/>
        <w:tblInd w:w="0" w:type="dxa"/>
        <w:tblLayout w:type="fixed"/>
        <w:tblCellMar>
          <w:top w:w="0" w:type="dxa"/>
          <w:left w:w="0" w:type="dxa"/>
          <w:bottom w:w="0" w:type="dxa"/>
          <w:right w:w="0" w:type="dxa"/>
        </w:tblCellMar>
      </w:tblPr>
      <w:tblGrid>
        <w:gridCol w:w="365"/>
        <w:gridCol w:w="5555"/>
      </w:tblGrid>
      <w:tr>
        <w:trPr/>
        <w:tc>
          <w:tcPr>
            <w:tcW w:w="365" w:type="dxa"/>
            <w:tcBorders/>
            <w:vAlign w:val="center"/>
          </w:tcPr>
          <w:p>
            <w:pPr>
              <w:pStyle w:val="TableContents"/>
              <w:bidi w:val="0"/>
              <w:spacing w:before="0" w:after="283"/>
              <w:jc w:val="left"/>
              <w:rPr/>
            </w:pPr>
            <w:r>
              <w:rPr/>
              <w:t>(1) </w:t>
            </w:r>
          </w:p>
        </w:tc>
        <w:tc>
          <w:tcPr>
            <w:tcW w:w="5555" w:type="dxa"/>
            <w:tcBorders/>
            <w:vAlign w:val="center"/>
          </w:tcPr>
          <w:p>
            <w:pPr>
              <w:pStyle w:val="TableContents"/>
              <w:bidi w:val="0"/>
              <w:spacing w:before="0" w:after="0"/>
              <w:jc w:val="both"/>
              <w:rPr>
                <w:rFonts w:ascii="arial" w:hAnsi="arial"/>
                <w:sz w:val="16"/>
              </w:rPr>
            </w:pPr>
            <w:r>
              <w:rPr>
                <w:rFonts w:ascii="arial" w:hAnsi="arial"/>
                <w:sz w:val="16"/>
              </w:rPr>
              <w:t xml:space="preserve">There were no option exercises during the year ended December 31,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pPr>
            <w:r>
              <w:rPr/>
              <w:t>(2) </w:t>
            </w:r>
          </w:p>
        </w:tc>
        <w:tc>
          <w:tcPr>
            <w:tcW w:w="9920" w:type="dxa"/>
            <w:tcBorders/>
            <w:vAlign w:val="center"/>
          </w:tcPr>
          <w:p>
            <w:pPr>
              <w:pStyle w:val="TableContents"/>
              <w:bidi w:val="0"/>
              <w:spacing w:before="0" w:after="0"/>
              <w:jc w:val="both"/>
              <w:rPr>
                <w:rFonts w:ascii="arial" w:hAnsi="arial"/>
                <w:sz w:val="16"/>
              </w:rPr>
            </w:pPr>
            <w:r>
              <w:rPr>
                <w:rFonts w:ascii="arial" w:hAnsi="arial"/>
                <w:sz w:val="16"/>
              </w:rPr>
              <w:t xml:space="preserve">The value shown is the closing price of a share of our Common Stock on the business days immediately prior to the vesting dates of RSUs and to the payment date for the performance units, as applicable, multiplied by the number of units vested/paid, including cash received in lieu of fractional dividend equivalents. </w:t>
            </w:r>
          </w:p>
        </w:tc>
      </w:tr>
    </w:tbl>
    <w:p>
      <w:pPr>
        <w:pStyle w:val="TextBody"/>
        <w:bidi w:val="0"/>
        <w:spacing w:before="240" w:after="0"/>
        <w:jc w:val="left"/>
        <w:rPr>
          <w:rFonts w:ascii="arial" w:hAnsi="arial"/>
          <w:b/>
          <w:color w:val="0171B9"/>
          <w:sz w:val="28"/>
        </w:rPr>
      </w:pPr>
      <w:r>
        <w:rPr>
          <w:rFonts w:ascii="arial" w:hAnsi="arial"/>
          <w:b/>
          <w:color w:val="0171B9"/>
          <w:sz w:val="28"/>
        </w:rPr>
        <w:t xml:space="preserve">Nonqualified Deferred Compensation </w:t>
      </w:r>
    </w:p>
    <w:p>
      <w:pPr>
        <w:pStyle w:val="TextBody"/>
        <w:pBdr>
          <w:bottom w:val="single" w:sz="2" w:space="1" w:color="666666"/>
        </w:pBdr>
        <w:bidi w:val="0"/>
        <w:spacing w:lineRule="atLeast" w:line="142" w:before="0" w:after="40"/>
        <w:jc w:val="left"/>
        <w:rPr/>
      </w:pPr>
      <w:r>
        <w:rPr/>
        <w:t> </w:t>
      </w:r>
    </w:p>
    <w:p>
      <w:pPr>
        <w:pStyle w:val="TextBody"/>
        <w:bidi w:val="0"/>
        <w:spacing w:before="120" w:after="0"/>
        <w:jc w:val="both"/>
        <w:rPr>
          <w:rFonts w:ascii="arial" w:hAnsi="arial"/>
          <w:sz w:val="19"/>
        </w:rPr>
      </w:pPr>
      <w:r>
        <w:rPr>
          <w:rFonts w:ascii="arial" w:hAnsi="arial"/>
          <w:sz w:val="19"/>
        </w:rPr>
        <w:t xml:space="preserve">The following table sets forth summary information regarding aggregate contributions to and account balances under our SRP and NDCP for, and as of, the year ended December 31, 2023. There were no withdrawals by any of the NEOs in 2023. </w:t>
      </w:r>
    </w:p>
    <w:p>
      <w:pPr>
        <w:pStyle w:val="TextBody"/>
        <w:bidi w:val="0"/>
        <w:spacing w:before="0" w:after="0"/>
        <w:jc w:val="left"/>
        <w:rPr/>
      </w:pPr>
      <w:r>
        <w:rPr/>
        <w:t> </w:t>
      </w:r>
    </w:p>
    <w:tbl>
      <w:tblPr>
        <w:tblW w:w="8035" w:type="dxa"/>
        <w:jc w:val="left"/>
        <w:tblInd w:w="0" w:type="dxa"/>
        <w:tblLayout w:type="fixed"/>
        <w:tblCellMar>
          <w:top w:w="0" w:type="dxa"/>
          <w:left w:w="0" w:type="dxa"/>
          <w:bottom w:w="0" w:type="dxa"/>
          <w:right w:w="0" w:type="dxa"/>
        </w:tblCellMar>
      </w:tblPr>
      <w:tblGrid>
        <w:gridCol w:w="1730"/>
        <w:gridCol w:w="240"/>
        <w:gridCol w:w="85"/>
        <w:gridCol w:w="1255"/>
        <w:gridCol w:w="60"/>
        <w:gridCol w:w="240"/>
        <w:gridCol w:w="102"/>
        <w:gridCol w:w="1208"/>
        <w:gridCol w:w="60"/>
        <w:gridCol w:w="240"/>
        <w:gridCol w:w="80"/>
        <w:gridCol w:w="1170"/>
        <w:gridCol w:w="60"/>
        <w:gridCol w:w="240"/>
        <w:gridCol w:w="68"/>
        <w:gridCol w:w="1122"/>
        <w:gridCol w:w="75"/>
      </w:tblGrid>
      <w:tr>
        <w:trPr/>
        <w:tc>
          <w:tcPr>
            <w:tcW w:w="173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30" w:type="dxa"/>
            <w:tcBorders>
              <w:bottom w:val="single" w:sz="8" w:space="0" w:color="FFFFFF"/>
            </w:tcBorders>
            <w:shd w:fill="0171B9" w:val="clear"/>
            <w:tcMar>
              <w:bottom w:w="28" w:type="dxa"/>
            </w:tcMar>
            <w:vAlign w:val="center"/>
          </w:tcPr>
          <w:p>
            <w:pPr>
              <w:pStyle w:val="TableContents"/>
              <w:bidi w:val="0"/>
              <w:spacing w:before="0" w:after="283"/>
              <w:jc w:val="left"/>
              <w:rPr>
                <w:color w:val="FFFFFF"/>
              </w:rPr>
            </w:pPr>
            <w:r>
              <w:rPr>
                <w:color w:val="FFFFFF"/>
              </w:rPr>
              <w:t> </w:t>
            </w:r>
            <w:r>
              <w:rPr>
                <w:b/>
                <w:color w:val="FFFFFF"/>
              </w:rPr>
              <w:t>Name</w:t>
            </w:r>
          </w:p>
        </w:tc>
        <w:tc>
          <w:tcPr>
            <w:tcW w:w="24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340" w:type="dxa"/>
            <w:gridSpan w:val="2"/>
            <w:tcBorders>
              <w:bottom w:val="single" w:sz="8" w:space="0" w:color="FFFFFF"/>
            </w:tcBorders>
            <w:shd w:fill="0171B9"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2023 Employee</w:t>
            </w:r>
          </w:p>
          <w:p>
            <w:pPr>
              <w:pStyle w:val="TableContents"/>
              <w:bidi w:val="0"/>
              <w:spacing w:before="0" w:after="0"/>
              <w:jc w:val="right"/>
              <w:rPr>
                <w:rFonts w:ascii="arial" w:hAnsi="arial"/>
                <w:b/>
                <w:color w:val="FFFFFF"/>
                <w:sz w:val="18"/>
              </w:rPr>
            </w:pPr>
            <w:r>
              <w:rPr>
                <w:rFonts w:ascii="arial" w:hAnsi="arial"/>
                <w:b/>
                <w:color w:val="FFFFFF"/>
                <w:sz w:val="18"/>
              </w:rPr>
              <w:t>Contributions</w:t>
            </w:r>
          </w:p>
          <w:p>
            <w:pPr>
              <w:pStyle w:val="TableContents"/>
              <w:bidi w:val="0"/>
              <w:spacing w:before="0" w:after="20"/>
              <w:jc w:val="right"/>
              <w:rPr>
                <w:rFonts w:ascii="arial" w:hAnsi="arial"/>
                <w:b/>
                <w:color w:val="FFFFFF"/>
                <w:sz w:val="18"/>
              </w:rPr>
            </w:pPr>
            <w:r>
              <w:rPr>
                <w:rFonts w:ascii="arial" w:hAnsi="arial"/>
                <w:b/>
                <w:color w:val="FFFFFF"/>
                <w:sz w:val="18"/>
              </w:rPr>
              <w:t>($)(1)</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24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310" w:type="dxa"/>
            <w:gridSpan w:val="2"/>
            <w:tcBorders>
              <w:bottom w:val="single" w:sz="8" w:space="0" w:color="FFFFFF"/>
            </w:tcBorders>
            <w:shd w:fill="0171B9"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2023 Company</w:t>
            </w:r>
          </w:p>
          <w:p>
            <w:pPr>
              <w:pStyle w:val="TableContents"/>
              <w:bidi w:val="0"/>
              <w:spacing w:before="0" w:after="0"/>
              <w:jc w:val="right"/>
              <w:rPr>
                <w:rFonts w:ascii="arial" w:hAnsi="arial"/>
                <w:b/>
                <w:color w:val="FFFFFF"/>
                <w:sz w:val="18"/>
              </w:rPr>
            </w:pPr>
            <w:r>
              <w:rPr>
                <w:rFonts w:ascii="arial" w:hAnsi="arial"/>
                <w:b/>
                <w:color w:val="FFFFFF"/>
                <w:sz w:val="18"/>
              </w:rPr>
              <w:t>Contributions</w:t>
            </w:r>
          </w:p>
          <w:p>
            <w:pPr>
              <w:pStyle w:val="TableContents"/>
              <w:bidi w:val="0"/>
              <w:spacing w:before="0" w:after="20"/>
              <w:jc w:val="right"/>
              <w:rPr>
                <w:rFonts w:ascii="arial" w:hAnsi="arial"/>
                <w:b/>
                <w:color w:val="FFFFFF"/>
                <w:sz w:val="18"/>
              </w:rPr>
            </w:pPr>
            <w:r>
              <w:rPr>
                <w:rFonts w:ascii="arial" w:hAnsi="arial"/>
                <w:b/>
                <w:color w:val="FFFFFF"/>
                <w:sz w:val="18"/>
              </w:rPr>
              <w:t>($)(2)</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24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50" w:type="dxa"/>
            <w:gridSpan w:val="2"/>
            <w:tcBorders>
              <w:bottom w:val="single" w:sz="8" w:space="0" w:color="FFFFFF"/>
            </w:tcBorders>
            <w:shd w:fill="0171B9"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2023 Earnings</w:t>
            </w:r>
          </w:p>
          <w:p>
            <w:pPr>
              <w:pStyle w:val="TableContents"/>
              <w:bidi w:val="0"/>
              <w:spacing w:before="0" w:after="0"/>
              <w:jc w:val="right"/>
              <w:rPr>
                <w:rFonts w:ascii="arial" w:hAnsi="arial"/>
                <w:b/>
                <w:color w:val="FFFFFF"/>
                <w:sz w:val="18"/>
              </w:rPr>
            </w:pPr>
            <w:r>
              <w:rPr>
                <w:rFonts w:ascii="arial" w:hAnsi="arial"/>
                <w:b/>
                <w:color w:val="FFFFFF"/>
                <w:sz w:val="18"/>
              </w:rPr>
              <w:t>(Losses)</w:t>
            </w:r>
          </w:p>
          <w:p>
            <w:pPr>
              <w:pStyle w:val="TableContents"/>
              <w:bidi w:val="0"/>
              <w:spacing w:before="0" w:after="20"/>
              <w:jc w:val="right"/>
              <w:rPr>
                <w:rFonts w:ascii="arial" w:hAnsi="arial"/>
                <w:b/>
                <w:color w:val="FFFFFF"/>
                <w:sz w:val="18"/>
              </w:rPr>
            </w:pPr>
            <w:r>
              <w:rPr>
                <w:rFonts w:ascii="arial" w:hAnsi="arial"/>
                <w:b/>
                <w:color w:val="FFFFFF"/>
                <w:sz w:val="18"/>
              </w:rPr>
              <w:t>($)(3)</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24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190" w:type="dxa"/>
            <w:gridSpan w:val="2"/>
            <w:tcBorders>
              <w:bottom w:val="single" w:sz="8" w:space="0" w:color="FFFFFF"/>
            </w:tcBorders>
            <w:shd w:fill="0171B9" w:val="clear"/>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18"/>
              </w:rPr>
            </w:pPr>
            <w:r>
              <w:rPr>
                <w:rFonts w:ascii="arial" w:hAnsi="arial"/>
                <w:b/>
                <w:color w:val="FFFFFF"/>
                <w:sz w:val="18"/>
              </w:rPr>
              <w:t>Balance as of</w:t>
              <w:br/>
              <w:t>12/31/2023</w:t>
            </w:r>
          </w:p>
          <w:p>
            <w:pPr>
              <w:pStyle w:val="TableContents"/>
              <w:bidi w:val="0"/>
              <w:spacing w:before="0" w:after="20"/>
              <w:jc w:val="right"/>
              <w:rPr>
                <w:rFonts w:ascii="arial" w:hAnsi="arial"/>
                <w:b/>
                <w:color w:val="FFFFFF"/>
                <w:sz w:val="18"/>
              </w:rPr>
            </w:pPr>
            <w:r>
              <w:rPr>
                <w:rFonts w:ascii="arial" w:hAnsi="arial"/>
                <w:b/>
                <w:color w:val="FFFFFF"/>
                <w:sz w:val="18"/>
              </w:rPr>
              <w:t>($)(4)</w:t>
            </w:r>
          </w:p>
        </w:tc>
        <w:tc>
          <w:tcPr>
            <w:tcW w:w="75"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r>
      <w:tr>
        <w:trPr/>
        <w:tc>
          <w:tcPr>
            <w:tcW w:w="1730" w:type="dxa"/>
            <w:tcBorders/>
            <w:shd w:fill="CCE2F1" w:val="clear"/>
            <w:vAlign w:val="center"/>
          </w:tcPr>
          <w:p>
            <w:pPr>
              <w:pStyle w:val="TableContents"/>
              <w:bidi w:val="0"/>
              <w:spacing w:lineRule="atLeast" w:line="300" w:before="0" w:after="0"/>
              <w:jc w:val="left"/>
              <w:rPr>
                <w:rFonts w:ascii="arial" w:hAnsi="arial"/>
                <w:sz w:val="19"/>
              </w:rPr>
            </w:pPr>
            <w:r>
              <w:rPr>
                <w:rFonts w:ascii="arial" w:hAnsi="arial"/>
                <w:sz w:val="19"/>
              </w:rPr>
              <w:t>Robert A . Bradway</w:t>
            </w:r>
          </w:p>
        </w:tc>
        <w:tc>
          <w:tcPr>
            <w:tcW w:w="240" w:type="dxa"/>
            <w:tcBorders/>
            <w:shd w:fill="CCE2F1" w:val="clear"/>
            <w:vAlign w:val="center"/>
          </w:tcPr>
          <w:p>
            <w:pPr>
              <w:pStyle w:val="TableContents"/>
              <w:bidi w:val="0"/>
              <w:spacing w:before="0" w:after="283"/>
              <w:jc w:val="left"/>
              <w:rPr/>
            </w:pPr>
            <w:r>
              <w:rPr/>
              <w:t>    </w:t>
            </w:r>
          </w:p>
        </w:tc>
        <w:tc>
          <w:tcPr>
            <w:tcW w:w="85" w:type="dxa"/>
            <w:tcBorders/>
            <w:shd w:fill="CCE2F1" w:val="clear"/>
            <w:vAlign w:val="center"/>
          </w:tcPr>
          <w:p>
            <w:pPr>
              <w:pStyle w:val="TableContents"/>
              <w:bidi w:val="0"/>
              <w:spacing w:lineRule="atLeast" w:line="300" w:before="0" w:after="0"/>
              <w:jc w:val="left"/>
              <w:rPr/>
            </w:pPr>
            <w:r>
              <w:rPr/>
              <w:t> </w:t>
            </w:r>
          </w:p>
        </w:tc>
        <w:tc>
          <w:tcPr>
            <w:tcW w:w="1255" w:type="dxa"/>
            <w:tcBorders/>
            <w:shd w:fill="CCE2F1" w:val="clear"/>
            <w:vAlign w:val="center"/>
          </w:tcPr>
          <w:p>
            <w:pPr>
              <w:pStyle w:val="TableContents"/>
              <w:bidi w:val="0"/>
              <w:spacing w:lineRule="atLeast" w:line="300" w:before="0" w:after="0"/>
              <w:jc w:val="right"/>
              <w:rPr>
                <w:rFonts w:ascii="arial" w:hAnsi="arial"/>
                <w:sz w:val="19"/>
              </w:rPr>
            </w:pPr>
            <w:r>
              <w:rPr>
                <w:rFonts w:ascii="arial" w:hAnsi="arial"/>
                <w:sz w:val="19"/>
              </w:rPr>
              <w:t>710,293</w:t>
            </w:r>
          </w:p>
        </w:tc>
        <w:tc>
          <w:tcPr>
            <w:tcW w:w="60" w:type="dxa"/>
            <w:tcBorders/>
            <w:shd w:fill="CCE2F1" w:val="clear"/>
            <w:vAlign w:val="center"/>
          </w:tcPr>
          <w:p>
            <w:pPr>
              <w:pStyle w:val="TableContents"/>
              <w:bidi w:val="0"/>
              <w:spacing w:lineRule="atLeast" w:line="300" w:before="0" w:after="0"/>
              <w:jc w:val="left"/>
              <w:rPr/>
            </w:pPr>
            <w:r>
              <w:rPr/>
              <w:t> </w:t>
            </w:r>
          </w:p>
        </w:tc>
        <w:tc>
          <w:tcPr>
            <w:tcW w:w="240" w:type="dxa"/>
            <w:tcBorders/>
            <w:shd w:fill="CCE2F1" w:val="clear"/>
            <w:vAlign w:val="center"/>
          </w:tcPr>
          <w:p>
            <w:pPr>
              <w:pStyle w:val="TableContents"/>
              <w:bidi w:val="0"/>
              <w:spacing w:before="0" w:after="283"/>
              <w:jc w:val="left"/>
              <w:rPr/>
            </w:pPr>
            <w:r>
              <w:rPr/>
              <w:t>    </w:t>
            </w:r>
          </w:p>
        </w:tc>
        <w:tc>
          <w:tcPr>
            <w:tcW w:w="102" w:type="dxa"/>
            <w:tcBorders/>
            <w:shd w:fill="CCE2F1" w:val="clear"/>
            <w:vAlign w:val="center"/>
          </w:tcPr>
          <w:p>
            <w:pPr>
              <w:pStyle w:val="TableContents"/>
              <w:bidi w:val="0"/>
              <w:spacing w:lineRule="atLeast" w:line="300" w:before="0" w:after="0"/>
              <w:jc w:val="left"/>
              <w:rPr/>
            </w:pPr>
            <w:r>
              <w:rPr/>
              <w:t> </w:t>
            </w:r>
          </w:p>
        </w:tc>
        <w:tc>
          <w:tcPr>
            <w:tcW w:w="1208" w:type="dxa"/>
            <w:tcBorders/>
            <w:shd w:fill="CCE2F1" w:val="clear"/>
            <w:vAlign w:val="center"/>
          </w:tcPr>
          <w:p>
            <w:pPr>
              <w:pStyle w:val="TableContents"/>
              <w:bidi w:val="0"/>
              <w:spacing w:lineRule="atLeast" w:line="300" w:before="0" w:after="0"/>
              <w:jc w:val="right"/>
              <w:rPr>
                <w:rFonts w:ascii="arial" w:hAnsi="arial"/>
                <w:sz w:val="19"/>
              </w:rPr>
            </w:pPr>
            <w:r>
              <w:rPr>
                <w:rFonts w:ascii="arial" w:hAnsi="arial"/>
                <w:sz w:val="19"/>
              </w:rPr>
              <w:t>457,645</w:t>
            </w:r>
          </w:p>
        </w:tc>
        <w:tc>
          <w:tcPr>
            <w:tcW w:w="60" w:type="dxa"/>
            <w:tcBorders/>
            <w:shd w:fill="CCE2F1" w:val="clear"/>
            <w:vAlign w:val="center"/>
          </w:tcPr>
          <w:p>
            <w:pPr>
              <w:pStyle w:val="TableContents"/>
              <w:bidi w:val="0"/>
              <w:spacing w:lineRule="atLeast" w:line="300" w:before="0" w:after="0"/>
              <w:jc w:val="left"/>
              <w:rPr/>
            </w:pPr>
            <w:r>
              <w:rPr/>
              <w:t> </w:t>
            </w:r>
          </w:p>
        </w:tc>
        <w:tc>
          <w:tcPr>
            <w:tcW w:w="240" w:type="dxa"/>
            <w:tcBorders/>
            <w:shd w:fill="CCE2F1" w:val="clear"/>
            <w:vAlign w:val="center"/>
          </w:tcPr>
          <w:p>
            <w:pPr>
              <w:pStyle w:val="TableContents"/>
              <w:bidi w:val="0"/>
              <w:spacing w:before="0" w:after="283"/>
              <w:jc w:val="left"/>
              <w:rPr/>
            </w:pPr>
            <w:r>
              <w:rPr/>
              <w:t>    </w:t>
            </w:r>
          </w:p>
        </w:tc>
        <w:tc>
          <w:tcPr>
            <w:tcW w:w="80" w:type="dxa"/>
            <w:tcBorders/>
            <w:shd w:fill="CCE2F1" w:val="clear"/>
            <w:vAlign w:val="center"/>
          </w:tcPr>
          <w:p>
            <w:pPr>
              <w:pStyle w:val="TableContents"/>
              <w:bidi w:val="0"/>
              <w:spacing w:lineRule="atLeast" w:line="300" w:before="0" w:after="0"/>
              <w:jc w:val="left"/>
              <w:rPr/>
            </w:pPr>
            <w:r>
              <w:rPr/>
              <w:t> </w:t>
            </w:r>
          </w:p>
        </w:tc>
        <w:tc>
          <w:tcPr>
            <w:tcW w:w="1170" w:type="dxa"/>
            <w:tcBorders/>
            <w:shd w:fill="CCE2F1" w:val="clear"/>
            <w:vAlign w:val="center"/>
          </w:tcPr>
          <w:p>
            <w:pPr>
              <w:pStyle w:val="TableContents"/>
              <w:bidi w:val="0"/>
              <w:spacing w:lineRule="atLeast" w:line="300" w:before="0" w:after="0"/>
              <w:jc w:val="right"/>
              <w:rPr>
                <w:rFonts w:ascii="arial" w:hAnsi="arial"/>
                <w:sz w:val="19"/>
              </w:rPr>
            </w:pPr>
            <w:r>
              <w:rPr>
                <w:rFonts w:ascii="arial" w:hAnsi="arial"/>
                <w:sz w:val="19"/>
              </w:rPr>
              <w:t>2,504,107</w:t>
            </w:r>
          </w:p>
        </w:tc>
        <w:tc>
          <w:tcPr>
            <w:tcW w:w="60" w:type="dxa"/>
            <w:tcBorders/>
            <w:shd w:fill="CCE2F1" w:val="clear"/>
            <w:vAlign w:val="center"/>
          </w:tcPr>
          <w:p>
            <w:pPr>
              <w:pStyle w:val="TableContents"/>
              <w:bidi w:val="0"/>
              <w:spacing w:lineRule="atLeast" w:line="300" w:before="0" w:after="0"/>
              <w:jc w:val="left"/>
              <w:rPr/>
            </w:pPr>
            <w:r>
              <w:rPr/>
              <w:t> </w:t>
            </w:r>
          </w:p>
        </w:tc>
        <w:tc>
          <w:tcPr>
            <w:tcW w:w="240" w:type="dxa"/>
            <w:tcBorders/>
            <w:shd w:fill="CCE2F1" w:val="clear"/>
            <w:vAlign w:val="center"/>
          </w:tcPr>
          <w:p>
            <w:pPr>
              <w:pStyle w:val="TableContents"/>
              <w:bidi w:val="0"/>
              <w:spacing w:before="0" w:after="283"/>
              <w:jc w:val="left"/>
              <w:rPr/>
            </w:pPr>
            <w:r>
              <w:rPr/>
              <w:t>    </w:t>
            </w:r>
          </w:p>
        </w:tc>
        <w:tc>
          <w:tcPr>
            <w:tcW w:w="68" w:type="dxa"/>
            <w:tcBorders/>
            <w:shd w:fill="CCE2F1" w:val="clear"/>
            <w:vAlign w:val="center"/>
          </w:tcPr>
          <w:p>
            <w:pPr>
              <w:pStyle w:val="TableContents"/>
              <w:bidi w:val="0"/>
              <w:spacing w:lineRule="atLeast" w:line="300" w:before="0" w:after="0"/>
              <w:jc w:val="left"/>
              <w:rPr/>
            </w:pPr>
            <w:r>
              <w:rPr/>
              <w:t> </w:t>
            </w:r>
          </w:p>
        </w:tc>
        <w:tc>
          <w:tcPr>
            <w:tcW w:w="1122" w:type="dxa"/>
            <w:tcBorders/>
            <w:shd w:fill="CCE2F1" w:val="clear"/>
            <w:vAlign w:val="center"/>
          </w:tcPr>
          <w:p>
            <w:pPr>
              <w:pStyle w:val="TableContents"/>
              <w:bidi w:val="0"/>
              <w:spacing w:lineRule="atLeast" w:line="300" w:before="0" w:after="0"/>
              <w:jc w:val="right"/>
              <w:rPr>
                <w:rFonts w:ascii="arial" w:hAnsi="arial"/>
                <w:sz w:val="19"/>
              </w:rPr>
            </w:pPr>
            <w:r>
              <w:rPr>
                <w:rFonts w:ascii="arial" w:hAnsi="arial"/>
                <w:sz w:val="19"/>
              </w:rPr>
              <w:t>22,200,001</w:t>
            </w:r>
          </w:p>
        </w:tc>
        <w:tc>
          <w:tcPr>
            <w:tcW w:w="75" w:type="dxa"/>
            <w:tcBorders/>
            <w:shd w:fill="CCE2F1" w:val="clear"/>
            <w:vAlign w:val="center"/>
          </w:tcPr>
          <w:p>
            <w:pPr>
              <w:pStyle w:val="TableContents"/>
              <w:bidi w:val="0"/>
              <w:spacing w:lineRule="atLeast" w:line="300" w:before="0" w:after="0"/>
              <w:jc w:val="left"/>
              <w:rPr/>
            </w:pPr>
            <w:r>
              <w:rPr/>
              <w:t> </w:t>
            </w:r>
          </w:p>
        </w:tc>
      </w:tr>
      <w:tr>
        <w:trPr/>
        <w:tc>
          <w:tcPr>
            <w:tcW w:w="1730" w:type="dxa"/>
            <w:tcBorders/>
            <w:vAlign w:val="center"/>
          </w:tcPr>
          <w:p>
            <w:pPr>
              <w:pStyle w:val="TableContents"/>
              <w:bidi w:val="0"/>
              <w:spacing w:lineRule="atLeast" w:line="300" w:before="0" w:after="0"/>
              <w:jc w:val="left"/>
              <w:rPr>
                <w:rFonts w:ascii="arial" w:hAnsi="arial"/>
                <w:sz w:val="19"/>
              </w:rPr>
            </w:pPr>
            <w:r>
              <w:rPr>
                <w:rFonts w:ascii="arial" w:hAnsi="arial"/>
                <w:sz w:val="19"/>
              </w:rPr>
              <w:t>Murdo Gordon</w:t>
            </w:r>
          </w:p>
        </w:tc>
        <w:tc>
          <w:tcPr>
            <w:tcW w:w="24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lineRule="atLeast" w:line="300" w:before="0" w:after="0"/>
              <w:jc w:val="left"/>
              <w:rPr/>
            </w:pPr>
            <w:r>
              <w:rPr/>
              <w:t> </w:t>
            </w:r>
          </w:p>
        </w:tc>
        <w:tc>
          <w:tcPr>
            <w:tcW w:w="1255" w:type="dxa"/>
            <w:tcBorders/>
            <w:vAlign w:val="center"/>
          </w:tcPr>
          <w:p>
            <w:pPr>
              <w:pStyle w:val="TableContents"/>
              <w:bidi w:val="0"/>
              <w:spacing w:lineRule="atLeast" w:line="300" w:before="0" w:after="0"/>
              <w:jc w:val="right"/>
              <w:rPr>
                <w:rFonts w:ascii="arial" w:hAnsi="arial"/>
                <w:sz w:val="19"/>
              </w:rPr>
            </w:pPr>
            <w:r>
              <w:rPr>
                <w:rFonts w:ascii="arial" w:hAnsi="arial"/>
                <w:sz w:val="19"/>
              </w:rPr>
              <w:t>110,035</w:t>
            </w:r>
          </w:p>
        </w:tc>
        <w:tc>
          <w:tcPr>
            <w:tcW w:w="60" w:type="dxa"/>
            <w:tcBorders/>
            <w:vAlign w:val="center"/>
          </w:tcPr>
          <w:p>
            <w:pPr>
              <w:pStyle w:val="TableContents"/>
              <w:bidi w:val="0"/>
              <w:spacing w:lineRule="atLeast" w:line="300" w:before="0" w:after="0"/>
              <w:jc w:val="left"/>
              <w:rPr/>
            </w:pPr>
            <w:r>
              <w:rPr/>
              <w:t> </w:t>
            </w:r>
          </w:p>
        </w:tc>
        <w:tc>
          <w:tcPr>
            <w:tcW w:w="24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lineRule="atLeast" w:line="300" w:before="0" w:after="0"/>
              <w:jc w:val="left"/>
              <w:rPr/>
            </w:pPr>
            <w:r>
              <w:rPr/>
              <w:t> </w:t>
            </w:r>
          </w:p>
        </w:tc>
        <w:tc>
          <w:tcPr>
            <w:tcW w:w="1208" w:type="dxa"/>
            <w:tcBorders/>
            <w:vAlign w:val="center"/>
          </w:tcPr>
          <w:p>
            <w:pPr>
              <w:pStyle w:val="TableContents"/>
              <w:bidi w:val="0"/>
              <w:spacing w:lineRule="atLeast" w:line="300" w:before="0" w:after="0"/>
              <w:jc w:val="right"/>
              <w:rPr>
                <w:rFonts w:ascii="arial" w:hAnsi="arial"/>
                <w:sz w:val="19"/>
              </w:rPr>
            </w:pPr>
            <w:r>
              <w:rPr>
                <w:rFonts w:ascii="arial" w:hAnsi="arial"/>
                <w:sz w:val="19"/>
              </w:rPr>
              <w:t>214,600</w:t>
            </w:r>
          </w:p>
        </w:tc>
        <w:tc>
          <w:tcPr>
            <w:tcW w:w="60" w:type="dxa"/>
            <w:tcBorders/>
            <w:vAlign w:val="center"/>
          </w:tcPr>
          <w:p>
            <w:pPr>
              <w:pStyle w:val="TableContents"/>
              <w:bidi w:val="0"/>
              <w:spacing w:lineRule="atLeast" w:line="300" w:before="0" w:after="0"/>
              <w:jc w:val="left"/>
              <w:rPr/>
            </w:pPr>
            <w:r>
              <w:rPr/>
              <w:t> </w:t>
            </w:r>
          </w:p>
        </w:tc>
        <w:tc>
          <w:tcPr>
            <w:tcW w:w="24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lineRule="atLeast" w:line="300" w:before="0" w:after="0"/>
              <w:jc w:val="left"/>
              <w:rPr/>
            </w:pPr>
            <w:r>
              <w:rPr/>
              <w:t> </w:t>
            </w:r>
          </w:p>
        </w:tc>
        <w:tc>
          <w:tcPr>
            <w:tcW w:w="1170" w:type="dxa"/>
            <w:tcBorders/>
            <w:vAlign w:val="center"/>
          </w:tcPr>
          <w:p>
            <w:pPr>
              <w:pStyle w:val="TableContents"/>
              <w:bidi w:val="0"/>
              <w:spacing w:lineRule="atLeast" w:line="300" w:before="0" w:after="0"/>
              <w:jc w:val="right"/>
              <w:rPr>
                <w:rFonts w:ascii="arial" w:hAnsi="arial"/>
                <w:sz w:val="19"/>
              </w:rPr>
            </w:pPr>
            <w:r>
              <w:rPr>
                <w:rFonts w:ascii="arial" w:hAnsi="arial"/>
                <w:sz w:val="19"/>
              </w:rPr>
              <w:t>561,688</w:t>
            </w:r>
          </w:p>
        </w:tc>
        <w:tc>
          <w:tcPr>
            <w:tcW w:w="60" w:type="dxa"/>
            <w:tcBorders/>
            <w:vAlign w:val="center"/>
          </w:tcPr>
          <w:p>
            <w:pPr>
              <w:pStyle w:val="TableContents"/>
              <w:bidi w:val="0"/>
              <w:spacing w:lineRule="atLeast" w:line="300" w:before="0" w:after="0"/>
              <w:jc w:val="left"/>
              <w:rPr/>
            </w:pPr>
            <w:r>
              <w:rPr/>
              <w:t> </w:t>
            </w:r>
          </w:p>
        </w:tc>
        <w:tc>
          <w:tcPr>
            <w:tcW w:w="24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lineRule="atLeast" w:line="300" w:before="0" w:after="0"/>
              <w:jc w:val="left"/>
              <w:rPr/>
            </w:pPr>
            <w:r>
              <w:rPr/>
              <w:t> </w:t>
            </w:r>
          </w:p>
        </w:tc>
        <w:tc>
          <w:tcPr>
            <w:tcW w:w="1122" w:type="dxa"/>
            <w:tcBorders/>
            <w:vAlign w:val="center"/>
          </w:tcPr>
          <w:p>
            <w:pPr>
              <w:pStyle w:val="TableContents"/>
              <w:bidi w:val="0"/>
              <w:spacing w:lineRule="atLeast" w:line="300" w:before="0" w:after="0"/>
              <w:jc w:val="right"/>
              <w:rPr>
                <w:rFonts w:ascii="arial" w:hAnsi="arial"/>
                <w:sz w:val="19"/>
              </w:rPr>
            </w:pPr>
            <w:r>
              <w:rPr>
                <w:rFonts w:ascii="arial" w:hAnsi="arial"/>
                <w:sz w:val="19"/>
              </w:rPr>
              <w:t>3,553,943</w:t>
            </w:r>
          </w:p>
        </w:tc>
        <w:tc>
          <w:tcPr>
            <w:tcW w:w="75" w:type="dxa"/>
            <w:tcBorders/>
            <w:vAlign w:val="center"/>
          </w:tcPr>
          <w:p>
            <w:pPr>
              <w:pStyle w:val="TableContents"/>
              <w:bidi w:val="0"/>
              <w:spacing w:lineRule="atLeast" w:line="300" w:before="0" w:after="0"/>
              <w:jc w:val="left"/>
              <w:rPr/>
            </w:pPr>
            <w:r>
              <w:rPr/>
              <w:t> </w:t>
            </w:r>
          </w:p>
        </w:tc>
      </w:tr>
      <w:tr>
        <w:trPr/>
        <w:tc>
          <w:tcPr>
            <w:tcW w:w="1730" w:type="dxa"/>
            <w:tcBorders/>
            <w:shd w:fill="CCE2F1" w:val="clear"/>
            <w:vAlign w:val="center"/>
          </w:tcPr>
          <w:p>
            <w:pPr>
              <w:pStyle w:val="TableContents"/>
              <w:bidi w:val="0"/>
              <w:spacing w:lineRule="atLeast" w:line="300" w:before="0" w:after="0"/>
              <w:jc w:val="left"/>
              <w:rPr>
                <w:rFonts w:ascii="arial" w:hAnsi="arial"/>
                <w:sz w:val="19"/>
              </w:rPr>
            </w:pPr>
            <w:r>
              <w:rPr>
                <w:rFonts w:ascii="arial" w:hAnsi="arial"/>
                <w:sz w:val="19"/>
              </w:rPr>
              <w:t>David M. Reese</w:t>
            </w:r>
          </w:p>
        </w:tc>
        <w:tc>
          <w:tcPr>
            <w:tcW w:w="240" w:type="dxa"/>
            <w:tcBorders/>
            <w:shd w:fill="CCE2F1" w:val="clear"/>
            <w:vAlign w:val="center"/>
          </w:tcPr>
          <w:p>
            <w:pPr>
              <w:pStyle w:val="TableContents"/>
              <w:bidi w:val="0"/>
              <w:spacing w:before="0" w:after="283"/>
              <w:jc w:val="left"/>
              <w:rPr/>
            </w:pPr>
            <w:r>
              <w:rPr/>
              <w:t>    </w:t>
            </w:r>
          </w:p>
        </w:tc>
        <w:tc>
          <w:tcPr>
            <w:tcW w:w="85" w:type="dxa"/>
            <w:tcBorders/>
            <w:shd w:fill="CCE2F1" w:val="clear"/>
            <w:vAlign w:val="center"/>
          </w:tcPr>
          <w:p>
            <w:pPr>
              <w:pStyle w:val="TableContents"/>
              <w:bidi w:val="0"/>
              <w:spacing w:lineRule="atLeast" w:line="300" w:before="0" w:after="0"/>
              <w:jc w:val="left"/>
              <w:rPr/>
            </w:pPr>
            <w:r>
              <w:rPr/>
              <w:t> </w:t>
            </w:r>
          </w:p>
        </w:tc>
        <w:tc>
          <w:tcPr>
            <w:tcW w:w="1255" w:type="dxa"/>
            <w:tcBorders/>
            <w:shd w:fill="CCE2F1" w:val="clear"/>
            <w:vAlign w:val="center"/>
          </w:tcPr>
          <w:p>
            <w:pPr>
              <w:pStyle w:val="TableContents"/>
              <w:bidi w:val="0"/>
              <w:spacing w:lineRule="atLeast" w:line="300" w:before="0" w:after="0"/>
              <w:jc w:val="right"/>
              <w:rPr>
                <w:rFonts w:ascii="arial" w:hAnsi="arial"/>
                <w:sz w:val="19"/>
              </w:rPr>
            </w:pPr>
            <w:r>
              <w:rPr>
                <w:rFonts w:ascii="arial" w:hAnsi="arial"/>
                <w:sz w:val="19"/>
              </w:rPr>
              <w:t>0</w:t>
            </w:r>
          </w:p>
        </w:tc>
        <w:tc>
          <w:tcPr>
            <w:tcW w:w="60" w:type="dxa"/>
            <w:tcBorders/>
            <w:shd w:fill="CCE2F1" w:val="clear"/>
            <w:vAlign w:val="center"/>
          </w:tcPr>
          <w:p>
            <w:pPr>
              <w:pStyle w:val="TableContents"/>
              <w:bidi w:val="0"/>
              <w:spacing w:lineRule="atLeast" w:line="300" w:before="0" w:after="0"/>
              <w:jc w:val="left"/>
              <w:rPr/>
            </w:pPr>
            <w:r>
              <w:rPr/>
              <w:t> </w:t>
            </w:r>
          </w:p>
        </w:tc>
        <w:tc>
          <w:tcPr>
            <w:tcW w:w="240" w:type="dxa"/>
            <w:tcBorders/>
            <w:shd w:fill="CCE2F1" w:val="clear"/>
            <w:vAlign w:val="center"/>
          </w:tcPr>
          <w:p>
            <w:pPr>
              <w:pStyle w:val="TableContents"/>
              <w:bidi w:val="0"/>
              <w:spacing w:before="0" w:after="283"/>
              <w:jc w:val="left"/>
              <w:rPr/>
            </w:pPr>
            <w:r>
              <w:rPr/>
              <w:t>    </w:t>
            </w:r>
          </w:p>
        </w:tc>
        <w:tc>
          <w:tcPr>
            <w:tcW w:w="102" w:type="dxa"/>
            <w:tcBorders/>
            <w:shd w:fill="CCE2F1" w:val="clear"/>
            <w:vAlign w:val="center"/>
          </w:tcPr>
          <w:p>
            <w:pPr>
              <w:pStyle w:val="TableContents"/>
              <w:bidi w:val="0"/>
              <w:spacing w:lineRule="atLeast" w:line="300" w:before="0" w:after="0"/>
              <w:jc w:val="left"/>
              <w:rPr/>
            </w:pPr>
            <w:r>
              <w:rPr/>
              <w:t> </w:t>
            </w:r>
          </w:p>
        </w:tc>
        <w:tc>
          <w:tcPr>
            <w:tcW w:w="1208" w:type="dxa"/>
            <w:tcBorders/>
            <w:shd w:fill="CCE2F1" w:val="clear"/>
            <w:vAlign w:val="center"/>
          </w:tcPr>
          <w:p>
            <w:pPr>
              <w:pStyle w:val="TableContents"/>
              <w:bidi w:val="0"/>
              <w:spacing w:lineRule="atLeast" w:line="300" w:before="0" w:after="0"/>
              <w:jc w:val="right"/>
              <w:rPr>
                <w:rFonts w:ascii="arial" w:hAnsi="arial"/>
                <w:sz w:val="19"/>
              </w:rPr>
            </w:pPr>
            <w:r>
              <w:rPr>
                <w:rFonts w:ascii="arial" w:hAnsi="arial"/>
                <w:sz w:val="19"/>
              </w:rPr>
              <w:t>227,810</w:t>
            </w:r>
          </w:p>
        </w:tc>
        <w:tc>
          <w:tcPr>
            <w:tcW w:w="60" w:type="dxa"/>
            <w:tcBorders/>
            <w:shd w:fill="CCE2F1" w:val="clear"/>
            <w:vAlign w:val="center"/>
          </w:tcPr>
          <w:p>
            <w:pPr>
              <w:pStyle w:val="TableContents"/>
              <w:bidi w:val="0"/>
              <w:spacing w:lineRule="atLeast" w:line="300" w:before="0" w:after="0"/>
              <w:jc w:val="left"/>
              <w:rPr/>
            </w:pPr>
            <w:r>
              <w:rPr/>
              <w:t> </w:t>
            </w:r>
          </w:p>
        </w:tc>
        <w:tc>
          <w:tcPr>
            <w:tcW w:w="240" w:type="dxa"/>
            <w:tcBorders/>
            <w:shd w:fill="CCE2F1" w:val="clear"/>
            <w:vAlign w:val="center"/>
          </w:tcPr>
          <w:p>
            <w:pPr>
              <w:pStyle w:val="TableContents"/>
              <w:bidi w:val="0"/>
              <w:spacing w:before="0" w:after="283"/>
              <w:jc w:val="left"/>
              <w:rPr/>
            </w:pPr>
            <w:r>
              <w:rPr/>
              <w:t>    </w:t>
            </w:r>
          </w:p>
        </w:tc>
        <w:tc>
          <w:tcPr>
            <w:tcW w:w="80" w:type="dxa"/>
            <w:tcBorders/>
            <w:shd w:fill="CCE2F1" w:val="clear"/>
            <w:vAlign w:val="center"/>
          </w:tcPr>
          <w:p>
            <w:pPr>
              <w:pStyle w:val="TableContents"/>
              <w:bidi w:val="0"/>
              <w:spacing w:lineRule="atLeast" w:line="300" w:before="0" w:after="0"/>
              <w:jc w:val="left"/>
              <w:rPr/>
            </w:pPr>
            <w:r>
              <w:rPr/>
              <w:t> </w:t>
            </w:r>
          </w:p>
        </w:tc>
        <w:tc>
          <w:tcPr>
            <w:tcW w:w="1170" w:type="dxa"/>
            <w:tcBorders/>
            <w:shd w:fill="CCE2F1" w:val="clear"/>
            <w:vAlign w:val="center"/>
          </w:tcPr>
          <w:p>
            <w:pPr>
              <w:pStyle w:val="TableContents"/>
              <w:bidi w:val="0"/>
              <w:spacing w:lineRule="atLeast" w:line="300" w:before="0" w:after="0"/>
              <w:jc w:val="right"/>
              <w:rPr>
                <w:rFonts w:ascii="arial" w:hAnsi="arial"/>
                <w:sz w:val="19"/>
              </w:rPr>
            </w:pPr>
            <w:r>
              <w:rPr>
                <w:rFonts w:ascii="arial" w:hAnsi="arial"/>
                <w:sz w:val="19"/>
              </w:rPr>
              <w:t>222,274</w:t>
            </w:r>
          </w:p>
        </w:tc>
        <w:tc>
          <w:tcPr>
            <w:tcW w:w="60" w:type="dxa"/>
            <w:tcBorders/>
            <w:shd w:fill="CCE2F1" w:val="clear"/>
            <w:vAlign w:val="center"/>
          </w:tcPr>
          <w:p>
            <w:pPr>
              <w:pStyle w:val="TableContents"/>
              <w:bidi w:val="0"/>
              <w:spacing w:lineRule="atLeast" w:line="300" w:before="0" w:after="0"/>
              <w:jc w:val="left"/>
              <w:rPr/>
            </w:pPr>
            <w:r>
              <w:rPr/>
              <w:t> </w:t>
            </w:r>
          </w:p>
        </w:tc>
        <w:tc>
          <w:tcPr>
            <w:tcW w:w="240" w:type="dxa"/>
            <w:tcBorders/>
            <w:shd w:fill="CCE2F1" w:val="clear"/>
            <w:vAlign w:val="center"/>
          </w:tcPr>
          <w:p>
            <w:pPr>
              <w:pStyle w:val="TableContents"/>
              <w:bidi w:val="0"/>
              <w:spacing w:before="0" w:after="283"/>
              <w:jc w:val="left"/>
              <w:rPr/>
            </w:pPr>
            <w:r>
              <w:rPr/>
              <w:t>    </w:t>
            </w:r>
          </w:p>
        </w:tc>
        <w:tc>
          <w:tcPr>
            <w:tcW w:w="68" w:type="dxa"/>
            <w:tcBorders/>
            <w:shd w:fill="CCE2F1" w:val="clear"/>
            <w:vAlign w:val="center"/>
          </w:tcPr>
          <w:p>
            <w:pPr>
              <w:pStyle w:val="TableContents"/>
              <w:bidi w:val="0"/>
              <w:spacing w:lineRule="atLeast" w:line="300" w:before="0" w:after="0"/>
              <w:jc w:val="left"/>
              <w:rPr/>
            </w:pPr>
            <w:r>
              <w:rPr/>
              <w:t> </w:t>
            </w:r>
          </w:p>
        </w:tc>
        <w:tc>
          <w:tcPr>
            <w:tcW w:w="1122" w:type="dxa"/>
            <w:tcBorders/>
            <w:shd w:fill="CCE2F1" w:val="clear"/>
            <w:vAlign w:val="center"/>
          </w:tcPr>
          <w:p>
            <w:pPr>
              <w:pStyle w:val="TableContents"/>
              <w:bidi w:val="0"/>
              <w:spacing w:lineRule="atLeast" w:line="300" w:before="0" w:after="0"/>
              <w:jc w:val="right"/>
              <w:rPr>
                <w:rFonts w:ascii="arial" w:hAnsi="arial"/>
                <w:sz w:val="19"/>
              </w:rPr>
            </w:pPr>
            <w:r>
              <w:rPr>
                <w:rFonts w:ascii="arial" w:hAnsi="arial"/>
                <w:sz w:val="19"/>
              </w:rPr>
              <w:t>2,188,400</w:t>
            </w:r>
          </w:p>
        </w:tc>
        <w:tc>
          <w:tcPr>
            <w:tcW w:w="75" w:type="dxa"/>
            <w:tcBorders/>
            <w:shd w:fill="CCE2F1" w:val="clear"/>
            <w:vAlign w:val="center"/>
          </w:tcPr>
          <w:p>
            <w:pPr>
              <w:pStyle w:val="TableContents"/>
              <w:bidi w:val="0"/>
              <w:spacing w:lineRule="atLeast" w:line="300" w:before="0" w:after="0"/>
              <w:jc w:val="left"/>
              <w:rPr/>
            </w:pPr>
            <w:r>
              <w:rPr/>
              <w:t> </w:t>
            </w:r>
          </w:p>
        </w:tc>
      </w:tr>
      <w:tr>
        <w:trPr/>
        <w:tc>
          <w:tcPr>
            <w:tcW w:w="1730" w:type="dxa"/>
            <w:tcBorders/>
            <w:vAlign w:val="center"/>
          </w:tcPr>
          <w:p>
            <w:pPr>
              <w:pStyle w:val="TableContents"/>
              <w:bidi w:val="0"/>
              <w:spacing w:lineRule="atLeast" w:line="300" w:before="0" w:after="0"/>
              <w:jc w:val="left"/>
              <w:rPr>
                <w:rFonts w:ascii="arial" w:hAnsi="arial"/>
                <w:sz w:val="19"/>
              </w:rPr>
            </w:pPr>
            <w:r>
              <w:rPr>
                <w:rFonts w:ascii="arial" w:hAnsi="arial"/>
                <w:sz w:val="19"/>
              </w:rPr>
              <w:t>Peter H. Griffith</w:t>
            </w:r>
          </w:p>
        </w:tc>
        <w:tc>
          <w:tcPr>
            <w:tcW w:w="24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lineRule="atLeast" w:line="300" w:before="0" w:after="0"/>
              <w:jc w:val="left"/>
              <w:rPr/>
            </w:pPr>
            <w:r>
              <w:rPr/>
              <w:t> </w:t>
            </w:r>
          </w:p>
        </w:tc>
        <w:tc>
          <w:tcPr>
            <w:tcW w:w="1255" w:type="dxa"/>
            <w:tcBorders/>
            <w:vAlign w:val="center"/>
          </w:tcPr>
          <w:p>
            <w:pPr>
              <w:pStyle w:val="TableContents"/>
              <w:bidi w:val="0"/>
              <w:spacing w:lineRule="atLeast" w:line="300" w:before="0" w:after="0"/>
              <w:jc w:val="right"/>
              <w:rPr>
                <w:rFonts w:ascii="arial" w:hAnsi="arial"/>
                <w:sz w:val="19"/>
              </w:rPr>
            </w:pPr>
            <w:r>
              <w:rPr>
                <w:rFonts w:ascii="arial" w:hAnsi="arial"/>
                <w:sz w:val="19"/>
              </w:rPr>
              <w:t>1,020,018</w:t>
            </w:r>
          </w:p>
        </w:tc>
        <w:tc>
          <w:tcPr>
            <w:tcW w:w="60" w:type="dxa"/>
            <w:tcBorders/>
            <w:vAlign w:val="center"/>
          </w:tcPr>
          <w:p>
            <w:pPr>
              <w:pStyle w:val="TableContents"/>
              <w:bidi w:val="0"/>
              <w:spacing w:lineRule="atLeast" w:line="300" w:before="0" w:after="0"/>
              <w:jc w:val="left"/>
              <w:rPr/>
            </w:pPr>
            <w:r>
              <w:rPr/>
              <w:t> </w:t>
            </w:r>
          </w:p>
        </w:tc>
        <w:tc>
          <w:tcPr>
            <w:tcW w:w="24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lineRule="atLeast" w:line="300" w:before="0" w:after="0"/>
              <w:jc w:val="left"/>
              <w:rPr/>
            </w:pPr>
            <w:r>
              <w:rPr/>
              <w:t> </w:t>
            </w:r>
          </w:p>
        </w:tc>
        <w:tc>
          <w:tcPr>
            <w:tcW w:w="1208" w:type="dxa"/>
            <w:tcBorders/>
            <w:vAlign w:val="center"/>
          </w:tcPr>
          <w:p>
            <w:pPr>
              <w:pStyle w:val="TableContents"/>
              <w:bidi w:val="0"/>
              <w:spacing w:lineRule="atLeast" w:line="300" w:before="0" w:after="0"/>
              <w:jc w:val="right"/>
              <w:rPr>
                <w:rFonts w:ascii="arial" w:hAnsi="arial"/>
                <w:sz w:val="19"/>
              </w:rPr>
            </w:pPr>
            <w:r>
              <w:rPr>
                <w:rFonts w:ascii="arial" w:hAnsi="arial"/>
                <w:sz w:val="19"/>
              </w:rPr>
              <w:t>201,423</w:t>
            </w:r>
          </w:p>
        </w:tc>
        <w:tc>
          <w:tcPr>
            <w:tcW w:w="60" w:type="dxa"/>
            <w:tcBorders/>
            <w:vAlign w:val="center"/>
          </w:tcPr>
          <w:p>
            <w:pPr>
              <w:pStyle w:val="TableContents"/>
              <w:bidi w:val="0"/>
              <w:spacing w:lineRule="atLeast" w:line="300" w:before="0" w:after="0"/>
              <w:jc w:val="left"/>
              <w:rPr/>
            </w:pPr>
            <w:r>
              <w:rPr/>
              <w:t> </w:t>
            </w:r>
          </w:p>
        </w:tc>
        <w:tc>
          <w:tcPr>
            <w:tcW w:w="24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lineRule="atLeast" w:line="300" w:before="0" w:after="0"/>
              <w:jc w:val="left"/>
              <w:rPr/>
            </w:pPr>
            <w:r>
              <w:rPr/>
              <w:t> </w:t>
            </w:r>
          </w:p>
        </w:tc>
        <w:tc>
          <w:tcPr>
            <w:tcW w:w="1170" w:type="dxa"/>
            <w:tcBorders/>
            <w:vAlign w:val="center"/>
          </w:tcPr>
          <w:p>
            <w:pPr>
              <w:pStyle w:val="TableContents"/>
              <w:bidi w:val="0"/>
              <w:spacing w:lineRule="atLeast" w:line="300" w:before="0" w:after="0"/>
              <w:jc w:val="right"/>
              <w:rPr>
                <w:rFonts w:ascii="arial" w:hAnsi="arial"/>
                <w:sz w:val="19"/>
              </w:rPr>
            </w:pPr>
            <w:r>
              <w:rPr>
                <w:rFonts w:ascii="arial" w:hAnsi="arial"/>
                <w:sz w:val="19"/>
              </w:rPr>
              <w:t>536,833</w:t>
            </w:r>
          </w:p>
        </w:tc>
        <w:tc>
          <w:tcPr>
            <w:tcW w:w="60" w:type="dxa"/>
            <w:tcBorders/>
            <w:vAlign w:val="center"/>
          </w:tcPr>
          <w:p>
            <w:pPr>
              <w:pStyle w:val="TableContents"/>
              <w:bidi w:val="0"/>
              <w:spacing w:lineRule="atLeast" w:line="300" w:before="0" w:after="0"/>
              <w:jc w:val="left"/>
              <w:rPr/>
            </w:pPr>
            <w:r>
              <w:rPr/>
              <w:t> </w:t>
            </w:r>
          </w:p>
        </w:tc>
        <w:tc>
          <w:tcPr>
            <w:tcW w:w="24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lineRule="atLeast" w:line="300" w:before="0" w:after="0"/>
              <w:jc w:val="left"/>
              <w:rPr/>
            </w:pPr>
            <w:r>
              <w:rPr/>
              <w:t> </w:t>
            </w:r>
          </w:p>
        </w:tc>
        <w:tc>
          <w:tcPr>
            <w:tcW w:w="1122" w:type="dxa"/>
            <w:tcBorders/>
            <w:vAlign w:val="center"/>
          </w:tcPr>
          <w:p>
            <w:pPr>
              <w:pStyle w:val="TableContents"/>
              <w:bidi w:val="0"/>
              <w:spacing w:lineRule="atLeast" w:line="300" w:before="0" w:after="0"/>
              <w:jc w:val="right"/>
              <w:rPr>
                <w:rFonts w:ascii="arial" w:hAnsi="arial"/>
                <w:sz w:val="19"/>
              </w:rPr>
            </w:pPr>
            <w:r>
              <w:rPr>
                <w:rFonts w:ascii="arial" w:hAnsi="arial"/>
                <w:sz w:val="19"/>
              </w:rPr>
              <w:t>5,418,291</w:t>
            </w:r>
          </w:p>
        </w:tc>
        <w:tc>
          <w:tcPr>
            <w:tcW w:w="75" w:type="dxa"/>
            <w:tcBorders/>
            <w:vAlign w:val="center"/>
          </w:tcPr>
          <w:p>
            <w:pPr>
              <w:pStyle w:val="TableContents"/>
              <w:bidi w:val="0"/>
              <w:spacing w:lineRule="atLeast" w:line="300" w:before="0" w:after="0"/>
              <w:jc w:val="left"/>
              <w:rPr/>
            </w:pPr>
            <w:r>
              <w:rPr/>
              <w:t> </w:t>
            </w:r>
          </w:p>
        </w:tc>
      </w:tr>
      <w:tr>
        <w:trPr/>
        <w:tc>
          <w:tcPr>
            <w:tcW w:w="1730"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rFonts w:ascii="arial" w:hAnsi="arial"/>
                <w:sz w:val="19"/>
              </w:rPr>
            </w:pPr>
            <w:r>
              <w:rPr>
                <w:rFonts w:ascii="arial" w:hAnsi="arial"/>
                <w:sz w:val="19"/>
              </w:rPr>
              <w:t>Esteban Santos</w:t>
            </w:r>
          </w:p>
        </w:tc>
        <w:tc>
          <w:tcPr>
            <w:tcW w:w="24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85"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c>
          <w:tcPr>
            <w:tcW w:w="1255" w:type="dxa"/>
            <w:tcBorders>
              <w:bottom w:val="single" w:sz="8" w:space="0" w:color="0171B9"/>
            </w:tcBorders>
            <w:shd w:fill="CCE2F1" w:val="clear"/>
            <w:tcMar>
              <w:bottom w:w="28" w:type="dxa"/>
            </w:tcMar>
            <w:vAlign w:val="center"/>
          </w:tcPr>
          <w:p>
            <w:pPr>
              <w:pStyle w:val="TableContents"/>
              <w:bidi w:val="0"/>
              <w:spacing w:lineRule="atLeast" w:line="300" w:before="0" w:after="0"/>
              <w:jc w:val="right"/>
              <w:rPr>
                <w:rFonts w:ascii="arial" w:hAnsi="arial"/>
                <w:sz w:val="19"/>
              </w:rPr>
            </w:pPr>
            <w:r>
              <w:rPr>
                <w:rFonts w:ascii="arial" w:hAnsi="arial"/>
                <w:sz w:val="19"/>
              </w:rPr>
              <w:t>0</w:t>
            </w:r>
          </w:p>
        </w:tc>
        <w:tc>
          <w:tcPr>
            <w:tcW w:w="60"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c>
          <w:tcPr>
            <w:tcW w:w="24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102"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c>
          <w:tcPr>
            <w:tcW w:w="1208" w:type="dxa"/>
            <w:tcBorders>
              <w:bottom w:val="single" w:sz="8" w:space="0" w:color="0171B9"/>
            </w:tcBorders>
            <w:shd w:fill="CCE2F1" w:val="clear"/>
            <w:tcMar>
              <w:bottom w:w="28" w:type="dxa"/>
            </w:tcMar>
            <w:vAlign w:val="center"/>
          </w:tcPr>
          <w:p>
            <w:pPr>
              <w:pStyle w:val="TableContents"/>
              <w:bidi w:val="0"/>
              <w:spacing w:lineRule="atLeast" w:line="300" w:before="0" w:after="0"/>
              <w:jc w:val="right"/>
              <w:rPr>
                <w:rFonts w:ascii="arial" w:hAnsi="arial"/>
                <w:sz w:val="19"/>
              </w:rPr>
            </w:pPr>
            <w:r>
              <w:rPr>
                <w:rFonts w:ascii="arial" w:hAnsi="arial"/>
                <w:sz w:val="19"/>
              </w:rPr>
              <w:t>196,588</w:t>
            </w:r>
          </w:p>
        </w:tc>
        <w:tc>
          <w:tcPr>
            <w:tcW w:w="60"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c>
          <w:tcPr>
            <w:tcW w:w="24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80"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c>
          <w:tcPr>
            <w:tcW w:w="1170" w:type="dxa"/>
            <w:tcBorders>
              <w:bottom w:val="single" w:sz="8" w:space="0" w:color="0171B9"/>
            </w:tcBorders>
            <w:shd w:fill="CCE2F1" w:val="clear"/>
            <w:tcMar>
              <w:bottom w:w="28" w:type="dxa"/>
            </w:tcMar>
            <w:vAlign w:val="center"/>
          </w:tcPr>
          <w:p>
            <w:pPr>
              <w:pStyle w:val="TableContents"/>
              <w:bidi w:val="0"/>
              <w:spacing w:lineRule="atLeast" w:line="300" w:before="0" w:after="0"/>
              <w:jc w:val="right"/>
              <w:rPr>
                <w:rFonts w:ascii="arial" w:hAnsi="arial"/>
                <w:sz w:val="19"/>
              </w:rPr>
            </w:pPr>
            <w:r>
              <w:rPr>
                <w:rFonts w:ascii="arial" w:hAnsi="arial"/>
                <w:sz w:val="19"/>
              </w:rPr>
              <w:t>652,283</w:t>
            </w:r>
          </w:p>
        </w:tc>
        <w:tc>
          <w:tcPr>
            <w:tcW w:w="60"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c>
          <w:tcPr>
            <w:tcW w:w="24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8"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c>
          <w:tcPr>
            <w:tcW w:w="1122" w:type="dxa"/>
            <w:tcBorders>
              <w:bottom w:val="single" w:sz="8" w:space="0" w:color="0171B9"/>
            </w:tcBorders>
            <w:shd w:fill="CCE2F1" w:val="clear"/>
            <w:tcMar>
              <w:bottom w:w="28" w:type="dxa"/>
            </w:tcMar>
            <w:vAlign w:val="center"/>
          </w:tcPr>
          <w:p>
            <w:pPr>
              <w:pStyle w:val="TableContents"/>
              <w:bidi w:val="0"/>
              <w:spacing w:lineRule="atLeast" w:line="300" w:before="0" w:after="0"/>
              <w:jc w:val="right"/>
              <w:rPr>
                <w:rFonts w:ascii="arial" w:hAnsi="arial"/>
                <w:sz w:val="19"/>
              </w:rPr>
            </w:pPr>
            <w:r>
              <w:rPr>
                <w:rFonts w:ascii="arial" w:hAnsi="arial"/>
                <w:sz w:val="19"/>
              </w:rPr>
              <w:t>4,640,386</w:t>
            </w:r>
          </w:p>
        </w:tc>
        <w:tc>
          <w:tcPr>
            <w:tcW w:w="75"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(1) </w:t>
            </w:r>
          </w:p>
        </w:tc>
        <w:tc>
          <w:tcPr>
            <w:tcW w:w="9947" w:type="dxa"/>
            <w:tcBorders/>
            <w:vAlign w:val="center"/>
          </w:tcPr>
          <w:p>
            <w:pPr>
              <w:pStyle w:val="TableContents"/>
              <w:bidi w:val="0"/>
              <w:spacing w:before="0" w:after="0"/>
              <w:jc w:val="both"/>
              <w:rPr>
                <w:rFonts w:ascii="arial" w:hAnsi="arial"/>
                <w:sz w:val="16"/>
              </w:rPr>
            </w:pPr>
            <w:r>
              <w:rPr>
                <w:rFonts w:ascii="arial" w:hAnsi="arial"/>
                <w:sz w:val="16"/>
              </w:rPr>
              <w:t xml:space="preserve">Reflects the portions of the annual cash incentive awards deferred and contributed to the NDCP in the amount of $624,400 by Mr. Bradway and $1,009,600 by Mr. Griffith which was included in the “Non-Equity Incentive Plan Compensation” column of the “Summary Compensation Table” in 2022, the year it was earned. Also reflects a portion of the salary deferred and contributed to the NDCP in the amount of $85,893 by Mr. Bradway, $110,035 by Mr. Gordon and $10,418 by Mr. Griffith that was included in the “Salary” column of the “Summary Compensation Table” in 2023, the year it was earned.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7"/>
        <w:gridCol w:w="9848"/>
      </w:tblGrid>
      <w:tr>
        <w:trPr/>
        <w:tc>
          <w:tcPr>
            <w:tcW w:w="357" w:type="dxa"/>
            <w:tcBorders/>
            <w:vAlign w:val="center"/>
          </w:tcPr>
          <w:p>
            <w:pPr>
              <w:pStyle w:val="TableContents"/>
              <w:bidi w:val="0"/>
              <w:spacing w:before="0" w:after="283"/>
              <w:jc w:val="left"/>
              <w:rPr/>
            </w:pPr>
            <w:r>
              <w:rPr/>
              <w:t>(2) </w:t>
            </w:r>
          </w:p>
        </w:tc>
        <w:tc>
          <w:tcPr>
            <w:tcW w:w="9848" w:type="dxa"/>
            <w:tcBorders/>
            <w:vAlign w:val="center"/>
          </w:tcPr>
          <w:p>
            <w:pPr>
              <w:pStyle w:val="TableContents"/>
              <w:bidi w:val="0"/>
              <w:spacing w:before="0" w:after="0"/>
              <w:jc w:val="both"/>
              <w:rPr>
                <w:rFonts w:ascii="arial" w:hAnsi="arial"/>
                <w:sz w:val="16"/>
              </w:rPr>
            </w:pPr>
            <w:r>
              <w:rPr>
                <w:rFonts w:ascii="arial" w:hAnsi="arial"/>
                <w:sz w:val="16"/>
              </w:rPr>
              <w:t xml:space="preserve">Reflects credits to the SRP, which are subject to a three-year cliff vesting requirement, with vesting accelerated under certain circumstances. </w:t>
            </w:r>
          </w:p>
        </w:tc>
      </w:tr>
    </w:tbl>
    <w:p>
      <w:pPr>
        <w:pStyle w:val="TextBody"/>
        <w:bidi w:val="0"/>
        <w:spacing w:before="0" w:after="0"/>
        <w:jc w:val="left"/>
        <w:rPr/>
      </w:pPr>
      <w:r>
        <w:rPr/>
        <w:t> </w:t>
      </w:r>
    </w:p>
    <w:tbl>
      <w:tblPr>
        <w:tblW w:w="4690" w:type="dxa"/>
        <w:jc w:val="left"/>
        <w:tblInd w:w="0" w:type="dxa"/>
        <w:tblLayout w:type="fixed"/>
        <w:tblCellMar>
          <w:top w:w="0" w:type="dxa"/>
          <w:left w:w="0" w:type="dxa"/>
          <w:bottom w:w="0" w:type="dxa"/>
          <w:right w:w="0" w:type="dxa"/>
        </w:tblCellMar>
      </w:tblPr>
      <w:tblGrid>
        <w:gridCol w:w="365"/>
        <w:gridCol w:w="4325"/>
      </w:tblGrid>
      <w:tr>
        <w:trPr/>
        <w:tc>
          <w:tcPr>
            <w:tcW w:w="365" w:type="dxa"/>
            <w:tcBorders/>
            <w:vAlign w:val="center"/>
          </w:tcPr>
          <w:p>
            <w:pPr>
              <w:pStyle w:val="TableContents"/>
              <w:bidi w:val="0"/>
              <w:spacing w:before="0" w:after="283"/>
              <w:jc w:val="left"/>
              <w:rPr/>
            </w:pPr>
            <w:r>
              <w:rPr/>
              <w:t>(3) </w:t>
            </w:r>
          </w:p>
        </w:tc>
        <w:tc>
          <w:tcPr>
            <w:tcW w:w="4325" w:type="dxa"/>
            <w:tcBorders/>
            <w:vAlign w:val="center"/>
          </w:tcPr>
          <w:p>
            <w:pPr>
              <w:pStyle w:val="TableContents"/>
              <w:bidi w:val="0"/>
              <w:spacing w:before="0" w:after="0"/>
              <w:jc w:val="both"/>
              <w:rPr>
                <w:rFonts w:ascii="arial" w:hAnsi="arial"/>
                <w:sz w:val="16"/>
              </w:rPr>
            </w:pPr>
            <w:r>
              <w:rPr>
                <w:rFonts w:ascii="arial" w:hAnsi="arial"/>
                <w:sz w:val="16"/>
              </w:rPr>
              <w:t xml:space="preserve">Reflects earnings/(losses) in the NDCP and SRP for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(4) </w:t>
            </w:r>
          </w:p>
        </w:tc>
        <w:tc>
          <w:tcPr>
            <w:tcW w:w="9933" w:type="dxa"/>
            <w:tcBorders/>
            <w:vAlign w:val="center"/>
          </w:tcPr>
          <w:p>
            <w:pPr>
              <w:pStyle w:val="TableContents"/>
              <w:bidi w:val="0"/>
              <w:spacing w:before="0" w:after="0"/>
              <w:jc w:val="both"/>
              <w:rPr>
                <w:rFonts w:ascii="arial" w:hAnsi="arial"/>
                <w:sz w:val="16"/>
              </w:rPr>
            </w:pPr>
            <w:r>
              <w:rPr>
                <w:rFonts w:ascii="arial" w:hAnsi="arial"/>
                <w:sz w:val="16"/>
              </w:rPr>
              <w:t xml:space="preserve">Reflects balances in the NDCP and SRP on December 31, 2023. All amounts are vested. These balances include the following aggregate amounts that are reported as compensation in this proxy statement in the “Summary Compensation Table” in 2023, 2022, and 2021: $2,138,592 for Mr. Bradway; $777,495 for Mr. Gordon; $678,195 for Dr. Reese; $2,762,431 for Mr. Griffith; and $612,024 for Mr. Santos. </w:t>
            </w:r>
          </w:p>
        </w:tc>
      </w:tr>
    </w:tbl>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90  </w:t>
      </w:r>
      <w:r>
        <w:rPr>
          <w:rFonts w:ascii="arial" w:hAnsi="arial"/>
          <w:b/>
          <w:color w:val="474747"/>
          <w:sz w:val="22"/>
        </w:rPr>
        <w:drawing>
          <wp:inline distT="0" distB="0" distL="0" distR="0">
            <wp:extent cx="64770" cy="15240"/>
            <wp:effectExtent l="0" t="0" r="0" b="0"/>
            <wp:docPr id="317"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153" descr=""/>
                    <pic:cNvPicPr>
                      <a:picLocks noChangeAspect="1" noChangeArrowheads="1"/>
                    </pic:cNvPicPr>
                  </pic:nvPicPr>
                  <pic:blipFill>
                    <a:blip r:embed="rId166"/>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419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371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1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371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Executive Compensation Tables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sz w:val="24"/>
        </w:rPr>
      </w:pPr>
      <w:r>
        <w:rPr>
          <w:rFonts w:ascii="arial" w:hAnsi="arial"/>
          <w:b/>
          <w:sz w:val="24"/>
        </w:rPr>
        <w:t xml:space="preserve">General Provisions of the Supplemental Retirement Plan and Nonqualified Deferred Compensation Plan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90">
                <wp:simplePos x="0" y="0"/>
                <wp:positionH relativeFrom="column">
                  <wp:align>left</wp:align>
                </wp:positionH>
                <wp:positionV relativeFrom="line">
                  <wp:posOffset>635</wp:posOffset>
                </wp:positionV>
                <wp:extent cx="3110230" cy="3260090"/>
                <wp:effectExtent l="0" t="0" r="0" b="0"/>
                <wp:wrapSquare wrapText="right"/>
                <wp:docPr id="318" name="Frame153"/>
                <a:graphic xmlns:a="http://schemas.openxmlformats.org/drawingml/2006/main">
                  <a:graphicData uri="http://schemas.microsoft.com/office/word/2010/wordprocessingShape">
                    <wps:wsp>
                      <wps:cNvSpPr txBox="1"/>
                      <wps:spPr>
                        <a:xfrm>
                          <a:off x="0" y="0"/>
                          <a:ext cx="3110230" cy="326009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The SRP is designed to provide a “make-whole” benefit to 401(k) Plan participants with eligible compensation in excess of the Internal Revenue Code’s qualified plan compensation limit. The Company credits to the SRP a 10% contribution on such compensation to represent the equivalent percentage of Company contributions that could have been made to the 401(k) Plan if the compensation had been eligible for deferral into the 401(k) Plan. For the same reason, the Company also credits to the SRP a 10% contribution on amounts voluntarily deferred by a participant into the NDCP. No “above market” crediting rates are offered under the SRP and employee contributions to the SRP are not permitted. </w:t>
                            </w:r>
                          </w:p>
                          <w:p>
                            <w:pPr>
                              <w:pStyle w:val="TextBody"/>
                              <w:bidi w:val="0"/>
                              <w:spacing w:before="120" w:after="0"/>
                              <w:jc w:val="both"/>
                              <w:rPr>
                                <w:rFonts w:ascii="arial" w:hAnsi="arial"/>
                                <w:sz w:val="19"/>
                              </w:rPr>
                            </w:pPr>
                            <w:r>
                              <w:rPr>
                                <w:rFonts w:ascii="arial" w:hAnsi="arial"/>
                                <w:sz w:val="19"/>
                              </w:rPr>
                              <w:t xml:space="preserve">The SRP and the NDCP are unfunded plans for tax purposes and for purposes of Title I of the Employee Retirement Income Security Act of 1974, as amended. Deferred amounts are our general unsecured obligations and are subject to our ongoing financial solvency. We have established a grantor trust (a so-called “rabbi” trust) for the purpose of accumulating funds to assist us in satisfying our obligations under the NDCP. Earnings on amounts contributed to our SRP and NDCP, like our 401(k) Plan, are based on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56.7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The SRP is designed to provide a “make-whole” benefit to 401(k) Plan participants with eligible compensation in excess of the Internal Revenue Code’s qualified plan compensation limit. The Company credits to the SRP a 10% contribution on such compensation to represent the equivalent percentage of Company contributions that could have been made to the 401(k) Plan if the compensation had been eligible for deferral into the 401(k) Plan. For the same reason, the Company also credits to the SRP a 10% contribution on amounts voluntarily deferred by a participant into the NDCP. No “above market” crediting rates are offered under the SRP and employee contributions to the SRP are not permitted. </w:t>
                      </w:r>
                    </w:p>
                    <w:p>
                      <w:pPr>
                        <w:pStyle w:val="TextBody"/>
                        <w:bidi w:val="0"/>
                        <w:spacing w:before="120" w:after="0"/>
                        <w:jc w:val="both"/>
                        <w:rPr>
                          <w:rFonts w:ascii="arial" w:hAnsi="arial"/>
                          <w:sz w:val="19"/>
                        </w:rPr>
                      </w:pPr>
                      <w:r>
                        <w:rPr>
                          <w:rFonts w:ascii="arial" w:hAnsi="arial"/>
                          <w:sz w:val="19"/>
                        </w:rPr>
                        <w:t xml:space="preserve">The SRP and the NDCP are unfunded plans for tax purposes and for purposes of Title I of the Employee Retirement Income Security Act of 1974, as amended. Deferred amounts are our general unsecured obligations and are subject to our ongoing financial solvency. We have established a grantor trust (a so-called “rabbi” trust) for the purpose of accumulating funds to assist us in satisfying our obligations under the NDCP. Earnings on amounts contributed to our SRP and NDCP, like our 401(k) Plan, are based on </w:t>
                      </w:r>
                    </w:p>
                  </w:txbxContent>
                </v:textbox>
                <w10:wrap type="square" side="right"/>
              </v:rect>
            </w:pict>
          </mc:Fallback>
        </mc:AlternateContent>
      </w:r>
      <w:r>
        <mc:AlternateContent>
          <mc:Choice Requires="wps">
            <w:drawing>
              <wp:anchor behindDoc="0" distT="0" distB="0" distL="0" distR="0" simplePos="0" locked="0" layoutInCell="1" allowOverlap="1" relativeHeight="391">
                <wp:simplePos x="0" y="0"/>
                <wp:positionH relativeFrom="column">
                  <wp:align>left</wp:align>
                </wp:positionH>
                <wp:positionV relativeFrom="line">
                  <wp:posOffset>635</wp:posOffset>
                </wp:positionV>
                <wp:extent cx="3175000" cy="3183890"/>
                <wp:effectExtent l="0" t="0" r="0" b="0"/>
                <wp:wrapSquare wrapText="right"/>
                <wp:docPr id="319" name="Frame154"/>
                <a:graphic xmlns:a="http://schemas.openxmlformats.org/drawingml/2006/main">
                  <a:graphicData uri="http://schemas.microsoft.com/office/word/2010/wordprocessingShape">
                    <wps:wsp>
                      <wps:cNvSpPr txBox="1"/>
                      <wps:spPr>
                        <a:xfrm>
                          <a:off x="0" y="0"/>
                          <a:ext cx="3175000" cy="318389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participant selections among the deemed investment options selected by a committee of our executives. This committee has the sole discretion to discontinue, substitute, or add investment options at any time. Participants can select from among these investment options for purposes of determining the earnings or losses that we will credit to their plan accounts, but they do not have an ownership interest in the investment options they select. Unlike our 401(k) Plan, we do not offer the opportunity for NDCP or SRP participants to invest through a brokerage window or in our Common Stock. The investment options available to NDCP and SRP participants also differ from our 401(k) in that they include six target date portfolios which are used as default investment options (the “Target Retirement Portfolios”). The investment options available during 2023 are described in the subsection “Investment Options Under the 401(k), Supplemental Retirement, and Nonqualified Deferred Compensation Plans” below. Invested credits can be reallocated among available plan investment options on any business day and effective at the close of business on that day (subject to the time of day the reallocation request is made on a day the market is open).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50.7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participant selections among the deemed investment options selected by a committee of our executives. This committee has the sole discretion to discontinue, substitute, or add investment options at any time. Participants can select from among these investment options for purposes of determining the earnings or losses that we will credit to their plan accounts, but they do not have an ownership interest in the investment options they select. Unlike our 401(k) Plan, we do not offer the opportunity for NDCP or SRP participants to invest through a brokerage window or in our Common Stock. The investment options available to NDCP and SRP participants also differ from our 401(k) in that they include six target date portfolios which are used as default investment options (the “Target Retirement Portfolios”). The investment options available during 2023 are described in the subsection “Investment Options Under the 401(k), Supplemental Retirement, and Nonqualified Deferred Compensation Plans” below. Invested credits can be reallocated among available plan investment options on any business day and effective at the close of business on that day (subject to the time of day the reallocation request is made on a day the market is open).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b/>
          <w:sz w:val="24"/>
        </w:rPr>
      </w:pPr>
      <w:r>
        <w:rPr>
          <w:rFonts w:ascii="arial" w:hAnsi="arial"/>
          <w:b/>
          <w:sz w:val="24"/>
        </w:rPr>
        <w:t xml:space="preserve">Retirement and Savings Plan (401(k) Plan) and Supplemental Retirement Plan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92">
                <wp:simplePos x="0" y="0"/>
                <wp:positionH relativeFrom="column">
                  <wp:align>left</wp:align>
                </wp:positionH>
                <wp:positionV relativeFrom="line">
                  <wp:posOffset>635</wp:posOffset>
                </wp:positionV>
                <wp:extent cx="3110230" cy="3536950"/>
                <wp:effectExtent l="0" t="0" r="0" b="0"/>
                <wp:wrapSquare wrapText="right"/>
                <wp:docPr id="320" name="Frame155"/>
                <a:graphic xmlns:a="http://schemas.openxmlformats.org/drawingml/2006/main">
                  <a:graphicData uri="http://schemas.microsoft.com/office/word/2010/wordprocessingShape">
                    <wps:wsp>
                      <wps:cNvSpPr txBox="1"/>
                      <wps:spPr>
                        <a:xfrm>
                          <a:off x="0" y="0"/>
                          <a:ext cx="3110230" cy="353695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Our 401(k) Plan is a qualified plan available to regular U.S.-based staff members of the Company and participating subsidiaries (except Puerto Rico). All 401(k) Plan participants, including our NEOs, are eligible to receive the same proportionate level of matching and nonelective or “core” contributions from us. Company contributions on eligible compensation earned above the Internal Revenue Code qualified plan compensation limit and on amounts that were voluntarily deferred by a staff member to the NDCP are credited to our SRP, a nonqualified plan that is available to all 401(k) Plan-eligible staff members. </w:t>
                            </w:r>
                          </w:p>
                          <w:p>
                            <w:pPr>
                              <w:pStyle w:val="TextBody"/>
                              <w:bidi w:val="0"/>
                              <w:spacing w:before="120" w:after="0"/>
                              <w:jc w:val="both"/>
                              <w:rPr>
                                <w:rFonts w:ascii="arial" w:hAnsi="arial"/>
                                <w:sz w:val="19"/>
                              </w:rPr>
                            </w:pPr>
                            <w:r>
                              <w:rPr>
                                <w:rFonts w:ascii="arial" w:hAnsi="arial"/>
                                <w:i/>
                                <w:color w:val="0171B9"/>
                                <w:sz w:val="19"/>
                              </w:rPr>
                              <w:t>Contributions.</w:t>
                            </w:r>
                            <w:r>
                              <w:rPr>
                                <w:rFonts w:ascii="arial" w:hAnsi="arial"/>
                                <w:sz w:val="19"/>
                              </w:rPr>
                              <w:t xml:space="preserve"> We make a core contribution of 5% of eligible compensation to all regular U.S.-based staff members under the 401(k) Plan, regardless of whether the staff members elect to defer any of their own compensation to the 401(k) Plan. In addition, participants are eligible to receive matching contributions of up to 5% of eligible compensation they contribute to the 401(k) Plan. As discussed above, under our SRP, we credit 10% of each participant’s eligible compensation that is in excess of the qualified plan compensation limit, which equals the combined percentage of our core contributions and maximum matching contributions under our 401(k) Plan. We also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78.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Our 401(k) Plan is a qualified plan available to regular U.S.-based staff members of the Company and participating subsidiaries (except Puerto Rico). All 401(k) Plan participants, including our NEOs, are eligible to receive the same proportionate level of matching and nonelective or “core” contributions from us. Company contributions on eligible compensation earned above the Internal Revenue Code qualified plan compensation limit and on amounts that were voluntarily deferred by a staff member to the NDCP are credited to our SRP, a nonqualified plan that is available to all 401(k) Plan-eligible staff members. </w:t>
                      </w:r>
                    </w:p>
                    <w:p>
                      <w:pPr>
                        <w:pStyle w:val="TextBody"/>
                        <w:bidi w:val="0"/>
                        <w:spacing w:before="120" w:after="0"/>
                        <w:jc w:val="both"/>
                        <w:rPr>
                          <w:rFonts w:ascii="arial" w:hAnsi="arial"/>
                          <w:sz w:val="19"/>
                        </w:rPr>
                      </w:pPr>
                      <w:r>
                        <w:rPr>
                          <w:rFonts w:ascii="arial" w:hAnsi="arial"/>
                          <w:i/>
                          <w:color w:val="0171B9"/>
                          <w:sz w:val="19"/>
                        </w:rPr>
                        <w:t>Contributions.</w:t>
                      </w:r>
                      <w:r>
                        <w:rPr>
                          <w:rFonts w:ascii="arial" w:hAnsi="arial"/>
                          <w:sz w:val="19"/>
                        </w:rPr>
                        <w:t xml:space="preserve"> We make a core contribution of 5% of eligible compensation to all regular U.S.-based staff members under the 401(k) Plan, regardless of whether the staff members elect to defer any of their own compensation to the 401(k) Plan. In addition, participants are eligible to receive matching contributions of up to 5% of eligible compensation they contribute to the 401(k) Plan. As discussed above, under our SRP, we credit 10% of each participant’s eligible compensation that is in excess of the qualified plan compensation limit, which equals the combined percentage of our core contributions and maximum matching contributions under our 401(k) Plan. We also </w:t>
                      </w:r>
                    </w:p>
                  </w:txbxContent>
                </v:textbox>
                <w10:wrap type="square" side="right"/>
              </v:rect>
            </w:pict>
          </mc:Fallback>
        </mc:AlternateContent>
      </w:r>
      <w:r>
        <mc:AlternateContent>
          <mc:Choice Requires="wps">
            <w:drawing>
              <wp:anchor behindDoc="0" distT="0" distB="0" distL="0" distR="0" simplePos="0" locked="0" layoutInCell="1" allowOverlap="1" relativeHeight="393">
                <wp:simplePos x="0" y="0"/>
                <wp:positionH relativeFrom="column">
                  <wp:align>left</wp:align>
                </wp:positionH>
                <wp:positionV relativeFrom="line">
                  <wp:posOffset>635</wp:posOffset>
                </wp:positionV>
                <wp:extent cx="3175000" cy="3474720"/>
                <wp:effectExtent l="0" t="0" r="0" b="0"/>
                <wp:wrapSquare wrapText="right"/>
                <wp:docPr id="321" name="Frame156"/>
                <a:graphic xmlns:a="http://schemas.openxmlformats.org/drawingml/2006/main">
                  <a:graphicData uri="http://schemas.microsoft.com/office/word/2010/wordprocessingShape">
                    <wps:wsp>
                      <wps:cNvSpPr txBox="1"/>
                      <wps:spPr>
                        <a:xfrm>
                          <a:off x="0" y="0"/>
                          <a:ext cx="3175000" cy="347472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credit to the SRP 10% of each participant’s compensation if they elect to defer to the NDCP. </w:t>
                            </w:r>
                          </w:p>
                          <w:p>
                            <w:pPr>
                              <w:pStyle w:val="TextBody"/>
                              <w:bidi w:val="0"/>
                              <w:spacing w:before="120" w:after="0"/>
                              <w:jc w:val="both"/>
                              <w:rPr>
                                <w:rFonts w:ascii="arial" w:hAnsi="arial"/>
                                <w:sz w:val="19"/>
                              </w:rPr>
                            </w:pPr>
                            <w:r>
                              <w:rPr>
                                <w:rFonts w:ascii="arial" w:hAnsi="arial"/>
                                <w:i/>
                                <w:color w:val="0171B9"/>
                                <w:sz w:val="19"/>
                              </w:rPr>
                              <w:t>Distributions.</w:t>
                            </w:r>
                            <w:r>
                              <w:rPr>
                                <w:rFonts w:ascii="arial" w:hAnsi="arial"/>
                                <w:sz w:val="19"/>
                              </w:rPr>
                              <w:t xml:space="preserve"> Participants receive distributions from the SRP following their termination of employment. Participants may elect to receive distributions as a lump sum payment in the first or second year following termination of employment, or, for balances in excess of $100,000, in installments that commence in the year following termination. For our NEOs, Section 409A of the Internal Revenue Code generally requires that their distributions may not occur earlier than six months following our NEO’s termination of employment. </w:t>
                            </w:r>
                          </w:p>
                          <w:p>
                            <w:pPr>
                              <w:pStyle w:val="TextBody"/>
                              <w:bidi w:val="0"/>
                              <w:spacing w:before="120" w:after="0"/>
                              <w:jc w:val="both"/>
                              <w:rPr>
                                <w:rFonts w:ascii="arial" w:hAnsi="arial"/>
                                <w:sz w:val="19"/>
                              </w:rPr>
                            </w:pPr>
                            <w:r>
                              <w:rPr>
                                <w:rFonts w:ascii="arial" w:hAnsi="arial"/>
                                <w:sz w:val="19"/>
                              </w:rPr>
                              <w:t xml:space="preserve">Participants in the 401(k) Plan are immediately vested in participant and matching contributions and related earnings and losses on such amounts. Participants in the 401(k) Plan who were hired before January 1, 2020 are also immediately vested in core contributions and related earnings and losses on such amounts. Participants in the 401(k) Plan who were hired on or after January 1, 2020 will only become 100% vested in core contributions and related earnings and losses on such amounts after three years of service. Participants in the SRP are immediately vested in matching contributions that are made by us with respect to amounts the participants deferred under the NDCP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73.6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credit to the SRP 10% of each participant’s compensation if they elect to defer to the NDCP. </w:t>
                      </w:r>
                    </w:p>
                    <w:p>
                      <w:pPr>
                        <w:pStyle w:val="TextBody"/>
                        <w:bidi w:val="0"/>
                        <w:spacing w:before="120" w:after="0"/>
                        <w:jc w:val="both"/>
                        <w:rPr>
                          <w:rFonts w:ascii="arial" w:hAnsi="arial"/>
                          <w:sz w:val="19"/>
                        </w:rPr>
                      </w:pPr>
                      <w:r>
                        <w:rPr>
                          <w:rFonts w:ascii="arial" w:hAnsi="arial"/>
                          <w:i/>
                          <w:color w:val="0171B9"/>
                          <w:sz w:val="19"/>
                        </w:rPr>
                        <w:t>Distributions.</w:t>
                      </w:r>
                      <w:r>
                        <w:rPr>
                          <w:rFonts w:ascii="arial" w:hAnsi="arial"/>
                          <w:sz w:val="19"/>
                        </w:rPr>
                        <w:t xml:space="preserve"> Participants receive distributions from the SRP following their termination of employment. Participants may elect to receive distributions as a lump sum payment in the first or second year following termination of employment, or, for balances in excess of $100,000, in installments that commence in the year following termination. For our NEOs, Section 409A of the Internal Revenue Code generally requires that their distributions may not occur earlier than six months following our NEO’s termination of employment. </w:t>
                      </w:r>
                    </w:p>
                    <w:p>
                      <w:pPr>
                        <w:pStyle w:val="TextBody"/>
                        <w:bidi w:val="0"/>
                        <w:spacing w:before="120" w:after="0"/>
                        <w:jc w:val="both"/>
                        <w:rPr>
                          <w:rFonts w:ascii="arial" w:hAnsi="arial"/>
                          <w:sz w:val="19"/>
                        </w:rPr>
                      </w:pPr>
                      <w:r>
                        <w:rPr>
                          <w:rFonts w:ascii="arial" w:hAnsi="arial"/>
                          <w:sz w:val="19"/>
                        </w:rPr>
                        <w:t xml:space="preserve">Participants in the 401(k) Plan are immediately vested in participant and matching contributions and related earnings and losses on such amounts. Participants in the 401(k) Plan who were hired before January 1, 2020 are also immediately vested in core contributions and related earnings and losses on such amounts. Participants in the 401(k) Plan who were hired on or after January 1, 2020 will only become 100% vested in core contributions and related earnings and losses on such amounts after three years of service. Participants in the SRP are immediately vested in matching contributions that are made by us with respect to amounts the participants deferred under the NDCP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322"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154" descr=""/>
                    <pic:cNvPicPr>
                      <a:picLocks noChangeAspect="1" noChangeArrowheads="1"/>
                    </pic:cNvPicPr>
                  </pic:nvPicPr>
                  <pic:blipFill>
                    <a:blip r:embed="rId167"/>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91</w:t>
      </w:r>
      <w:r>
        <w:rPr>
          <w:rFonts w:ascii="arial" w:hAnsi="arial"/>
          <w:b/>
          <w:sz w:val="22"/>
        </w:rPr>
        <w:t xml:space="preserve"> </w:t>
      </w:r>
      <w:r>
        <w:br w:type="page"/>
      </w:r>
    </w:p>
    <w:p>
      <w:pPr>
        <w:pStyle w:val="HorizontalLine"/>
        <w:bidi w:val="0"/>
        <w:jc w:val="left"/>
        <w:rPr/>
      </w:pPr>
      <w:r>
        <w:rPr/>
      </w:r>
    </w:p>
    <w:tbl>
      <w:tblPr>
        <w:tblW w:w="419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371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1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371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Executive Compensation Tables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94">
                <wp:simplePos x="0" y="0"/>
                <wp:positionH relativeFrom="column">
                  <wp:align>left</wp:align>
                </wp:positionH>
                <wp:positionV relativeFrom="line">
                  <wp:posOffset>635</wp:posOffset>
                </wp:positionV>
                <wp:extent cx="3110230" cy="692150"/>
                <wp:effectExtent l="0" t="0" r="0" b="0"/>
                <wp:wrapSquare wrapText="right"/>
                <wp:docPr id="323" name="Frame157"/>
                <a:graphic xmlns:a="http://schemas.openxmlformats.org/drawingml/2006/main">
                  <a:graphicData uri="http://schemas.microsoft.com/office/word/2010/wordprocessingShape">
                    <wps:wsp>
                      <wps:cNvSpPr txBox="1"/>
                      <wps:spPr>
                        <a:xfrm>
                          <a:off x="0" y="0"/>
                          <a:ext cx="3110230" cy="69215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and related earnings and losses on such amounts, and are fully vested in the remainder of their accounts upon the earlier of: (i) three continuous years of their service to us; (ii) termination of their employment on or after their normal retirement date (as defined in the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4.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and related earnings and losses on such amounts, and are fully vested in the remainder of their accounts upon the earlier of: (i) three continuous years of their service to us; (ii) termination of their employment on or after their normal retirement date (as defined in the </w:t>
                      </w:r>
                    </w:p>
                  </w:txbxContent>
                </v:textbox>
                <w10:wrap type="square" side="right"/>
              </v:rect>
            </w:pict>
          </mc:Fallback>
        </mc:AlternateContent>
      </w:r>
      <w:r>
        <mc:AlternateContent>
          <mc:Choice Requires="wps">
            <w:drawing>
              <wp:anchor behindDoc="0" distT="0" distB="0" distL="0" distR="0" simplePos="0" locked="0" layoutInCell="1" allowOverlap="1" relativeHeight="395">
                <wp:simplePos x="0" y="0"/>
                <wp:positionH relativeFrom="column">
                  <wp:align>left</wp:align>
                </wp:positionH>
                <wp:positionV relativeFrom="line">
                  <wp:posOffset>635</wp:posOffset>
                </wp:positionV>
                <wp:extent cx="3175000" cy="692150"/>
                <wp:effectExtent l="0" t="0" r="0" b="0"/>
                <wp:wrapSquare wrapText="right"/>
                <wp:docPr id="324" name="Frame158"/>
                <a:graphic xmlns:a="http://schemas.openxmlformats.org/drawingml/2006/main">
                  <a:graphicData uri="http://schemas.microsoft.com/office/word/2010/wordprocessingShape">
                    <wps:wsp>
                      <wps:cNvSpPr txBox="1"/>
                      <wps:spPr>
                        <a:xfrm>
                          <a:off x="0" y="0"/>
                          <a:ext cx="3175000" cy="69215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401(k) Plan); (iii) their disability (as defined in the 401(k) Plan); (iv) their death; or (v) a change of control and termination of their employment as described below in “Potential Payments Upon Termination or Change of Control—</w:t>
                            </w:r>
                            <w:r>
                              <w:rPr>
                                <w:rFonts w:ascii="arial" w:hAnsi="arial"/>
                                <w:i/>
                                <w:sz w:val="19"/>
                              </w:rPr>
                              <w:t>Change of Control Severance Plan</w:t>
                            </w:r>
                            <w:r>
                              <w:rPr>
                                <w:rFonts w:ascii="arial" w:hAnsi="arial"/>
                                <w:sz w:val="19"/>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4.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401(k) Plan); (iii) their disability (as defined in the 401(k) Plan); (iv) their death; or (v) a change of control and termination of their employment as described below in “Potential Payments Upon Termination or Change of Control—</w:t>
                      </w:r>
                      <w:r>
                        <w:rPr>
                          <w:rFonts w:ascii="arial" w:hAnsi="arial"/>
                          <w:i/>
                          <w:sz w:val="19"/>
                        </w:rPr>
                        <w:t>Change of Control Severance Plan</w:t>
                      </w:r>
                      <w:r>
                        <w:rPr>
                          <w:rFonts w:ascii="arial" w:hAnsi="arial"/>
                          <w:sz w:val="19"/>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b/>
          <w:sz w:val="24"/>
        </w:rPr>
      </w:pPr>
      <w:r>
        <w:rPr>
          <w:rFonts w:ascii="arial" w:hAnsi="arial"/>
          <w:b/>
          <w:sz w:val="24"/>
        </w:rPr>
        <w:t xml:space="preserve">Nonqualified Deferred Compensation Plan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96">
                <wp:simplePos x="0" y="0"/>
                <wp:positionH relativeFrom="column">
                  <wp:align>left</wp:align>
                </wp:positionH>
                <wp:positionV relativeFrom="line">
                  <wp:posOffset>635</wp:posOffset>
                </wp:positionV>
                <wp:extent cx="3110230" cy="2429510"/>
                <wp:effectExtent l="0" t="0" r="0" b="0"/>
                <wp:wrapSquare wrapText="right"/>
                <wp:docPr id="325" name="Frame159"/>
                <a:graphic xmlns:a="http://schemas.openxmlformats.org/drawingml/2006/main">
                  <a:graphicData uri="http://schemas.microsoft.com/office/word/2010/wordprocessingShape">
                    <wps:wsp>
                      <wps:cNvSpPr txBox="1"/>
                      <wps:spPr>
                        <a:xfrm>
                          <a:off x="0" y="0"/>
                          <a:ext cx="3110230" cy="242951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Our NDCP allows participants to defer receipt of a portion of their eligible compensation to a future date, with an opportunity to earn tax-deferred returns on the deferrals. Members of our Board of Directors, or Board, and our U.S.- and Puerto Rico-based staff members at the director level or above, which include our NEOs, are eligible to participate in this plan. All participants in this plan participate on the same basis. </w:t>
                            </w:r>
                          </w:p>
                          <w:p>
                            <w:pPr>
                              <w:pStyle w:val="TextBody"/>
                              <w:bidi w:val="0"/>
                              <w:spacing w:before="120" w:after="0"/>
                              <w:jc w:val="both"/>
                              <w:rPr>
                                <w:rFonts w:ascii="arial" w:hAnsi="arial"/>
                                <w:sz w:val="19"/>
                              </w:rPr>
                            </w:pPr>
                            <w:r>
                              <w:rPr>
                                <w:rFonts w:ascii="arial" w:hAnsi="arial"/>
                                <w:i/>
                                <w:color w:val="0171B9"/>
                                <w:sz w:val="19"/>
                              </w:rPr>
                              <w:t>Contributions.</w:t>
                            </w:r>
                            <w:r>
                              <w:rPr>
                                <w:rFonts w:ascii="arial" w:hAnsi="arial"/>
                                <w:sz w:val="19"/>
                              </w:rPr>
                              <w:t xml:space="preserve"> Participants who are staff members may elect to defer up to a maximum of 50% of their eligible base salary, up to a maximum of 80% of their annual cash incentive award, and up to 80% of sales commissions. Non-employee members of our Board may defer all or a portion of their fees, including retainers and meeting fees. In addition, we may, in our sole discretion, contribute additional amounts to any participant’s account at any time, such as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91.3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Our NDCP allows participants to defer receipt of a portion of their eligible compensation to a future date, with an opportunity to earn tax-deferred returns on the deferrals. Members of our Board of Directors, or Board, and our U.S.- and Puerto Rico-based staff members at the director level or above, which include our NEOs, are eligible to participate in this plan. All participants in this plan participate on the same basis. </w:t>
                      </w:r>
                    </w:p>
                    <w:p>
                      <w:pPr>
                        <w:pStyle w:val="TextBody"/>
                        <w:bidi w:val="0"/>
                        <w:spacing w:before="120" w:after="0"/>
                        <w:jc w:val="both"/>
                        <w:rPr>
                          <w:rFonts w:ascii="arial" w:hAnsi="arial"/>
                          <w:sz w:val="19"/>
                        </w:rPr>
                      </w:pPr>
                      <w:r>
                        <w:rPr>
                          <w:rFonts w:ascii="arial" w:hAnsi="arial"/>
                          <w:i/>
                          <w:color w:val="0171B9"/>
                          <w:sz w:val="19"/>
                        </w:rPr>
                        <w:t>Contributions.</w:t>
                      </w:r>
                      <w:r>
                        <w:rPr>
                          <w:rFonts w:ascii="arial" w:hAnsi="arial"/>
                          <w:sz w:val="19"/>
                        </w:rPr>
                        <w:t xml:space="preserve"> Participants who are staff members may elect to defer up to a maximum of 50% of their eligible base salary, up to a maximum of 80% of their annual cash incentive award, and up to 80% of sales commissions. Non-employee members of our Board may defer all or a portion of their fees, including retainers and meeting fees. In addition, we may, in our sole discretion, contribute additional amounts to any participant’s account at any time, such as </w:t>
                      </w:r>
                    </w:p>
                  </w:txbxContent>
                </v:textbox>
                <w10:wrap type="square" side="right"/>
              </v:rect>
            </w:pict>
          </mc:Fallback>
        </mc:AlternateContent>
      </w:r>
      <w:r>
        <mc:AlternateContent>
          <mc:Choice Requires="wps">
            <w:drawing>
              <wp:anchor behindDoc="0" distT="0" distB="0" distL="0" distR="0" simplePos="0" locked="0" layoutInCell="1" allowOverlap="1" relativeHeight="397">
                <wp:simplePos x="0" y="0"/>
                <wp:positionH relativeFrom="column">
                  <wp:align>left</wp:align>
                </wp:positionH>
                <wp:positionV relativeFrom="line">
                  <wp:posOffset>635</wp:posOffset>
                </wp:positionV>
                <wp:extent cx="3175000" cy="2228850"/>
                <wp:effectExtent l="0" t="0" r="0" b="0"/>
                <wp:wrapSquare wrapText="right"/>
                <wp:docPr id="326" name="Frame160"/>
                <a:graphic xmlns:a="http://schemas.openxmlformats.org/drawingml/2006/main">
                  <a:graphicData uri="http://schemas.microsoft.com/office/word/2010/wordprocessingShape">
                    <wps:wsp>
                      <wps:cNvSpPr txBox="1"/>
                      <wps:spPr>
                        <a:xfrm>
                          <a:off x="0" y="0"/>
                          <a:ext cx="3175000" cy="222885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contributing sign-on bonuses to the accounts of newly-hired staff members or for retention purposes. </w:t>
                            </w:r>
                          </w:p>
                          <w:p>
                            <w:pPr>
                              <w:pStyle w:val="TextBody"/>
                              <w:bidi w:val="0"/>
                              <w:spacing w:before="120" w:after="0"/>
                              <w:jc w:val="both"/>
                              <w:rPr>
                                <w:rFonts w:ascii="arial" w:hAnsi="arial"/>
                                <w:sz w:val="19"/>
                              </w:rPr>
                            </w:pPr>
                            <w:r>
                              <w:rPr>
                                <w:rFonts w:ascii="arial" w:hAnsi="arial"/>
                                <w:i/>
                                <w:color w:val="0171B9"/>
                                <w:sz w:val="19"/>
                              </w:rPr>
                              <w:t>Distributions.</w:t>
                            </w:r>
                            <w:r>
                              <w:rPr>
                                <w:rFonts w:ascii="arial" w:hAnsi="arial"/>
                                <w:sz w:val="19"/>
                              </w:rPr>
                              <w:t xml:space="preserve"> Participants may elect to receive distributions as a lump sum or, for balances in excess of $100,000, in annual installments for up to ten years. For most participants, distributions commence in the first or second year following the participant’s termination of employment. For our NEOs, Section 409A of the Internal Revenue Code generally requires that distributions may not occur earlier than six months following our NEO’s termination of employment. Participants may also petition for a distribution due to an unforeseeable financial hardship. </w:t>
                            </w:r>
                          </w:p>
                          <w:p>
                            <w:pPr>
                              <w:pStyle w:val="TextBody"/>
                              <w:bidi w:val="0"/>
                              <w:spacing w:before="120" w:after="0"/>
                              <w:jc w:val="both"/>
                              <w:rPr>
                                <w:rFonts w:ascii="arial" w:hAnsi="arial"/>
                                <w:sz w:val="19"/>
                              </w:rPr>
                            </w:pPr>
                            <w:r>
                              <w:rPr>
                                <w:rFonts w:ascii="arial" w:hAnsi="arial"/>
                                <w:i/>
                                <w:color w:val="0171B9"/>
                                <w:sz w:val="19"/>
                              </w:rPr>
                              <w:t>Vesting.</w:t>
                            </w:r>
                            <w:r>
                              <w:rPr>
                                <w:rFonts w:ascii="arial" w:hAnsi="arial"/>
                                <w:sz w:val="19"/>
                              </w:rPr>
                              <w:t xml:space="preserve"> Participants are at all times 100% vested in the amounts they elect to defer and related earnings and losses on such amounts.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75.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contributing sign-on bonuses to the accounts of newly-hired staff members or for retention purposes. </w:t>
                      </w:r>
                    </w:p>
                    <w:p>
                      <w:pPr>
                        <w:pStyle w:val="TextBody"/>
                        <w:bidi w:val="0"/>
                        <w:spacing w:before="120" w:after="0"/>
                        <w:jc w:val="both"/>
                        <w:rPr>
                          <w:rFonts w:ascii="arial" w:hAnsi="arial"/>
                          <w:sz w:val="19"/>
                        </w:rPr>
                      </w:pPr>
                      <w:r>
                        <w:rPr>
                          <w:rFonts w:ascii="arial" w:hAnsi="arial"/>
                          <w:i/>
                          <w:color w:val="0171B9"/>
                          <w:sz w:val="19"/>
                        </w:rPr>
                        <w:t>Distributions.</w:t>
                      </w:r>
                      <w:r>
                        <w:rPr>
                          <w:rFonts w:ascii="arial" w:hAnsi="arial"/>
                          <w:sz w:val="19"/>
                        </w:rPr>
                        <w:t xml:space="preserve"> Participants may elect to receive distributions as a lump sum or, for balances in excess of $100,000, in annual installments for up to ten years. For most participants, distributions commence in the first or second year following the participant’s termination of employment. For our NEOs, Section 409A of the Internal Revenue Code generally requires that distributions may not occur earlier than six months following our NEO’s termination of employment. Participants may also petition for a distribution due to an unforeseeable financial hardship. </w:t>
                      </w:r>
                    </w:p>
                    <w:p>
                      <w:pPr>
                        <w:pStyle w:val="TextBody"/>
                        <w:bidi w:val="0"/>
                        <w:spacing w:before="120" w:after="0"/>
                        <w:jc w:val="both"/>
                        <w:rPr>
                          <w:rFonts w:ascii="arial" w:hAnsi="arial"/>
                          <w:sz w:val="19"/>
                        </w:rPr>
                      </w:pPr>
                      <w:r>
                        <w:rPr>
                          <w:rFonts w:ascii="arial" w:hAnsi="arial"/>
                          <w:i/>
                          <w:color w:val="0171B9"/>
                          <w:sz w:val="19"/>
                        </w:rPr>
                        <w:t>Vesting.</w:t>
                      </w:r>
                      <w:r>
                        <w:rPr>
                          <w:rFonts w:ascii="arial" w:hAnsi="arial"/>
                          <w:sz w:val="19"/>
                        </w:rPr>
                        <w:t xml:space="preserve"> Participants are at all times 100% vested in the amounts they elect to defer and related earnings and losses on such amounts.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b/>
          <w:sz w:val="24"/>
        </w:rPr>
      </w:pPr>
      <w:r>
        <w:rPr>
          <w:rFonts w:ascii="arial" w:hAnsi="arial"/>
          <w:b/>
          <w:sz w:val="24"/>
        </w:rPr>
        <w:t xml:space="preserve">Investment Options Under the 401(k), Supplemental Retirement, and Nonqualified Deferred Compensation Plans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398">
                <wp:simplePos x="0" y="0"/>
                <wp:positionH relativeFrom="column">
                  <wp:align>left</wp:align>
                </wp:positionH>
                <wp:positionV relativeFrom="line">
                  <wp:posOffset>635</wp:posOffset>
                </wp:positionV>
                <wp:extent cx="3110230" cy="1522730"/>
                <wp:effectExtent l="0" t="0" r="0" b="0"/>
                <wp:wrapSquare wrapText="right"/>
                <wp:docPr id="327" name="Frame161"/>
                <a:graphic xmlns:a="http://schemas.openxmlformats.org/drawingml/2006/main">
                  <a:graphicData uri="http://schemas.microsoft.com/office/word/2010/wordprocessingShape">
                    <wps:wsp>
                      <wps:cNvSpPr txBox="1"/>
                      <wps:spPr>
                        <a:xfrm>
                          <a:off x="0" y="0"/>
                          <a:ext cx="3110230" cy="152273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The investment options under the 401(k), the SRP, and the NDCP are substantially the same and the associated rates of return are contained in the tables below. For the SRP and the NDCP only, six target retirement portfolio options (referred to as “Target Retirement Portfolios” below) are among the deemed investment options and are based on different target retirement dates and designed to provide an all-in-one investment option for creating a diversified portfolio. Each portfolio is an asset allocation strategy built around a combination of investments that is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19.9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The investment options under the 401(k), the SRP, and the NDCP are substantially the same and the associated rates of return are contained in the tables below. For the SRP and the NDCP only, six target retirement portfolio options (referred to as “Target Retirement Portfolios” below) are among the deemed investment options and are based on different target retirement dates and designed to provide an all-in-one investment option for creating a diversified portfolio. Each portfolio is an asset allocation strategy built around a combination of investments that is </w:t>
                      </w:r>
                    </w:p>
                  </w:txbxContent>
                </v:textbox>
                <w10:wrap type="square" side="right"/>
              </v:rect>
            </w:pict>
          </mc:Fallback>
        </mc:AlternateContent>
      </w:r>
      <w:r>
        <mc:AlternateContent>
          <mc:Choice Requires="wps">
            <w:drawing>
              <wp:anchor behindDoc="0" distT="0" distB="0" distL="0" distR="0" simplePos="0" locked="0" layoutInCell="1" allowOverlap="1" relativeHeight="399">
                <wp:simplePos x="0" y="0"/>
                <wp:positionH relativeFrom="column">
                  <wp:align>left</wp:align>
                </wp:positionH>
                <wp:positionV relativeFrom="line">
                  <wp:posOffset>635</wp:posOffset>
                </wp:positionV>
                <wp:extent cx="3175000" cy="1322070"/>
                <wp:effectExtent l="0" t="0" r="0" b="0"/>
                <wp:wrapSquare wrapText="right"/>
                <wp:docPr id="328" name="Frame162"/>
                <a:graphic xmlns:a="http://schemas.openxmlformats.org/drawingml/2006/main">
                  <a:graphicData uri="http://schemas.microsoft.com/office/word/2010/wordprocessingShape">
                    <wps:wsp>
                      <wps:cNvSpPr txBox="1"/>
                      <wps:spPr>
                        <a:xfrm>
                          <a:off x="0" y="0"/>
                          <a:ext cx="3175000" cy="132207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adjusted over time to gradually become more conservative as the target maturity date of the portfolio approaches. </w:t>
                            </w:r>
                          </w:p>
                          <w:p>
                            <w:pPr>
                              <w:pStyle w:val="TextBody"/>
                              <w:bidi w:val="0"/>
                              <w:spacing w:before="120" w:after="0"/>
                              <w:jc w:val="both"/>
                              <w:rPr>
                                <w:rFonts w:ascii="arial" w:hAnsi="arial"/>
                                <w:sz w:val="19"/>
                              </w:rPr>
                            </w:pPr>
                            <w:r>
                              <w:rPr>
                                <w:rFonts w:ascii="arial" w:hAnsi="arial"/>
                                <w:sz w:val="19"/>
                              </w:rPr>
                              <w:t xml:space="preserve">For the 401(k) Plan only, participants may make investments in our Common Stock (no more than 20% of the value of a participant’s account) and access a self-directed brokerage window. Since these options are only available in the 401(k) Plan, the performance of these additional investment options are not included in the following table.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04.1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adjusted over time to gradually become more conservative as the target maturity date of the portfolio approaches. </w:t>
                      </w:r>
                    </w:p>
                    <w:p>
                      <w:pPr>
                        <w:pStyle w:val="TextBody"/>
                        <w:bidi w:val="0"/>
                        <w:spacing w:before="120" w:after="0"/>
                        <w:jc w:val="both"/>
                        <w:rPr>
                          <w:rFonts w:ascii="arial" w:hAnsi="arial"/>
                          <w:sz w:val="19"/>
                        </w:rPr>
                      </w:pPr>
                      <w:r>
                        <w:rPr>
                          <w:rFonts w:ascii="arial" w:hAnsi="arial"/>
                          <w:sz w:val="19"/>
                        </w:rPr>
                        <w:t xml:space="preserve">For the 401(k) Plan only, participants may make investments in our Common Stock (no more than 20% of the value of a participant’s account) and access a self-directed brokerage window. Since these options are only available in the 401(k) Plan, the performance of these additional investment options are not included in the following table. </w:t>
                      </w:r>
                    </w:p>
                  </w:txbxContent>
                </v:textbox>
                <w10:wrap type="square" side="right"/>
              </v:rect>
            </w:pict>
          </mc:Fallback>
        </mc:AlternateContent>
      </w:r>
    </w:p>
    <w:p>
      <w:pPr>
        <w:pStyle w:val="TextBody"/>
        <w:bidi w:val="0"/>
        <w:spacing w:before="0" w:after="0"/>
        <w:jc w:val="left"/>
        <w:rPr/>
      </w:pPr>
      <w:r>
        <w:rPr/>
        <w:t> </w:t>
      </w:r>
    </w:p>
    <w:tbl>
      <w:tblPr>
        <w:tblW w:w="9260" w:type="dxa"/>
        <w:jc w:val="left"/>
        <w:tblInd w:w="0" w:type="dxa"/>
        <w:tblLayout w:type="fixed"/>
        <w:tblCellMar>
          <w:top w:w="0" w:type="dxa"/>
          <w:left w:w="0" w:type="dxa"/>
          <w:bottom w:w="0" w:type="dxa"/>
          <w:right w:w="0" w:type="dxa"/>
        </w:tblCellMar>
      </w:tblPr>
      <w:tblGrid>
        <w:gridCol w:w="3500"/>
        <w:gridCol w:w="120"/>
        <w:gridCol w:w="60"/>
        <w:gridCol w:w="875"/>
        <w:gridCol w:w="60"/>
        <w:gridCol w:w="60"/>
        <w:gridCol w:w="60"/>
        <w:gridCol w:w="60"/>
        <w:gridCol w:w="60"/>
        <w:gridCol w:w="60"/>
        <w:gridCol w:w="3095"/>
        <w:gridCol w:w="240"/>
        <w:gridCol w:w="60"/>
        <w:gridCol w:w="875"/>
        <w:gridCol w:w="75"/>
      </w:tblGrid>
      <w:tr>
        <w:trPr/>
        <w:tc>
          <w:tcPr>
            <w:tcW w:w="3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500" w:type="dxa"/>
            <w:tcBorders>
              <w:bottom w:val="single" w:sz="8" w:space="0" w:color="FFFFFF"/>
            </w:tcBorders>
            <w:shd w:fill="0171B9" w:val="clear"/>
            <w:tcMar>
              <w:bottom w:w="28" w:type="dxa"/>
            </w:tcMar>
            <w:vAlign w:val="center"/>
          </w:tcPr>
          <w:p>
            <w:pPr>
              <w:pStyle w:val="TableContents"/>
              <w:bidi w:val="0"/>
              <w:spacing w:before="0" w:after="283"/>
              <w:jc w:val="left"/>
              <w:rPr>
                <w:color w:val="FFFFFF"/>
              </w:rPr>
            </w:pPr>
            <w:r>
              <w:rPr>
                <w:color w:val="FFFFFF"/>
              </w:rPr>
              <w:t> </w:t>
            </w:r>
            <w:r>
              <w:rPr>
                <w:b/>
                <w:color w:val="FFFFFF"/>
              </w:rPr>
              <w:t>Name of Investment Option(1)</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935" w:type="dxa"/>
            <w:gridSpan w:val="2"/>
            <w:tcBorders>
              <w:bottom w:val="single" w:sz="8" w:space="0" w:color="FFFFFF"/>
            </w:tcBorders>
            <w:shd w:fill="0171B9" w:val="clear"/>
            <w:tcMar>
              <w:bottom w:w="28" w:type="dxa"/>
            </w:tcMar>
            <w:vAlign w:val="center"/>
          </w:tcPr>
          <w:p>
            <w:pPr>
              <w:pStyle w:val="TableContents"/>
              <w:bidi w:val="0"/>
              <w:spacing w:before="0" w:after="0"/>
              <w:jc w:val="right"/>
              <w:rPr>
                <w:rFonts w:ascii="arial" w:hAnsi="arial"/>
                <w:b/>
                <w:color w:val="FFFFFF"/>
                <w:sz w:val="18"/>
              </w:rPr>
            </w:pPr>
            <w:r>
              <w:rPr>
                <w:rFonts w:ascii="arial" w:hAnsi="arial"/>
                <w:b/>
                <w:color w:val="FFFFFF"/>
                <w:sz w:val="18"/>
              </w:rPr>
              <w:t>Rate of </w:t>
            </w:r>
          </w:p>
          <w:p>
            <w:pPr>
              <w:pStyle w:val="TableContents"/>
              <w:bidi w:val="0"/>
              <w:spacing w:before="0" w:after="0"/>
              <w:jc w:val="right"/>
              <w:rPr>
                <w:rFonts w:ascii="arial" w:hAnsi="arial"/>
                <w:b/>
                <w:color w:val="FFFFFF"/>
                <w:sz w:val="18"/>
              </w:rPr>
            </w:pPr>
            <w:r>
              <w:rPr>
                <w:rFonts w:ascii="arial" w:hAnsi="arial"/>
                <w:b/>
                <w:color w:val="FFFFFF"/>
                <w:sz w:val="18"/>
              </w:rPr>
              <w:t>Return </w:t>
            </w:r>
          </w:p>
          <w:p>
            <w:pPr>
              <w:pStyle w:val="TableContents"/>
              <w:bidi w:val="0"/>
              <w:spacing w:before="0" w:after="20"/>
              <w:jc w:val="right"/>
              <w:rPr>
                <w:rFonts w:ascii="arial" w:hAnsi="arial"/>
                <w:b/>
                <w:color w:val="FFFFFF"/>
                <w:sz w:val="18"/>
              </w:rPr>
            </w:pPr>
            <w:r>
              <w:rPr>
                <w:rFonts w:ascii="arial" w:hAnsi="arial"/>
                <w:b/>
                <w:color w:val="FFFFFF"/>
                <w:sz w:val="18"/>
              </w:rPr>
              <w:t>for 2023 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171B9"/>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3095" w:type="dxa"/>
            <w:tcBorders>
              <w:bottom w:val="single" w:sz="8" w:space="0" w:color="FFFFFF"/>
            </w:tcBorders>
            <w:shd w:fill="0171B9" w:val="clear"/>
            <w:tcMar>
              <w:bottom w:w="28" w:type="dxa"/>
            </w:tcMar>
            <w:vAlign w:val="center"/>
          </w:tcPr>
          <w:p>
            <w:pPr>
              <w:pStyle w:val="TableContents"/>
              <w:bidi w:val="0"/>
              <w:spacing w:before="0" w:after="283"/>
              <w:jc w:val="left"/>
              <w:rPr>
                <w:b/>
                <w:color w:val="FFFFFF"/>
              </w:rPr>
            </w:pPr>
            <w:r>
              <w:rPr>
                <w:b/>
                <w:color w:val="FFFFFF"/>
              </w:rPr>
              <w:t>Name of Investment Option(1)</w:t>
            </w:r>
          </w:p>
        </w:tc>
        <w:tc>
          <w:tcPr>
            <w:tcW w:w="24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935" w:type="dxa"/>
            <w:gridSpan w:val="2"/>
            <w:tcBorders>
              <w:bottom w:val="single" w:sz="8" w:space="0" w:color="FFFFFF"/>
            </w:tcBorders>
            <w:shd w:fill="0171B9" w:val="clear"/>
            <w:tcMar>
              <w:bottom w:w="28" w:type="dxa"/>
            </w:tcMar>
            <w:vAlign w:val="center"/>
          </w:tcPr>
          <w:p>
            <w:pPr>
              <w:pStyle w:val="TableContents"/>
              <w:bidi w:val="0"/>
              <w:spacing w:before="0" w:after="0"/>
              <w:jc w:val="right"/>
              <w:rPr>
                <w:rFonts w:ascii="arial" w:hAnsi="arial"/>
                <w:b/>
                <w:color w:val="FFFFFF"/>
                <w:sz w:val="18"/>
              </w:rPr>
            </w:pPr>
            <w:r>
              <w:rPr>
                <w:rFonts w:ascii="arial" w:hAnsi="arial"/>
                <w:b/>
                <w:color w:val="FFFFFF"/>
                <w:sz w:val="18"/>
              </w:rPr>
              <w:t>Rate of </w:t>
            </w:r>
          </w:p>
          <w:p>
            <w:pPr>
              <w:pStyle w:val="TableContents"/>
              <w:bidi w:val="0"/>
              <w:spacing w:before="0" w:after="0"/>
              <w:jc w:val="right"/>
              <w:rPr>
                <w:rFonts w:ascii="arial" w:hAnsi="arial"/>
                <w:b/>
                <w:color w:val="FFFFFF"/>
                <w:sz w:val="18"/>
              </w:rPr>
            </w:pPr>
            <w:r>
              <w:rPr>
                <w:rFonts w:ascii="arial" w:hAnsi="arial"/>
                <w:b/>
                <w:color w:val="FFFFFF"/>
                <w:sz w:val="18"/>
              </w:rPr>
              <w:t>Return </w:t>
            </w:r>
          </w:p>
          <w:p>
            <w:pPr>
              <w:pStyle w:val="TableContents"/>
              <w:bidi w:val="0"/>
              <w:spacing w:before="0" w:after="20"/>
              <w:jc w:val="right"/>
              <w:rPr>
                <w:rFonts w:ascii="arial" w:hAnsi="arial"/>
                <w:b/>
                <w:color w:val="FFFFFF"/>
                <w:sz w:val="18"/>
              </w:rPr>
            </w:pPr>
            <w:r>
              <w:rPr>
                <w:rFonts w:ascii="arial" w:hAnsi="arial"/>
                <w:b/>
                <w:color w:val="FFFFFF"/>
                <w:sz w:val="18"/>
              </w:rPr>
              <w:t>for 2023 </w:t>
            </w:r>
          </w:p>
        </w:tc>
        <w:tc>
          <w:tcPr>
            <w:tcW w:w="75"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r>
      <w:tr>
        <w:trPr/>
        <w:tc>
          <w:tcPr>
            <w:tcW w:w="3500" w:type="dxa"/>
            <w:tcBorders/>
            <w:shd w:fill="CCE2F1" w:val="clear"/>
            <w:vAlign w:val="center"/>
          </w:tcPr>
          <w:p>
            <w:pPr>
              <w:pStyle w:val="TableContents"/>
              <w:bidi w:val="0"/>
              <w:spacing w:before="0" w:after="0"/>
              <w:jc w:val="left"/>
              <w:rPr>
                <w:rFonts w:ascii="arial" w:hAnsi="arial"/>
                <w:b/>
                <w:sz w:val="18"/>
              </w:rPr>
            </w:pPr>
            <w:r>
              <w:rPr>
                <w:rFonts w:ascii="arial" w:hAnsi="arial"/>
                <w:b/>
                <w:sz w:val="18"/>
              </w:rPr>
              <w:t>Target Retirement Portfolio Options</w:t>
            </w:r>
          </w:p>
        </w:tc>
        <w:tc>
          <w:tcPr>
            <w:tcW w:w="12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87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left w:val="single" w:sz="8" w:space="0" w:color="0171B9"/>
            </w:tcBorders>
            <w:shd w:fill="CCE2F1" w:val="clear"/>
            <w:tcMar>
              <w:left w:w="28" w:type="dxa"/>
            </w:tcM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3095" w:type="dxa"/>
            <w:tcBorders/>
            <w:shd w:fill="CCE2F1" w:val="clear"/>
            <w:vAlign w:val="center"/>
          </w:tcPr>
          <w:p>
            <w:pPr>
              <w:pStyle w:val="TableContents"/>
              <w:bidi w:val="0"/>
              <w:spacing w:before="0" w:after="283"/>
              <w:jc w:val="left"/>
              <w:rPr/>
            </w:pPr>
            <w:r>
              <w:rPr/>
              <w:t>Capital Preservation</w:t>
            </w:r>
          </w:p>
        </w:tc>
        <w:tc>
          <w:tcPr>
            <w:tcW w:w="24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875" w:type="dxa"/>
            <w:tcBorders/>
            <w:shd w:fill="CCE2F1" w:val="clear"/>
            <w:vAlign w:val="center"/>
          </w:tcPr>
          <w:p>
            <w:pPr>
              <w:pStyle w:val="TableContents"/>
              <w:bidi w:val="0"/>
              <w:spacing w:before="0" w:after="283"/>
              <w:jc w:val="right"/>
              <w:rPr/>
            </w:pPr>
            <w:r>
              <w:rPr/>
              <w:t>2.55% </w:t>
            </w:r>
          </w:p>
        </w:tc>
        <w:tc>
          <w:tcPr>
            <w:tcW w:w="75" w:type="dxa"/>
            <w:tcBorders/>
            <w:shd w:fill="CCE2F1"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0"/>
              <w:jc w:val="left"/>
              <w:rPr>
                <w:rFonts w:ascii="arial" w:hAnsi="arial"/>
                <w:sz w:val="18"/>
              </w:rPr>
            </w:pPr>
            <w:r>
              <w:rPr>
                <w:rFonts w:ascii="arial" w:hAnsi="arial"/>
                <w:sz w:val="18"/>
              </w:rPr>
              <w:t>Amgen Target Retirement Portfolio 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13.37% 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8" w:space="0" w:color="0171B9"/>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Fixed Income Index</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5.48% </w:t>
            </w:r>
          </w:p>
        </w:tc>
        <w:tc>
          <w:tcPr>
            <w:tcW w:w="75" w:type="dxa"/>
            <w:tcBorders/>
            <w:vAlign w:val="center"/>
          </w:tcPr>
          <w:p>
            <w:pPr>
              <w:pStyle w:val="TableContents"/>
              <w:bidi w:val="0"/>
              <w:spacing w:before="0" w:after="283"/>
              <w:jc w:val="left"/>
              <w:rPr/>
            </w:pPr>
            <w:r>
              <w:rPr/>
              <w:t> </w:t>
            </w:r>
          </w:p>
        </w:tc>
      </w:tr>
      <w:tr>
        <w:trPr/>
        <w:tc>
          <w:tcPr>
            <w:tcW w:w="3500" w:type="dxa"/>
            <w:tcBorders/>
            <w:shd w:fill="CCE2F1" w:val="clear"/>
            <w:vAlign w:val="center"/>
          </w:tcPr>
          <w:p>
            <w:pPr>
              <w:pStyle w:val="TableContents"/>
              <w:bidi w:val="0"/>
              <w:spacing w:before="0" w:after="0"/>
              <w:jc w:val="left"/>
              <w:rPr>
                <w:rFonts w:ascii="arial" w:hAnsi="arial"/>
                <w:sz w:val="18"/>
              </w:rPr>
            </w:pPr>
            <w:r>
              <w:rPr>
                <w:rFonts w:ascii="arial" w:hAnsi="arial"/>
                <w:sz w:val="18"/>
              </w:rPr>
              <w:t>Amgen Target Retirement Portfolio 2020</w:t>
            </w:r>
          </w:p>
        </w:tc>
        <w:tc>
          <w:tcPr>
            <w:tcW w:w="12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875" w:type="dxa"/>
            <w:tcBorders/>
            <w:shd w:fill="CCE2F1" w:val="clear"/>
            <w:vAlign w:val="center"/>
          </w:tcPr>
          <w:p>
            <w:pPr>
              <w:pStyle w:val="TableContents"/>
              <w:bidi w:val="0"/>
              <w:spacing w:before="0" w:after="283"/>
              <w:jc w:val="right"/>
              <w:rPr/>
            </w:pPr>
            <w:r>
              <w:rPr/>
              <w:t>13.68% 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left w:val="single" w:sz="8" w:space="0" w:color="0171B9"/>
            </w:tcBorders>
            <w:shd w:fill="CCE2F1" w:val="clear"/>
            <w:tcMar>
              <w:left w:w="28" w:type="dxa"/>
            </w:tcM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3095" w:type="dxa"/>
            <w:tcBorders/>
            <w:shd w:fill="CCE2F1" w:val="clear"/>
            <w:vAlign w:val="center"/>
          </w:tcPr>
          <w:p>
            <w:pPr>
              <w:pStyle w:val="TableContents"/>
              <w:bidi w:val="0"/>
              <w:spacing w:before="0" w:after="283"/>
              <w:jc w:val="left"/>
              <w:rPr/>
            </w:pPr>
            <w:r>
              <w:rPr/>
              <w:t>Fixed Income Active</w:t>
            </w:r>
          </w:p>
        </w:tc>
        <w:tc>
          <w:tcPr>
            <w:tcW w:w="24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875" w:type="dxa"/>
            <w:tcBorders/>
            <w:shd w:fill="CCE2F1" w:val="clear"/>
            <w:vAlign w:val="center"/>
          </w:tcPr>
          <w:p>
            <w:pPr>
              <w:pStyle w:val="TableContents"/>
              <w:bidi w:val="0"/>
              <w:spacing w:before="0" w:after="283"/>
              <w:jc w:val="right"/>
              <w:rPr/>
            </w:pPr>
            <w:r>
              <w:rPr/>
              <w:t>6.91% </w:t>
            </w:r>
          </w:p>
        </w:tc>
        <w:tc>
          <w:tcPr>
            <w:tcW w:w="75" w:type="dxa"/>
            <w:tcBorders/>
            <w:shd w:fill="CCE2F1"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0"/>
              <w:jc w:val="left"/>
              <w:rPr>
                <w:rFonts w:ascii="arial" w:hAnsi="arial"/>
                <w:sz w:val="18"/>
              </w:rPr>
            </w:pPr>
            <w:r>
              <w:rPr>
                <w:rFonts w:ascii="arial" w:hAnsi="arial"/>
                <w:sz w:val="18"/>
              </w:rPr>
              <w:t>Amgen Target Retirement Portfolio 2030</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15.34% 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8" w:space="0" w:color="0171B9"/>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International Equity Index</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15.52% </w:t>
            </w:r>
          </w:p>
        </w:tc>
        <w:tc>
          <w:tcPr>
            <w:tcW w:w="75" w:type="dxa"/>
            <w:tcBorders/>
            <w:vAlign w:val="center"/>
          </w:tcPr>
          <w:p>
            <w:pPr>
              <w:pStyle w:val="TableContents"/>
              <w:bidi w:val="0"/>
              <w:spacing w:before="0" w:after="283"/>
              <w:jc w:val="left"/>
              <w:rPr/>
            </w:pPr>
            <w:r>
              <w:rPr/>
              <w:t> </w:t>
            </w:r>
          </w:p>
        </w:tc>
      </w:tr>
      <w:tr>
        <w:trPr/>
        <w:tc>
          <w:tcPr>
            <w:tcW w:w="3500" w:type="dxa"/>
            <w:tcBorders/>
            <w:shd w:fill="CCE2F1" w:val="clear"/>
            <w:vAlign w:val="center"/>
          </w:tcPr>
          <w:p>
            <w:pPr>
              <w:pStyle w:val="TableContents"/>
              <w:bidi w:val="0"/>
              <w:spacing w:before="0" w:after="0"/>
              <w:jc w:val="left"/>
              <w:rPr>
                <w:rFonts w:ascii="arial" w:hAnsi="arial"/>
                <w:sz w:val="18"/>
              </w:rPr>
            </w:pPr>
            <w:r>
              <w:rPr>
                <w:rFonts w:ascii="arial" w:hAnsi="arial"/>
                <w:sz w:val="18"/>
              </w:rPr>
              <w:t>Amgen Target Retirement Portfolio 2040</w:t>
            </w:r>
          </w:p>
        </w:tc>
        <w:tc>
          <w:tcPr>
            <w:tcW w:w="12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875" w:type="dxa"/>
            <w:tcBorders/>
            <w:shd w:fill="CCE2F1" w:val="clear"/>
            <w:vAlign w:val="center"/>
          </w:tcPr>
          <w:p>
            <w:pPr>
              <w:pStyle w:val="TableContents"/>
              <w:bidi w:val="0"/>
              <w:spacing w:before="0" w:after="283"/>
              <w:jc w:val="right"/>
              <w:rPr/>
            </w:pPr>
            <w:r>
              <w:rPr/>
              <w:t>19.31% 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left w:val="single" w:sz="8" w:space="0" w:color="0171B9"/>
            </w:tcBorders>
            <w:shd w:fill="CCE2F1" w:val="clear"/>
            <w:tcMar>
              <w:left w:w="28" w:type="dxa"/>
            </w:tcM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3095" w:type="dxa"/>
            <w:tcBorders/>
            <w:shd w:fill="CCE2F1" w:val="clear"/>
            <w:vAlign w:val="center"/>
          </w:tcPr>
          <w:p>
            <w:pPr>
              <w:pStyle w:val="TableContents"/>
              <w:bidi w:val="0"/>
              <w:spacing w:before="0" w:after="283"/>
              <w:jc w:val="left"/>
              <w:rPr/>
            </w:pPr>
            <w:r>
              <w:rPr/>
              <w:t>International Equity Active</w:t>
            </w:r>
          </w:p>
        </w:tc>
        <w:tc>
          <w:tcPr>
            <w:tcW w:w="24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875" w:type="dxa"/>
            <w:tcBorders/>
            <w:shd w:fill="CCE2F1" w:val="clear"/>
            <w:vAlign w:val="center"/>
          </w:tcPr>
          <w:p>
            <w:pPr>
              <w:pStyle w:val="TableContents"/>
              <w:bidi w:val="0"/>
              <w:spacing w:before="0" w:after="283"/>
              <w:jc w:val="right"/>
              <w:rPr/>
            </w:pPr>
            <w:r>
              <w:rPr/>
              <w:t>19.31% </w:t>
            </w:r>
          </w:p>
        </w:tc>
        <w:tc>
          <w:tcPr>
            <w:tcW w:w="75" w:type="dxa"/>
            <w:tcBorders/>
            <w:shd w:fill="CCE2F1"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0"/>
              <w:jc w:val="left"/>
              <w:rPr>
                <w:rFonts w:ascii="arial" w:hAnsi="arial"/>
                <w:sz w:val="18"/>
              </w:rPr>
            </w:pPr>
            <w:r>
              <w:rPr>
                <w:rFonts w:ascii="arial" w:hAnsi="arial"/>
                <w:sz w:val="18"/>
              </w:rPr>
              <w:t>Amgen Target Retirement Portfolio 2050</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21.77% 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8" w:space="0" w:color="0171B9"/>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U.S. Equity Index</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25.98% </w:t>
            </w:r>
          </w:p>
        </w:tc>
        <w:tc>
          <w:tcPr>
            <w:tcW w:w="75" w:type="dxa"/>
            <w:tcBorders/>
            <w:vAlign w:val="center"/>
          </w:tcPr>
          <w:p>
            <w:pPr>
              <w:pStyle w:val="TableContents"/>
              <w:bidi w:val="0"/>
              <w:spacing w:before="0" w:after="283"/>
              <w:jc w:val="left"/>
              <w:rPr/>
            </w:pPr>
            <w:r>
              <w:rPr/>
              <w:t> </w:t>
            </w:r>
          </w:p>
        </w:tc>
      </w:tr>
      <w:tr>
        <w:trPr/>
        <w:tc>
          <w:tcPr>
            <w:tcW w:w="3500" w:type="dxa"/>
            <w:tcBorders>
              <w:bottom w:val="single" w:sz="8" w:space="0" w:color="0171B9"/>
            </w:tcBorders>
            <w:shd w:fill="CCE2F1" w:val="clear"/>
            <w:tcMar>
              <w:bottom w:w="28" w:type="dxa"/>
            </w:tcMar>
            <w:vAlign w:val="center"/>
          </w:tcPr>
          <w:p>
            <w:pPr>
              <w:pStyle w:val="TableContents"/>
              <w:bidi w:val="0"/>
              <w:spacing w:before="0" w:after="0"/>
              <w:jc w:val="left"/>
              <w:rPr>
                <w:rFonts w:ascii="arial" w:hAnsi="arial"/>
                <w:sz w:val="18"/>
              </w:rPr>
            </w:pPr>
            <w:r>
              <w:rPr>
                <w:rFonts w:ascii="arial" w:hAnsi="arial"/>
                <w:sz w:val="18"/>
              </w:rPr>
              <w:t>Amgen Target Retirement Portfolio 2060</w:t>
            </w:r>
          </w:p>
        </w:tc>
        <w:tc>
          <w:tcPr>
            <w:tcW w:w="12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875" w:type="dxa"/>
            <w:tcBorders>
              <w:bottom w:val="single" w:sz="8" w:space="0" w:color="0171B9"/>
            </w:tcBorders>
            <w:shd w:fill="CCE2F1" w:val="clear"/>
            <w:tcMar>
              <w:bottom w:w="28" w:type="dxa"/>
            </w:tcMar>
            <w:vAlign w:val="center"/>
          </w:tcPr>
          <w:p>
            <w:pPr>
              <w:pStyle w:val="TableContents"/>
              <w:bidi w:val="0"/>
              <w:spacing w:before="0" w:after="283"/>
              <w:jc w:val="right"/>
              <w:rPr/>
            </w:pPr>
            <w:r>
              <w:rPr/>
              <w:t>21.81% 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left w:val="single" w:sz="8" w:space="0" w:color="0171B9"/>
            </w:tcBorders>
            <w:shd w:fill="CCE2F1" w:val="clear"/>
            <w:tcMar>
              <w:left w:w="28" w:type="dxa"/>
            </w:tcM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3095" w:type="dxa"/>
            <w:tcBorders>
              <w:bottom w:val="single" w:sz="8" w:space="0" w:color="0171B9"/>
            </w:tcBorders>
            <w:shd w:fill="CCE2F1" w:val="clear"/>
            <w:tcMar>
              <w:bottom w:w="28" w:type="dxa"/>
            </w:tcMar>
            <w:vAlign w:val="center"/>
          </w:tcPr>
          <w:p>
            <w:pPr>
              <w:pStyle w:val="TableContents"/>
              <w:bidi w:val="0"/>
              <w:spacing w:before="0" w:after="283"/>
              <w:jc w:val="left"/>
              <w:rPr/>
            </w:pPr>
            <w:r>
              <w:rPr/>
              <w:t>U.S. Equity Active</w:t>
            </w:r>
          </w:p>
        </w:tc>
        <w:tc>
          <w:tcPr>
            <w:tcW w:w="24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875" w:type="dxa"/>
            <w:tcBorders>
              <w:bottom w:val="single" w:sz="8" w:space="0" w:color="0171B9"/>
            </w:tcBorders>
            <w:shd w:fill="CCE2F1" w:val="clear"/>
            <w:tcMar>
              <w:bottom w:w="28" w:type="dxa"/>
            </w:tcMar>
            <w:vAlign w:val="center"/>
          </w:tcPr>
          <w:p>
            <w:pPr>
              <w:pStyle w:val="TableContents"/>
              <w:bidi w:val="0"/>
              <w:spacing w:before="0" w:after="283"/>
              <w:jc w:val="right"/>
              <w:rPr/>
            </w:pPr>
            <w:r>
              <w:rPr/>
              <w:t>25.08% </w:t>
            </w:r>
          </w:p>
        </w:tc>
        <w:tc>
          <w:tcPr>
            <w:tcW w:w="75"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6235" w:type="dxa"/>
        <w:jc w:val="left"/>
        <w:tblInd w:w="0" w:type="dxa"/>
        <w:tblLayout w:type="fixed"/>
        <w:tblCellMar>
          <w:top w:w="0" w:type="dxa"/>
          <w:left w:w="0" w:type="dxa"/>
          <w:bottom w:w="0" w:type="dxa"/>
          <w:right w:w="0" w:type="dxa"/>
        </w:tblCellMar>
      </w:tblPr>
      <w:tblGrid>
        <w:gridCol w:w="365"/>
        <w:gridCol w:w="5870"/>
      </w:tblGrid>
      <w:tr>
        <w:trPr/>
        <w:tc>
          <w:tcPr>
            <w:tcW w:w="365" w:type="dxa"/>
            <w:tcBorders/>
            <w:vAlign w:val="center"/>
          </w:tcPr>
          <w:p>
            <w:pPr>
              <w:pStyle w:val="TableContents"/>
              <w:bidi w:val="0"/>
              <w:spacing w:before="0" w:after="283"/>
              <w:jc w:val="left"/>
              <w:rPr/>
            </w:pPr>
            <w:r>
              <w:rPr/>
              <w:t>(1) </w:t>
            </w:r>
          </w:p>
        </w:tc>
        <w:tc>
          <w:tcPr>
            <w:tcW w:w="5870" w:type="dxa"/>
            <w:tcBorders/>
            <w:vAlign w:val="center"/>
          </w:tcPr>
          <w:p>
            <w:pPr>
              <w:pStyle w:val="TableContents"/>
              <w:bidi w:val="0"/>
              <w:spacing w:before="0" w:after="0"/>
              <w:jc w:val="both"/>
              <w:rPr>
                <w:rFonts w:ascii="arial" w:hAnsi="arial"/>
                <w:sz w:val="16"/>
              </w:rPr>
            </w:pPr>
            <w:r>
              <w:rPr>
                <w:rFonts w:ascii="arial" w:hAnsi="arial"/>
                <w:sz w:val="16"/>
              </w:rPr>
              <w:t xml:space="preserve">We retain the right to change, at our discretion, the available investment options. </w:t>
            </w:r>
          </w:p>
        </w:tc>
      </w:tr>
    </w:tbl>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92  </w:t>
      </w:r>
      <w:r>
        <w:rPr>
          <w:rFonts w:ascii="arial" w:hAnsi="arial"/>
          <w:b/>
          <w:color w:val="474747"/>
          <w:sz w:val="22"/>
        </w:rPr>
        <w:drawing>
          <wp:inline distT="0" distB="0" distL="0" distR="0">
            <wp:extent cx="64770" cy="15240"/>
            <wp:effectExtent l="0" t="0" r="0" b="0"/>
            <wp:docPr id="329"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155" descr=""/>
                    <pic:cNvPicPr>
                      <a:picLocks noChangeAspect="1" noChangeArrowheads="1"/>
                    </pic:cNvPicPr>
                  </pic:nvPicPr>
                  <pic:blipFill>
                    <a:blip r:embed="rId168"/>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419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371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1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371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Executive Compensation Tables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171B9"/>
          <w:sz w:val="28"/>
        </w:rPr>
      </w:pPr>
      <w:r>
        <w:rPr>
          <w:rFonts w:ascii="arial" w:hAnsi="arial"/>
          <w:b/>
          <w:color w:val="0171B9"/>
          <w:sz w:val="28"/>
        </w:rPr>
        <w:t xml:space="preserve">Potential Payments Upon Termination or Change of Control </w:t>
      </w:r>
    </w:p>
    <w:p>
      <w:pPr>
        <w:pStyle w:val="TextBody"/>
        <w:pBdr>
          <w:bottom w:val="single" w:sz="2" w:space="1" w:color="666666"/>
        </w:pBdr>
        <w:bidi w:val="0"/>
        <w:spacing w:lineRule="atLeast" w:line="142" w:before="0" w:after="40"/>
        <w:jc w:val="left"/>
        <w:rPr/>
      </w:pPr>
      <w:r>
        <w:rPr/>
        <w:t> </w:t>
      </w:r>
    </w:p>
    <w:p>
      <w:pPr>
        <w:pStyle w:val="TextBody"/>
        <w:bidi w:val="0"/>
        <w:spacing w:before="120" w:after="0"/>
        <w:jc w:val="left"/>
        <w:rPr>
          <w:rFonts w:ascii="arial" w:hAnsi="arial"/>
          <w:b/>
          <w:sz w:val="24"/>
        </w:rPr>
      </w:pPr>
      <w:r>
        <w:rPr>
          <w:rFonts w:ascii="arial" w:hAnsi="arial"/>
          <w:b/>
          <w:sz w:val="24"/>
        </w:rPr>
        <w:t xml:space="preserve">Change of Control Severance Plan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400">
                <wp:simplePos x="0" y="0"/>
                <wp:positionH relativeFrom="column">
                  <wp:align>left</wp:align>
                </wp:positionH>
                <wp:positionV relativeFrom="line">
                  <wp:posOffset>635</wp:posOffset>
                </wp:positionV>
                <wp:extent cx="3110230" cy="6462395"/>
                <wp:effectExtent l="0" t="0" r="0" b="0"/>
                <wp:wrapSquare wrapText="right"/>
                <wp:docPr id="330" name="Frame163"/>
                <a:graphic xmlns:a="http://schemas.openxmlformats.org/drawingml/2006/main">
                  <a:graphicData uri="http://schemas.microsoft.com/office/word/2010/wordprocessingShape">
                    <wps:wsp>
                      <wps:cNvSpPr txBox="1"/>
                      <wps:spPr>
                        <a:xfrm>
                          <a:off x="0" y="0"/>
                          <a:ext cx="3110230" cy="6462395"/>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Our Amended and Restated Change of Control Severance Plan, or Change of Control Severance Plan, provides a lump sum payment and certain other benefits for each participant in the plan who separates from employment with us in connection with a change of control. Our Compensation Committee periodically reviews the terms of the Change of Control Severance Plan, which was originally adopted in 1998, to ensure it is aligned with current governance best practices. No tax gross-up payments are provided under the Change of Control Severance Plan. If a change of control occurs and a participant’s employment is terminated by us other than for cause or disability, or is terminated by the participant for good reason, within two years after the change of control, a participant under the Change of Control Severance Plan would be entitled to: </w:t>
                            </w:r>
                          </w:p>
                          <w:p>
                            <w:pPr>
                              <w:pStyle w:val="TextBody"/>
                              <w:bidi w:val="0"/>
                              <w:spacing w:before="0" w:after="0"/>
                              <w:jc w:val="left"/>
                              <w:rPr/>
                            </w:pPr>
                            <w:r>
                              <w:rPr/>
                              <w:t> </w:t>
                            </w:r>
                          </w:p>
                          <w:tbl>
                            <w:tblPr>
                              <w:tblW w:w="5845" w:type="dxa"/>
                              <w:jc w:val="left"/>
                              <w:tblInd w:w="0" w:type="dxa"/>
                              <w:tblLayout w:type="fixed"/>
                              <w:tblCellMar>
                                <w:top w:w="0" w:type="dxa"/>
                                <w:left w:w="0" w:type="dxa"/>
                                <w:bottom w:w="0" w:type="dxa"/>
                                <w:right w:w="0" w:type="dxa"/>
                              </w:tblCellMar>
                            </w:tblPr>
                            <w:tblGrid>
                              <w:gridCol w:w="125"/>
                              <w:gridCol w:w="60"/>
                              <w:gridCol w:w="566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both"/>
                                    <w:rPr>
                                      <w:rFonts w:ascii="arial" w:hAnsi="arial"/>
                                      <w:sz w:val="19"/>
                                    </w:rPr>
                                  </w:pPr>
                                  <w:r>
                                    <w:rPr>
                                      <w:rFonts w:ascii="arial" w:hAnsi="arial"/>
                                      <w:sz w:val="19"/>
                                    </w:rPr>
                                    <w:t xml:space="preserve">a lump sum cash payment in an amount equal to the product of: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9"/>
                                    </w:rPr>
                                  </w:pPr>
                                  <w:r>
                                    <w:rPr>
                                      <w:rFonts w:ascii="arial" w:hAnsi="arial"/>
                                      <w:sz w:val="19"/>
                                    </w:rPr>
                                    <w:t xml:space="preserve">a benefits multiple of one or two based on the participant’s position (each of our NEOs has a benefits multiple of two);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9"/>
                                    </w:rPr>
                                  </w:pPr>
                                  <w:r>
                                    <w:rPr>
                                      <w:rFonts w:ascii="arial" w:hAnsi="arial"/>
                                      <w:sz w:val="19"/>
                                    </w:rPr>
                                    <w:t xml:space="preserve">the sum of (i) the participant’s annual base salary immediately prior to termination or, if higher, immediately prior to the change of control, plus (ii) the participant’s targeted annual cash incentive award for the year in which the termination occurs;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if, as a result of the participant’s termination of employment, the participant becomes entitled to, and timely elects to continue, healthcare (including any applicable vision benefits) and/or dental coverage under Consolidated Omnibus Budget Reconciliation Act of 1985, or COBRA, Company-paid group health and dental insurance continuation coverage for the participant and his or her dependents under COBRA until the earlier of (i) the expiration of a participant’s eligibility for coverage under COBRA, or (ii) the expiration of the 18-month period immediately following the participant’s termination (whichever occurs earlier); </w:t>
                                  </w:r>
                                </w:p>
                              </w:tc>
                            </w:tr>
                          </w:tbl>
                          <w:p>
                            <w:pPr>
                              <w:pStyle w:val="TextBody"/>
                              <w:bidi w:val="0"/>
                              <w:spacing w:before="0" w:after="0"/>
                              <w:jc w:val="left"/>
                              <w:rPr/>
                            </w:pPr>
                            <w:r>
                              <w:rPr/>
                              <w:t> </w:t>
                            </w:r>
                          </w:p>
                          <w:tbl>
                            <w:tblPr>
                              <w:tblW w:w="5935" w:type="dxa"/>
                              <w:jc w:val="left"/>
                              <w:tblInd w:w="0" w:type="dxa"/>
                              <w:tblLayout w:type="fixed"/>
                              <w:tblCellMar>
                                <w:top w:w="0" w:type="dxa"/>
                                <w:left w:w="0" w:type="dxa"/>
                                <w:bottom w:w="0" w:type="dxa"/>
                                <w:right w:w="0" w:type="dxa"/>
                              </w:tblCellMar>
                            </w:tblPr>
                            <w:tblGrid>
                              <w:gridCol w:w="125"/>
                              <w:gridCol w:w="60"/>
                              <w:gridCol w:w="575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0"/>
                                    <w:jc w:val="both"/>
                                    <w:rPr>
                                      <w:rFonts w:ascii="arial" w:hAnsi="arial"/>
                                      <w:sz w:val="19"/>
                                    </w:rPr>
                                  </w:pPr>
                                  <w:r>
                                    <w:rPr>
                                      <w:rFonts w:ascii="arial" w:hAnsi="arial"/>
                                      <w:sz w:val="19"/>
                                    </w:rPr>
                                    <w:t xml:space="preserve">fully-vested benefits accrued under our 401(k) Plan and our SRP;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either a lump-sum cash payment or a contribution to our SRP, as determined by us in our sole discretion, in an amount equal to the sum of (1) the product of $2,500 and the participant’s benefits </w:t>
                                  </w:r>
                                </w:p>
                              </w:tc>
                            </w:tr>
                          </w:tbl>
                          <w:tbl>
                            <w:tblPr>
                              <w:tblW w:w="4715" w:type="dxa"/>
                              <w:jc w:val="left"/>
                              <w:tblInd w:w="0" w:type="dxa"/>
                              <w:tblLayout w:type="fixed"/>
                              <w:tblCellMar>
                                <w:top w:w="0" w:type="dxa"/>
                                <w:left w:w="0" w:type="dxa"/>
                                <w:bottom w:w="0" w:type="dxa"/>
                                <w:right w:w="0" w:type="dxa"/>
                              </w:tblCellMar>
                            </w:tblPr>
                            <w:tblGrid>
                              <w:gridCol w:w="75"/>
                              <w:gridCol w:w="4640"/>
                            </w:tblGrid>
                            <w:tr>
                              <w:trPr/>
                              <w:tc>
                                <w:tcPr>
                                  <w:tcW w:w="75"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0"/>
                                    <w:jc w:val="both"/>
                                    <w:rPr>
                                      <w:rFonts w:ascii="arial" w:hAnsi="arial"/>
                                      <w:sz w:val="19"/>
                                    </w:rPr>
                                  </w:pPr>
                                  <w:r>
                                    <w:rPr>
                                      <w:rFonts w:ascii="arial" w:hAnsi="arial"/>
                                      <w:sz w:val="19"/>
                                    </w:rPr>
                                    <w:t xml:space="preserve">multiple, plus (2) the product of (x) 10%, (y) the sum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08.8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Our Amended and Restated Change of Control Severance Plan, or Change of Control Severance Plan, provides a lump sum payment and certain other benefits for each participant in the plan who separates from employment with us in connection with a change of control. Our Compensation Committee periodically reviews the terms of the Change of Control Severance Plan, which was originally adopted in 1998, to ensure it is aligned with current governance best practices. No tax gross-up payments are provided under the Change of Control Severance Plan. If a change of control occurs and a participant’s employment is terminated by us other than for cause or disability, or is terminated by the participant for good reason, within two years after the change of control, a participant under the Change of Control Severance Plan would be entitled to: </w:t>
                      </w:r>
                    </w:p>
                    <w:p>
                      <w:pPr>
                        <w:pStyle w:val="TextBody"/>
                        <w:bidi w:val="0"/>
                        <w:spacing w:before="0" w:after="0"/>
                        <w:jc w:val="left"/>
                        <w:rPr/>
                      </w:pPr>
                      <w:r>
                        <w:rPr/>
                        <w:t> </w:t>
                      </w:r>
                    </w:p>
                    <w:tbl>
                      <w:tblPr>
                        <w:tblW w:w="5845" w:type="dxa"/>
                        <w:jc w:val="left"/>
                        <w:tblInd w:w="0" w:type="dxa"/>
                        <w:tblLayout w:type="fixed"/>
                        <w:tblCellMar>
                          <w:top w:w="0" w:type="dxa"/>
                          <w:left w:w="0" w:type="dxa"/>
                          <w:bottom w:w="0" w:type="dxa"/>
                          <w:right w:w="0" w:type="dxa"/>
                        </w:tblCellMar>
                      </w:tblPr>
                      <w:tblGrid>
                        <w:gridCol w:w="125"/>
                        <w:gridCol w:w="60"/>
                        <w:gridCol w:w="566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both"/>
                              <w:rPr>
                                <w:rFonts w:ascii="arial" w:hAnsi="arial"/>
                                <w:sz w:val="19"/>
                              </w:rPr>
                            </w:pPr>
                            <w:r>
                              <w:rPr>
                                <w:rFonts w:ascii="arial" w:hAnsi="arial"/>
                                <w:sz w:val="19"/>
                              </w:rPr>
                              <w:t xml:space="preserve">a lump sum cash payment in an amount equal to the product of: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9"/>
                              </w:rPr>
                            </w:pPr>
                            <w:r>
                              <w:rPr>
                                <w:rFonts w:ascii="arial" w:hAnsi="arial"/>
                                <w:sz w:val="19"/>
                              </w:rPr>
                              <w:t xml:space="preserve">a benefits multiple of one or two based on the participant’s position (each of our NEOs has a benefits multiple of two);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19"/>
                              </w:rPr>
                            </w:pPr>
                            <w:r>
                              <w:rPr>
                                <w:rFonts w:ascii="arial" w:hAnsi="arial"/>
                                <w:sz w:val="19"/>
                              </w:rPr>
                              <w:t xml:space="preserve">the sum of (i) the participant’s annual base salary immediately prior to termination or, if higher, immediately prior to the change of control, plus (ii) the participant’s targeted annual cash incentive award for the year in which the termination occurs;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if, as a result of the participant’s termination of employment, the participant becomes entitled to, and timely elects to continue, healthcare (including any applicable vision benefits) and/or dental coverage under Consolidated Omnibus Budget Reconciliation Act of 1985, or COBRA, Company-paid group health and dental insurance continuation coverage for the participant and his or her dependents under COBRA until the earlier of (i) the expiration of a participant’s eligibility for coverage under COBRA, or (ii) the expiration of the 18-month period immediately following the participant’s termination (whichever occurs earlier); </w:t>
                            </w:r>
                          </w:p>
                        </w:tc>
                      </w:tr>
                    </w:tbl>
                    <w:p>
                      <w:pPr>
                        <w:pStyle w:val="TextBody"/>
                        <w:bidi w:val="0"/>
                        <w:spacing w:before="0" w:after="0"/>
                        <w:jc w:val="left"/>
                        <w:rPr/>
                      </w:pPr>
                      <w:r>
                        <w:rPr/>
                        <w:t> </w:t>
                      </w:r>
                    </w:p>
                    <w:tbl>
                      <w:tblPr>
                        <w:tblW w:w="5935" w:type="dxa"/>
                        <w:jc w:val="left"/>
                        <w:tblInd w:w="0" w:type="dxa"/>
                        <w:tblLayout w:type="fixed"/>
                        <w:tblCellMar>
                          <w:top w:w="0" w:type="dxa"/>
                          <w:left w:w="0" w:type="dxa"/>
                          <w:bottom w:w="0" w:type="dxa"/>
                          <w:right w:w="0" w:type="dxa"/>
                        </w:tblCellMar>
                      </w:tblPr>
                      <w:tblGrid>
                        <w:gridCol w:w="125"/>
                        <w:gridCol w:w="60"/>
                        <w:gridCol w:w="575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0"/>
                              <w:jc w:val="both"/>
                              <w:rPr>
                                <w:rFonts w:ascii="arial" w:hAnsi="arial"/>
                                <w:sz w:val="19"/>
                              </w:rPr>
                            </w:pPr>
                            <w:r>
                              <w:rPr>
                                <w:rFonts w:ascii="arial" w:hAnsi="arial"/>
                                <w:sz w:val="19"/>
                              </w:rPr>
                              <w:t xml:space="preserve">fully-vested benefits accrued under our 401(k) Plan and our SRP;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either a lump-sum cash payment or a contribution to our SRP, as determined by us in our sole discretion, in an amount equal to the sum of (1) the product of $2,500 and the participant’s benefits </w:t>
                            </w:r>
                          </w:p>
                        </w:tc>
                      </w:tr>
                    </w:tbl>
                    <w:tbl>
                      <w:tblPr>
                        <w:tblW w:w="4715" w:type="dxa"/>
                        <w:jc w:val="left"/>
                        <w:tblInd w:w="0" w:type="dxa"/>
                        <w:tblLayout w:type="fixed"/>
                        <w:tblCellMar>
                          <w:top w:w="0" w:type="dxa"/>
                          <w:left w:w="0" w:type="dxa"/>
                          <w:bottom w:w="0" w:type="dxa"/>
                          <w:right w:w="0" w:type="dxa"/>
                        </w:tblCellMar>
                      </w:tblPr>
                      <w:tblGrid>
                        <w:gridCol w:w="75"/>
                        <w:gridCol w:w="4640"/>
                      </w:tblGrid>
                      <w:tr>
                        <w:trPr/>
                        <w:tc>
                          <w:tcPr>
                            <w:tcW w:w="75"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0"/>
                              <w:jc w:val="both"/>
                              <w:rPr>
                                <w:rFonts w:ascii="arial" w:hAnsi="arial"/>
                                <w:sz w:val="19"/>
                              </w:rPr>
                            </w:pPr>
                            <w:r>
                              <w:rPr>
                                <w:rFonts w:ascii="arial" w:hAnsi="arial"/>
                                <w:sz w:val="19"/>
                              </w:rPr>
                              <w:t xml:space="preserve">multiple, plus (2) the product of (x) 10%, (y) the sum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01">
                <wp:simplePos x="0" y="0"/>
                <wp:positionH relativeFrom="column">
                  <wp:align>left</wp:align>
                </wp:positionH>
                <wp:positionV relativeFrom="line">
                  <wp:posOffset>635</wp:posOffset>
                </wp:positionV>
                <wp:extent cx="3175000" cy="5073650"/>
                <wp:effectExtent l="0" t="0" r="0" b="0"/>
                <wp:wrapSquare wrapText="right"/>
                <wp:docPr id="331" name="Frame164"/>
                <a:graphic xmlns:a="http://schemas.openxmlformats.org/drawingml/2006/main">
                  <a:graphicData uri="http://schemas.microsoft.com/office/word/2010/wordprocessingShape">
                    <wps:wsp>
                      <wps:cNvSpPr txBox="1"/>
                      <wps:spPr>
                        <a:xfrm>
                          <a:off x="0" y="0"/>
                          <a:ext cx="3175000" cy="507365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arial" w:hAnsi="arial"/>
                                      <w:sz w:val="19"/>
                                    </w:rPr>
                                  </w:pPr>
                                  <w:r>
                                    <w:rPr>
                                      <w:rFonts w:ascii="arial" w:hAnsi="arial"/>
                                      <w:sz w:val="19"/>
                                    </w:rPr>
                                    <w:t xml:space="preserve">of (i) the participant’s annual base salary as in effect immediately prior to the participant’s termination or, if higher, as in effect immediately prior to the change of control, plus (ii) the participant’s targeted annual cash incentive award for the year in which the termination occurs (which equals the participant’s annual base salary multiplied by the participant’s target annual cash incentive award percentage, each as in effect immediately prior to the termination or, if higher, as in effect immediately prior to the change of control), and (z) the benefits multiple; and indemnification and, if applicable, directors’ and officers’ liability insurance provided by us for four years following the participant’s termination (each of our NEOs would receive such liability insurance benefits, which would result in no additional cost to us). </w:t>
                                  </w:r>
                                </w:p>
                              </w:tc>
                            </w:tr>
                          </w:tbl>
                          <w:p>
                            <w:pPr>
                              <w:pStyle w:val="TextBody"/>
                              <w:bidi w:val="0"/>
                              <w:spacing w:before="120" w:after="0"/>
                              <w:jc w:val="both"/>
                              <w:rPr>
                                <w:rFonts w:ascii="arial" w:hAnsi="arial"/>
                                <w:sz w:val="19"/>
                              </w:rPr>
                            </w:pPr>
                            <w:r>
                              <w:rPr>
                                <w:rFonts w:ascii="arial" w:hAnsi="arial"/>
                                <w:sz w:val="19"/>
                              </w:rPr>
                              <w:t xml:space="preserve">If all payments or benefits received under the Change of Control Severance Plan or any other plan, arrangement, or agreement would cause the participant to be subject to excise tax, then the payments will be reduced to the extent necessary to avoid the excise tax, provided that the reduced payments, net of federal, state, and local income taxes, are greater than the payments without such reduction, net of federal, state, and local income taxes, and excise tax. </w:t>
                            </w:r>
                          </w:p>
                          <w:p>
                            <w:pPr>
                              <w:pStyle w:val="TextBody"/>
                              <w:bidi w:val="0"/>
                              <w:spacing w:before="120" w:after="0"/>
                              <w:jc w:val="both"/>
                              <w:rPr>
                                <w:rFonts w:ascii="arial" w:hAnsi="arial"/>
                                <w:sz w:val="19"/>
                              </w:rPr>
                            </w:pPr>
                            <w:r>
                              <w:rPr>
                                <w:rFonts w:ascii="arial" w:hAnsi="arial"/>
                                <w:sz w:val="19"/>
                              </w:rPr>
                              <w:t xml:space="preserve">The plan provides that the benefits described above would be provided in lieu of any other severance benefits that may be payable by us (other than accrued vacation and similar benefits otherwise payable to all staff members upon a termination). The plan also provides that the benefits described above may be forfeited if the participant discloses our confidential information or solicits or offers employment to any of our staff members during a period of years equal to the participant’s benefits multiple following the participant’s termination. </w:t>
                            </w:r>
                          </w:p>
                          <w:p>
                            <w:pPr>
                              <w:pStyle w:val="TextBody"/>
                              <w:bidi w:val="0"/>
                              <w:spacing w:before="120" w:after="0"/>
                              <w:jc w:val="both"/>
                              <w:rPr>
                                <w:rFonts w:ascii="arial" w:hAnsi="arial"/>
                                <w:sz w:val="19"/>
                              </w:rPr>
                            </w:pPr>
                            <w:r>
                              <w:rPr>
                                <w:rFonts w:ascii="arial" w:hAnsi="arial"/>
                                <w:sz w:val="19"/>
                              </w:rPr>
                              <w:t xml:space="preserve">The plan is subject to automatic one-year extensions unless we notify participants no later than November 30 that the term will not be extended. If a change of control occurs during the term of the plan, the plan will continue in effect for at least 24 months following the change of control. Prior to a change of control, we can amend the plan at any time. After a change of control, the plan may not be terminated or amended in any way that adversely affects a participant’s interests under the plan, unless the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99.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arial" w:hAnsi="arial"/>
                                <w:sz w:val="19"/>
                              </w:rPr>
                            </w:pPr>
                            <w:r>
                              <w:rPr>
                                <w:rFonts w:ascii="arial" w:hAnsi="arial"/>
                                <w:sz w:val="19"/>
                              </w:rPr>
                              <w:t xml:space="preserve">of (i) the participant’s annual base salary as in effect immediately prior to the participant’s termination or, if higher, as in effect immediately prior to the change of control, plus (ii) the participant’s targeted annual cash incentive award for the year in which the termination occurs (which equals the participant’s annual base salary multiplied by the participant’s target annual cash incentive award percentage, each as in effect immediately prior to the termination or, if higher, as in effect immediately prior to the change of control), and (z) the benefits multiple; and indemnification and, if applicable, directors’ and officers’ liability insurance provided by us for four years following the participant’s termination (each of our NEOs would receive such liability insurance benefits, which would result in no additional cost to us). </w:t>
                            </w:r>
                          </w:p>
                        </w:tc>
                      </w:tr>
                    </w:tbl>
                    <w:p>
                      <w:pPr>
                        <w:pStyle w:val="TextBody"/>
                        <w:bidi w:val="0"/>
                        <w:spacing w:before="120" w:after="0"/>
                        <w:jc w:val="both"/>
                        <w:rPr>
                          <w:rFonts w:ascii="arial" w:hAnsi="arial"/>
                          <w:sz w:val="19"/>
                        </w:rPr>
                      </w:pPr>
                      <w:r>
                        <w:rPr>
                          <w:rFonts w:ascii="arial" w:hAnsi="arial"/>
                          <w:sz w:val="19"/>
                        </w:rPr>
                        <w:t xml:space="preserve">If all payments or benefits received under the Change of Control Severance Plan or any other plan, arrangement, or agreement would cause the participant to be subject to excise tax, then the payments will be reduced to the extent necessary to avoid the excise tax, provided that the reduced payments, net of federal, state, and local income taxes, are greater than the payments without such reduction, net of federal, state, and local income taxes, and excise tax. </w:t>
                      </w:r>
                    </w:p>
                    <w:p>
                      <w:pPr>
                        <w:pStyle w:val="TextBody"/>
                        <w:bidi w:val="0"/>
                        <w:spacing w:before="120" w:after="0"/>
                        <w:jc w:val="both"/>
                        <w:rPr>
                          <w:rFonts w:ascii="arial" w:hAnsi="arial"/>
                          <w:sz w:val="19"/>
                        </w:rPr>
                      </w:pPr>
                      <w:r>
                        <w:rPr>
                          <w:rFonts w:ascii="arial" w:hAnsi="arial"/>
                          <w:sz w:val="19"/>
                        </w:rPr>
                        <w:t xml:space="preserve">The plan provides that the benefits described above would be provided in lieu of any other severance benefits that may be payable by us (other than accrued vacation and similar benefits otherwise payable to all staff members upon a termination). The plan also provides that the benefits described above may be forfeited if the participant discloses our confidential information or solicits or offers employment to any of our staff members during a period of years equal to the participant’s benefits multiple following the participant’s termination. </w:t>
                      </w:r>
                    </w:p>
                    <w:p>
                      <w:pPr>
                        <w:pStyle w:val="TextBody"/>
                        <w:bidi w:val="0"/>
                        <w:spacing w:before="120" w:after="0"/>
                        <w:jc w:val="both"/>
                        <w:rPr>
                          <w:rFonts w:ascii="arial" w:hAnsi="arial"/>
                          <w:sz w:val="19"/>
                        </w:rPr>
                      </w:pPr>
                      <w:r>
                        <w:rPr>
                          <w:rFonts w:ascii="arial" w:hAnsi="arial"/>
                          <w:sz w:val="19"/>
                        </w:rPr>
                        <w:t xml:space="preserve">The plan is subject to automatic one-year extensions unless we notify participants no later than November 30 that the term will not be extended. If a change of control occurs during the term of the plan, the plan will continue in effect for at least 24 months following the change of control. Prior to a change of control, we can amend the plan at any time. After a change of control, the plan may not be terminated or amended in any way that adversely affects a participant’s interests under the plan, unless the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332"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156" descr=""/>
                    <pic:cNvPicPr>
                      <a:picLocks noChangeAspect="1" noChangeArrowheads="1"/>
                    </pic:cNvPicPr>
                  </pic:nvPicPr>
                  <pic:blipFill>
                    <a:blip r:embed="rId169"/>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93</w:t>
      </w:r>
      <w:r>
        <w:rPr>
          <w:rFonts w:ascii="arial" w:hAnsi="arial"/>
          <w:b/>
          <w:sz w:val="22"/>
        </w:rPr>
        <w:t xml:space="preserve"> </w:t>
      </w:r>
      <w:r>
        <w:br w:type="page"/>
      </w:r>
    </w:p>
    <w:p>
      <w:pPr>
        <w:pStyle w:val="HorizontalLine"/>
        <w:bidi w:val="0"/>
        <w:jc w:val="left"/>
        <w:rPr/>
      </w:pPr>
      <w:r>
        <w:rPr/>
      </w:r>
    </w:p>
    <w:tbl>
      <w:tblPr>
        <w:tblW w:w="419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371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1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371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Executive Compensation Tables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402">
                <wp:simplePos x="0" y="0"/>
                <wp:positionH relativeFrom="column">
                  <wp:align>left</wp:align>
                </wp:positionH>
                <wp:positionV relativeFrom="line">
                  <wp:posOffset>635</wp:posOffset>
                </wp:positionV>
                <wp:extent cx="3110230" cy="6788150"/>
                <wp:effectExtent l="0" t="0" r="0" b="0"/>
                <wp:wrapSquare wrapText="right"/>
                <wp:docPr id="333" name="Frame165"/>
                <a:graphic xmlns:a="http://schemas.openxmlformats.org/drawingml/2006/main">
                  <a:graphicData uri="http://schemas.microsoft.com/office/word/2010/wordprocessingShape">
                    <wps:wsp>
                      <wps:cNvSpPr txBox="1"/>
                      <wps:spPr>
                        <a:xfrm>
                          <a:off x="0" y="0"/>
                          <a:ext cx="3110230" cy="678815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participant consents in writing. “Change of Control” is defined in the plan as the occurrence of any of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any person, entity, or group has acquired beneficial ownership of 50% or more of (i) our then outstanding common shares, or (ii) the combined voting power of our then outstanding securities entitled to vote in the election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individuals making up the incumbent Board (as defined in the plan) cease for any reason to constitute at least a majority of our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immediately prior to our consummation of a reorganization, merger, or consolidation with respect to which persons who were the stockholders of the Company immediately prior to such transaction do not, immediately thereafter, own more than 50% of the then outstanding shares of the reorganized, merged, or consolidated company entitled to vote generally in the election of directors; </w:t>
                                  </w:r>
                                </w:p>
                              </w:tc>
                            </w:tr>
                          </w:tbl>
                          <w:p>
                            <w:pPr>
                              <w:pStyle w:val="TextBody"/>
                              <w:bidi w:val="0"/>
                              <w:spacing w:before="0" w:after="0"/>
                              <w:jc w:val="left"/>
                              <w:rPr/>
                            </w:pPr>
                            <w:r>
                              <w:rPr/>
                              <w:t> </w:t>
                            </w:r>
                          </w:p>
                          <w:tbl>
                            <w:tblPr>
                              <w:tblW w:w="9985" w:type="dxa"/>
                              <w:jc w:val="left"/>
                              <w:tblInd w:w="0" w:type="dxa"/>
                              <w:tblLayout w:type="fixed"/>
                              <w:tblCellMar>
                                <w:top w:w="0" w:type="dxa"/>
                                <w:left w:w="0" w:type="dxa"/>
                                <w:bottom w:w="0" w:type="dxa"/>
                                <w:right w:w="0" w:type="dxa"/>
                              </w:tblCellMar>
                            </w:tblPr>
                            <w:tblGrid>
                              <w:gridCol w:w="125"/>
                              <w:gridCol w:w="60"/>
                              <w:gridCol w:w="980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9800" w:type="dxa"/>
                                  <w:tcBorders/>
                                  <w:vAlign w:val="center"/>
                                </w:tcPr>
                                <w:p>
                                  <w:pPr>
                                    <w:pStyle w:val="TableContents"/>
                                    <w:bidi w:val="0"/>
                                    <w:spacing w:before="0" w:after="0"/>
                                    <w:jc w:val="both"/>
                                    <w:rPr>
                                      <w:rFonts w:ascii="arial" w:hAnsi="arial"/>
                                      <w:sz w:val="19"/>
                                    </w:rPr>
                                  </w:pPr>
                                  <w:r>
                                    <w:rPr>
                                      <w:rFonts w:ascii="arial" w:hAnsi="arial"/>
                                      <w:sz w:val="19"/>
                                    </w:rPr>
                                    <w:t xml:space="preserve">a liquidation or dissolution of the Company or the sale of all or substantially all of the assets of the Company;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any other event which the incumbent Board (as defined in the plan), in its sole discretion, determines is a change of control. </w:t>
                                  </w:r>
                                </w:p>
                              </w:tc>
                            </w:tr>
                          </w:tbl>
                          <w:p>
                            <w:pPr>
                              <w:pStyle w:val="TextBody"/>
                              <w:bidi w:val="0"/>
                              <w:spacing w:before="120" w:after="0"/>
                              <w:jc w:val="both"/>
                              <w:rPr/>
                            </w:pPr>
                            <w:r>
                              <w:rPr/>
                              <w:t>“</w:t>
                            </w:r>
                            <w:r>
                              <w:rPr>
                                <w:rFonts w:ascii="arial" w:hAnsi="arial"/>
                                <w:sz w:val="19"/>
                              </w:rPr>
                              <w:t xml:space="preserve">Cause” is defined in the plan as (i) conviction of a felony or (ii) engaging in conduct that constitutes willful gross neglect or willful gross misconduct in carrying out the participant’s duties, resulting in material economic harm to us, unless the participant believed in good faith that the conduct was in, or not contrary to, our best interests. </w:t>
                            </w:r>
                          </w:p>
                          <w:p>
                            <w:pPr>
                              <w:pStyle w:val="TextBody"/>
                              <w:bidi w:val="0"/>
                              <w:spacing w:before="120" w:after="0"/>
                              <w:jc w:val="both"/>
                              <w:rPr/>
                            </w:pPr>
                            <w:r>
                              <w:rPr/>
                              <w:t>“</w:t>
                            </w:r>
                            <w:r>
                              <w:rPr>
                                <w:rFonts w:ascii="arial" w:hAnsi="arial"/>
                                <w:sz w:val="19"/>
                              </w:rPr>
                              <w:t xml:space="preserve">Disability” under the plan is determined based on our long-term disability plan as is in effect immediately prior to a change of control. </w:t>
                            </w:r>
                          </w:p>
                          <w:p>
                            <w:pPr>
                              <w:pStyle w:val="TextBody"/>
                              <w:bidi w:val="0"/>
                              <w:spacing w:before="120" w:after="0"/>
                              <w:jc w:val="both"/>
                              <w:rPr/>
                            </w:pPr>
                            <w:r>
                              <w:rPr/>
                              <w:t>“</w:t>
                            </w:r>
                            <w:r>
                              <w:rPr>
                                <w:rFonts w:ascii="arial" w:hAnsi="arial"/>
                                <w:sz w:val="19"/>
                              </w:rPr>
                              <w:t xml:space="preserve">Good reason” is defined in the plan as (i) an adverse and material diminution of a participant’s authority, duties, or responsibilities, (ii) a material reduction in a participant’s base salary, (iii) an increase in a participant’s daily commute by more than 100 miles roundtrip, or (iv) any other action or inaction by the Company that constitutes a material breach of the agreement under which the participant provides services. In order to terminate with “good reason,” a participant must provide written notice to the Company of the existence of the condition within the required period, the Company must fail to remedy the condition within the required time period and the participant must then terminate employment within the required time period.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34.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participant consents in writing. “Change of Control” is defined in the plan as the occurrence of any of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any person, entity, or group has acquired beneficial ownership of 50% or more of (i) our then outstanding common shares, or (ii) the combined voting power of our then outstanding securities entitled to vote in the election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individuals making up the incumbent Board (as defined in the plan) cease for any reason to constitute at least a majority of our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immediately prior to our consummation of a reorganization, merger, or consolidation with respect to which persons who were the stockholders of the Company immediately prior to such transaction do not, immediately thereafter, own more than 50% of the then outstanding shares of the reorganized, merged, or consolidated company entitled to vote generally in the election of directors; </w:t>
                            </w:r>
                          </w:p>
                        </w:tc>
                      </w:tr>
                    </w:tbl>
                    <w:p>
                      <w:pPr>
                        <w:pStyle w:val="TextBody"/>
                        <w:bidi w:val="0"/>
                        <w:spacing w:before="0" w:after="0"/>
                        <w:jc w:val="left"/>
                        <w:rPr/>
                      </w:pPr>
                      <w:r>
                        <w:rPr/>
                        <w:t> </w:t>
                      </w:r>
                    </w:p>
                    <w:tbl>
                      <w:tblPr>
                        <w:tblW w:w="9985" w:type="dxa"/>
                        <w:jc w:val="left"/>
                        <w:tblInd w:w="0" w:type="dxa"/>
                        <w:tblLayout w:type="fixed"/>
                        <w:tblCellMar>
                          <w:top w:w="0" w:type="dxa"/>
                          <w:left w:w="0" w:type="dxa"/>
                          <w:bottom w:w="0" w:type="dxa"/>
                          <w:right w:w="0" w:type="dxa"/>
                        </w:tblCellMar>
                      </w:tblPr>
                      <w:tblGrid>
                        <w:gridCol w:w="125"/>
                        <w:gridCol w:w="60"/>
                        <w:gridCol w:w="980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9800" w:type="dxa"/>
                            <w:tcBorders/>
                            <w:vAlign w:val="center"/>
                          </w:tcPr>
                          <w:p>
                            <w:pPr>
                              <w:pStyle w:val="TableContents"/>
                              <w:bidi w:val="0"/>
                              <w:spacing w:before="0" w:after="0"/>
                              <w:jc w:val="both"/>
                              <w:rPr>
                                <w:rFonts w:ascii="arial" w:hAnsi="arial"/>
                                <w:sz w:val="19"/>
                              </w:rPr>
                            </w:pPr>
                            <w:r>
                              <w:rPr>
                                <w:rFonts w:ascii="arial" w:hAnsi="arial"/>
                                <w:sz w:val="19"/>
                              </w:rPr>
                              <w:t xml:space="preserve">a liquidation or dissolution of the Company or the sale of all or substantially all of the assets of the Company;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any other event which the incumbent Board (as defined in the plan), in its sole discretion, determines is a change of control. </w:t>
                            </w:r>
                          </w:p>
                        </w:tc>
                      </w:tr>
                    </w:tbl>
                    <w:p>
                      <w:pPr>
                        <w:pStyle w:val="TextBody"/>
                        <w:bidi w:val="0"/>
                        <w:spacing w:before="120" w:after="0"/>
                        <w:jc w:val="both"/>
                        <w:rPr/>
                      </w:pPr>
                      <w:r>
                        <w:rPr/>
                        <w:t>“</w:t>
                      </w:r>
                      <w:r>
                        <w:rPr>
                          <w:rFonts w:ascii="arial" w:hAnsi="arial"/>
                          <w:sz w:val="19"/>
                        </w:rPr>
                        <w:t xml:space="preserve">Cause” is defined in the plan as (i) conviction of a felony or (ii) engaging in conduct that constitutes willful gross neglect or willful gross misconduct in carrying out the participant’s duties, resulting in material economic harm to us, unless the participant believed in good faith that the conduct was in, or not contrary to, our best interests. </w:t>
                      </w:r>
                    </w:p>
                    <w:p>
                      <w:pPr>
                        <w:pStyle w:val="TextBody"/>
                        <w:bidi w:val="0"/>
                        <w:spacing w:before="120" w:after="0"/>
                        <w:jc w:val="both"/>
                        <w:rPr/>
                      </w:pPr>
                      <w:r>
                        <w:rPr/>
                        <w:t>“</w:t>
                      </w:r>
                      <w:r>
                        <w:rPr>
                          <w:rFonts w:ascii="arial" w:hAnsi="arial"/>
                          <w:sz w:val="19"/>
                        </w:rPr>
                        <w:t xml:space="preserve">Disability” under the plan is determined based on our long-term disability plan as is in effect immediately prior to a change of control. </w:t>
                      </w:r>
                    </w:p>
                    <w:p>
                      <w:pPr>
                        <w:pStyle w:val="TextBody"/>
                        <w:bidi w:val="0"/>
                        <w:spacing w:before="120" w:after="0"/>
                        <w:jc w:val="both"/>
                        <w:rPr/>
                      </w:pPr>
                      <w:r>
                        <w:rPr/>
                        <w:t>“</w:t>
                      </w:r>
                      <w:r>
                        <w:rPr>
                          <w:rFonts w:ascii="arial" w:hAnsi="arial"/>
                          <w:sz w:val="19"/>
                        </w:rPr>
                        <w:t xml:space="preserve">Good reason” is defined in the plan as (i) an adverse and material diminution of a participant’s authority, duties, or responsibilities, (ii) a material reduction in a participant’s base salary, (iii) an increase in a participant’s daily commute by more than 100 miles roundtrip, or (iv) any other action or inaction by the Company that constitutes a material breach of the agreement under which the participant provides services. In order to terminate with “good reason,” a participant must provide written notice to the Company of the existence of the condition within the required period, the Company must fail to remedy the condition within the required time period and the participant must then terminate employment within the required time period. </w:t>
                      </w:r>
                    </w:p>
                  </w:txbxContent>
                </v:textbox>
                <w10:wrap type="square" side="right"/>
              </v:rect>
            </w:pict>
          </mc:Fallback>
        </mc:AlternateContent>
      </w:r>
      <w:r>
        <mc:AlternateContent>
          <mc:Choice Requires="wps">
            <w:drawing>
              <wp:anchor behindDoc="0" distT="0" distB="0" distL="0" distR="0" simplePos="0" locked="0" layoutInCell="1" allowOverlap="1" relativeHeight="403">
                <wp:simplePos x="0" y="0"/>
                <wp:positionH relativeFrom="column">
                  <wp:align>left</wp:align>
                </wp:positionH>
                <wp:positionV relativeFrom="line">
                  <wp:posOffset>635</wp:posOffset>
                </wp:positionV>
                <wp:extent cx="3175000" cy="7084695"/>
                <wp:effectExtent l="0" t="0" r="0" b="0"/>
                <wp:wrapSquare wrapText="right"/>
                <wp:docPr id="334" name="Frame166"/>
                <a:graphic xmlns:a="http://schemas.openxmlformats.org/drawingml/2006/main">
                  <a:graphicData uri="http://schemas.microsoft.com/office/word/2010/wordprocessingShape">
                    <wps:wsp>
                      <wps:cNvSpPr txBox="1"/>
                      <wps:spPr>
                        <a:xfrm>
                          <a:off x="0" y="0"/>
                          <a:ext cx="3175000" cy="7084695"/>
                        </a:xfrm>
                        <a:prstGeom prst="rect"/>
                        <a:solidFill>
                          <a:srgbClr val="FFFFFF"/>
                        </a:solidFill>
                      </wps:spPr>
                      <wps:txbx>
                        <w:txbxContent>
                          <w:p>
                            <w:pPr>
                              <w:pStyle w:val="TextBody"/>
                              <w:bidi w:val="0"/>
                              <w:spacing w:before="0" w:after="0"/>
                              <w:jc w:val="left"/>
                              <w:rPr>
                                <w:rFonts w:ascii="arial" w:hAnsi="arial"/>
                                <w:b/>
                                <w:sz w:val="24"/>
                              </w:rPr>
                            </w:pPr>
                            <w:r>
                              <w:rPr>
                                <w:rFonts w:ascii="arial" w:hAnsi="arial"/>
                                <w:b/>
                                <w:sz w:val="24"/>
                              </w:rPr>
                              <w:t xml:space="preserve">Long-Term Incentive Equity Awards </w:t>
                            </w:r>
                          </w:p>
                          <w:p>
                            <w:pPr>
                              <w:pStyle w:val="TextBody"/>
                              <w:bidi w:val="0"/>
                              <w:spacing w:before="120" w:after="0"/>
                              <w:jc w:val="left"/>
                              <w:rPr>
                                <w:rFonts w:ascii="arial" w:hAnsi="arial"/>
                                <w:i/>
                                <w:color w:val="0171B9"/>
                                <w:sz w:val="22"/>
                              </w:rPr>
                            </w:pPr>
                            <w:r>
                              <w:rPr>
                                <w:rFonts w:ascii="arial" w:hAnsi="arial"/>
                                <w:i/>
                                <w:color w:val="0171B9"/>
                                <w:sz w:val="22"/>
                              </w:rPr>
                              <w:t xml:space="preserve">Stock Options and Restricted Stock Units </w:t>
                            </w:r>
                          </w:p>
                          <w:p>
                            <w:pPr>
                              <w:pStyle w:val="TextBody"/>
                              <w:bidi w:val="0"/>
                              <w:spacing w:before="120" w:after="0"/>
                              <w:jc w:val="both"/>
                              <w:rPr>
                                <w:rFonts w:ascii="arial" w:hAnsi="arial"/>
                                <w:sz w:val="19"/>
                              </w:rPr>
                            </w:pPr>
                            <w:r>
                              <w:rPr>
                                <w:rFonts w:ascii="arial" w:hAnsi="arial"/>
                                <w:sz w:val="19"/>
                              </w:rPr>
                              <w:t xml:space="preserve">Our stock plans (or the related grant agreements approved for use under such stock plans) provide for accelerated vesting or continued vesting of unvested stock options and RSUs in the circumstances described below. </w:t>
                            </w:r>
                          </w:p>
                          <w:p>
                            <w:pPr>
                              <w:pStyle w:val="TextBody"/>
                              <w:bidi w:val="0"/>
                              <w:spacing w:before="120" w:after="0"/>
                              <w:jc w:val="both"/>
                              <w:rPr>
                                <w:rFonts w:ascii="arial" w:hAnsi="arial"/>
                                <w:sz w:val="19"/>
                              </w:rPr>
                            </w:pPr>
                            <w:r>
                              <w:rPr>
                                <w:rFonts w:ascii="arial" w:hAnsi="arial"/>
                                <w:i/>
                                <w:color w:val="0171B9"/>
                                <w:sz w:val="19"/>
                              </w:rPr>
                              <w:t>Double-Trigger Qualifying Termination in Connection with a Change of Control.</w:t>
                            </w:r>
                            <w:r>
                              <w:rPr>
                                <w:rFonts w:ascii="arial" w:hAnsi="arial"/>
                                <w:sz w:val="19"/>
                              </w:rPr>
                              <w:t xml:space="preserve"> Unvested stock options and RSUs will vest in full in connection with a Change of Control (as defined in the stock plans or related grant agreements approved for use under such stock plans) only if and when, within 24 months following the Change of Control, the grantee’s employment is involuntarily terminated other than for “cause” or “disability,” or, in the case of staff members subject to the Change of Control Severance Plan, voluntarily terminated with “good reason” (as each is defined in the grant agreements). </w:t>
                            </w:r>
                          </w:p>
                          <w:p>
                            <w:pPr>
                              <w:pStyle w:val="TextBody"/>
                              <w:bidi w:val="0"/>
                              <w:spacing w:before="120" w:after="0"/>
                              <w:jc w:val="both"/>
                              <w:rPr>
                                <w:rFonts w:ascii="arial" w:hAnsi="arial"/>
                                <w:sz w:val="19"/>
                              </w:rPr>
                            </w:pPr>
                            <w:r>
                              <w:rPr>
                                <w:rFonts w:ascii="arial" w:hAnsi="arial"/>
                                <w:i/>
                                <w:color w:val="0171B9"/>
                                <w:sz w:val="19"/>
                              </w:rPr>
                              <w:t>Death or Disability.</w:t>
                            </w:r>
                            <w:r>
                              <w:rPr>
                                <w:rFonts w:ascii="arial" w:hAnsi="arial"/>
                                <w:sz w:val="19"/>
                              </w:rPr>
                              <w:t xml:space="preserve"> In general, unvested stock options and RSUs granted in calendar years prior to the year death or disability occurs vest in full upon the occurrence of such event. For unvested stock options and RSUs granted in the calendar year death or disability occurs, a pro-rata amount of these stock options and RSUs immediately vests based on the number of completed months of employment during the calendar year such event occurs. Under our stock plans, a disability has the same meaning as under Section 22(e)(3) of the Internal Revenue Code and occurs where the disability has been certified by either the Social Security Administration, the comparable government authority in another country with respect to non-U.S. staff members, or an independent medical advisor appointed by us. </w:t>
                            </w:r>
                          </w:p>
                          <w:p>
                            <w:pPr>
                              <w:pStyle w:val="TextBody"/>
                              <w:bidi w:val="0"/>
                              <w:spacing w:before="120" w:after="0"/>
                              <w:jc w:val="both"/>
                              <w:rPr>
                                <w:rFonts w:ascii="arial" w:hAnsi="arial"/>
                                <w:sz w:val="19"/>
                              </w:rPr>
                            </w:pPr>
                            <w:r>
                              <w:rPr>
                                <w:rFonts w:ascii="arial" w:hAnsi="arial"/>
                                <w:i/>
                                <w:color w:val="0171B9"/>
                                <w:sz w:val="19"/>
                              </w:rPr>
                              <w:t xml:space="preserve">Retirement. </w:t>
                            </w:r>
                            <w:r>
                              <w:rPr>
                                <w:rFonts w:ascii="arial" w:hAnsi="arial"/>
                                <w:sz w:val="19"/>
                              </w:rPr>
                              <w:t xml:space="preserve">In general, unvested stock options and RSUs granted in calendar years prior to the year in which an employee retires continue to vest on their original vesting schedule following the retirement of the holder if the holder has been employed for at least ten years and is age 55 or older or is age 65 or older, regardless of service (a retirement-eligible participant), provided that any unvested RSUs will vest in full in the event of death following such holders’ retirement from the Company. If a retirement-eligible participant receives a grant of stock options or RSUs in the calendar year such retirement occurs, generally, the participant will continue to vest in a pro-rata amount of the award he or she would be otherwise entitled based upon the number of complete months of employment during the calendar year such retirement occurs. Retirement-eligible participants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57.8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sz w:val="24"/>
                        </w:rPr>
                      </w:pPr>
                      <w:r>
                        <w:rPr>
                          <w:rFonts w:ascii="arial" w:hAnsi="arial"/>
                          <w:b/>
                          <w:sz w:val="24"/>
                        </w:rPr>
                        <w:t xml:space="preserve">Long-Term Incentive Equity Awards </w:t>
                      </w:r>
                    </w:p>
                    <w:p>
                      <w:pPr>
                        <w:pStyle w:val="TextBody"/>
                        <w:bidi w:val="0"/>
                        <w:spacing w:before="120" w:after="0"/>
                        <w:jc w:val="left"/>
                        <w:rPr>
                          <w:rFonts w:ascii="arial" w:hAnsi="arial"/>
                          <w:i/>
                          <w:color w:val="0171B9"/>
                          <w:sz w:val="22"/>
                        </w:rPr>
                      </w:pPr>
                      <w:r>
                        <w:rPr>
                          <w:rFonts w:ascii="arial" w:hAnsi="arial"/>
                          <w:i/>
                          <w:color w:val="0171B9"/>
                          <w:sz w:val="22"/>
                        </w:rPr>
                        <w:t xml:space="preserve">Stock Options and Restricted Stock Units </w:t>
                      </w:r>
                    </w:p>
                    <w:p>
                      <w:pPr>
                        <w:pStyle w:val="TextBody"/>
                        <w:bidi w:val="0"/>
                        <w:spacing w:before="120" w:after="0"/>
                        <w:jc w:val="both"/>
                        <w:rPr>
                          <w:rFonts w:ascii="arial" w:hAnsi="arial"/>
                          <w:sz w:val="19"/>
                        </w:rPr>
                      </w:pPr>
                      <w:r>
                        <w:rPr>
                          <w:rFonts w:ascii="arial" w:hAnsi="arial"/>
                          <w:sz w:val="19"/>
                        </w:rPr>
                        <w:t xml:space="preserve">Our stock plans (or the related grant agreements approved for use under such stock plans) provide for accelerated vesting or continued vesting of unvested stock options and RSUs in the circumstances described below. </w:t>
                      </w:r>
                    </w:p>
                    <w:p>
                      <w:pPr>
                        <w:pStyle w:val="TextBody"/>
                        <w:bidi w:val="0"/>
                        <w:spacing w:before="120" w:after="0"/>
                        <w:jc w:val="both"/>
                        <w:rPr>
                          <w:rFonts w:ascii="arial" w:hAnsi="arial"/>
                          <w:sz w:val="19"/>
                        </w:rPr>
                      </w:pPr>
                      <w:r>
                        <w:rPr>
                          <w:rFonts w:ascii="arial" w:hAnsi="arial"/>
                          <w:i/>
                          <w:color w:val="0171B9"/>
                          <w:sz w:val="19"/>
                        </w:rPr>
                        <w:t>Double-Trigger Qualifying Termination in Connection with a Change of Control.</w:t>
                      </w:r>
                      <w:r>
                        <w:rPr>
                          <w:rFonts w:ascii="arial" w:hAnsi="arial"/>
                          <w:sz w:val="19"/>
                        </w:rPr>
                        <w:t xml:space="preserve"> Unvested stock options and RSUs will vest in full in connection with a Change of Control (as defined in the stock plans or related grant agreements approved for use under such stock plans) only if and when, within 24 months following the Change of Control, the grantee’s employment is involuntarily terminated other than for “cause” or “disability,” or, in the case of staff members subject to the Change of Control Severance Plan, voluntarily terminated with “good reason” (as each is defined in the grant agreements). </w:t>
                      </w:r>
                    </w:p>
                    <w:p>
                      <w:pPr>
                        <w:pStyle w:val="TextBody"/>
                        <w:bidi w:val="0"/>
                        <w:spacing w:before="120" w:after="0"/>
                        <w:jc w:val="both"/>
                        <w:rPr>
                          <w:rFonts w:ascii="arial" w:hAnsi="arial"/>
                          <w:sz w:val="19"/>
                        </w:rPr>
                      </w:pPr>
                      <w:r>
                        <w:rPr>
                          <w:rFonts w:ascii="arial" w:hAnsi="arial"/>
                          <w:i/>
                          <w:color w:val="0171B9"/>
                          <w:sz w:val="19"/>
                        </w:rPr>
                        <w:t>Death or Disability.</w:t>
                      </w:r>
                      <w:r>
                        <w:rPr>
                          <w:rFonts w:ascii="arial" w:hAnsi="arial"/>
                          <w:sz w:val="19"/>
                        </w:rPr>
                        <w:t xml:space="preserve"> In general, unvested stock options and RSUs granted in calendar years prior to the year death or disability occurs vest in full upon the occurrence of such event. For unvested stock options and RSUs granted in the calendar year death or disability occurs, a pro-rata amount of these stock options and RSUs immediately vests based on the number of completed months of employment during the calendar year such event occurs. Under our stock plans, a disability has the same meaning as under Section 22(e)(3) of the Internal Revenue Code and occurs where the disability has been certified by either the Social Security Administration, the comparable government authority in another country with respect to non-U.S. staff members, or an independent medical advisor appointed by us. </w:t>
                      </w:r>
                    </w:p>
                    <w:p>
                      <w:pPr>
                        <w:pStyle w:val="TextBody"/>
                        <w:bidi w:val="0"/>
                        <w:spacing w:before="120" w:after="0"/>
                        <w:jc w:val="both"/>
                        <w:rPr>
                          <w:rFonts w:ascii="arial" w:hAnsi="arial"/>
                          <w:sz w:val="19"/>
                        </w:rPr>
                      </w:pPr>
                      <w:r>
                        <w:rPr>
                          <w:rFonts w:ascii="arial" w:hAnsi="arial"/>
                          <w:i/>
                          <w:color w:val="0171B9"/>
                          <w:sz w:val="19"/>
                        </w:rPr>
                        <w:t xml:space="preserve">Retirement. </w:t>
                      </w:r>
                      <w:r>
                        <w:rPr>
                          <w:rFonts w:ascii="arial" w:hAnsi="arial"/>
                          <w:sz w:val="19"/>
                        </w:rPr>
                        <w:t xml:space="preserve">In general, unvested stock options and RSUs granted in calendar years prior to the year in which an employee retires continue to vest on their original vesting schedule following the retirement of the holder if the holder has been employed for at least ten years and is age 55 or older or is age 65 or older, regardless of service (a retirement-eligible participant), provided that any unvested RSUs will vest in full in the event of death following such holders’ retirement from the Company. If a retirement-eligible participant receives a grant of stock options or RSUs in the calendar year such retirement occurs, generally, the participant will continue to vest in a pro-rata amount of the award he or she would be otherwise entitled based upon the number of complete months of employment during the calendar year such retirement occurs. Retirement-eligible participants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94  </w:t>
      </w:r>
      <w:r>
        <w:rPr>
          <w:rFonts w:ascii="arial" w:hAnsi="arial"/>
          <w:b/>
          <w:color w:val="474747"/>
          <w:sz w:val="22"/>
        </w:rPr>
        <w:drawing>
          <wp:inline distT="0" distB="0" distL="0" distR="0">
            <wp:extent cx="64770" cy="15240"/>
            <wp:effectExtent l="0" t="0" r="0" b="0"/>
            <wp:docPr id="335"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157" descr=""/>
                    <pic:cNvPicPr>
                      <a:picLocks noChangeAspect="1" noChangeArrowheads="1"/>
                    </pic:cNvPicPr>
                  </pic:nvPicPr>
                  <pic:blipFill>
                    <a:blip r:embed="rId170"/>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419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371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1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371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Executive Compensation Tables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404">
                <wp:simplePos x="0" y="0"/>
                <wp:positionH relativeFrom="column">
                  <wp:align>left</wp:align>
                </wp:positionH>
                <wp:positionV relativeFrom="line">
                  <wp:posOffset>635</wp:posOffset>
                </wp:positionV>
                <wp:extent cx="3110230" cy="5448935"/>
                <wp:effectExtent l="0" t="0" r="0" b="0"/>
                <wp:wrapSquare wrapText="right"/>
                <wp:docPr id="336" name="Frame167"/>
                <a:graphic xmlns:a="http://schemas.openxmlformats.org/drawingml/2006/main">
                  <a:graphicData uri="http://schemas.microsoft.com/office/word/2010/wordprocessingShape">
                    <wps:wsp>
                      <wps:cNvSpPr txBox="1"/>
                      <wps:spPr>
                        <a:xfrm>
                          <a:off x="0" y="0"/>
                          <a:ext cx="3110230" cy="5448935"/>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have the lesser of five years from the date of retirement or the remaining option term to exercise any vested stock options. Mr. Bradway, Dr. Reese, Mr. Griffith and Mr. Santos are each a retirement-eligible participant and eligible to receive this benefit. </w:t>
                            </w:r>
                          </w:p>
                          <w:p>
                            <w:pPr>
                              <w:pStyle w:val="TextBody"/>
                              <w:bidi w:val="0"/>
                              <w:spacing w:before="240" w:after="0"/>
                              <w:jc w:val="left"/>
                              <w:rPr>
                                <w:rFonts w:ascii="arial" w:hAnsi="arial"/>
                                <w:i/>
                                <w:color w:val="0171B9"/>
                                <w:sz w:val="22"/>
                              </w:rPr>
                            </w:pPr>
                            <w:r>
                              <w:rPr>
                                <w:rFonts w:ascii="arial" w:hAnsi="arial"/>
                                <w:i/>
                                <w:color w:val="0171B9"/>
                                <w:sz w:val="22"/>
                              </w:rPr>
                              <w:t xml:space="preserve">Performance Units </w:t>
                            </w:r>
                          </w:p>
                          <w:p>
                            <w:pPr>
                              <w:pStyle w:val="TextBody"/>
                              <w:bidi w:val="0"/>
                              <w:spacing w:before="120" w:after="0"/>
                              <w:jc w:val="both"/>
                              <w:rPr>
                                <w:rFonts w:ascii="arial" w:hAnsi="arial"/>
                                <w:sz w:val="19"/>
                              </w:rPr>
                            </w:pPr>
                            <w:r>
                              <w:rPr>
                                <w:rFonts w:ascii="arial" w:hAnsi="arial"/>
                                <w:sz w:val="19"/>
                              </w:rPr>
                              <w:t xml:space="preserve">Performance units are generally forfeited unless a participant is continuously employed through the last business day of the performance period. The underlying principle is that the participant needs to have been an active employee during the entire performance period in order to have contributed to the results on which the earned awards are based. Exceptions to this treatment are a termination of employment in connection with a change of control or the death, disability, or retirement of a participant. </w:t>
                            </w:r>
                          </w:p>
                          <w:p>
                            <w:pPr>
                              <w:pStyle w:val="TextBody"/>
                              <w:bidi w:val="0"/>
                              <w:spacing w:before="120" w:after="0"/>
                              <w:jc w:val="both"/>
                              <w:rPr>
                                <w:rFonts w:ascii="arial" w:hAnsi="arial"/>
                                <w:sz w:val="19"/>
                              </w:rPr>
                            </w:pPr>
                            <w:r>
                              <w:rPr>
                                <w:rFonts w:ascii="arial" w:hAnsi="arial"/>
                                <w:i/>
                                <w:color w:val="0171B9"/>
                                <w:sz w:val="19"/>
                              </w:rPr>
                              <w:t>Change of Control.</w:t>
                            </w:r>
                            <w:r>
                              <w:rPr>
                                <w:rFonts w:ascii="arial" w:hAnsi="arial"/>
                                <w:sz w:val="19"/>
                              </w:rPr>
                              <w:t xml:space="preserve"> Generally, with respect to grants of outstanding performance units, the performance period terminates as of the last business day of the last completed fiscal quarter preceding the change of control. The TSR market condition performance is based on: (A) our TSR performance for which our ending Common Stock price is computed on the greater of (i) the average daily closing price of our Common Stock for the last twenty (20) trading days of such shortened period, or (ii) the value of consideration paid for a share of our Common Stock in the change of control (whether such consideration is paid in cash, stock or other property, or any combination thereof); and (B) the TSR performance of the companies in the applicable reference group based on such companies’ average daily closing stock price for the last twenty (20) trading days of such shortened performance period. With respect to the operating performance measures, if the change of control occurs: (i) during the first fiscal year of the performance period, target levels of performance shall be used to calculate the payment; and (ii) subsequent to the first fiscal year of the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29.0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have the lesser of five years from the date of retirement or the remaining option term to exercise any vested stock options. Mr. Bradway, Dr. Reese, Mr. Griffith and Mr. Santos are each a retirement-eligible participant and eligible to receive this benefit. </w:t>
                      </w:r>
                    </w:p>
                    <w:p>
                      <w:pPr>
                        <w:pStyle w:val="TextBody"/>
                        <w:bidi w:val="0"/>
                        <w:spacing w:before="240" w:after="0"/>
                        <w:jc w:val="left"/>
                        <w:rPr>
                          <w:rFonts w:ascii="arial" w:hAnsi="arial"/>
                          <w:i/>
                          <w:color w:val="0171B9"/>
                          <w:sz w:val="22"/>
                        </w:rPr>
                      </w:pPr>
                      <w:r>
                        <w:rPr>
                          <w:rFonts w:ascii="arial" w:hAnsi="arial"/>
                          <w:i/>
                          <w:color w:val="0171B9"/>
                          <w:sz w:val="22"/>
                        </w:rPr>
                        <w:t xml:space="preserve">Performance Units </w:t>
                      </w:r>
                    </w:p>
                    <w:p>
                      <w:pPr>
                        <w:pStyle w:val="TextBody"/>
                        <w:bidi w:val="0"/>
                        <w:spacing w:before="120" w:after="0"/>
                        <w:jc w:val="both"/>
                        <w:rPr>
                          <w:rFonts w:ascii="arial" w:hAnsi="arial"/>
                          <w:sz w:val="19"/>
                        </w:rPr>
                      </w:pPr>
                      <w:r>
                        <w:rPr>
                          <w:rFonts w:ascii="arial" w:hAnsi="arial"/>
                          <w:sz w:val="19"/>
                        </w:rPr>
                        <w:t xml:space="preserve">Performance units are generally forfeited unless a participant is continuously employed through the last business day of the performance period. The underlying principle is that the participant needs to have been an active employee during the entire performance period in order to have contributed to the results on which the earned awards are based. Exceptions to this treatment are a termination of employment in connection with a change of control or the death, disability, or retirement of a participant. </w:t>
                      </w:r>
                    </w:p>
                    <w:p>
                      <w:pPr>
                        <w:pStyle w:val="TextBody"/>
                        <w:bidi w:val="0"/>
                        <w:spacing w:before="120" w:after="0"/>
                        <w:jc w:val="both"/>
                        <w:rPr>
                          <w:rFonts w:ascii="arial" w:hAnsi="arial"/>
                          <w:sz w:val="19"/>
                        </w:rPr>
                      </w:pPr>
                      <w:r>
                        <w:rPr>
                          <w:rFonts w:ascii="arial" w:hAnsi="arial"/>
                          <w:i/>
                          <w:color w:val="0171B9"/>
                          <w:sz w:val="19"/>
                        </w:rPr>
                        <w:t>Change of Control.</w:t>
                      </w:r>
                      <w:r>
                        <w:rPr>
                          <w:rFonts w:ascii="arial" w:hAnsi="arial"/>
                          <w:sz w:val="19"/>
                        </w:rPr>
                        <w:t xml:space="preserve"> Generally, with respect to grants of outstanding performance units, the performance period terminates as of the last business day of the last completed fiscal quarter preceding the change of control. The TSR market condition performance is based on: (A) our TSR performance for which our ending Common Stock price is computed on the greater of (i) the average daily closing price of our Common Stock for the last twenty (20) trading days of such shortened period, or (ii) the value of consideration paid for a share of our Common Stock in the change of control (whether such consideration is paid in cash, stock or other property, or any combination thereof); and (B) the TSR performance of the companies in the applicable reference group based on such companies’ average daily closing stock price for the last twenty (20) trading days of such shortened performance period. With respect to the operating performance measures, if the change of control occurs: (i) during the first fiscal year of the performance period, target levels of performance shall be used to calculate the payment; and (ii) subsequent to the first fiscal year of the </w:t>
                      </w:r>
                    </w:p>
                  </w:txbxContent>
                </v:textbox>
                <w10:wrap type="square" side="right"/>
              </v:rect>
            </w:pict>
          </mc:Fallback>
        </mc:AlternateContent>
      </w:r>
      <w:r>
        <mc:AlternateContent>
          <mc:Choice Requires="wps">
            <w:drawing>
              <wp:anchor behindDoc="0" distT="0" distB="0" distL="0" distR="0" simplePos="0" locked="0" layoutInCell="1" allowOverlap="1" relativeHeight="405">
                <wp:simplePos x="0" y="0"/>
                <wp:positionH relativeFrom="column">
                  <wp:align>left</wp:align>
                </wp:positionH>
                <wp:positionV relativeFrom="line">
                  <wp:posOffset>635</wp:posOffset>
                </wp:positionV>
                <wp:extent cx="3175000" cy="5073650"/>
                <wp:effectExtent l="0" t="0" r="0" b="0"/>
                <wp:wrapSquare wrapText="right"/>
                <wp:docPr id="337" name="Frame168"/>
                <a:graphic xmlns:a="http://schemas.openxmlformats.org/drawingml/2006/main">
                  <a:graphicData uri="http://schemas.microsoft.com/office/word/2010/wordprocessingShape">
                    <wps:wsp>
                      <wps:cNvSpPr txBox="1"/>
                      <wps:spPr>
                        <a:xfrm>
                          <a:off x="0" y="0"/>
                          <a:ext cx="3175000" cy="507365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performance period, actual levels of performance for completed fiscal year(s) shall be used to calculate the payment. In the event of a change of control during the first six months of the performance period, however, the participant is entitled to a payment equal to an amount calculated in the manner described above, but pro-rated for the number of complete months elapsed during the shortened performance period. </w:t>
                            </w:r>
                          </w:p>
                          <w:p>
                            <w:pPr>
                              <w:pStyle w:val="TextBody"/>
                              <w:bidi w:val="0"/>
                              <w:spacing w:before="240" w:after="0"/>
                              <w:jc w:val="both"/>
                              <w:rPr>
                                <w:rFonts w:ascii="arial" w:hAnsi="arial"/>
                                <w:sz w:val="19"/>
                              </w:rPr>
                            </w:pPr>
                            <w:r>
                              <w:rPr>
                                <w:rFonts w:ascii="arial" w:hAnsi="arial"/>
                                <w:i/>
                                <w:color w:val="0171B9"/>
                                <w:sz w:val="19"/>
                              </w:rPr>
                              <w:t>Death or Disability.</w:t>
                            </w:r>
                            <w:r>
                              <w:rPr>
                                <w:rFonts w:ascii="arial" w:hAnsi="arial"/>
                                <w:sz w:val="19"/>
                              </w:rPr>
                              <w:t xml:space="preserve"> For all performance unit grants made in calendar years prior to the year death or disability occurs, the participant will be paid the full amount of the award he or she would be otherwise entitled to, if any, as determined at the end of the performance period. For a performance unit grant made in the calendar year in which death or disability occurs, a participant will be paid a pro-rata amount of the award he or she would otherwise be entitled to, if any, as determined at the end of the performance period, based upon the number of complete months of employment in the calendar year such event occurs. </w:t>
                            </w:r>
                          </w:p>
                          <w:p>
                            <w:pPr>
                              <w:pStyle w:val="TextBody"/>
                              <w:bidi w:val="0"/>
                              <w:spacing w:before="120" w:after="0"/>
                              <w:jc w:val="both"/>
                              <w:rPr>
                                <w:rFonts w:ascii="arial" w:hAnsi="arial"/>
                                <w:sz w:val="19"/>
                              </w:rPr>
                            </w:pPr>
                            <w:r>
                              <w:rPr>
                                <w:rFonts w:ascii="arial" w:hAnsi="arial"/>
                                <w:i/>
                                <w:color w:val="0171B9"/>
                                <w:sz w:val="19"/>
                              </w:rPr>
                              <w:t>Retirement.</w:t>
                            </w:r>
                            <w:r>
                              <w:rPr>
                                <w:rFonts w:ascii="arial" w:hAnsi="arial"/>
                                <w:sz w:val="19"/>
                              </w:rPr>
                              <w:t xml:space="preserve"> In the event of retirement of a participant who is a retirement-eligible participant, for performance unit grants made in calendar years prior to the year in which retirement occurs, the participant will be paid the full amount of the award he or she would be otherwise entitled to, if any, as determined at the end of the performance period. If a retirement-eligible participant receives a performance unit grant in the calendar year such retirement occurs, the participant will be paid a pro-rata amount of the award he or she would be otherwise entitled to, if any, as determined at the end of the performance period, based upon the number of complete months of employment during the calendar year such retirement occurs. Mr. Bradway, Dr. Reese, Mr. Griffith and Mr. Santos are each a retirement-eligible participant and eligible to receive this benefit.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99.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performance period, actual levels of performance for completed fiscal year(s) shall be used to calculate the payment. In the event of a change of control during the first six months of the performance period, however, the participant is entitled to a payment equal to an amount calculated in the manner described above, but pro-rated for the number of complete months elapsed during the shortened performance period. </w:t>
                      </w:r>
                    </w:p>
                    <w:p>
                      <w:pPr>
                        <w:pStyle w:val="TextBody"/>
                        <w:bidi w:val="0"/>
                        <w:spacing w:before="240" w:after="0"/>
                        <w:jc w:val="both"/>
                        <w:rPr>
                          <w:rFonts w:ascii="arial" w:hAnsi="arial"/>
                          <w:sz w:val="19"/>
                        </w:rPr>
                      </w:pPr>
                      <w:r>
                        <w:rPr>
                          <w:rFonts w:ascii="arial" w:hAnsi="arial"/>
                          <w:i/>
                          <w:color w:val="0171B9"/>
                          <w:sz w:val="19"/>
                        </w:rPr>
                        <w:t>Death or Disability.</w:t>
                      </w:r>
                      <w:r>
                        <w:rPr>
                          <w:rFonts w:ascii="arial" w:hAnsi="arial"/>
                          <w:sz w:val="19"/>
                        </w:rPr>
                        <w:t xml:space="preserve"> For all performance unit grants made in calendar years prior to the year death or disability occurs, the participant will be paid the full amount of the award he or she would be otherwise entitled to, if any, as determined at the end of the performance period. For a performance unit grant made in the calendar year in which death or disability occurs, a participant will be paid a pro-rata amount of the award he or she would otherwise be entitled to, if any, as determined at the end of the performance period, based upon the number of complete months of employment in the calendar year such event occurs. </w:t>
                      </w:r>
                    </w:p>
                    <w:p>
                      <w:pPr>
                        <w:pStyle w:val="TextBody"/>
                        <w:bidi w:val="0"/>
                        <w:spacing w:before="120" w:after="0"/>
                        <w:jc w:val="both"/>
                        <w:rPr>
                          <w:rFonts w:ascii="arial" w:hAnsi="arial"/>
                          <w:sz w:val="19"/>
                        </w:rPr>
                      </w:pPr>
                      <w:r>
                        <w:rPr>
                          <w:rFonts w:ascii="arial" w:hAnsi="arial"/>
                          <w:i/>
                          <w:color w:val="0171B9"/>
                          <w:sz w:val="19"/>
                        </w:rPr>
                        <w:t>Retirement.</w:t>
                      </w:r>
                      <w:r>
                        <w:rPr>
                          <w:rFonts w:ascii="arial" w:hAnsi="arial"/>
                          <w:sz w:val="19"/>
                        </w:rPr>
                        <w:t xml:space="preserve"> In the event of retirement of a participant who is a retirement-eligible participant, for performance unit grants made in calendar years prior to the year in which retirement occurs, the participant will be paid the full amount of the award he or she would be otherwise entitled to, if any, as determined at the end of the performance period. If a retirement-eligible participant receives a performance unit grant in the calendar year such retirement occurs, the participant will be paid a pro-rata amount of the award he or she would be otherwise entitled to, if any, as determined at the end of the performance period, based upon the number of complete months of employment during the calendar year such retirement occurs. Mr. Bradway, Dr. Reese, Mr. Griffith and Mr. Santos are each a retirement-eligible participant and eligible to receive this benefit.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b/>
          <w:sz w:val="24"/>
        </w:rPr>
      </w:pPr>
      <w:r>
        <w:rPr>
          <w:rFonts w:ascii="arial" w:hAnsi="arial"/>
          <w:b/>
          <w:sz w:val="24"/>
        </w:rPr>
        <w:t xml:space="preserve">Estimated Potential Payments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406">
                <wp:simplePos x="0" y="0"/>
                <wp:positionH relativeFrom="column">
                  <wp:align>left</wp:align>
                </wp:positionH>
                <wp:positionV relativeFrom="line">
                  <wp:posOffset>635</wp:posOffset>
                </wp:positionV>
                <wp:extent cx="3110230" cy="1522730"/>
                <wp:effectExtent l="0" t="0" r="0" b="0"/>
                <wp:wrapSquare wrapText="right"/>
                <wp:docPr id="338" name="Frame169"/>
                <a:graphic xmlns:a="http://schemas.openxmlformats.org/drawingml/2006/main">
                  <a:graphicData uri="http://schemas.microsoft.com/office/word/2010/wordprocessingShape">
                    <wps:wsp>
                      <wps:cNvSpPr txBox="1"/>
                      <wps:spPr>
                        <a:xfrm>
                          <a:off x="0" y="0"/>
                          <a:ext cx="3110230" cy="152273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The tables below set forth the estimated current value of payments and benefits: (i) to each of our NEOs upon a change of control, upon a qualifying termination within two years following a change of control, or upon death or disability; (ii) to Mr. Bradway, Dr. Reese, and Mr. Santos upon retirement. All amounts shown in the tables below assume that the triggering events occurred on December 31, 2023 and do not include: (i) the 2021-2023 performance unit awards and the 2023 EIP payouts, which were earned as of December 31, 2023; (ii) other benefits earned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19.9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The tables below set forth the estimated current value of payments and benefits: (i) to each of our NEOs upon a change of control, upon a qualifying termination within two years following a change of control, or upon death or disability; (ii) to Mr. Bradway, Dr. Reese, and Mr. Santos upon retirement. All amounts shown in the tables below assume that the triggering events occurred on December 31, 2023 and do not include: (i) the 2021-2023 performance unit awards and the 2023 EIP payouts, which were earned as of December 31, 2023; (ii) other benefits earned </w:t>
                      </w:r>
                    </w:p>
                  </w:txbxContent>
                </v:textbox>
                <w10:wrap type="square" side="right"/>
              </v:rect>
            </w:pict>
          </mc:Fallback>
        </mc:AlternateContent>
      </w:r>
      <w:r>
        <mc:AlternateContent>
          <mc:Choice Requires="wps">
            <w:drawing>
              <wp:anchor behindDoc="0" distT="0" distB="0" distL="0" distR="0" simplePos="0" locked="0" layoutInCell="1" allowOverlap="1" relativeHeight="407">
                <wp:simplePos x="0" y="0"/>
                <wp:positionH relativeFrom="column">
                  <wp:align>left</wp:align>
                </wp:positionH>
                <wp:positionV relativeFrom="line">
                  <wp:posOffset>635</wp:posOffset>
                </wp:positionV>
                <wp:extent cx="3175000" cy="1384300"/>
                <wp:effectExtent l="0" t="0" r="0" b="0"/>
                <wp:wrapSquare wrapText="right"/>
                <wp:docPr id="339" name="Frame170"/>
                <a:graphic xmlns:a="http://schemas.openxmlformats.org/drawingml/2006/main">
                  <a:graphicData uri="http://schemas.microsoft.com/office/word/2010/wordprocessingShape">
                    <wps:wsp>
                      <wps:cNvSpPr txBox="1"/>
                      <wps:spPr>
                        <a:xfrm>
                          <a:off x="0" y="0"/>
                          <a:ext cx="3175000" cy="138430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during the term of our NEO’s employment that are available to all salaried staff members, such as accrued vacation; (iii) benefits paid by insurance providers under life and disability policies; and (iv) benefits previously accrued and vested under the SRP and the NDCP. For information on the accrued amounts payable under these plans, see the “Nonqualified Deferred Compensation” table above. The actual amounts of payments and benefits that would be provided can only be determined at the time of a change of control and/or the NEO’s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09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during the term of our NEO’s employment that are available to all salaried staff members, such as accrued vacation; (iii) benefits paid by insurance providers under life and disability policies; and (iv) benefits previously accrued and vested under the SRP and the NDCP. For information on the accrued amounts payable under these plans, see the “Nonqualified Deferred Compensation” table above. The actual amounts of payments and benefits that would be provided can only be determined at the time of a change of control and/or the NEO’s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340"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158" descr=""/>
                    <pic:cNvPicPr>
                      <a:picLocks noChangeAspect="1" noChangeArrowheads="1"/>
                    </pic:cNvPicPr>
                  </pic:nvPicPr>
                  <pic:blipFill>
                    <a:blip r:embed="rId171"/>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95</w:t>
      </w:r>
      <w:r>
        <w:rPr>
          <w:rFonts w:ascii="arial" w:hAnsi="arial"/>
          <w:b/>
          <w:sz w:val="22"/>
        </w:rPr>
        <w:t xml:space="preserve"> </w:t>
      </w:r>
      <w:r>
        <w:br w:type="page"/>
      </w:r>
    </w:p>
    <w:p>
      <w:pPr>
        <w:pStyle w:val="HorizontalLine"/>
        <w:bidi w:val="0"/>
        <w:jc w:val="left"/>
        <w:rPr/>
      </w:pPr>
      <w:r>
        <w:rPr/>
      </w:r>
    </w:p>
    <w:tbl>
      <w:tblPr>
        <w:tblW w:w="419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371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1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371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Executive Compensation Tables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408">
                <wp:simplePos x="0" y="0"/>
                <wp:positionH relativeFrom="column">
                  <wp:align>left</wp:align>
                </wp:positionH>
                <wp:positionV relativeFrom="line">
                  <wp:posOffset>635</wp:posOffset>
                </wp:positionV>
                <wp:extent cx="3110230" cy="1107440"/>
                <wp:effectExtent l="0" t="0" r="0" b="0"/>
                <wp:wrapSquare wrapText="right"/>
                <wp:docPr id="341" name="Frame171"/>
                <a:graphic xmlns:a="http://schemas.openxmlformats.org/drawingml/2006/main">
                  <a:graphicData uri="http://schemas.microsoft.com/office/word/2010/wordprocessingShape">
                    <wps:wsp>
                      <wps:cNvSpPr txBox="1"/>
                      <wps:spPr>
                        <a:xfrm>
                          <a:off x="0" y="0"/>
                          <a:ext cx="3110230" cy="110744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separation from the Company. In accordance with SEC rules, the value of accelerated equity awards shown in the tables below was calculated using the closing price of our Common Stock on December 31, 2023 ($288.02). The amounts shown for accelerated stock options is the difference between the closing price at December 31, 2023 ($288.02), and the exercise price of unvested stock options, multiplied by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87.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separation from the Company. In accordance with SEC rules, the value of accelerated equity awards shown in the tables below was calculated using the closing price of our Common Stock on December 31, 2023 ($288.02). The amounts shown for accelerated stock options is the difference between the closing price at December 31, 2023 ($288.02), and the exercise price of unvested stock options, multiplied by </w:t>
                      </w:r>
                    </w:p>
                  </w:txbxContent>
                </v:textbox>
                <w10:wrap type="square" side="right"/>
              </v:rect>
            </w:pict>
          </mc:Fallback>
        </mc:AlternateContent>
      </w:r>
      <w:r>
        <mc:AlternateContent>
          <mc:Choice Requires="wps">
            <w:drawing>
              <wp:anchor behindDoc="0" distT="0" distB="0" distL="0" distR="0" simplePos="0" locked="0" layoutInCell="1" allowOverlap="1" relativeHeight="409">
                <wp:simplePos x="0" y="0"/>
                <wp:positionH relativeFrom="column">
                  <wp:align>left</wp:align>
                </wp:positionH>
                <wp:positionV relativeFrom="line">
                  <wp:posOffset>635</wp:posOffset>
                </wp:positionV>
                <wp:extent cx="3175000" cy="969010"/>
                <wp:effectExtent l="0" t="0" r="0" b="0"/>
                <wp:wrapSquare wrapText="right"/>
                <wp:docPr id="342" name="Frame172"/>
                <a:graphic xmlns:a="http://schemas.openxmlformats.org/drawingml/2006/main">
                  <a:graphicData uri="http://schemas.microsoft.com/office/word/2010/wordprocessingShape">
                    <wps:wsp>
                      <wps:cNvSpPr txBox="1"/>
                      <wps:spPr>
                        <a:xfrm>
                          <a:off x="0" y="0"/>
                          <a:ext cx="3175000" cy="96901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the number of unvested stock options. The value per unit of accelerated RSUs and performance units, including the related accrued dividend equivalents (rounded down to the nearest whole number of units), equals the closing price at December 31, 2023 ($288.02) multiplied by the number of units and dividend equivalents vested or earned, as applicable, as a result of such event.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6.3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the number of unvested stock options. The value per unit of accelerated RSUs and performance units, including the related accrued dividend equivalents (rounded down to the nearest whole number of units), equals the closing price at December 31, 2023 ($288.02) multiplied by the number of units and dividend equivalents vested or earned, as applicable, as a result of such event.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center"/>
        <w:rPr>
          <w:rFonts w:ascii="arial" w:hAnsi="arial"/>
          <w:b/>
          <w:i/>
          <w:sz w:val="22"/>
        </w:rPr>
      </w:pPr>
      <w:r>
        <w:rPr>
          <w:rFonts w:ascii="arial" w:hAnsi="arial"/>
          <w:b/>
          <w:i/>
          <w:sz w:val="22"/>
        </w:rPr>
        <w:t xml:space="preserve">Estimated Payments to Robert A. Bradway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08"/>
        <w:gridCol w:w="60"/>
        <w:gridCol w:w="60"/>
        <w:gridCol w:w="1100"/>
        <w:gridCol w:w="300"/>
        <w:gridCol w:w="120"/>
        <w:gridCol w:w="79"/>
        <w:gridCol w:w="1475"/>
        <w:gridCol w:w="300"/>
        <w:gridCol w:w="120"/>
        <w:gridCol w:w="68"/>
        <w:gridCol w:w="1261"/>
        <w:gridCol w:w="300"/>
        <w:gridCol w:w="120"/>
        <w:gridCol w:w="62"/>
        <w:gridCol w:w="1153"/>
        <w:gridCol w:w="319"/>
      </w:tblGrid>
      <w:tr>
        <w:trPr/>
        <w:tc>
          <w:tcPr>
            <w:tcW w:w="33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3308"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6518" w:type="dxa"/>
            <w:gridSpan w:val="14"/>
            <w:tcBorders>
              <w:bottom w:val="single" w:sz="8" w:space="0" w:color="FFFFFF"/>
            </w:tcBorders>
            <w:shd w:fill="0171B9" w:val="clear"/>
            <w:tcMar>
              <w:bottom w:w="28" w:type="dxa"/>
            </w:tcMar>
            <w:vAlign w:val="center"/>
          </w:tcPr>
          <w:p>
            <w:pPr>
              <w:pStyle w:val="TableContents"/>
              <w:bidi w:val="0"/>
              <w:spacing w:before="0" w:after="283"/>
              <w:jc w:val="center"/>
              <w:rPr>
                <w:b/>
                <w:color w:val="FFFFFF"/>
              </w:rPr>
            </w:pPr>
            <w:r>
              <w:rPr>
                <w:b/>
                <w:color w:val="FFFFFF"/>
              </w:rPr>
              <w:t>Triggering Event</w:t>
            </w:r>
          </w:p>
        </w:tc>
        <w:tc>
          <w:tcPr>
            <w:tcW w:w="319" w:type="dxa"/>
            <w:tcBorders/>
            <w:shd w:fill="0171B9" w:val="clear"/>
            <w:vAlign w:val="center"/>
          </w:tcPr>
          <w:p>
            <w:pPr>
              <w:pStyle w:val="TableContents"/>
              <w:bidi w:val="0"/>
              <w:spacing w:before="0" w:after="283"/>
              <w:jc w:val="left"/>
              <w:rPr/>
            </w:pPr>
            <w:r>
              <w:rPr/>
              <w:t> </w:t>
            </w:r>
          </w:p>
        </w:tc>
      </w:tr>
      <w:tr>
        <w:trPr/>
        <w:tc>
          <w:tcPr>
            <w:tcW w:w="3308"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160" w:type="dxa"/>
            <w:gridSpan w:val="2"/>
            <w:tcBorders>
              <w:bottom w:val="single" w:sz="8" w:space="0" w:color="FFFFFF"/>
            </w:tcBorders>
            <w:shd w:fill="0171B9" w:val="clear"/>
            <w:tcMar>
              <w:bottom w:w="28" w:type="dxa"/>
            </w:tcMar>
            <w:vAlign w:val="center"/>
          </w:tcPr>
          <w:p>
            <w:pPr>
              <w:pStyle w:val="TableContents"/>
              <w:bidi w:val="0"/>
              <w:spacing w:before="0" w:after="283"/>
              <w:jc w:val="right"/>
              <w:rPr>
                <w:b/>
                <w:color w:val="FFFFFF"/>
              </w:rPr>
            </w:pPr>
            <w:r>
              <w:rPr>
                <w:b/>
                <w:color w:val="FFFFFF"/>
              </w:rPr>
              <w:t>Change</w:t>
              <w:br/>
              <w:t>in</w:t>
              <w:br/>
              <w:t>Control($)</w:t>
            </w:r>
          </w:p>
        </w:tc>
        <w:tc>
          <w:tcPr>
            <w:tcW w:w="30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554" w:type="dxa"/>
            <w:gridSpan w:val="2"/>
            <w:tcBorders>
              <w:bottom w:val="single" w:sz="8" w:space="0" w:color="FFFFFF"/>
            </w:tcBorders>
            <w:shd w:fill="0171B9" w:val="clear"/>
            <w:tcMar>
              <w:bottom w:w="28" w:type="dxa"/>
            </w:tcMar>
            <w:vAlign w:val="center"/>
          </w:tcPr>
          <w:p>
            <w:pPr>
              <w:pStyle w:val="TableContents"/>
              <w:bidi w:val="0"/>
              <w:spacing w:before="0" w:after="283"/>
              <w:jc w:val="right"/>
              <w:rPr>
                <w:b/>
                <w:color w:val="FFFFFF"/>
              </w:rPr>
            </w:pPr>
            <w:r>
              <w:rPr>
                <w:b/>
                <w:color w:val="FFFFFF"/>
              </w:rPr>
              <w:t>Change in</w:t>
              <w:br/>
              <w:t>Control and</w:t>
              <w:br/>
              <w:t>Terminations($)</w:t>
            </w:r>
          </w:p>
        </w:tc>
        <w:tc>
          <w:tcPr>
            <w:tcW w:w="30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329" w:type="dxa"/>
            <w:gridSpan w:val="2"/>
            <w:tcBorders>
              <w:bottom w:val="single" w:sz="8" w:space="0" w:color="FFFFFF"/>
            </w:tcBorders>
            <w:shd w:fill="0171B9" w:val="clear"/>
            <w:tcMar>
              <w:bottom w:w="28" w:type="dxa"/>
            </w:tcMar>
            <w:vAlign w:val="center"/>
          </w:tcPr>
          <w:p>
            <w:pPr>
              <w:pStyle w:val="TableContents"/>
              <w:bidi w:val="0"/>
              <w:spacing w:before="0" w:after="283"/>
              <w:jc w:val="right"/>
              <w:rPr>
                <w:b/>
                <w:color w:val="FFFFFF"/>
              </w:rPr>
            </w:pPr>
            <w:r>
              <w:rPr>
                <w:b/>
                <w:color w:val="FFFFFF"/>
              </w:rPr>
              <w:t>Retirement($)</w:t>
            </w:r>
          </w:p>
        </w:tc>
        <w:tc>
          <w:tcPr>
            <w:tcW w:w="30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15" w:type="dxa"/>
            <w:gridSpan w:val="2"/>
            <w:tcBorders>
              <w:bottom w:val="single" w:sz="8" w:space="0" w:color="FFFFFF"/>
            </w:tcBorders>
            <w:shd w:fill="0171B9" w:val="clear"/>
            <w:tcMar>
              <w:bottom w:w="28" w:type="dxa"/>
            </w:tcMar>
            <w:vAlign w:val="center"/>
          </w:tcPr>
          <w:p>
            <w:pPr>
              <w:pStyle w:val="TableContents"/>
              <w:bidi w:val="0"/>
              <w:spacing w:before="0" w:after="283"/>
              <w:jc w:val="right"/>
              <w:rPr>
                <w:b/>
                <w:color w:val="FFFFFF"/>
              </w:rPr>
            </w:pPr>
            <w:r>
              <w:rPr>
                <w:b/>
                <w:color w:val="FFFFFF"/>
              </w:rPr>
              <w:t>Death or</w:t>
              <w:br/>
              <w:t>Disability($)</w:t>
            </w:r>
          </w:p>
        </w:tc>
        <w:tc>
          <w:tcPr>
            <w:tcW w:w="319"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r>
      <w:tr>
        <w:trPr/>
        <w:tc>
          <w:tcPr>
            <w:tcW w:w="3308" w:type="dxa"/>
            <w:tcBorders/>
            <w:shd w:fill="CCE2F1" w:val="clear"/>
            <w:vAlign w:val="center"/>
          </w:tcPr>
          <w:p>
            <w:pPr>
              <w:pStyle w:val="TableContents"/>
              <w:bidi w:val="0"/>
              <w:spacing w:before="0" w:after="283"/>
              <w:jc w:val="left"/>
              <w:rPr>
                <w:sz w:val="4"/>
                <w:szCs w:val="4"/>
              </w:rPr>
            </w:pPr>
            <w:r>
              <w:rPr>
                <w:sz w:val="4"/>
                <w:szCs w:val="4"/>
              </w:rPr>
            </w:r>
          </w:p>
        </w:tc>
        <w:tc>
          <w:tcPr>
            <w:tcW w:w="1520" w:type="dxa"/>
            <w:gridSpan w:val="4"/>
            <w:tcBorders/>
            <w:shd w:fill="CCE2F1" w:val="clear"/>
            <w:vAlign w:val="center"/>
          </w:tcPr>
          <w:p>
            <w:pPr>
              <w:pStyle w:val="TableContents"/>
              <w:bidi w:val="0"/>
              <w:spacing w:before="0" w:after="283"/>
              <w:jc w:val="left"/>
              <w:rPr>
                <w:sz w:val="4"/>
                <w:szCs w:val="4"/>
              </w:rPr>
            </w:pPr>
            <w:r>
              <w:rPr>
                <w:sz w:val="4"/>
                <w:szCs w:val="4"/>
              </w:rPr>
            </w:r>
          </w:p>
        </w:tc>
        <w:tc>
          <w:tcPr>
            <w:tcW w:w="1974" w:type="dxa"/>
            <w:gridSpan w:val="4"/>
            <w:tcBorders/>
            <w:shd w:fill="CCE2F1" w:val="clear"/>
            <w:vAlign w:val="center"/>
          </w:tcPr>
          <w:p>
            <w:pPr>
              <w:pStyle w:val="TableContents"/>
              <w:bidi w:val="0"/>
              <w:spacing w:before="0" w:after="283"/>
              <w:jc w:val="left"/>
              <w:rPr>
                <w:sz w:val="4"/>
                <w:szCs w:val="4"/>
              </w:rPr>
            </w:pPr>
            <w:r>
              <w:rPr>
                <w:sz w:val="4"/>
                <w:szCs w:val="4"/>
              </w:rPr>
            </w:r>
          </w:p>
        </w:tc>
        <w:tc>
          <w:tcPr>
            <w:tcW w:w="1749" w:type="dxa"/>
            <w:gridSpan w:val="4"/>
            <w:tcBorders/>
            <w:shd w:fill="CCE2F1" w:val="clear"/>
            <w:vAlign w:val="center"/>
          </w:tcPr>
          <w:p>
            <w:pPr>
              <w:pStyle w:val="TableContents"/>
              <w:bidi w:val="0"/>
              <w:spacing w:before="0" w:after="283"/>
              <w:jc w:val="left"/>
              <w:rPr>
                <w:sz w:val="4"/>
                <w:szCs w:val="4"/>
              </w:rPr>
            </w:pPr>
            <w:r>
              <w:rPr>
                <w:sz w:val="4"/>
                <w:szCs w:val="4"/>
              </w:rPr>
            </w:r>
          </w:p>
        </w:tc>
        <w:tc>
          <w:tcPr>
            <w:tcW w:w="1654"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3308" w:type="dxa"/>
            <w:tcBorders/>
            <w:shd w:fill="CCE2F1" w:val="clear"/>
            <w:vAlign w:val="center"/>
          </w:tcPr>
          <w:p>
            <w:pPr>
              <w:pStyle w:val="TableContents"/>
              <w:bidi w:val="0"/>
              <w:spacing w:before="0" w:after="0"/>
              <w:jc w:val="left"/>
              <w:rPr>
                <w:rFonts w:ascii="arial" w:hAnsi="arial"/>
                <w:sz w:val="18"/>
              </w:rPr>
            </w:pPr>
            <w:r>
              <w:rPr>
                <w:rFonts w:ascii="arial" w:hAnsi="arial"/>
                <w:sz w:val="18"/>
              </w:rPr>
              <w:t>Lump sum cash severance payment</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100" w:type="dxa"/>
            <w:tcBorders/>
            <w:shd w:fill="CCE2F1" w:val="clear"/>
            <w:vAlign w:val="center"/>
          </w:tcPr>
          <w:p>
            <w:pPr>
              <w:pStyle w:val="TableContents"/>
              <w:bidi w:val="0"/>
              <w:spacing w:before="0" w:after="283"/>
              <w:jc w:val="right"/>
              <w:rPr/>
            </w:pPr>
            <w:r>
              <w:rPr/>
              <w:t>0</w:t>
            </w:r>
          </w:p>
        </w:tc>
        <w:tc>
          <w:tcPr>
            <w:tcW w:w="30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79" w:type="dxa"/>
            <w:tcBorders/>
            <w:shd w:fill="CCE2F1" w:val="clear"/>
            <w:vAlign w:val="center"/>
          </w:tcPr>
          <w:p>
            <w:pPr>
              <w:pStyle w:val="TableContents"/>
              <w:bidi w:val="0"/>
              <w:spacing w:before="0" w:after="283"/>
              <w:jc w:val="left"/>
              <w:rPr/>
            </w:pPr>
            <w:r>
              <w:rPr/>
              <w:t> </w:t>
            </w:r>
          </w:p>
        </w:tc>
        <w:tc>
          <w:tcPr>
            <w:tcW w:w="1475" w:type="dxa"/>
            <w:tcBorders/>
            <w:shd w:fill="CCE2F1" w:val="clear"/>
            <w:vAlign w:val="center"/>
          </w:tcPr>
          <w:p>
            <w:pPr>
              <w:pStyle w:val="TableContents"/>
              <w:bidi w:val="0"/>
              <w:spacing w:before="0" w:after="283"/>
              <w:jc w:val="right"/>
              <w:rPr/>
            </w:pPr>
            <w:r>
              <w:rPr/>
              <w:t>8,985,500</w:t>
            </w:r>
          </w:p>
        </w:tc>
        <w:tc>
          <w:tcPr>
            <w:tcW w:w="30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8" w:type="dxa"/>
            <w:tcBorders/>
            <w:shd w:fill="CCE2F1" w:val="clear"/>
            <w:vAlign w:val="center"/>
          </w:tcPr>
          <w:p>
            <w:pPr>
              <w:pStyle w:val="TableContents"/>
              <w:bidi w:val="0"/>
              <w:spacing w:before="0" w:after="283"/>
              <w:jc w:val="left"/>
              <w:rPr/>
            </w:pPr>
            <w:r>
              <w:rPr/>
              <w:t> </w:t>
            </w:r>
          </w:p>
        </w:tc>
        <w:tc>
          <w:tcPr>
            <w:tcW w:w="1261" w:type="dxa"/>
            <w:tcBorders/>
            <w:shd w:fill="CCE2F1" w:val="clear"/>
            <w:vAlign w:val="center"/>
          </w:tcPr>
          <w:p>
            <w:pPr>
              <w:pStyle w:val="TableContents"/>
              <w:bidi w:val="0"/>
              <w:spacing w:before="0" w:after="283"/>
              <w:jc w:val="right"/>
              <w:rPr/>
            </w:pPr>
            <w:r>
              <w:rPr/>
              <w:t>0</w:t>
            </w:r>
          </w:p>
        </w:tc>
        <w:tc>
          <w:tcPr>
            <w:tcW w:w="30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2" w:type="dxa"/>
            <w:tcBorders/>
            <w:shd w:fill="CCE2F1" w:val="clear"/>
            <w:vAlign w:val="center"/>
          </w:tcPr>
          <w:p>
            <w:pPr>
              <w:pStyle w:val="TableContents"/>
              <w:bidi w:val="0"/>
              <w:spacing w:before="0" w:after="283"/>
              <w:jc w:val="left"/>
              <w:rPr/>
            </w:pPr>
            <w:r>
              <w:rPr/>
              <w:t> </w:t>
            </w:r>
          </w:p>
        </w:tc>
        <w:tc>
          <w:tcPr>
            <w:tcW w:w="1153" w:type="dxa"/>
            <w:tcBorders/>
            <w:shd w:fill="CCE2F1" w:val="clear"/>
            <w:vAlign w:val="center"/>
          </w:tcPr>
          <w:p>
            <w:pPr>
              <w:pStyle w:val="TableContents"/>
              <w:bidi w:val="0"/>
              <w:spacing w:before="0" w:after="283"/>
              <w:jc w:val="right"/>
              <w:rPr/>
            </w:pPr>
            <w:r>
              <w:rPr/>
              <w:t>0</w:t>
            </w:r>
          </w:p>
        </w:tc>
        <w:tc>
          <w:tcPr>
            <w:tcW w:w="319" w:type="dxa"/>
            <w:tcBorders/>
            <w:shd w:fill="CCE2F1" w:val="clear"/>
            <w:vAlign w:val="center"/>
          </w:tcPr>
          <w:p>
            <w:pPr>
              <w:pStyle w:val="TableContents"/>
              <w:bidi w:val="0"/>
              <w:spacing w:before="0" w:after="283"/>
              <w:jc w:val="left"/>
              <w:rPr/>
            </w:pPr>
            <w:r>
              <w:rPr/>
              <w:t> </w:t>
            </w:r>
          </w:p>
        </w:tc>
      </w:tr>
      <w:tr>
        <w:trPr/>
        <w:tc>
          <w:tcPr>
            <w:tcW w:w="3308" w:type="dxa"/>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1974" w:type="dxa"/>
            <w:gridSpan w:val="4"/>
            <w:tcBorders/>
            <w:vAlign w:val="center"/>
          </w:tcPr>
          <w:p>
            <w:pPr>
              <w:pStyle w:val="TableContents"/>
              <w:bidi w:val="0"/>
              <w:spacing w:before="0" w:after="283"/>
              <w:jc w:val="left"/>
              <w:rPr>
                <w:sz w:val="4"/>
                <w:szCs w:val="4"/>
              </w:rPr>
            </w:pPr>
            <w:r>
              <w:rPr>
                <w:sz w:val="4"/>
                <w:szCs w:val="4"/>
              </w:rPr>
            </w:r>
          </w:p>
        </w:tc>
        <w:tc>
          <w:tcPr>
            <w:tcW w:w="1749" w:type="dxa"/>
            <w:gridSpan w:val="4"/>
            <w:tcBorders/>
            <w:vAlign w:val="center"/>
          </w:tcPr>
          <w:p>
            <w:pPr>
              <w:pStyle w:val="TableContents"/>
              <w:bidi w:val="0"/>
              <w:spacing w:before="0" w:after="283"/>
              <w:jc w:val="left"/>
              <w:rPr>
                <w:sz w:val="4"/>
                <w:szCs w:val="4"/>
              </w:rPr>
            </w:pPr>
            <w:r>
              <w:rPr>
                <w:sz w:val="4"/>
                <w:szCs w:val="4"/>
              </w:rPr>
            </w:r>
          </w:p>
        </w:tc>
        <w:tc>
          <w:tcPr>
            <w:tcW w:w="1654" w:type="dxa"/>
            <w:gridSpan w:val="4"/>
            <w:tcBorders/>
            <w:vAlign w:val="center"/>
          </w:tcPr>
          <w:p>
            <w:pPr>
              <w:pStyle w:val="TableContents"/>
              <w:bidi w:val="0"/>
              <w:spacing w:before="0" w:after="283"/>
              <w:jc w:val="left"/>
              <w:rPr>
                <w:sz w:val="4"/>
                <w:szCs w:val="4"/>
              </w:rPr>
            </w:pPr>
            <w:r>
              <w:rPr>
                <w:sz w:val="4"/>
                <w:szCs w:val="4"/>
              </w:rPr>
            </w:r>
          </w:p>
        </w:tc>
      </w:tr>
      <w:tr>
        <w:trPr/>
        <w:tc>
          <w:tcPr>
            <w:tcW w:w="3308" w:type="dxa"/>
            <w:tcBorders/>
            <w:vAlign w:val="center"/>
          </w:tcPr>
          <w:p>
            <w:pPr>
              <w:pStyle w:val="TableContents"/>
              <w:bidi w:val="0"/>
              <w:spacing w:before="0" w:after="0"/>
              <w:jc w:val="left"/>
              <w:rPr>
                <w:rFonts w:ascii="arial" w:hAnsi="arial"/>
                <w:sz w:val="18"/>
              </w:rPr>
            </w:pPr>
            <w:r>
              <w:rPr>
                <w:rFonts w:ascii="arial" w:hAnsi="arial"/>
                <w:sz w:val="18"/>
              </w:rPr>
              <w:t>Intrinsic value of accelerated unvested stock 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w:t>
            </w:r>
          </w:p>
        </w:tc>
        <w:tc>
          <w:tcPr>
            <w:tcW w:w="3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pPr>
            <w:r>
              <w:rPr/>
              <w:t>17,889,771</w:t>
            </w:r>
          </w:p>
        </w:tc>
        <w:tc>
          <w:tcPr>
            <w:tcW w:w="3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17,889,771</w:t>
            </w:r>
          </w:p>
        </w:tc>
        <w:tc>
          <w:tcPr>
            <w:tcW w:w="3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right"/>
              <w:rPr/>
            </w:pPr>
            <w:r>
              <w:rPr/>
              <w:t>17,889,771</w:t>
            </w:r>
          </w:p>
        </w:tc>
        <w:tc>
          <w:tcPr>
            <w:tcW w:w="319" w:type="dxa"/>
            <w:tcBorders/>
            <w:vAlign w:val="center"/>
          </w:tcPr>
          <w:p>
            <w:pPr>
              <w:pStyle w:val="TableContents"/>
              <w:bidi w:val="0"/>
              <w:spacing w:before="0" w:after="283"/>
              <w:jc w:val="left"/>
              <w:rPr/>
            </w:pPr>
            <w:r>
              <w:rPr/>
              <w:t> </w:t>
            </w:r>
          </w:p>
        </w:tc>
      </w:tr>
      <w:tr>
        <w:trPr/>
        <w:tc>
          <w:tcPr>
            <w:tcW w:w="3308" w:type="dxa"/>
            <w:tcBorders/>
            <w:shd w:fill="CCE2F1" w:val="clear"/>
            <w:vAlign w:val="center"/>
          </w:tcPr>
          <w:p>
            <w:pPr>
              <w:pStyle w:val="TableContents"/>
              <w:bidi w:val="0"/>
              <w:spacing w:before="0" w:after="283"/>
              <w:jc w:val="left"/>
              <w:rPr>
                <w:sz w:val="4"/>
                <w:szCs w:val="4"/>
              </w:rPr>
            </w:pPr>
            <w:r>
              <w:rPr>
                <w:sz w:val="4"/>
                <w:szCs w:val="4"/>
              </w:rPr>
            </w:r>
          </w:p>
        </w:tc>
        <w:tc>
          <w:tcPr>
            <w:tcW w:w="1520" w:type="dxa"/>
            <w:gridSpan w:val="4"/>
            <w:tcBorders/>
            <w:shd w:fill="CCE2F1" w:val="clear"/>
            <w:vAlign w:val="center"/>
          </w:tcPr>
          <w:p>
            <w:pPr>
              <w:pStyle w:val="TableContents"/>
              <w:bidi w:val="0"/>
              <w:spacing w:before="0" w:after="283"/>
              <w:jc w:val="left"/>
              <w:rPr>
                <w:sz w:val="4"/>
                <w:szCs w:val="4"/>
              </w:rPr>
            </w:pPr>
            <w:r>
              <w:rPr>
                <w:sz w:val="4"/>
                <w:szCs w:val="4"/>
              </w:rPr>
            </w:r>
          </w:p>
        </w:tc>
        <w:tc>
          <w:tcPr>
            <w:tcW w:w="1974" w:type="dxa"/>
            <w:gridSpan w:val="4"/>
            <w:tcBorders/>
            <w:shd w:fill="CCE2F1" w:val="clear"/>
            <w:vAlign w:val="center"/>
          </w:tcPr>
          <w:p>
            <w:pPr>
              <w:pStyle w:val="TableContents"/>
              <w:bidi w:val="0"/>
              <w:spacing w:before="0" w:after="283"/>
              <w:jc w:val="left"/>
              <w:rPr>
                <w:sz w:val="4"/>
                <w:szCs w:val="4"/>
              </w:rPr>
            </w:pPr>
            <w:r>
              <w:rPr>
                <w:sz w:val="4"/>
                <w:szCs w:val="4"/>
              </w:rPr>
            </w:r>
          </w:p>
        </w:tc>
        <w:tc>
          <w:tcPr>
            <w:tcW w:w="1749" w:type="dxa"/>
            <w:gridSpan w:val="4"/>
            <w:tcBorders/>
            <w:shd w:fill="CCE2F1" w:val="clear"/>
            <w:vAlign w:val="center"/>
          </w:tcPr>
          <w:p>
            <w:pPr>
              <w:pStyle w:val="TableContents"/>
              <w:bidi w:val="0"/>
              <w:spacing w:before="0" w:after="283"/>
              <w:jc w:val="left"/>
              <w:rPr>
                <w:sz w:val="4"/>
                <w:szCs w:val="4"/>
              </w:rPr>
            </w:pPr>
            <w:r>
              <w:rPr>
                <w:sz w:val="4"/>
                <w:szCs w:val="4"/>
              </w:rPr>
            </w:r>
          </w:p>
        </w:tc>
        <w:tc>
          <w:tcPr>
            <w:tcW w:w="1654"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3308" w:type="dxa"/>
            <w:tcBorders/>
            <w:shd w:fill="CCE2F1" w:val="clear"/>
            <w:vAlign w:val="center"/>
          </w:tcPr>
          <w:p>
            <w:pPr>
              <w:pStyle w:val="TableContents"/>
              <w:bidi w:val="0"/>
              <w:spacing w:before="0" w:after="0"/>
              <w:jc w:val="left"/>
              <w:rPr>
                <w:rFonts w:ascii="arial" w:hAnsi="arial"/>
                <w:sz w:val="18"/>
              </w:rPr>
            </w:pPr>
            <w:r>
              <w:rPr>
                <w:rFonts w:ascii="arial" w:hAnsi="arial"/>
                <w:sz w:val="18"/>
              </w:rPr>
              <w:t>Intrinsic value of accelerated unvested RSUs</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100" w:type="dxa"/>
            <w:tcBorders/>
            <w:shd w:fill="CCE2F1" w:val="clear"/>
            <w:vAlign w:val="center"/>
          </w:tcPr>
          <w:p>
            <w:pPr>
              <w:pStyle w:val="TableContents"/>
              <w:bidi w:val="0"/>
              <w:spacing w:before="0" w:after="283"/>
              <w:jc w:val="right"/>
              <w:rPr/>
            </w:pPr>
            <w:r>
              <w:rPr/>
              <w:t>0</w:t>
            </w:r>
          </w:p>
        </w:tc>
        <w:tc>
          <w:tcPr>
            <w:tcW w:w="30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79" w:type="dxa"/>
            <w:tcBorders/>
            <w:shd w:fill="CCE2F1" w:val="clear"/>
            <w:vAlign w:val="center"/>
          </w:tcPr>
          <w:p>
            <w:pPr>
              <w:pStyle w:val="TableContents"/>
              <w:bidi w:val="0"/>
              <w:spacing w:before="0" w:after="283"/>
              <w:jc w:val="left"/>
              <w:rPr/>
            </w:pPr>
            <w:r>
              <w:rPr/>
              <w:t> </w:t>
            </w:r>
          </w:p>
        </w:tc>
        <w:tc>
          <w:tcPr>
            <w:tcW w:w="1475" w:type="dxa"/>
            <w:tcBorders/>
            <w:shd w:fill="CCE2F1" w:val="clear"/>
            <w:vAlign w:val="center"/>
          </w:tcPr>
          <w:p>
            <w:pPr>
              <w:pStyle w:val="TableContents"/>
              <w:bidi w:val="0"/>
              <w:spacing w:before="0" w:after="283"/>
              <w:jc w:val="right"/>
              <w:rPr/>
            </w:pPr>
            <w:r>
              <w:rPr/>
              <w:t>12,334,457</w:t>
            </w:r>
          </w:p>
        </w:tc>
        <w:tc>
          <w:tcPr>
            <w:tcW w:w="30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8" w:type="dxa"/>
            <w:tcBorders/>
            <w:shd w:fill="CCE2F1" w:val="clear"/>
            <w:vAlign w:val="center"/>
          </w:tcPr>
          <w:p>
            <w:pPr>
              <w:pStyle w:val="TableContents"/>
              <w:bidi w:val="0"/>
              <w:spacing w:before="0" w:after="283"/>
              <w:jc w:val="left"/>
              <w:rPr/>
            </w:pPr>
            <w:r>
              <w:rPr/>
              <w:t> </w:t>
            </w:r>
          </w:p>
        </w:tc>
        <w:tc>
          <w:tcPr>
            <w:tcW w:w="1261" w:type="dxa"/>
            <w:tcBorders/>
            <w:shd w:fill="CCE2F1" w:val="clear"/>
            <w:vAlign w:val="center"/>
          </w:tcPr>
          <w:p>
            <w:pPr>
              <w:pStyle w:val="TableContents"/>
              <w:bidi w:val="0"/>
              <w:spacing w:before="0" w:after="283"/>
              <w:jc w:val="right"/>
              <w:rPr/>
            </w:pPr>
            <w:r>
              <w:rPr/>
              <w:t>12,334,457</w:t>
            </w:r>
          </w:p>
        </w:tc>
        <w:tc>
          <w:tcPr>
            <w:tcW w:w="30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2" w:type="dxa"/>
            <w:tcBorders/>
            <w:shd w:fill="CCE2F1" w:val="clear"/>
            <w:vAlign w:val="center"/>
          </w:tcPr>
          <w:p>
            <w:pPr>
              <w:pStyle w:val="TableContents"/>
              <w:bidi w:val="0"/>
              <w:spacing w:before="0" w:after="283"/>
              <w:jc w:val="left"/>
              <w:rPr/>
            </w:pPr>
            <w:r>
              <w:rPr/>
              <w:t> </w:t>
            </w:r>
          </w:p>
        </w:tc>
        <w:tc>
          <w:tcPr>
            <w:tcW w:w="1153" w:type="dxa"/>
            <w:tcBorders/>
            <w:shd w:fill="CCE2F1" w:val="clear"/>
            <w:vAlign w:val="center"/>
          </w:tcPr>
          <w:p>
            <w:pPr>
              <w:pStyle w:val="TableContents"/>
              <w:bidi w:val="0"/>
              <w:spacing w:before="0" w:after="283"/>
              <w:jc w:val="right"/>
              <w:rPr/>
            </w:pPr>
            <w:r>
              <w:rPr/>
              <w:t>12,334,457</w:t>
            </w:r>
          </w:p>
        </w:tc>
        <w:tc>
          <w:tcPr>
            <w:tcW w:w="319" w:type="dxa"/>
            <w:tcBorders/>
            <w:shd w:fill="CCE2F1" w:val="clear"/>
            <w:vAlign w:val="center"/>
          </w:tcPr>
          <w:p>
            <w:pPr>
              <w:pStyle w:val="TableContents"/>
              <w:bidi w:val="0"/>
              <w:spacing w:before="0" w:after="283"/>
              <w:jc w:val="left"/>
              <w:rPr/>
            </w:pPr>
            <w:r>
              <w:rPr/>
              <w:t> </w:t>
            </w:r>
          </w:p>
        </w:tc>
      </w:tr>
      <w:tr>
        <w:trPr/>
        <w:tc>
          <w:tcPr>
            <w:tcW w:w="3308" w:type="dxa"/>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1974" w:type="dxa"/>
            <w:gridSpan w:val="4"/>
            <w:tcBorders/>
            <w:vAlign w:val="center"/>
          </w:tcPr>
          <w:p>
            <w:pPr>
              <w:pStyle w:val="TableContents"/>
              <w:bidi w:val="0"/>
              <w:spacing w:before="0" w:after="283"/>
              <w:jc w:val="left"/>
              <w:rPr>
                <w:sz w:val="4"/>
                <w:szCs w:val="4"/>
              </w:rPr>
            </w:pPr>
            <w:r>
              <w:rPr>
                <w:sz w:val="4"/>
                <w:szCs w:val="4"/>
              </w:rPr>
            </w:r>
          </w:p>
        </w:tc>
        <w:tc>
          <w:tcPr>
            <w:tcW w:w="1749" w:type="dxa"/>
            <w:gridSpan w:val="4"/>
            <w:tcBorders/>
            <w:vAlign w:val="center"/>
          </w:tcPr>
          <w:p>
            <w:pPr>
              <w:pStyle w:val="TableContents"/>
              <w:bidi w:val="0"/>
              <w:spacing w:before="0" w:after="283"/>
              <w:jc w:val="left"/>
              <w:rPr>
                <w:sz w:val="4"/>
                <w:szCs w:val="4"/>
              </w:rPr>
            </w:pPr>
            <w:r>
              <w:rPr>
                <w:sz w:val="4"/>
                <w:szCs w:val="4"/>
              </w:rPr>
            </w:r>
          </w:p>
        </w:tc>
        <w:tc>
          <w:tcPr>
            <w:tcW w:w="1654" w:type="dxa"/>
            <w:gridSpan w:val="4"/>
            <w:tcBorders/>
            <w:vAlign w:val="center"/>
          </w:tcPr>
          <w:p>
            <w:pPr>
              <w:pStyle w:val="TableContents"/>
              <w:bidi w:val="0"/>
              <w:spacing w:before="0" w:after="283"/>
              <w:jc w:val="left"/>
              <w:rPr>
                <w:sz w:val="4"/>
                <w:szCs w:val="4"/>
              </w:rPr>
            </w:pPr>
            <w:r>
              <w:rPr>
                <w:sz w:val="4"/>
                <w:szCs w:val="4"/>
              </w:rPr>
            </w:r>
          </w:p>
        </w:tc>
      </w:tr>
      <w:tr>
        <w:trPr/>
        <w:tc>
          <w:tcPr>
            <w:tcW w:w="3308" w:type="dxa"/>
            <w:tcBorders/>
            <w:vAlign w:val="center"/>
          </w:tcPr>
          <w:p>
            <w:pPr>
              <w:pStyle w:val="TableContents"/>
              <w:bidi w:val="0"/>
              <w:spacing w:before="0" w:after="0"/>
              <w:jc w:val="left"/>
              <w:rPr>
                <w:rFonts w:ascii="arial" w:hAnsi="arial"/>
                <w:sz w:val="18"/>
              </w:rPr>
            </w:pPr>
            <w:r>
              <w:rPr>
                <w:rFonts w:ascii="arial" w:hAnsi="arial"/>
                <w:sz w:val="18"/>
              </w:rPr>
              <w:t>Value of 2023-2025 performance 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12,106,345</w:t>
            </w:r>
          </w:p>
        </w:tc>
        <w:tc>
          <w:tcPr>
            <w:tcW w:w="300" w:type="dxa"/>
            <w:tcBorders/>
            <w:vAlign w:val="center"/>
          </w:tcPr>
          <w:p>
            <w:pPr>
              <w:pStyle w:val="TableContents"/>
              <w:bidi w:val="0"/>
              <w:spacing w:before="0" w:after="283"/>
              <w:jc w:val="left"/>
              <w:rPr/>
            </w:pPr>
            <w:r>
              <w:rPr/>
              <w:t>(1) </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pPr>
            <w:r>
              <w:rPr/>
              <w:t>12,106,345</w:t>
            </w:r>
          </w:p>
        </w:tc>
        <w:tc>
          <w:tcPr>
            <w:tcW w:w="300" w:type="dxa"/>
            <w:tcBorders/>
            <w:vAlign w:val="center"/>
          </w:tcPr>
          <w:p>
            <w:pPr>
              <w:pStyle w:val="TableContents"/>
              <w:bidi w:val="0"/>
              <w:spacing w:before="0" w:after="283"/>
              <w:jc w:val="left"/>
              <w:rPr/>
            </w:pPr>
            <w:r>
              <w:rPr/>
              <w:t>(1) </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12,367,003</w:t>
            </w:r>
          </w:p>
        </w:tc>
        <w:tc>
          <w:tcPr>
            <w:tcW w:w="300" w:type="dxa"/>
            <w:tcBorders/>
            <w:vAlign w:val="center"/>
          </w:tcPr>
          <w:p>
            <w:pPr>
              <w:pStyle w:val="TableContents"/>
              <w:bidi w:val="0"/>
              <w:spacing w:before="0" w:after="283"/>
              <w:jc w:val="left"/>
              <w:rPr/>
            </w:pPr>
            <w:r>
              <w:rPr/>
              <w:t>(2)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right"/>
              <w:rPr/>
            </w:pPr>
            <w:r>
              <w:rPr/>
              <w:t>12,367,003</w:t>
            </w:r>
          </w:p>
        </w:tc>
        <w:tc>
          <w:tcPr>
            <w:tcW w:w="319" w:type="dxa"/>
            <w:tcBorders/>
            <w:vAlign w:val="center"/>
          </w:tcPr>
          <w:p>
            <w:pPr>
              <w:pStyle w:val="TableContents"/>
              <w:bidi w:val="0"/>
              <w:spacing w:before="0" w:after="283"/>
              <w:jc w:val="left"/>
              <w:rPr/>
            </w:pPr>
            <w:r>
              <w:rPr/>
              <w:t>(2) </w:t>
            </w:r>
          </w:p>
        </w:tc>
      </w:tr>
      <w:tr>
        <w:trPr/>
        <w:tc>
          <w:tcPr>
            <w:tcW w:w="3308" w:type="dxa"/>
            <w:tcBorders/>
            <w:shd w:fill="CCE2F1" w:val="clear"/>
            <w:vAlign w:val="center"/>
          </w:tcPr>
          <w:p>
            <w:pPr>
              <w:pStyle w:val="TableContents"/>
              <w:bidi w:val="0"/>
              <w:spacing w:before="0" w:after="283"/>
              <w:jc w:val="left"/>
              <w:rPr>
                <w:sz w:val="4"/>
                <w:szCs w:val="4"/>
              </w:rPr>
            </w:pPr>
            <w:r>
              <w:rPr>
                <w:sz w:val="4"/>
                <w:szCs w:val="4"/>
              </w:rPr>
            </w:r>
          </w:p>
        </w:tc>
        <w:tc>
          <w:tcPr>
            <w:tcW w:w="1520" w:type="dxa"/>
            <w:gridSpan w:val="4"/>
            <w:tcBorders/>
            <w:shd w:fill="CCE2F1" w:val="clear"/>
            <w:vAlign w:val="center"/>
          </w:tcPr>
          <w:p>
            <w:pPr>
              <w:pStyle w:val="TableContents"/>
              <w:bidi w:val="0"/>
              <w:spacing w:before="0" w:after="283"/>
              <w:jc w:val="left"/>
              <w:rPr>
                <w:sz w:val="4"/>
                <w:szCs w:val="4"/>
              </w:rPr>
            </w:pPr>
            <w:r>
              <w:rPr>
                <w:sz w:val="4"/>
                <w:szCs w:val="4"/>
              </w:rPr>
            </w:r>
          </w:p>
        </w:tc>
        <w:tc>
          <w:tcPr>
            <w:tcW w:w="1974" w:type="dxa"/>
            <w:gridSpan w:val="4"/>
            <w:tcBorders/>
            <w:shd w:fill="CCE2F1" w:val="clear"/>
            <w:vAlign w:val="center"/>
          </w:tcPr>
          <w:p>
            <w:pPr>
              <w:pStyle w:val="TableContents"/>
              <w:bidi w:val="0"/>
              <w:spacing w:before="0" w:after="283"/>
              <w:jc w:val="left"/>
              <w:rPr>
                <w:sz w:val="4"/>
                <w:szCs w:val="4"/>
              </w:rPr>
            </w:pPr>
            <w:r>
              <w:rPr>
                <w:sz w:val="4"/>
                <w:szCs w:val="4"/>
              </w:rPr>
            </w:r>
          </w:p>
        </w:tc>
        <w:tc>
          <w:tcPr>
            <w:tcW w:w="1749" w:type="dxa"/>
            <w:gridSpan w:val="4"/>
            <w:tcBorders/>
            <w:shd w:fill="CCE2F1" w:val="clear"/>
            <w:vAlign w:val="center"/>
          </w:tcPr>
          <w:p>
            <w:pPr>
              <w:pStyle w:val="TableContents"/>
              <w:bidi w:val="0"/>
              <w:spacing w:before="0" w:after="283"/>
              <w:jc w:val="left"/>
              <w:rPr>
                <w:sz w:val="4"/>
                <w:szCs w:val="4"/>
              </w:rPr>
            </w:pPr>
            <w:r>
              <w:rPr>
                <w:sz w:val="4"/>
                <w:szCs w:val="4"/>
              </w:rPr>
            </w:r>
          </w:p>
        </w:tc>
        <w:tc>
          <w:tcPr>
            <w:tcW w:w="1654"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3308" w:type="dxa"/>
            <w:tcBorders/>
            <w:shd w:fill="CCE2F1" w:val="clear"/>
            <w:vAlign w:val="center"/>
          </w:tcPr>
          <w:p>
            <w:pPr>
              <w:pStyle w:val="TableContents"/>
              <w:bidi w:val="0"/>
              <w:spacing w:before="0" w:after="0"/>
              <w:jc w:val="left"/>
              <w:rPr>
                <w:rFonts w:ascii="arial" w:hAnsi="arial"/>
                <w:sz w:val="18"/>
              </w:rPr>
            </w:pPr>
            <w:r>
              <w:rPr>
                <w:rFonts w:ascii="arial" w:hAnsi="arial"/>
                <w:sz w:val="18"/>
              </w:rPr>
              <w:t>Value of 2022-2024 performance units</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100" w:type="dxa"/>
            <w:tcBorders/>
            <w:shd w:fill="CCE2F1" w:val="clear"/>
            <w:vAlign w:val="center"/>
          </w:tcPr>
          <w:p>
            <w:pPr>
              <w:pStyle w:val="TableContents"/>
              <w:bidi w:val="0"/>
              <w:spacing w:before="0" w:after="283"/>
              <w:jc w:val="right"/>
              <w:rPr/>
            </w:pPr>
            <w:r>
              <w:rPr/>
              <w:t>12,848,572</w:t>
            </w:r>
          </w:p>
        </w:tc>
        <w:tc>
          <w:tcPr>
            <w:tcW w:w="300" w:type="dxa"/>
            <w:tcBorders/>
            <w:shd w:fill="CCE2F1" w:val="clear"/>
            <w:vAlign w:val="center"/>
          </w:tcPr>
          <w:p>
            <w:pPr>
              <w:pStyle w:val="TableContents"/>
              <w:bidi w:val="0"/>
              <w:spacing w:before="0" w:after="283"/>
              <w:jc w:val="left"/>
              <w:rPr/>
            </w:pPr>
            <w:r>
              <w:rPr/>
              <w:t>(1) </w:t>
            </w:r>
          </w:p>
        </w:tc>
        <w:tc>
          <w:tcPr>
            <w:tcW w:w="120" w:type="dxa"/>
            <w:tcBorders/>
            <w:shd w:fill="CCE2F1" w:val="clear"/>
            <w:vAlign w:val="center"/>
          </w:tcPr>
          <w:p>
            <w:pPr>
              <w:pStyle w:val="TableContents"/>
              <w:bidi w:val="0"/>
              <w:spacing w:before="0" w:after="283"/>
              <w:jc w:val="left"/>
              <w:rPr/>
            </w:pPr>
            <w:r>
              <w:rPr/>
              <w:t>  </w:t>
            </w:r>
          </w:p>
        </w:tc>
        <w:tc>
          <w:tcPr>
            <w:tcW w:w="79" w:type="dxa"/>
            <w:tcBorders/>
            <w:shd w:fill="CCE2F1" w:val="clear"/>
            <w:vAlign w:val="center"/>
          </w:tcPr>
          <w:p>
            <w:pPr>
              <w:pStyle w:val="TableContents"/>
              <w:bidi w:val="0"/>
              <w:spacing w:before="0" w:after="283"/>
              <w:jc w:val="left"/>
              <w:rPr/>
            </w:pPr>
            <w:r>
              <w:rPr/>
              <w:t> </w:t>
            </w:r>
          </w:p>
        </w:tc>
        <w:tc>
          <w:tcPr>
            <w:tcW w:w="1475" w:type="dxa"/>
            <w:tcBorders/>
            <w:shd w:fill="CCE2F1" w:val="clear"/>
            <w:vAlign w:val="center"/>
          </w:tcPr>
          <w:p>
            <w:pPr>
              <w:pStyle w:val="TableContents"/>
              <w:bidi w:val="0"/>
              <w:spacing w:before="0" w:after="283"/>
              <w:jc w:val="right"/>
              <w:rPr/>
            </w:pPr>
            <w:r>
              <w:rPr/>
              <w:t>12,848,572</w:t>
            </w:r>
          </w:p>
        </w:tc>
        <w:tc>
          <w:tcPr>
            <w:tcW w:w="300" w:type="dxa"/>
            <w:tcBorders/>
            <w:shd w:fill="CCE2F1" w:val="clear"/>
            <w:vAlign w:val="center"/>
          </w:tcPr>
          <w:p>
            <w:pPr>
              <w:pStyle w:val="TableContents"/>
              <w:bidi w:val="0"/>
              <w:spacing w:before="0" w:after="283"/>
              <w:jc w:val="left"/>
              <w:rPr/>
            </w:pPr>
            <w:r>
              <w:rPr/>
              <w:t>(1) </w:t>
            </w:r>
          </w:p>
        </w:tc>
        <w:tc>
          <w:tcPr>
            <w:tcW w:w="120" w:type="dxa"/>
            <w:tcBorders/>
            <w:shd w:fill="CCE2F1" w:val="clear"/>
            <w:vAlign w:val="center"/>
          </w:tcPr>
          <w:p>
            <w:pPr>
              <w:pStyle w:val="TableContents"/>
              <w:bidi w:val="0"/>
              <w:spacing w:before="0" w:after="283"/>
              <w:jc w:val="left"/>
              <w:rPr/>
            </w:pPr>
            <w:r>
              <w:rPr/>
              <w:t>  </w:t>
            </w:r>
          </w:p>
        </w:tc>
        <w:tc>
          <w:tcPr>
            <w:tcW w:w="68" w:type="dxa"/>
            <w:tcBorders/>
            <w:shd w:fill="CCE2F1" w:val="clear"/>
            <w:vAlign w:val="center"/>
          </w:tcPr>
          <w:p>
            <w:pPr>
              <w:pStyle w:val="TableContents"/>
              <w:bidi w:val="0"/>
              <w:spacing w:before="0" w:after="283"/>
              <w:jc w:val="left"/>
              <w:rPr/>
            </w:pPr>
            <w:r>
              <w:rPr/>
              <w:t> </w:t>
            </w:r>
          </w:p>
        </w:tc>
        <w:tc>
          <w:tcPr>
            <w:tcW w:w="1261" w:type="dxa"/>
            <w:tcBorders/>
            <w:shd w:fill="CCE2F1" w:val="clear"/>
            <w:vAlign w:val="center"/>
          </w:tcPr>
          <w:p>
            <w:pPr>
              <w:pStyle w:val="TableContents"/>
              <w:bidi w:val="0"/>
              <w:spacing w:before="0" w:after="283"/>
              <w:jc w:val="right"/>
              <w:rPr/>
            </w:pPr>
            <w:r>
              <w:rPr/>
              <w:t>9,710,018</w:t>
            </w:r>
          </w:p>
        </w:tc>
        <w:tc>
          <w:tcPr>
            <w:tcW w:w="300" w:type="dxa"/>
            <w:tcBorders/>
            <w:shd w:fill="CCE2F1" w:val="clear"/>
            <w:vAlign w:val="center"/>
          </w:tcPr>
          <w:p>
            <w:pPr>
              <w:pStyle w:val="TableContents"/>
              <w:bidi w:val="0"/>
              <w:spacing w:before="0" w:after="283"/>
              <w:jc w:val="left"/>
              <w:rPr/>
            </w:pPr>
            <w:r>
              <w:rPr/>
              <w:t>(2) </w:t>
            </w:r>
          </w:p>
        </w:tc>
        <w:tc>
          <w:tcPr>
            <w:tcW w:w="120" w:type="dxa"/>
            <w:tcBorders/>
            <w:shd w:fill="CCE2F1" w:val="clear"/>
            <w:vAlign w:val="center"/>
          </w:tcPr>
          <w:p>
            <w:pPr>
              <w:pStyle w:val="TableContents"/>
              <w:bidi w:val="0"/>
              <w:spacing w:before="0" w:after="283"/>
              <w:jc w:val="left"/>
              <w:rPr/>
            </w:pPr>
            <w:r>
              <w:rPr/>
              <w:t>  </w:t>
            </w:r>
          </w:p>
        </w:tc>
        <w:tc>
          <w:tcPr>
            <w:tcW w:w="62" w:type="dxa"/>
            <w:tcBorders/>
            <w:shd w:fill="CCE2F1" w:val="clear"/>
            <w:vAlign w:val="center"/>
          </w:tcPr>
          <w:p>
            <w:pPr>
              <w:pStyle w:val="TableContents"/>
              <w:bidi w:val="0"/>
              <w:spacing w:before="0" w:after="283"/>
              <w:jc w:val="left"/>
              <w:rPr/>
            </w:pPr>
            <w:r>
              <w:rPr/>
              <w:t> </w:t>
            </w:r>
          </w:p>
        </w:tc>
        <w:tc>
          <w:tcPr>
            <w:tcW w:w="1153" w:type="dxa"/>
            <w:tcBorders/>
            <w:shd w:fill="CCE2F1" w:val="clear"/>
            <w:vAlign w:val="center"/>
          </w:tcPr>
          <w:p>
            <w:pPr>
              <w:pStyle w:val="TableContents"/>
              <w:bidi w:val="0"/>
              <w:spacing w:before="0" w:after="283"/>
              <w:jc w:val="right"/>
              <w:rPr/>
            </w:pPr>
            <w:r>
              <w:rPr/>
              <w:t>9,710,018</w:t>
            </w:r>
          </w:p>
        </w:tc>
        <w:tc>
          <w:tcPr>
            <w:tcW w:w="319" w:type="dxa"/>
            <w:tcBorders/>
            <w:shd w:fill="CCE2F1" w:val="clear"/>
            <w:vAlign w:val="center"/>
          </w:tcPr>
          <w:p>
            <w:pPr>
              <w:pStyle w:val="TableContents"/>
              <w:bidi w:val="0"/>
              <w:spacing w:before="0" w:after="283"/>
              <w:jc w:val="left"/>
              <w:rPr/>
            </w:pPr>
            <w:r>
              <w:rPr/>
              <w:t>(2) </w:t>
            </w:r>
          </w:p>
        </w:tc>
      </w:tr>
      <w:tr>
        <w:trPr/>
        <w:tc>
          <w:tcPr>
            <w:tcW w:w="3308" w:type="dxa"/>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1974" w:type="dxa"/>
            <w:gridSpan w:val="4"/>
            <w:tcBorders/>
            <w:vAlign w:val="center"/>
          </w:tcPr>
          <w:p>
            <w:pPr>
              <w:pStyle w:val="TableContents"/>
              <w:bidi w:val="0"/>
              <w:spacing w:before="0" w:after="283"/>
              <w:jc w:val="left"/>
              <w:rPr>
                <w:sz w:val="4"/>
                <w:szCs w:val="4"/>
              </w:rPr>
            </w:pPr>
            <w:r>
              <w:rPr>
                <w:sz w:val="4"/>
                <w:szCs w:val="4"/>
              </w:rPr>
            </w:r>
          </w:p>
        </w:tc>
        <w:tc>
          <w:tcPr>
            <w:tcW w:w="1749" w:type="dxa"/>
            <w:gridSpan w:val="4"/>
            <w:tcBorders/>
            <w:vAlign w:val="center"/>
          </w:tcPr>
          <w:p>
            <w:pPr>
              <w:pStyle w:val="TableContents"/>
              <w:bidi w:val="0"/>
              <w:spacing w:before="0" w:after="283"/>
              <w:jc w:val="left"/>
              <w:rPr>
                <w:sz w:val="4"/>
                <w:szCs w:val="4"/>
              </w:rPr>
            </w:pPr>
            <w:r>
              <w:rPr>
                <w:sz w:val="4"/>
                <w:szCs w:val="4"/>
              </w:rPr>
            </w:r>
          </w:p>
        </w:tc>
        <w:tc>
          <w:tcPr>
            <w:tcW w:w="1654" w:type="dxa"/>
            <w:gridSpan w:val="4"/>
            <w:tcBorders/>
            <w:vAlign w:val="center"/>
          </w:tcPr>
          <w:p>
            <w:pPr>
              <w:pStyle w:val="TableContents"/>
              <w:bidi w:val="0"/>
              <w:spacing w:before="0" w:after="283"/>
              <w:jc w:val="left"/>
              <w:rPr>
                <w:sz w:val="4"/>
                <w:szCs w:val="4"/>
              </w:rPr>
            </w:pPr>
            <w:r>
              <w:rPr>
                <w:sz w:val="4"/>
                <w:szCs w:val="4"/>
              </w:rPr>
            </w:r>
          </w:p>
        </w:tc>
      </w:tr>
      <w:tr>
        <w:trPr/>
        <w:tc>
          <w:tcPr>
            <w:tcW w:w="3308" w:type="dxa"/>
            <w:tcBorders/>
            <w:vAlign w:val="center"/>
          </w:tcPr>
          <w:p>
            <w:pPr>
              <w:pStyle w:val="TableContents"/>
              <w:bidi w:val="0"/>
              <w:spacing w:before="0" w:after="0"/>
              <w:jc w:val="left"/>
              <w:rPr>
                <w:rFonts w:ascii="arial" w:hAnsi="arial"/>
                <w:sz w:val="18"/>
              </w:rPr>
            </w:pPr>
            <w:r>
              <w:rPr>
                <w:rFonts w:ascii="arial" w:hAnsi="arial"/>
                <w:sz w:val="18"/>
              </w:rPr>
              <w:t>Continuing health care benefits for 18 months(3)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w:t>
            </w:r>
          </w:p>
        </w:tc>
        <w:tc>
          <w:tcPr>
            <w:tcW w:w="3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pPr>
            <w:r>
              <w:rPr/>
              <w:t>46,346</w:t>
            </w:r>
          </w:p>
        </w:tc>
        <w:tc>
          <w:tcPr>
            <w:tcW w:w="3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0</w:t>
            </w:r>
          </w:p>
        </w:tc>
        <w:tc>
          <w:tcPr>
            <w:tcW w:w="3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right"/>
              <w:rPr/>
            </w:pPr>
            <w:r>
              <w:rPr/>
              <w:t>0</w:t>
            </w:r>
          </w:p>
        </w:tc>
        <w:tc>
          <w:tcPr>
            <w:tcW w:w="319" w:type="dxa"/>
            <w:tcBorders/>
            <w:vAlign w:val="center"/>
          </w:tcPr>
          <w:p>
            <w:pPr>
              <w:pStyle w:val="TableContents"/>
              <w:bidi w:val="0"/>
              <w:spacing w:before="0" w:after="283"/>
              <w:jc w:val="left"/>
              <w:rPr/>
            </w:pPr>
            <w:r>
              <w:rPr/>
              <w:t> </w:t>
            </w:r>
          </w:p>
        </w:tc>
      </w:tr>
      <w:tr>
        <w:trPr/>
        <w:tc>
          <w:tcPr>
            <w:tcW w:w="3308" w:type="dxa"/>
            <w:tcBorders/>
            <w:shd w:fill="CCE2F1" w:val="clear"/>
            <w:vAlign w:val="center"/>
          </w:tcPr>
          <w:p>
            <w:pPr>
              <w:pStyle w:val="TableContents"/>
              <w:bidi w:val="0"/>
              <w:spacing w:before="0" w:after="283"/>
              <w:jc w:val="left"/>
              <w:rPr>
                <w:sz w:val="4"/>
                <w:szCs w:val="4"/>
              </w:rPr>
            </w:pPr>
            <w:r>
              <w:rPr>
                <w:sz w:val="4"/>
                <w:szCs w:val="4"/>
              </w:rPr>
            </w:r>
          </w:p>
        </w:tc>
        <w:tc>
          <w:tcPr>
            <w:tcW w:w="1520" w:type="dxa"/>
            <w:gridSpan w:val="4"/>
            <w:tcBorders/>
            <w:shd w:fill="CCE2F1" w:val="clear"/>
            <w:vAlign w:val="center"/>
          </w:tcPr>
          <w:p>
            <w:pPr>
              <w:pStyle w:val="TableContents"/>
              <w:bidi w:val="0"/>
              <w:spacing w:before="0" w:after="283"/>
              <w:jc w:val="left"/>
              <w:rPr>
                <w:sz w:val="4"/>
                <w:szCs w:val="4"/>
              </w:rPr>
            </w:pPr>
            <w:r>
              <w:rPr>
                <w:sz w:val="4"/>
                <w:szCs w:val="4"/>
              </w:rPr>
            </w:r>
          </w:p>
        </w:tc>
        <w:tc>
          <w:tcPr>
            <w:tcW w:w="1974" w:type="dxa"/>
            <w:gridSpan w:val="4"/>
            <w:tcBorders/>
            <w:shd w:fill="CCE2F1" w:val="clear"/>
            <w:vAlign w:val="center"/>
          </w:tcPr>
          <w:p>
            <w:pPr>
              <w:pStyle w:val="TableContents"/>
              <w:bidi w:val="0"/>
              <w:spacing w:before="0" w:after="283"/>
              <w:jc w:val="left"/>
              <w:rPr>
                <w:sz w:val="4"/>
                <w:szCs w:val="4"/>
              </w:rPr>
            </w:pPr>
            <w:r>
              <w:rPr>
                <w:sz w:val="4"/>
                <w:szCs w:val="4"/>
              </w:rPr>
            </w:r>
          </w:p>
        </w:tc>
        <w:tc>
          <w:tcPr>
            <w:tcW w:w="1749" w:type="dxa"/>
            <w:gridSpan w:val="4"/>
            <w:tcBorders/>
            <w:shd w:fill="CCE2F1" w:val="clear"/>
            <w:vAlign w:val="center"/>
          </w:tcPr>
          <w:p>
            <w:pPr>
              <w:pStyle w:val="TableContents"/>
              <w:bidi w:val="0"/>
              <w:spacing w:before="0" w:after="283"/>
              <w:jc w:val="left"/>
              <w:rPr>
                <w:sz w:val="4"/>
                <w:szCs w:val="4"/>
              </w:rPr>
            </w:pPr>
            <w:r>
              <w:rPr>
                <w:sz w:val="4"/>
                <w:szCs w:val="4"/>
              </w:rPr>
            </w:r>
          </w:p>
        </w:tc>
        <w:tc>
          <w:tcPr>
            <w:tcW w:w="1654"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3308" w:type="dxa"/>
            <w:tcBorders/>
            <w:shd w:fill="CCE2F1" w:val="clear"/>
            <w:vAlign w:val="center"/>
          </w:tcPr>
          <w:p>
            <w:pPr>
              <w:pStyle w:val="TableContents"/>
              <w:bidi w:val="0"/>
              <w:spacing w:before="0" w:after="0"/>
              <w:jc w:val="left"/>
              <w:rPr>
                <w:rFonts w:ascii="arial" w:hAnsi="arial"/>
                <w:sz w:val="18"/>
              </w:rPr>
            </w:pPr>
            <w:r>
              <w:rPr>
                <w:rFonts w:ascii="arial" w:hAnsi="arial"/>
                <w:sz w:val="18"/>
              </w:rPr>
              <w:t>Continuing retirement plan contributions for two years(4)</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100" w:type="dxa"/>
            <w:tcBorders/>
            <w:shd w:fill="CCE2F1" w:val="clear"/>
            <w:vAlign w:val="center"/>
          </w:tcPr>
          <w:p>
            <w:pPr>
              <w:pStyle w:val="TableContents"/>
              <w:bidi w:val="0"/>
              <w:spacing w:before="0" w:after="283"/>
              <w:jc w:val="right"/>
              <w:rPr/>
            </w:pPr>
            <w:r>
              <w:rPr/>
              <w:t>0</w:t>
            </w:r>
          </w:p>
        </w:tc>
        <w:tc>
          <w:tcPr>
            <w:tcW w:w="30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79" w:type="dxa"/>
            <w:tcBorders/>
            <w:shd w:fill="CCE2F1" w:val="clear"/>
            <w:vAlign w:val="center"/>
          </w:tcPr>
          <w:p>
            <w:pPr>
              <w:pStyle w:val="TableContents"/>
              <w:bidi w:val="0"/>
              <w:spacing w:before="0" w:after="283"/>
              <w:jc w:val="left"/>
              <w:rPr/>
            </w:pPr>
            <w:r>
              <w:rPr/>
              <w:t> </w:t>
            </w:r>
          </w:p>
        </w:tc>
        <w:tc>
          <w:tcPr>
            <w:tcW w:w="1475" w:type="dxa"/>
            <w:tcBorders/>
            <w:shd w:fill="CCE2F1" w:val="clear"/>
            <w:vAlign w:val="center"/>
          </w:tcPr>
          <w:p>
            <w:pPr>
              <w:pStyle w:val="TableContents"/>
              <w:bidi w:val="0"/>
              <w:spacing w:before="0" w:after="283"/>
              <w:jc w:val="right"/>
              <w:rPr/>
            </w:pPr>
            <w:r>
              <w:rPr/>
              <w:t>903,550</w:t>
            </w:r>
          </w:p>
        </w:tc>
        <w:tc>
          <w:tcPr>
            <w:tcW w:w="30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8" w:type="dxa"/>
            <w:tcBorders/>
            <w:shd w:fill="CCE2F1" w:val="clear"/>
            <w:vAlign w:val="center"/>
          </w:tcPr>
          <w:p>
            <w:pPr>
              <w:pStyle w:val="TableContents"/>
              <w:bidi w:val="0"/>
              <w:spacing w:before="0" w:after="283"/>
              <w:jc w:val="left"/>
              <w:rPr/>
            </w:pPr>
            <w:r>
              <w:rPr/>
              <w:t> </w:t>
            </w:r>
          </w:p>
        </w:tc>
        <w:tc>
          <w:tcPr>
            <w:tcW w:w="1261" w:type="dxa"/>
            <w:tcBorders/>
            <w:shd w:fill="CCE2F1" w:val="clear"/>
            <w:vAlign w:val="center"/>
          </w:tcPr>
          <w:p>
            <w:pPr>
              <w:pStyle w:val="TableContents"/>
              <w:bidi w:val="0"/>
              <w:spacing w:before="0" w:after="283"/>
              <w:jc w:val="right"/>
              <w:rPr/>
            </w:pPr>
            <w:r>
              <w:rPr/>
              <w:t>0</w:t>
            </w:r>
          </w:p>
        </w:tc>
        <w:tc>
          <w:tcPr>
            <w:tcW w:w="30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2" w:type="dxa"/>
            <w:tcBorders/>
            <w:shd w:fill="CCE2F1" w:val="clear"/>
            <w:vAlign w:val="center"/>
          </w:tcPr>
          <w:p>
            <w:pPr>
              <w:pStyle w:val="TableContents"/>
              <w:bidi w:val="0"/>
              <w:spacing w:before="0" w:after="283"/>
              <w:jc w:val="left"/>
              <w:rPr/>
            </w:pPr>
            <w:r>
              <w:rPr/>
              <w:t> </w:t>
            </w:r>
          </w:p>
        </w:tc>
        <w:tc>
          <w:tcPr>
            <w:tcW w:w="1153" w:type="dxa"/>
            <w:tcBorders/>
            <w:shd w:fill="CCE2F1" w:val="clear"/>
            <w:vAlign w:val="center"/>
          </w:tcPr>
          <w:p>
            <w:pPr>
              <w:pStyle w:val="TableContents"/>
              <w:bidi w:val="0"/>
              <w:spacing w:before="0" w:after="283"/>
              <w:jc w:val="right"/>
              <w:rPr/>
            </w:pPr>
            <w:r>
              <w:rPr/>
              <w:t>0</w:t>
            </w:r>
          </w:p>
        </w:tc>
        <w:tc>
          <w:tcPr>
            <w:tcW w:w="319" w:type="dxa"/>
            <w:tcBorders/>
            <w:shd w:fill="CCE2F1" w:val="clear"/>
            <w:vAlign w:val="center"/>
          </w:tcPr>
          <w:p>
            <w:pPr>
              <w:pStyle w:val="TableContents"/>
              <w:bidi w:val="0"/>
              <w:spacing w:before="0" w:after="283"/>
              <w:jc w:val="left"/>
              <w:rPr/>
            </w:pPr>
            <w:r>
              <w:rPr/>
              <w:t> </w:t>
            </w:r>
          </w:p>
        </w:tc>
      </w:tr>
      <w:tr>
        <w:trPr/>
        <w:tc>
          <w:tcPr>
            <w:tcW w:w="3308" w:type="dxa"/>
            <w:tcBorders>
              <w:top w:val="single" w:sz="8" w:space="0" w:color="0171B9"/>
            </w:tcBorders>
            <w:tcMar>
              <w:top w:w="28" w:type="dxa"/>
            </w:tcMar>
            <w:vAlign w:val="center"/>
          </w:tcPr>
          <w:p>
            <w:pPr>
              <w:pStyle w:val="TableContents"/>
              <w:bidi w:val="0"/>
              <w:spacing w:before="0" w:after="283"/>
              <w:jc w:val="left"/>
              <w:rPr/>
            </w:pPr>
            <w:r>
              <w:rPr/>
              <w:t> </w:t>
            </w:r>
          </w:p>
        </w:tc>
        <w:tc>
          <w:tcPr>
            <w:tcW w:w="1520" w:type="dxa"/>
            <w:gridSpan w:val="4"/>
            <w:tcBorders>
              <w:top w:val="single" w:sz="8" w:space="0" w:color="0171B9"/>
            </w:tcBorders>
            <w:tcMar>
              <w:top w:w="28" w:type="dxa"/>
            </w:tcMar>
            <w:vAlign w:val="center"/>
          </w:tcPr>
          <w:p>
            <w:pPr>
              <w:pStyle w:val="TableContents"/>
              <w:bidi w:val="0"/>
              <w:spacing w:before="0" w:after="283"/>
              <w:jc w:val="left"/>
              <w:rPr/>
            </w:pPr>
            <w:r>
              <w:rPr/>
              <w:t> </w:t>
            </w:r>
          </w:p>
        </w:tc>
        <w:tc>
          <w:tcPr>
            <w:tcW w:w="1974" w:type="dxa"/>
            <w:gridSpan w:val="4"/>
            <w:tcBorders>
              <w:top w:val="single" w:sz="8" w:space="0" w:color="0171B9"/>
            </w:tcBorders>
            <w:tcMar>
              <w:top w:w="28" w:type="dxa"/>
            </w:tcMar>
            <w:vAlign w:val="center"/>
          </w:tcPr>
          <w:p>
            <w:pPr>
              <w:pStyle w:val="TableContents"/>
              <w:bidi w:val="0"/>
              <w:spacing w:before="0" w:after="283"/>
              <w:jc w:val="left"/>
              <w:rPr/>
            </w:pPr>
            <w:r>
              <w:rPr/>
              <w:t> </w:t>
            </w:r>
          </w:p>
        </w:tc>
        <w:tc>
          <w:tcPr>
            <w:tcW w:w="1749" w:type="dxa"/>
            <w:gridSpan w:val="4"/>
            <w:tcBorders>
              <w:top w:val="single" w:sz="8" w:space="0" w:color="0171B9"/>
            </w:tcBorders>
            <w:tcMar>
              <w:top w:w="28" w:type="dxa"/>
            </w:tcMar>
            <w:vAlign w:val="center"/>
          </w:tcPr>
          <w:p>
            <w:pPr>
              <w:pStyle w:val="TableContents"/>
              <w:bidi w:val="0"/>
              <w:spacing w:before="0" w:after="283"/>
              <w:jc w:val="left"/>
              <w:rPr/>
            </w:pPr>
            <w:r>
              <w:rPr/>
              <w:t> </w:t>
            </w:r>
          </w:p>
        </w:tc>
        <w:tc>
          <w:tcPr>
            <w:tcW w:w="1654" w:type="dxa"/>
            <w:gridSpan w:val="4"/>
            <w:tcBorders>
              <w:top w:val="single" w:sz="8" w:space="0" w:color="0171B9"/>
            </w:tcBorders>
            <w:tcMar>
              <w:top w:w="28" w:type="dxa"/>
            </w:tcMar>
            <w:vAlign w:val="center"/>
          </w:tcPr>
          <w:p>
            <w:pPr>
              <w:pStyle w:val="TableContents"/>
              <w:bidi w:val="0"/>
              <w:spacing w:before="0" w:after="283"/>
              <w:jc w:val="left"/>
              <w:rPr/>
            </w:pPr>
            <w:r>
              <w:rPr/>
              <w:t> </w:t>
            </w:r>
          </w:p>
        </w:tc>
      </w:tr>
      <w:tr>
        <w:trPr/>
        <w:tc>
          <w:tcPr>
            <w:tcW w:w="3308" w:type="dxa"/>
            <w:tcBorders>
              <w:bottom w:val="single" w:sz="8" w:space="0" w:color="0171B9"/>
            </w:tcBorders>
            <w:tcMar>
              <w:bottom w:w="80" w:type="dxa"/>
            </w:tcMar>
            <w:vAlign w:val="center"/>
          </w:tcPr>
          <w:p>
            <w:pPr>
              <w:pStyle w:val="TableContents"/>
              <w:bidi w:val="0"/>
              <w:spacing w:before="0" w:after="0"/>
              <w:jc w:val="left"/>
              <w:rPr/>
            </w:pPr>
            <w:r>
              <w:rPr/>
              <w:t> </w:t>
            </w:r>
            <w:r>
              <w:rPr>
                <w:rFonts w:ascii="arial" w:hAnsi="arial"/>
                <w:sz w:val="18"/>
              </w:rPr>
              <w:t>Total</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tcMar>
              <w:bottom w:w="80" w:type="dxa"/>
            </w:tcMar>
            <w:vAlign w:val="center"/>
          </w:tcPr>
          <w:p>
            <w:pPr>
              <w:pStyle w:val="TableContents"/>
              <w:bidi w:val="0"/>
              <w:spacing w:before="0" w:after="283"/>
              <w:jc w:val="left"/>
              <w:rPr/>
            </w:pPr>
            <w:r>
              <w:rPr/>
              <w:t> </w:t>
            </w:r>
          </w:p>
        </w:tc>
        <w:tc>
          <w:tcPr>
            <w:tcW w:w="1100" w:type="dxa"/>
            <w:tcBorders>
              <w:bottom w:val="single" w:sz="8" w:space="0" w:color="0171B9"/>
            </w:tcBorders>
            <w:tcMar>
              <w:bottom w:w="80" w:type="dxa"/>
            </w:tcMar>
            <w:vAlign w:val="center"/>
          </w:tcPr>
          <w:p>
            <w:pPr>
              <w:pStyle w:val="TableContents"/>
              <w:bidi w:val="0"/>
              <w:spacing w:before="0" w:after="283"/>
              <w:jc w:val="right"/>
              <w:rPr/>
            </w:pPr>
            <w:r>
              <w:rPr/>
              <w:t>24,954,917</w:t>
            </w:r>
          </w:p>
        </w:tc>
        <w:tc>
          <w:tcPr>
            <w:tcW w:w="300" w:type="dxa"/>
            <w:tcBorders>
              <w:bottom w:val="single" w:sz="8" w:space="0" w:color="0171B9"/>
            </w:tcBorders>
            <w:tcMar>
              <w:bottom w:w="80" w:type="dxa"/>
            </w:tcMar>
            <w:vAlign w:val="center"/>
          </w:tcPr>
          <w:p>
            <w:pPr>
              <w:pStyle w:val="TableContents"/>
              <w:bidi w:val="0"/>
              <w:spacing w:before="0" w:after="283"/>
              <w:jc w:val="left"/>
              <w:rPr/>
            </w:pPr>
            <w:r>
              <w:rPr/>
              <w:t> </w:t>
            </w:r>
          </w:p>
        </w:tc>
        <w:tc>
          <w:tcPr>
            <w:tcW w:w="120" w:type="dxa"/>
            <w:tcBorders>
              <w:bottom w:val="single" w:sz="8" w:space="0" w:color="0171B9"/>
            </w:tcBorders>
            <w:tcMar>
              <w:bottom w:w="28" w:type="dxa"/>
            </w:tcMar>
            <w:vAlign w:val="center"/>
          </w:tcPr>
          <w:p>
            <w:pPr>
              <w:pStyle w:val="TableContents"/>
              <w:bidi w:val="0"/>
              <w:spacing w:before="0" w:after="283"/>
              <w:jc w:val="left"/>
              <w:rPr/>
            </w:pPr>
            <w:r>
              <w:rPr/>
              <w:t>  </w:t>
            </w:r>
          </w:p>
        </w:tc>
        <w:tc>
          <w:tcPr>
            <w:tcW w:w="79" w:type="dxa"/>
            <w:tcBorders>
              <w:bottom w:val="single" w:sz="8" w:space="0" w:color="0171B9"/>
            </w:tcBorders>
            <w:tcMar>
              <w:bottom w:w="80" w:type="dxa"/>
            </w:tcMar>
            <w:vAlign w:val="center"/>
          </w:tcPr>
          <w:p>
            <w:pPr>
              <w:pStyle w:val="TableContents"/>
              <w:bidi w:val="0"/>
              <w:spacing w:before="0" w:after="283"/>
              <w:jc w:val="left"/>
              <w:rPr/>
            </w:pPr>
            <w:r>
              <w:rPr/>
              <w:t> </w:t>
            </w:r>
          </w:p>
        </w:tc>
        <w:tc>
          <w:tcPr>
            <w:tcW w:w="1475" w:type="dxa"/>
            <w:tcBorders>
              <w:bottom w:val="single" w:sz="8" w:space="0" w:color="0171B9"/>
            </w:tcBorders>
            <w:tcMar>
              <w:bottom w:w="80" w:type="dxa"/>
            </w:tcMar>
            <w:vAlign w:val="center"/>
          </w:tcPr>
          <w:p>
            <w:pPr>
              <w:pStyle w:val="TableContents"/>
              <w:bidi w:val="0"/>
              <w:spacing w:before="0" w:after="283"/>
              <w:jc w:val="right"/>
              <w:rPr/>
            </w:pPr>
            <w:r>
              <w:rPr/>
              <w:t>65,114,541</w:t>
            </w:r>
          </w:p>
        </w:tc>
        <w:tc>
          <w:tcPr>
            <w:tcW w:w="300" w:type="dxa"/>
            <w:tcBorders>
              <w:bottom w:val="single" w:sz="8" w:space="0" w:color="0171B9"/>
            </w:tcBorders>
            <w:tcMar>
              <w:bottom w:w="80" w:type="dxa"/>
            </w:tcMar>
            <w:vAlign w:val="center"/>
          </w:tcPr>
          <w:p>
            <w:pPr>
              <w:pStyle w:val="TableContents"/>
              <w:bidi w:val="0"/>
              <w:spacing w:before="0" w:after="283"/>
              <w:jc w:val="left"/>
              <w:rPr/>
            </w:pPr>
            <w:r>
              <w:rPr/>
              <w:t> </w:t>
            </w:r>
          </w:p>
        </w:tc>
        <w:tc>
          <w:tcPr>
            <w:tcW w:w="120" w:type="dxa"/>
            <w:tcBorders>
              <w:bottom w:val="single" w:sz="8" w:space="0" w:color="0171B9"/>
            </w:tcBorders>
            <w:tcMar>
              <w:bottom w:w="28" w:type="dxa"/>
            </w:tcMar>
            <w:vAlign w:val="center"/>
          </w:tcPr>
          <w:p>
            <w:pPr>
              <w:pStyle w:val="TableContents"/>
              <w:bidi w:val="0"/>
              <w:spacing w:before="0" w:after="283"/>
              <w:jc w:val="left"/>
              <w:rPr/>
            </w:pPr>
            <w:r>
              <w:rPr/>
              <w:t>  </w:t>
            </w:r>
          </w:p>
        </w:tc>
        <w:tc>
          <w:tcPr>
            <w:tcW w:w="68" w:type="dxa"/>
            <w:tcBorders>
              <w:bottom w:val="single" w:sz="8" w:space="0" w:color="0171B9"/>
            </w:tcBorders>
            <w:tcMar>
              <w:bottom w:w="80" w:type="dxa"/>
            </w:tcMar>
            <w:vAlign w:val="center"/>
          </w:tcPr>
          <w:p>
            <w:pPr>
              <w:pStyle w:val="TableContents"/>
              <w:bidi w:val="0"/>
              <w:spacing w:before="0" w:after="283"/>
              <w:jc w:val="left"/>
              <w:rPr/>
            </w:pPr>
            <w:r>
              <w:rPr/>
              <w:t> </w:t>
            </w:r>
          </w:p>
        </w:tc>
        <w:tc>
          <w:tcPr>
            <w:tcW w:w="1261" w:type="dxa"/>
            <w:tcBorders>
              <w:bottom w:val="single" w:sz="8" w:space="0" w:color="0171B9"/>
            </w:tcBorders>
            <w:tcMar>
              <w:bottom w:w="80" w:type="dxa"/>
            </w:tcMar>
            <w:vAlign w:val="center"/>
          </w:tcPr>
          <w:p>
            <w:pPr>
              <w:pStyle w:val="TableContents"/>
              <w:bidi w:val="0"/>
              <w:spacing w:before="0" w:after="283"/>
              <w:jc w:val="right"/>
              <w:rPr/>
            </w:pPr>
            <w:r>
              <w:rPr/>
              <w:t>52,301,249</w:t>
            </w:r>
          </w:p>
        </w:tc>
        <w:tc>
          <w:tcPr>
            <w:tcW w:w="300" w:type="dxa"/>
            <w:tcBorders>
              <w:bottom w:val="single" w:sz="8" w:space="0" w:color="0171B9"/>
            </w:tcBorders>
            <w:tcMar>
              <w:bottom w:w="80" w:type="dxa"/>
            </w:tcMar>
            <w:vAlign w:val="center"/>
          </w:tcPr>
          <w:p>
            <w:pPr>
              <w:pStyle w:val="TableContents"/>
              <w:bidi w:val="0"/>
              <w:spacing w:before="0" w:after="283"/>
              <w:jc w:val="left"/>
              <w:rPr/>
            </w:pPr>
            <w:r>
              <w:rPr/>
              <w:t> </w:t>
            </w:r>
          </w:p>
        </w:tc>
        <w:tc>
          <w:tcPr>
            <w:tcW w:w="120" w:type="dxa"/>
            <w:tcBorders>
              <w:bottom w:val="single" w:sz="8" w:space="0" w:color="0171B9"/>
            </w:tcBorders>
            <w:tcMar>
              <w:bottom w:w="28" w:type="dxa"/>
            </w:tcMar>
            <w:vAlign w:val="center"/>
          </w:tcPr>
          <w:p>
            <w:pPr>
              <w:pStyle w:val="TableContents"/>
              <w:bidi w:val="0"/>
              <w:spacing w:before="0" w:after="283"/>
              <w:jc w:val="left"/>
              <w:rPr/>
            </w:pPr>
            <w:r>
              <w:rPr/>
              <w:t>  </w:t>
            </w:r>
          </w:p>
        </w:tc>
        <w:tc>
          <w:tcPr>
            <w:tcW w:w="62" w:type="dxa"/>
            <w:tcBorders>
              <w:bottom w:val="single" w:sz="8" w:space="0" w:color="0171B9"/>
            </w:tcBorders>
            <w:tcMar>
              <w:bottom w:w="80" w:type="dxa"/>
            </w:tcMar>
            <w:vAlign w:val="center"/>
          </w:tcPr>
          <w:p>
            <w:pPr>
              <w:pStyle w:val="TableContents"/>
              <w:bidi w:val="0"/>
              <w:spacing w:before="0" w:after="283"/>
              <w:jc w:val="left"/>
              <w:rPr/>
            </w:pPr>
            <w:r>
              <w:rPr/>
              <w:t> </w:t>
            </w:r>
          </w:p>
        </w:tc>
        <w:tc>
          <w:tcPr>
            <w:tcW w:w="1153" w:type="dxa"/>
            <w:tcBorders>
              <w:bottom w:val="single" w:sz="8" w:space="0" w:color="0171B9"/>
            </w:tcBorders>
            <w:tcMar>
              <w:bottom w:w="80" w:type="dxa"/>
            </w:tcMar>
            <w:vAlign w:val="center"/>
          </w:tcPr>
          <w:p>
            <w:pPr>
              <w:pStyle w:val="TableContents"/>
              <w:bidi w:val="0"/>
              <w:spacing w:before="0" w:after="283"/>
              <w:jc w:val="right"/>
              <w:rPr/>
            </w:pPr>
            <w:r>
              <w:rPr/>
              <w:t>52,301,249</w:t>
            </w:r>
          </w:p>
        </w:tc>
        <w:tc>
          <w:tcPr>
            <w:tcW w:w="319" w:type="dxa"/>
            <w:tcBorders>
              <w:bottom w:val="single" w:sz="8" w:space="0" w:color="0171B9"/>
            </w:tcBorders>
            <w:tcMar>
              <w:bottom w:w="80" w:type="dxa"/>
            </w:tcMar>
            <w:vAlign w:val="center"/>
          </w:tcPr>
          <w:p>
            <w:pPr>
              <w:pStyle w:val="TableContents"/>
              <w:bidi w:val="0"/>
              <w:spacing w:before="0" w:after="283"/>
              <w:jc w:val="left"/>
              <w:rPr/>
            </w:pPr>
            <w:r>
              <w:rPr/>
              <w:t> </w:t>
            </w:r>
          </w:p>
        </w:tc>
      </w:tr>
    </w:tbl>
    <w:p>
      <w:pPr>
        <w:pStyle w:val="TextBody"/>
        <w:bidi w:val="0"/>
        <w:spacing w:before="240" w:after="0"/>
        <w:jc w:val="center"/>
        <w:rPr>
          <w:rFonts w:ascii="arial" w:hAnsi="arial"/>
          <w:b/>
          <w:i/>
          <w:sz w:val="22"/>
        </w:rPr>
      </w:pPr>
      <w:r>
        <w:rPr>
          <w:rFonts w:ascii="arial" w:hAnsi="arial"/>
          <w:b/>
          <w:i/>
          <w:sz w:val="22"/>
        </w:rPr>
        <w:t xml:space="preserve">Estimated Payments to Murdo Gordon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56"/>
        <w:gridCol w:w="60"/>
        <w:gridCol w:w="61"/>
        <w:gridCol w:w="1018"/>
        <w:gridCol w:w="309"/>
        <w:gridCol w:w="120"/>
        <w:gridCol w:w="80"/>
        <w:gridCol w:w="1493"/>
        <w:gridCol w:w="309"/>
        <w:gridCol w:w="120"/>
        <w:gridCol w:w="404"/>
        <w:gridCol w:w="944"/>
        <w:gridCol w:w="60"/>
        <w:gridCol w:w="120"/>
        <w:gridCol w:w="62"/>
        <w:gridCol w:w="1159"/>
        <w:gridCol w:w="330"/>
      </w:tblGrid>
      <w:tr>
        <w:trPr/>
        <w:tc>
          <w:tcPr>
            <w:tcW w:w="35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6259" w:type="dxa"/>
            <w:gridSpan w:val="14"/>
            <w:tcBorders>
              <w:bottom w:val="single" w:sz="8" w:space="0" w:color="FFFFFF"/>
            </w:tcBorders>
            <w:shd w:fill="0171B9" w:val="clear"/>
            <w:tcMar>
              <w:bottom w:w="28" w:type="dxa"/>
            </w:tcMar>
            <w:vAlign w:val="center"/>
          </w:tcPr>
          <w:p>
            <w:pPr>
              <w:pStyle w:val="TableContents"/>
              <w:bidi w:val="0"/>
              <w:spacing w:before="0" w:after="283"/>
              <w:jc w:val="center"/>
              <w:rPr>
                <w:b/>
                <w:color w:val="FFFFFF"/>
              </w:rPr>
            </w:pPr>
            <w:r>
              <w:rPr>
                <w:b/>
                <w:color w:val="FFFFFF"/>
              </w:rPr>
              <w:t>Triggering Event</w:t>
            </w:r>
          </w:p>
        </w:tc>
        <w:tc>
          <w:tcPr>
            <w:tcW w:w="330" w:type="dxa"/>
            <w:tcBorders/>
            <w:shd w:fill="0171B9" w:val="clear"/>
            <w:vAlign w:val="center"/>
          </w:tcPr>
          <w:p>
            <w:pPr>
              <w:pStyle w:val="TableContents"/>
              <w:bidi w:val="0"/>
              <w:spacing w:before="0" w:after="283"/>
              <w:jc w:val="left"/>
              <w:rPr/>
            </w:pPr>
            <w:r>
              <w:rPr/>
              <w:t> </w:t>
            </w:r>
          </w:p>
        </w:tc>
      </w:tr>
      <w:tr>
        <w:trPr/>
        <w:tc>
          <w:tcPr>
            <w:tcW w:w="3556"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079" w:type="dxa"/>
            <w:gridSpan w:val="2"/>
            <w:tcBorders>
              <w:bottom w:val="single" w:sz="8" w:space="0" w:color="FFFFFF"/>
            </w:tcBorders>
            <w:shd w:fill="0171B9" w:val="clear"/>
            <w:tcMar>
              <w:bottom w:w="28" w:type="dxa"/>
            </w:tcMar>
            <w:vAlign w:val="center"/>
          </w:tcPr>
          <w:p>
            <w:pPr>
              <w:pStyle w:val="TableContents"/>
              <w:bidi w:val="0"/>
              <w:spacing w:before="0" w:after="283"/>
              <w:jc w:val="right"/>
              <w:rPr>
                <w:b/>
                <w:color w:val="FFFFFF"/>
              </w:rPr>
            </w:pPr>
            <w:r>
              <w:rPr>
                <w:b/>
                <w:color w:val="FFFFFF"/>
              </w:rPr>
              <w:t>Change in</w:t>
              <w:br/>
              <w:t>Control($)</w:t>
            </w:r>
          </w:p>
        </w:tc>
        <w:tc>
          <w:tcPr>
            <w:tcW w:w="309"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573" w:type="dxa"/>
            <w:gridSpan w:val="2"/>
            <w:tcBorders>
              <w:bottom w:val="single" w:sz="8" w:space="0" w:color="FFFFFF"/>
            </w:tcBorders>
            <w:shd w:fill="0171B9" w:val="clear"/>
            <w:tcMar>
              <w:bottom w:w="28" w:type="dxa"/>
            </w:tcMar>
            <w:vAlign w:val="center"/>
          </w:tcPr>
          <w:p>
            <w:pPr>
              <w:pStyle w:val="TableContents"/>
              <w:bidi w:val="0"/>
              <w:spacing w:before="0" w:after="283"/>
              <w:jc w:val="right"/>
              <w:rPr>
                <w:b/>
                <w:color w:val="FFFFFF"/>
              </w:rPr>
            </w:pPr>
            <w:r>
              <w:rPr>
                <w:b/>
                <w:color w:val="FFFFFF"/>
              </w:rPr>
              <w:t>Change in</w:t>
              <w:br/>
              <w:t>Control and</w:t>
              <w:br/>
              <w:t>Terminations($)</w:t>
            </w:r>
          </w:p>
        </w:tc>
        <w:tc>
          <w:tcPr>
            <w:tcW w:w="309"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348" w:type="dxa"/>
            <w:gridSpan w:val="2"/>
            <w:tcBorders>
              <w:bottom w:val="single" w:sz="8" w:space="0" w:color="FFFFFF"/>
            </w:tcBorders>
            <w:shd w:fill="0171B9" w:val="clear"/>
            <w:tcMar>
              <w:bottom w:w="28" w:type="dxa"/>
            </w:tcMar>
            <w:vAlign w:val="center"/>
          </w:tcPr>
          <w:p>
            <w:pPr>
              <w:pStyle w:val="TableContents"/>
              <w:bidi w:val="0"/>
              <w:spacing w:before="0" w:after="283"/>
              <w:jc w:val="right"/>
              <w:rPr>
                <w:b/>
                <w:color w:val="FFFFFF"/>
              </w:rPr>
            </w:pPr>
            <w:r>
              <w:rPr>
                <w:b/>
                <w:color w:val="FFFFFF"/>
              </w:rPr>
              <w:t>Retirement($)</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21" w:type="dxa"/>
            <w:gridSpan w:val="2"/>
            <w:tcBorders>
              <w:bottom w:val="single" w:sz="8" w:space="0" w:color="FFFFFF"/>
            </w:tcBorders>
            <w:shd w:fill="0171B9" w:val="clear"/>
            <w:tcMar>
              <w:bottom w:w="28" w:type="dxa"/>
            </w:tcMar>
            <w:vAlign w:val="center"/>
          </w:tcPr>
          <w:p>
            <w:pPr>
              <w:pStyle w:val="TableContents"/>
              <w:bidi w:val="0"/>
              <w:spacing w:before="0" w:after="283"/>
              <w:jc w:val="right"/>
              <w:rPr>
                <w:b/>
                <w:color w:val="FFFFFF"/>
              </w:rPr>
            </w:pPr>
            <w:r>
              <w:rPr>
                <w:b/>
                <w:color w:val="FFFFFF"/>
              </w:rPr>
              <w:t>Death or</w:t>
              <w:br/>
              <w:t>Disability($)</w:t>
            </w:r>
          </w:p>
        </w:tc>
        <w:tc>
          <w:tcPr>
            <w:tcW w:w="33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r>
      <w:tr>
        <w:trPr/>
        <w:tc>
          <w:tcPr>
            <w:tcW w:w="3556" w:type="dxa"/>
            <w:tcBorders/>
            <w:shd w:fill="CCE2F1" w:val="clear"/>
            <w:vAlign w:val="center"/>
          </w:tcPr>
          <w:p>
            <w:pPr>
              <w:pStyle w:val="TableContents"/>
              <w:bidi w:val="0"/>
              <w:spacing w:before="0" w:after="283"/>
              <w:jc w:val="left"/>
              <w:rPr>
                <w:sz w:val="4"/>
                <w:szCs w:val="4"/>
              </w:rPr>
            </w:pPr>
            <w:r>
              <w:rPr>
                <w:sz w:val="4"/>
                <w:szCs w:val="4"/>
              </w:rPr>
            </w:r>
          </w:p>
        </w:tc>
        <w:tc>
          <w:tcPr>
            <w:tcW w:w="1448" w:type="dxa"/>
            <w:gridSpan w:val="4"/>
            <w:tcBorders/>
            <w:shd w:fill="CCE2F1" w:val="clear"/>
            <w:vAlign w:val="center"/>
          </w:tcPr>
          <w:p>
            <w:pPr>
              <w:pStyle w:val="TableContents"/>
              <w:bidi w:val="0"/>
              <w:spacing w:before="0" w:after="283"/>
              <w:jc w:val="left"/>
              <w:rPr>
                <w:sz w:val="4"/>
                <w:szCs w:val="4"/>
              </w:rPr>
            </w:pPr>
            <w:r>
              <w:rPr>
                <w:sz w:val="4"/>
                <w:szCs w:val="4"/>
              </w:rPr>
            </w:r>
          </w:p>
        </w:tc>
        <w:tc>
          <w:tcPr>
            <w:tcW w:w="2002" w:type="dxa"/>
            <w:gridSpan w:val="4"/>
            <w:tcBorders/>
            <w:shd w:fill="CCE2F1" w:val="clear"/>
            <w:vAlign w:val="center"/>
          </w:tcPr>
          <w:p>
            <w:pPr>
              <w:pStyle w:val="TableContents"/>
              <w:bidi w:val="0"/>
              <w:spacing w:before="0" w:after="283"/>
              <w:jc w:val="left"/>
              <w:rPr>
                <w:sz w:val="4"/>
                <w:szCs w:val="4"/>
              </w:rPr>
            </w:pPr>
            <w:r>
              <w:rPr>
                <w:sz w:val="4"/>
                <w:szCs w:val="4"/>
              </w:rPr>
            </w:r>
          </w:p>
        </w:tc>
        <w:tc>
          <w:tcPr>
            <w:tcW w:w="1528" w:type="dxa"/>
            <w:gridSpan w:val="4"/>
            <w:tcBorders/>
            <w:shd w:fill="CCE2F1" w:val="clear"/>
            <w:vAlign w:val="center"/>
          </w:tcPr>
          <w:p>
            <w:pPr>
              <w:pStyle w:val="TableContents"/>
              <w:bidi w:val="0"/>
              <w:spacing w:before="0" w:after="283"/>
              <w:jc w:val="left"/>
              <w:rPr>
                <w:sz w:val="4"/>
                <w:szCs w:val="4"/>
              </w:rPr>
            </w:pPr>
            <w:r>
              <w:rPr>
                <w:sz w:val="4"/>
                <w:szCs w:val="4"/>
              </w:rPr>
            </w:r>
          </w:p>
        </w:tc>
        <w:tc>
          <w:tcPr>
            <w:tcW w:w="1671"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3556" w:type="dxa"/>
            <w:tcBorders/>
            <w:shd w:fill="CCE2F1" w:val="clear"/>
            <w:vAlign w:val="center"/>
          </w:tcPr>
          <w:p>
            <w:pPr>
              <w:pStyle w:val="TableContents"/>
              <w:bidi w:val="0"/>
              <w:spacing w:before="0" w:after="0"/>
              <w:jc w:val="left"/>
              <w:rPr>
                <w:rFonts w:ascii="arial" w:hAnsi="arial"/>
                <w:sz w:val="18"/>
              </w:rPr>
            </w:pPr>
            <w:r>
              <w:rPr>
                <w:rFonts w:ascii="arial" w:hAnsi="arial"/>
                <w:sz w:val="18"/>
              </w:rPr>
              <w:t>Lump sum cash severance payment</w:t>
            </w:r>
          </w:p>
        </w:tc>
        <w:tc>
          <w:tcPr>
            <w:tcW w:w="60" w:type="dxa"/>
            <w:tcBorders/>
            <w:shd w:fill="CCE2F1" w:val="clear"/>
            <w:vAlign w:val="center"/>
          </w:tcPr>
          <w:p>
            <w:pPr>
              <w:pStyle w:val="TableContents"/>
              <w:bidi w:val="0"/>
              <w:spacing w:before="0" w:after="283"/>
              <w:jc w:val="left"/>
              <w:rPr/>
            </w:pPr>
            <w:r>
              <w:rPr/>
              <w:t> </w:t>
            </w:r>
          </w:p>
        </w:tc>
        <w:tc>
          <w:tcPr>
            <w:tcW w:w="61" w:type="dxa"/>
            <w:tcBorders/>
            <w:shd w:fill="CCE2F1" w:val="clear"/>
            <w:vAlign w:val="center"/>
          </w:tcPr>
          <w:p>
            <w:pPr>
              <w:pStyle w:val="TableContents"/>
              <w:bidi w:val="0"/>
              <w:spacing w:before="0" w:after="283"/>
              <w:jc w:val="left"/>
              <w:rPr/>
            </w:pPr>
            <w:r>
              <w:rPr/>
              <w:t> </w:t>
            </w:r>
          </w:p>
        </w:tc>
        <w:tc>
          <w:tcPr>
            <w:tcW w:w="1018" w:type="dxa"/>
            <w:tcBorders/>
            <w:shd w:fill="CCE2F1" w:val="clear"/>
            <w:vAlign w:val="center"/>
          </w:tcPr>
          <w:p>
            <w:pPr>
              <w:pStyle w:val="TableContents"/>
              <w:bidi w:val="0"/>
              <w:spacing w:before="0" w:after="283"/>
              <w:jc w:val="right"/>
              <w:rPr/>
            </w:pPr>
            <w:r>
              <w:rPr/>
              <w:t>0</w:t>
            </w:r>
          </w:p>
        </w:tc>
        <w:tc>
          <w:tcPr>
            <w:tcW w:w="309"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80" w:type="dxa"/>
            <w:tcBorders/>
            <w:shd w:fill="CCE2F1" w:val="clear"/>
            <w:vAlign w:val="center"/>
          </w:tcPr>
          <w:p>
            <w:pPr>
              <w:pStyle w:val="TableContents"/>
              <w:bidi w:val="0"/>
              <w:spacing w:before="0" w:after="283"/>
              <w:jc w:val="left"/>
              <w:rPr/>
            </w:pPr>
            <w:r>
              <w:rPr/>
              <w:t> </w:t>
            </w:r>
          </w:p>
        </w:tc>
        <w:tc>
          <w:tcPr>
            <w:tcW w:w="1493" w:type="dxa"/>
            <w:tcBorders/>
            <w:shd w:fill="CCE2F1" w:val="clear"/>
            <w:vAlign w:val="center"/>
          </w:tcPr>
          <w:p>
            <w:pPr>
              <w:pStyle w:val="TableContents"/>
              <w:bidi w:val="0"/>
              <w:spacing w:before="0" w:after="283"/>
              <w:jc w:val="right"/>
              <w:rPr/>
            </w:pPr>
            <w:r>
              <w:rPr/>
              <w:t>4,604,400</w:t>
            </w:r>
          </w:p>
        </w:tc>
        <w:tc>
          <w:tcPr>
            <w:tcW w:w="309"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404" w:type="dxa"/>
            <w:tcBorders/>
            <w:shd w:fill="CCE2F1" w:val="clear"/>
            <w:vAlign w:val="center"/>
          </w:tcPr>
          <w:p>
            <w:pPr>
              <w:pStyle w:val="TableContents"/>
              <w:bidi w:val="0"/>
              <w:spacing w:before="0" w:after="283"/>
              <w:jc w:val="left"/>
              <w:rPr/>
            </w:pPr>
            <w:r>
              <w:rPr/>
              <w:t> </w:t>
            </w:r>
          </w:p>
        </w:tc>
        <w:tc>
          <w:tcPr>
            <w:tcW w:w="944"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2" w:type="dxa"/>
            <w:tcBorders/>
            <w:shd w:fill="CCE2F1" w:val="clear"/>
            <w:vAlign w:val="center"/>
          </w:tcPr>
          <w:p>
            <w:pPr>
              <w:pStyle w:val="TableContents"/>
              <w:bidi w:val="0"/>
              <w:spacing w:before="0" w:after="283"/>
              <w:jc w:val="left"/>
              <w:rPr/>
            </w:pPr>
            <w:r>
              <w:rPr/>
              <w:t> </w:t>
            </w:r>
          </w:p>
        </w:tc>
        <w:tc>
          <w:tcPr>
            <w:tcW w:w="1159" w:type="dxa"/>
            <w:tcBorders/>
            <w:shd w:fill="CCE2F1" w:val="clear"/>
            <w:vAlign w:val="center"/>
          </w:tcPr>
          <w:p>
            <w:pPr>
              <w:pStyle w:val="TableContents"/>
              <w:bidi w:val="0"/>
              <w:spacing w:before="0" w:after="283"/>
              <w:jc w:val="right"/>
              <w:rPr/>
            </w:pPr>
            <w:r>
              <w:rPr/>
              <w:t>0</w:t>
            </w:r>
          </w:p>
        </w:tc>
        <w:tc>
          <w:tcPr>
            <w:tcW w:w="330" w:type="dxa"/>
            <w:tcBorders/>
            <w:shd w:fill="CCE2F1" w:val="clear"/>
            <w:vAlign w:val="center"/>
          </w:tcPr>
          <w:p>
            <w:pPr>
              <w:pStyle w:val="TableContents"/>
              <w:bidi w:val="0"/>
              <w:spacing w:before="0" w:after="283"/>
              <w:jc w:val="left"/>
              <w:rPr/>
            </w:pPr>
            <w:r>
              <w:rPr/>
              <w:t> </w:t>
            </w:r>
          </w:p>
        </w:tc>
      </w:tr>
      <w:tr>
        <w:trPr/>
        <w:tc>
          <w:tcPr>
            <w:tcW w:w="3556" w:type="dxa"/>
            <w:tcBorders/>
            <w:vAlign w:val="center"/>
          </w:tcPr>
          <w:p>
            <w:pPr>
              <w:pStyle w:val="TableContents"/>
              <w:bidi w:val="0"/>
              <w:spacing w:before="0" w:after="283"/>
              <w:jc w:val="left"/>
              <w:rPr>
                <w:sz w:val="4"/>
                <w:szCs w:val="4"/>
              </w:rPr>
            </w:pPr>
            <w:r>
              <w:rPr>
                <w:sz w:val="4"/>
                <w:szCs w:val="4"/>
              </w:rPr>
            </w:r>
          </w:p>
        </w:tc>
        <w:tc>
          <w:tcPr>
            <w:tcW w:w="1448" w:type="dxa"/>
            <w:gridSpan w:val="4"/>
            <w:tcBorders/>
            <w:vAlign w:val="center"/>
          </w:tcPr>
          <w:p>
            <w:pPr>
              <w:pStyle w:val="TableContents"/>
              <w:bidi w:val="0"/>
              <w:spacing w:before="0" w:after="283"/>
              <w:jc w:val="left"/>
              <w:rPr>
                <w:sz w:val="4"/>
                <w:szCs w:val="4"/>
              </w:rPr>
            </w:pPr>
            <w:r>
              <w:rPr>
                <w:sz w:val="4"/>
                <w:szCs w:val="4"/>
              </w:rPr>
            </w:r>
          </w:p>
        </w:tc>
        <w:tc>
          <w:tcPr>
            <w:tcW w:w="2002" w:type="dxa"/>
            <w:gridSpan w:val="4"/>
            <w:tcBorders/>
            <w:vAlign w:val="center"/>
          </w:tcPr>
          <w:p>
            <w:pPr>
              <w:pStyle w:val="TableContents"/>
              <w:bidi w:val="0"/>
              <w:spacing w:before="0" w:after="283"/>
              <w:jc w:val="left"/>
              <w:rPr>
                <w:sz w:val="4"/>
                <w:szCs w:val="4"/>
              </w:rPr>
            </w:pPr>
            <w:r>
              <w:rPr>
                <w:sz w:val="4"/>
                <w:szCs w:val="4"/>
              </w:rPr>
            </w:r>
          </w:p>
        </w:tc>
        <w:tc>
          <w:tcPr>
            <w:tcW w:w="1528" w:type="dxa"/>
            <w:gridSpan w:val="4"/>
            <w:tcBorders/>
            <w:vAlign w:val="center"/>
          </w:tcPr>
          <w:p>
            <w:pPr>
              <w:pStyle w:val="TableContents"/>
              <w:bidi w:val="0"/>
              <w:spacing w:before="0" w:after="283"/>
              <w:jc w:val="left"/>
              <w:rPr>
                <w:sz w:val="4"/>
                <w:szCs w:val="4"/>
              </w:rPr>
            </w:pPr>
            <w:r>
              <w:rPr>
                <w:sz w:val="4"/>
                <w:szCs w:val="4"/>
              </w:rPr>
            </w:r>
          </w:p>
        </w:tc>
        <w:tc>
          <w:tcPr>
            <w:tcW w:w="1671" w:type="dxa"/>
            <w:gridSpan w:val="4"/>
            <w:tcBorders/>
            <w:vAlign w:val="center"/>
          </w:tcPr>
          <w:p>
            <w:pPr>
              <w:pStyle w:val="TableContents"/>
              <w:bidi w:val="0"/>
              <w:spacing w:before="0" w:after="283"/>
              <w:jc w:val="left"/>
              <w:rPr>
                <w:sz w:val="4"/>
                <w:szCs w:val="4"/>
              </w:rPr>
            </w:pPr>
            <w:r>
              <w:rPr>
                <w:sz w:val="4"/>
                <w:szCs w:val="4"/>
              </w:rPr>
            </w:r>
          </w:p>
        </w:tc>
      </w:tr>
      <w:tr>
        <w:trPr/>
        <w:tc>
          <w:tcPr>
            <w:tcW w:w="3556" w:type="dxa"/>
            <w:tcBorders/>
            <w:vAlign w:val="center"/>
          </w:tcPr>
          <w:p>
            <w:pPr>
              <w:pStyle w:val="TableContents"/>
              <w:bidi w:val="0"/>
              <w:spacing w:before="0" w:after="0"/>
              <w:jc w:val="left"/>
              <w:rPr>
                <w:rFonts w:ascii="arial" w:hAnsi="arial"/>
                <w:sz w:val="18"/>
              </w:rPr>
            </w:pPr>
            <w:r>
              <w:rPr>
                <w:rFonts w:ascii="arial" w:hAnsi="arial"/>
                <w:sz w:val="18"/>
              </w:rPr>
              <w:t>Intrinsic value of accelerated unvested stock options</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pPr>
            <w:r>
              <w:rPr/>
              <w:t>0</w:t>
            </w:r>
          </w:p>
        </w:tc>
        <w:tc>
          <w:tcPr>
            <w:tcW w:w="30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493" w:type="dxa"/>
            <w:tcBorders/>
            <w:vAlign w:val="center"/>
          </w:tcPr>
          <w:p>
            <w:pPr>
              <w:pStyle w:val="TableContents"/>
              <w:bidi w:val="0"/>
              <w:spacing w:before="0" w:after="283"/>
              <w:jc w:val="right"/>
              <w:rPr/>
            </w:pPr>
            <w:r>
              <w:rPr/>
              <w:t>5,568,377</w:t>
            </w:r>
          </w:p>
        </w:tc>
        <w:tc>
          <w:tcPr>
            <w:tcW w:w="30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04"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59" w:type="dxa"/>
            <w:tcBorders/>
            <w:vAlign w:val="center"/>
          </w:tcPr>
          <w:p>
            <w:pPr>
              <w:pStyle w:val="TableContents"/>
              <w:bidi w:val="0"/>
              <w:spacing w:before="0" w:after="283"/>
              <w:jc w:val="right"/>
              <w:rPr/>
            </w:pPr>
            <w:r>
              <w:rPr/>
              <w:t>5,568,377</w:t>
            </w:r>
          </w:p>
        </w:tc>
        <w:tc>
          <w:tcPr>
            <w:tcW w:w="330" w:type="dxa"/>
            <w:tcBorders/>
            <w:vAlign w:val="center"/>
          </w:tcPr>
          <w:p>
            <w:pPr>
              <w:pStyle w:val="TableContents"/>
              <w:bidi w:val="0"/>
              <w:spacing w:before="0" w:after="283"/>
              <w:jc w:val="left"/>
              <w:rPr/>
            </w:pPr>
            <w:r>
              <w:rPr/>
              <w:t> </w:t>
            </w:r>
          </w:p>
        </w:tc>
      </w:tr>
      <w:tr>
        <w:trPr/>
        <w:tc>
          <w:tcPr>
            <w:tcW w:w="3556" w:type="dxa"/>
            <w:tcBorders/>
            <w:shd w:fill="CCE2F1" w:val="clear"/>
            <w:vAlign w:val="center"/>
          </w:tcPr>
          <w:p>
            <w:pPr>
              <w:pStyle w:val="TableContents"/>
              <w:bidi w:val="0"/>
              <w:spacing w:before="0" w:after="283"/>
              <w:jc w:val="left"/>
              <w:rPr>
                <w:sz w:val="4"/>
                <w:szCs w:val="4"/>
              </w:rPr>
            </w:pPr>
            <w:r>
              <w:rPr>
                <w:sz w:val="4"/>
                <w:szCs w:val="4"/>
              </w:rPr>
            </w:r>
          </w:p>
        </w:tc>
        <w:tc>
          <w:tcPr>
            <w:tcW w:w="1448" w:type="dxa"/>
            <w:gridSpan w:val="4"/>
            <w:tcBorders/>
            <w:shd w:fill="CCE2F1" w:val="clear"/>
            <w:vAlign w:val="center"/>
          </w:tcPr>
          <w:p>
            <w:pPr>
              <w:pStyle w:val="TableContents"/>
              <w:bidi w:val="0"/>
              <w:spacing w:before="0" w:after="283"/>
              <w:jc w:val="left"/>
              <w:rPr>
                <w:sz w:val="4"/>
                <w:szCs w:val="4"/>
              </w:rPr>
            </w:pPr>
            <w:r>
              <w:rPr>
                <w:sz w:val="4"/>
                <w:szCs w:val="4"/>
              </w:rPr>
            </w:r>
          </w:p>
        </w:tc>
        <w:tc>
          <w:tcPr>
            <w:tcW w:w="2002" w:type="dxa"/>
            <w:gridSpan w:val="4"/>
            <w:tcBorders/>
            <w:shd w:fill="CCE2F1" w:val="clear"/>
            <w:vAlign w:val="center"/>
          </w:tcPr>
          <w:p>
            <w:pPr>
              <w:pStyle w:val="TableContents"/>
              <w:bidi w:val="0"/>
              <w:spacing w:before="0" w:after="283"/>
              <w:jc w:val="left"/>
              <w:rPr>
                <w:sz w:val="4"/>
                <w:szCs w:val="4"/>
              </w:rPr>
            </w:pPr>
            <w:r>
              <w:rPr>
                <w:sz w:val="4"/>
                <w:szCs w:val="4"/>
              </w:rPr>
            </w:r>
          </w:p>
        </w:tc>
        <w:tc>
          <w:tcPr>
            <w:tcW w:w="1528" w:type="dxa"/>
            <w:gridSpan w:val="4"/>
            <w:tcBorders/>
            <w:shd w:fill="CCE2F1" w:val="clear"/>
            <w:vAlign w:val="center"/>
          </w:tcPr>
          <w:p>
            <w:pPr>
              <w:pStyle w:val="TableContents"/>
              <w:bidi w:val="0"/>
              <w:spacing w:before="0" w:after="283"/>
              <w:jc w:val="left"/>
              <w:rPr>
                <w:sz w:val="4"/>
                <w:szCs w:val="4"/>
              </w:rPr>
            </w:pPr>
            <w:r>
              <w:rPr>
                <w:sz w:val="4"/>
                <w:szCs w:val="4"/>
              </w:rPr>
            </w:r>
          </w:p>
        </w:tc>
        <w:tc>
          <w:tcPr>
            <w:tcW w:w="1671"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3556" w:type="dxa"/>
            <w:tcBorders/>
            <w:shd w:fill="CCE2F1" w:val="clear"/>
            <w:vAlign w:val="center"/>
          </w:tcPr>
          <w:p>
            <w:pPr>
              <w:pStyle w:val="TableContents"/>
              <w:bidi w:val="0"/>
              <w:spacing w:before="0" w:after="0"/>
              <w:jc w:val="left"/>
              <w:rPr>
                <w:rFonts w:ascii="arial" w:hAnsi="arial"/>
                <w:sz w:val="18"/>
              </w:rPr>
            </w:pPr>
            <w:r>
              <w:rPr>
                <w:rFonts w:ascii="arial" w:hAnsi="arial"/>
                <w:sz w:val="18"/>
              </w:rPr>
              <w:t>Intrinsic value of accelerated unvested RSU’s</w:t>
            </w:r>
          </w:p>
        </w:tc>
        <w:tc>
          <w:tcPr>
            <w:tcW w:w="60" w:type="dxa"/>
            <w:tcBorders/>
            <w:shd w:fill="CCE2F1" w:val="clear"/>
            <w:vAlign w:val="center"/>
          </w:tcPr>
          <w:p>
            <w:pPr>
              <w:pStyle w:val="TableContents"/>
              <w:bidi w:val="0"/>
              <w:spacing w:before="0" w:after="283"/>
              <w:jc w:val="left"/>
              <w:rPr/>
            </w:pPr>
            <w:r>
              <w:rPr/>
              <w:t> </w:t>
            </w:r>
          </w:p>
        </w:tc>
        <w:tc>
          <w:tcPr>
            <w:tcW w:w="61" w:type="dxa"/>
            <w:tcBorders/>
            <w:shd w:fill="CCE2F1" w:val="clear"/>
            <w:vAlign w:val="center"/>
          </w:tcPr>
          <w:p>
            <w:pPr>
              <w:pStyle w:val="TableContents"/>
              <w:bidi w:val="0"/>
              <w:spacing w:before="0" w:after="283"/>
              <w:jc w:val="left"/>
              <w:rPr/>
            </w:pPr>
            <w:r>
              <w:rPr/>
              <w:t> </w:t>
            </w:r>
          </w:p>
        </w:tc>
        <w:tc>
          <w:tcPr>
            <w:tcW w:w="1018" w:type="dxa"/>
            <w:tcBorders/>
            <w:shd w:fill="CCE2F1" w:val="clear"/>
            <w:vAlign w:val="center"/>
          </w:tcPr>
          <w:p>
            <w:pPr>
              <w:pStyle w:val="TableContents"/>
              <w:bidi w:val="0"/>
              <w:spacing w:before="0" w:after="283"/>
              <w:jc w:val="right"/>
              <w:rPr/>
            </w:pPr>
            <w:r>
              <w:rPr/>
              <w:t>0</w:t>
            </w:r>
          </w:p>
        </w:tc>
        <w:tc>
          <w:tcPr>
            <w:tcW w:w="309"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80" w:type="dxa"/>
            <w:tcBorders/>
            <w:shd w:fill="CCE2F1" w:val="clear"/>
            <w:vAlign w:val="center"/>
          </w:tcPr>
          <w:p>
            <w:pPr>
              <w:pStyle w:val="TableContents"/>
              <w:bidi w:val="0"/>
              <w:spacing w:before="0" w:after="283"/>
              <w:jc w:val="left"/>
              <w:rPr/>
            </w:pPr>
            <w:r>
              <w:rPr/>
              <w:t> </w:t>
            </w:r>
          </w:p>
        </w:tc>
        <w:tc>
          <w:tcPr>
            <w:tcW w:w="1493" w:type="dxa"/>
            <w:tcBorders/>
            <w:shd w:fill="CCE2F1" w:val="clear"/>
            <w:vAlign w:val="center"/>
          </w:tcPr>
          <w:p>
            <w:pPr>
              <w:pStyle w:val="TableContents"/>
              <w:bidi w:val="0"/>
              <w:spacing w:before="0" w:after="283"/>
              <w:jc w:val="right"/>
              <w:rPr/>
            </w:pPr>
            <w:r>
              <w:rPr/>
              <w:t>3,835,562</w:t>
            </w:r>
          </w:p>
        </w:tc>
        <w:tc>
          <w:tcPr>
            <w:tcW w:w="309"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404" w:type="dxa"/>
            <w:tcBorders/>
            <w:shd w:fill="CCE2F1" w:val="clear"/>
            <w:vAlign w:val="center"/>
          </w:tcPr>
          <w:p>
            <w:pPr>
              <w:pStyle w:val="TableContents"/>
              <w:bidi w:val="0"/>
              <w:spacing w:before="0" w:after="283"/>
              <w:jc w:val="left"/>
              <w:rPr/>
            </w:pPr>
            <w:r>
              <w:rPr/>
              <w:t> </w:t>
            </w:r>
          </w:p>
        </w:tc>
        <w:tc>
          <w:tcPr>
            <w:tcW w:w="944"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2" w:type="dxa"/>
            <w:tcBorders/>
            <w:shd w:fill="CCE2F1" w:val="clear"/>
            <w:vAlign w:val="center"/>
          </w:tcPr>
          <w:p>
            <w:pPr>
              <w:pStyle w:val="TableContents"/>
              <w:bidi w:val="0"/>
              <w:spacing w:before="0" w:after="283"/>
              <w:jc w:val="left"/>
              <w:rPr/>
            </w:pPr>
            <w:r>
              <w:rPr/>
              <w:t> </w:t>
            </w:r>
          </w:p>
        </w:tc>
        <w:tc>
          <w:tcPr>
            <w:tcW w:w="1159" w:type="dxa"/>
            <w:tcBorders/>
            <w:shd w:fill="CCE2F1" w:val="clear"/>
            <w:vAlign w:val="center"/>
          </w:tcPr>
          <w:p>
            <w:pPr>
              <w:pStyle w:val="TableContents"/>
              <w:bidi w:val="0"/>
              <w:spacing w:before="0" w:after="283"/>
              <w:jc w:val="right"/>
              <w:rPr/>
            </w:pPr>
            <w:r>
              <w:rPr/>
              <w:t>3,835,562</w:t>
            </w:r>
          </w:p>
        </w:tc>
        <w:tc>
          <w:tcPr>
            <w:tcW w:w="330" w:type="dxa"/>
            <w:tcBorders/>
            <w:shd w:fill="CCE2F1" w:val="clear"/>
            <w:vAlign w:val="center"/>
          </w:tcPr>
          <w:p>
            <w:pPr>
              <w:pStyle w:val="TableContents"/>
              <w:bidi w:val="0"/>
              <w:spacing w:before="0" w:after="283"/>
              <w:jc w:val="left"/>
              <w:rPr/>
            </w:pPr>
            <w:r>
              <w:rPr/>
              <w:t> </w:t>
            </w:r>
          </w:p>
        </w:tc>
      </w:tr>
      <w:tr>
        <w:trPr/>
        <w:tc>
          <w:tcPr>
            <w:tcW w:w="3556" w:type="dxa"/>
            <w:tcBorders/>
            <w:vAlign w:val="center"/>
          </w:tcPr>
          <w:p>
            <w:pPr>
              <w:pStyle w:val="TableContents"/>
              <w:bidi w:val="0"/>
              <w:spacing w:before="0" w:after="283"/>
              <w:jc w:val="left"/>
              <w:rPr>
                <w:sz w:val="4"/>
                <w:szCs w:val="4"/>
              </w:rPr>
            </w:pPr>
            <w:r>
              <w:rPr>
                <w:sz w:val="4"/>
                <w:szCs w:val="4"/>
              </w:rPr>
            </w:r>
          </w:p>
        </w:tc>
        <w:tc>
          <w:tcPr>
            <w:tcW w:w="1448" w:type="dxa"/>
            <w:gridSpan w:val="4"/>
            <w:tcBorders/>
            <w:vAlign w:val="center"/>
          </w:tcPr>
          <w:p>
            <w:pPr>
              <w:pStyle w:val="TableContents"/>
              <w:bidi w:val="0"/>
              <w:spacing w:before="0" w:after="283"/>
              <w:jc w:val="left"/>
              <w:rPr>
                <w:sz w:val="4"/>
                <w:szCs w:val="4"/>
              </w:rPr>
            </w:pPr>
            <w:r>
              <w:rPr>
                <w:sz w:val="4"/>
                <w:szCs w:val="4"/>
              </w:rPr>
            </w:r>
          </w:p>
        </w:tc>
        <w:tc>
          <w:tcPr>
            <w:tcW w:w="2002" w:type="dxa"/>
            <w:gridSpan w:val="4"/>
            <w:tcBorders/>
            <w:vAlign w:val="center"/>
          </w:tcPr>
          <w:p>
            <w:pPr>
              <w:pStyle w:val="TableContents"/>
              <w:bidi w:val="0"/>
              <w:spacing w:before="0" w:after="283"/>
              <w:jc w:val="left"/>
              <w:rPr>
                <w:sz w:val="4"/>
                <w:szCs w:val="4"/>
              </w:rPr>
            </w:pPr>
            <w:r>
              <w:rPr>
                <w:sz w:val="4"/>
                <w:szCs w:val="4"/>
              </w:rPr>
            </w:r>
          </w:p>
        </w:tc>
        <w:tc>
          <w:tcPr>
            <w:tcW w:w="1528" w:type="dxa"/>
            <w:gridSpan w:val="4"/>
            <w:tcBorders/>
            <w:vAlign w:val="center"/>
          </w:tcPr>
          <w:p>
            <w:pPr>
              <w:pStyle w:val="TableContents"/>
              <w:bidi w:val="0"/>
              <w:spacing w:before="0" w:after="283"/>
              <w:jc w:val="left"/>
              <w:rPr>
                <w:sz w:val="4"/>
                <w:szCs w:val="4"/>
              </w:rPr>
            </w:pPr>
            <w:r>
              <w:rPr>
                <w:sz w:val="4"/>
                <w:szCs w:val="4"/>
              </w:rPr>
            </w:r>
          </w:p>
        </w:tc>
        <w:tc>
          <w:tcPr>
            <w:tcW w:w="1671" w:type="dxa"/>
            <w:gridSpan w:val="4"/>
            <w:tcBorders/>
            <w:vAlign w:val="center"/>
          </w:tcPr>
          <w:p>
            <w:pPr>
              <w:pStyle w:val="TableContents"/>
              <w:bidi w:val="0"/>
              <w:spacing w:before="0" w:after="283"/>
              <w:jc w:val="left"/>
              <w:rPr>
                <w:sz w:val="4"/>
                <w:szCs w:val="4"/>
              </w:rPr>
            </w:pPr>
            <w:r>
              <w:rPr>
                <w:sz w:val="4"/>
                <w:szCs w:val="4"/>
              </w:rPr>
            </w:r>
          </w:p>
        </w:tc>
      </w:tr>
      <w:tr>
        <w:trPr/>
        <w:tc>
          <w:tcPr>
            <w:tcW w:w="3556" w:type="dxa"/>
            <w:tcBorders/>
            <w:vAlign w:val="center"/>
          </w:tcPr>
          <w:p>
            <w:pPr>
              <w:pStyle w:val="TableContents"/>
              <w:bidi w:val="0"/>
              <w:spacing w:before="0" w:after="0"/>
              <w:jc w:val="left"/>
              <w:rPr>
                <w:rFonts w:ascii="arial" w:hAnsi="arial"/>
                <w:sz w:val="18"/>
              </w:rPr>
            </w:pPr>
            <w:r>
              <w:rPr>
                <w:rFonts w:ascii="arial" w:hAnsi="arial"/>
                <w:sz w:val="18"/>
              </w:rPr>
              <w:t>Value of 2023-2025 performance units</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pPr>
            <w:r>
              <w:rPr/>
              <w:t>3,803,880</w:t>
            </w:r>
          </w:p>
        </w:tc>
        <w:tc>
          <w:tcPr>
            <w:tcW w:w="309" w:type="dxa"/>
            <w:tcBorders/>
            <w:vAlign w:val="center"/>
          </w:tcPr>
          <w:p>
            <w:pPr>
              <w:pStyle w:val="TableContents"/>
              <w:bidi w:val="0"/>
              <w:spacing w:before="0" w:after="283"/>
              <w:jc w:val="left"/>
              <w:rPr/>
            </w:pPr>
            <w:r>
              <w:rPr/>
              <w:t>(1)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493" w:type="dxa"/>
            <w:tcBorders/>
            <w:vAlign w:val="center"/>
          </w:tcPr>
          <w:p>
            <w:pPr>
              <w:pStyle w:val="TableContents"/>
              <w:bidi w:val="0"/>
              <w:spacing w:before="0" w:after="283"/>
              <w:jc w:val="right"/>
              <w:rPr/>
            </w:pPr>
            <w:r>
              <w:rPr/>
              <w:t>3,803,880</w:t>
            </w:r>
          </w:p>
        </w:tc>
        <w:tc>
          <w:tcPr>
            <w:tcW w:w="309" w:type="dxa"/>
            <w:tcBorders/>
            <w:vAlign w:val="center"/>
          </w:tcPr>
          <w:p>
            <w:pPr>
              <w:pStyle w:val="TableContents"/>
              <w:bidi w:val="0"/>
              <w:spacing w:before="0" w:after="283"/>
              <w:jc w:val="left"/>
              <w:rPr/>
            </w:pPr>
            <w:r>
              <w:rPr/>
              <w:t>(1) </w:t>
            </w:r>
          </w:p>
        </w:tc>
        <w:tc>
          <w:tcPr>
            <w:tcW w:w="120" w:type="dxa"/>
            <w:tcBorders/>
            <w:vAlign w:val="center"/>
          </w:tcPr>
          <w:p>
            <w:pPr>
              <w:pStyle w:val="TableContents"/>
              <w:bidi w:val="0"/>
              <w:spacing w:before="0" w:after="283"/>
              <w:jc w:val="left"/>
              <w:rPr/>
            </w:pPr>
            <w:r>
              <w:rPr/>
              <w:t>  </w:t>
            </w:r>
          </w:p>
        </w:tc>
        <w:tc>
          <w:tcPr>
            <w:tcW w:w="404"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59" w:type="dxa"/>
            <w:tcBorders/>
            <w:vAlign w:val="center"/>
          </w:tcPr>
          <w:p>
            <w:pPr>
              <w:pStyle w:val="TableContents"/>
              <w:bidi w:val="0"/>
              <w:spacing w:before="0" w:after="283"/>
              <w:jc w:val="right"/>
              <w:rPr/>
            </w:pPr>
            <w:r>
              <w:rPr/>
              <w:t>3,885,678</w:t>
            </w:r>
          </w:p>
        </w:tc>
        <w:tc>
          <w:tcPr>
            <w:tcW w:w="330" w:type="dxa"/>
            <w:tcBorders/>
            <w:vAlign w:val="center"/>
          </w:tcPr>
          <w:p>
            <w:pPr>
              <w:pStyle w:val="TableContents"/>
              <w:bidi w:val="0"/>
              <w:spacing w:before="0" w:after="283"/>
              <w:jc w:val="left"/>
              <w:rPr/>
            </w:pPr>
            <w:r>
              <w:rPr/>
              <w:t>(2) </w:t>
            </w:r>
          </w:p>
        </w:tc>
      </w:tr>
      <w:tr>
        <w:trPr/>
        <w:tc>
          <w:tcPr>
            <w:tcW w:w="3556" w:type="dxa"/>
            <w:tcBorders/>
            <w:shd w:fill="CCE2F1" w:val="clear"/>
            <w:vAlign w:val="center"/>
          </w:tcPr>
          <w:p>
            <w:pPr>
              <w:pStyle w:val="TableContents"/>
              <w:bidi w:val="0"/>
              <w:spacing w:before="0" w:after="283"/>
              <w:jc w:val="left"/>
              <w:rPr>
                <w:sz w:val="4"/>
                <w:szCs w:val="4"/>
              </w:rPr>
            </w:pPr>
            <w:r>
              <w:rPr>
                <w:sz w:val="4"/>
                <w:szCs w:val="4"/>
              </w:rPr>
            </w:r>
          </w:p>
        </w:tc>
        <w:tc>
          <w:tcPr>
            <w:tcW w:w="1448" w:type="dxa"/>
            <w:gridSpan w:val="4"/>
            <w:tcBorders/>
            <w:shd w:fill="CCE2F1" w:val="clear"/>
            <w:vAlign w:val="center"/>
          </w:tcPr>
          <w:p>
            <w:pPr>
              <w:pStyle w:val="TableContents"/>
              <w:bidi w:val="0"/>
              <w:spacing w:before="0" w:after="283"/>
              <w:jc w:val="left"/>
              <w:rPr>
                <w:sz w:val="4"/>
                <w:szCs w:val="4"/>
              </w:rPr>
            </w:pPr>
            <w:r>
              <w:rPr>
                <w:sz w:val="4"/>
                <w:szCs w:val="4"/>
              </w:rPr>
            </w:r>
          </w:p>
        </w:tc>
        <w:tc>
          <w:tcPr>
            <w:tcW w:w="2002" w:type="dxa"/>
            <w:gridSpan w:val="4"/>
            <w:tcBorders/>
            <w:shd w:fill="CCE2F1" w:val="clear"/>
            <w:vAlign w:val="center"/>
          </w:tcPr>
          <w:p>
            <w:pPr>
              <w:pStyle w:val="TableContents"/>
              <w:bidi w:val="0"/>
              <w:spacing w:before="0" w:after="283"/>
              <w:jc w:val="left"/>
              <w:rPr>
                <w:sz w:val="4"/>
                <w:szCs w:val="4"/>
              </w:rPr>
            </w:pPr>
            <w:r>
              <w:rPr>
                <w:sz w:val="4"/>
                <w:szCs w:val="4"/>
              </w:rPr>
            </w:r>
          </w:p>
        </w:tc>
        <w:tc>
          <w:tcPr>
            <w:tcW w:w="1528" w:type="dxa"/>
            <w:gridSpan w:val="4"/>
            <w:tcBorders/>
            <w:shd w:fill="CCE2F1" w:val="clear"/>
            <w:vAlign w:val="center"/>
          </w:tcPr>
          <w:p>
            <w:pPr>
              <w:pStyle w:val="TableContents"/>
              <w:bidi w:val="0"/>
              <w:spacing w:before="0" w:after="283"/>
              <w:jc w:val="left"/>
              <w:rPr>
                <w:sz w:val="4"/>
                <w:szCs w:val="4"/>
              </w:rPr>
            </w:pPr>
            <w:r>
              <w:rPr>
                <w:sz w:val="4"/>
                <w:szCs w:val="4"/>
              </w:rPr>
            </w:r>
          </w:p>
        </w:tc>
        <w:tc>
          <w:tcPr>
            <w:tcW w:w="1671"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3556" w:type="dxa"/>
            <w:tcBorders/>
            <w:shd w:fill="CCE2F1" w:val="clear"/>
            <w:vAlign w:val="center"/>
          </w:tcPr>
          <w:p>
            <w:pPr>
              <w:pStyle w:val="TableContents"/>
              <w:bidi w:val="0"/>
              <w:spacing w:before="0" w:after="0"/>
              <w:jc w:val="left"/>
              <w:rPr>
                <w:rFonts w:ascii="arial" w:hAnsi="arial"/>
                <w:sz w:val="18"/>
              </w:rPr>
            </w:pPr>
            <w:r>
              <w:rPr>
                <w:rFonts w:ascii="arial" w:hAnsi="arial"/>
                <w:sz w:val="18"/>
              </w:rPr>
              <w:t>Value of 2022-2024 performance units</w:t>
            </w:r>
          </w:p>
        </w:tc>
        <w:tc>
          <w:tcPr>
            <w:tcW w:w="60" w:type="dxa"/>
            <w:tcBorders/>
            <w:shd w:fill="CCE2F1" w:val="clear"/>
            <w:vAlign w:val="center"/>
          </w:tcPr>
          <w:p>
            <w:pPr>
              <w:pStyle w:val="TableContents"/>
              <w:bidi w:val="0"/>
              <w:spacing w:before="0" w:after="283"/>
              <w:jc w:val="left"/>
              <w:rPr/>
            </w:pPr>
            <w:r>
              <w:rPr/>
              <w:t> </w:t>
            </w:r>
          </w:p>
        </w:tc>
        <w:tc>
          <w:tcPr>
            <w:tcW w:w="61" w:type="dxa"/>
            <w:tcBorders/>
            <w:shd w:fill="CCE2F1" w:val="clear"/>
            <w:vAlign w:val="center"/>
          </w:tcPr>
          <w:p>
            <w:pPr>
              <w:pStyle w:val="TableContents"/>
              <w:bidi w:val="0"/>
              <w:spacing w:before="0" w:after="283"/>
              <w:jc w:val="left"/>
              <w:rPr/>
            </w:pPr>
            <w:r>
              <w:rPr/>
              <w:t> </w:t>
            </w:r>
          </w:p>
        </w:tc>
        <w:tc>
          <w:tcPr>
            <w:tcW w:w="1018" w:type="dxa"/>
            <w:tcBorders/>
            <w:shd w:fill="CCE2F1" w:val="clear"/>
            <w:vAlign w:val="center"/>
          </w:tcPr>
          <w:p>
            <w:pPr>
              <w:pStyle w:val="TableContents"/>
              <w:bidi w:val="0"/>
              <w:spacing w:before="0" w:after="283"/>
              <w:jc w:val="right"/>
              <w:rPr/>
            </w:pPr>
            <w:r>
              <w:rPr/>
              <w:t>4,036,888</w:t>
            </w:r>
          </w:p>
        </w:tc>
        <w:tc>
          <w:tcPr>
            <w:tcW w:w="309" w:type="dxa"/>
            <w:tcBorders/>
            <w:shd w:fill="CCE2F1" w:val="clear"/>
            <w:vAlign w:val="center"/>
          </w:tcPr>
          <w:p>
            <w:pPr>
              <w:pStyle w:val="TableContents"/>
              <w:bidi w:val="0"/>
              <w:spacing w:before="0" w:after="283"/>
              <w:jc w:val="left"/>
              <w:rPr/>
            </w:pPr>
            <w:r>
              <w:rPr/>
              <w:t>(1) </w:t>
            </w:r>
          </w:p>
        </w:tc>
        <w:tc>
          <w:tcPr>
            <w:tcW w:w="120" w:type="dxa"/>
            <w:tcBorders/>
            <w:shd w:fill="CCE2F1" w:val="clear"/>
            <w:vAlign w:val="center"/>
          </w:tcPr>
          <w:p>
            <w:pPr>
              <w:pStyle w:val="TableContents"/>
              <w:bidi w:val="0"/>
              <w:spacing w:before="0" w:after="283"/>
              <w:jc w:val="left"/>
              <w:rPr/>
            </w:pPr>
            <w:r>
              <w:rPr/>
              <w:t>  </w:t>
            </w:r>
          </w:p>
        </w:tc>
        <w:tc>
          <w:tcPr>
            <w:tcW w:w="80" w:type="dxa"/>
            <w:tcBorders/>
            <w:shd w:fill="CCE2F1" w:val="clear"/>
            <w:vAlign w:val="center"/>
          </w:tcPr>
          <w:p>
            <w:pPr>
              <w:pStyle w:val="TableContents"/>
              <w:bidi w:val="0"/>
              <w:spacing w:before="0" w:after="283"/>
              <w:jc w:val="left"/>
              <w:rPr/>
            </w:pPr>
            <w:r>
              <w:rPr/>
              <w:t> </w:t>
            </w:r>
          </w:p>
        </w:tc>
        <w:tc>
          <w:tcPr>
            <w:tcW w:w="1493" w:type="dxa"/>
            <w:tcBorders/>
            <w:shd w:fill="CCE2F1" w:val="clear"/>
            <w:vAlign w:val="center"/>
          </w:tcPr>
          <w:p>
            <w:pPr>
              <w:pStyle w:val="TableContents"/>
              <w:bidi w:val="0"/>
              <w:spacing w:before="0" w:after="283"/>
              <w:jc w:val="right"/>
              <w:rPr/>
            </w:pPr>
            <w:r>
              <w:rPr/>
              <w:t>4,036,888</w:t>
            </w:r>
          </w:p>
        </w:tc>
        <w:tc>
          <w:tcPr>
            <w:tcW w:w="309" w:type="dxa"/>
            <w:tcBorders/>
            <w:shd w:fill="CCE2F1" w:val="clear"/>
            <w:vAlign w:val="center"/>
          </w:tcPr>
          <w:p>
            <w:pPr>
              <w:pStyle w:val="TableContents"/>
              <w:bidi w:val="0"/>
              <w:spacing w:before="0" w:after="283"/>
              <w:jc w:val="left"/>
              <w:rPr/>
            </w:pPr>
            <w:r>
              <w:rPr/>
              <w:t>(1) </w:t>
            </w:r>
          </w:p>
        </w:tc>
        <w:tc>
          <w:tcPr>
            <w:tcW w:w="120" w:type="dxa"/>
            <w:tcBorders/>
            <w:shd w:fill="CCE2F1" w:val="clear"/>
            <w:vAlign w:val="center"/>
          </w:tcPr>
          <w:p>
            <w:pPr>
              <w:pStyle w:val="TableContents"/>
              <w:bidi w:val="0"/>
              <w:spacing w:before="0" w:after="283"/>
              <w:jc w:val="left"/>
              <w:rPr/>
            </w:pPr>
            <w:r>
              <w:rPr/>
              <w:t>  </w:t>
            </w:r>
          </w:p>
        </w:tc>
        <w:tc>
          <w:tcPr>
            <w:tcW w:w="404" w:type="dxa"/>
            <w:tcBorders/>
            <w:shd w:fill="CCE2F1" w:val="clear"/>
            <w:vAlign w:val="center"/>
          </w:tcPr>
          <w:p>
            <w:pPr>
              <w:pStyle w:val="TableContents"/>
              <w:bidi w:val="0"/>
              <w:spacing w:before="0" w:after="283"/>
              <w:jc w:val="left"/>
              <w:rPr/>
            </w:pPr>
            <w:r>
              <w:rPr/>
              <w:t> </w:t>
            </w:r>
          </w:p>
        </w:tc>
        <w:tc>
          <w:tcPr>
            <w:tcW w:w="944"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2" w:type="dxa"/>
            <w:tcBorders/>
            <w:shd w:fill="CCE2F1" w:val="clear"/>
            <w:vAlign w:val="center"/>
          </w:tcPr>
          <w:p>
            <w:pPr>
              <w:pStyle w:val="TableContents"/>
              <w:bidi w:val="0"/>
              <w:spacing w:before="0" w:after="283"/>
              <w:jc w:val="left"/>
              <w:rPr/>
            </w:pPr>
            <w:r>
              <w:rPr/>
              <w:t> </w:t>
            </w:r>
          </w:p>
        </w:tc>
        <w:tc>
          <w:tcPr>
            <w:tcW w:w="1159" w:type="dxa"/>
            <w:tcBorders/>
            <w:shd w:fill="CCE2F1" w:val="clear"/>
            <w:vAlign w:val="center"/>
          </w:tcPr>
          <w:p>
            <w:pPr>
              <w:pStyle w:val="TableContents"/>
              <w:bidi w:val="0"/>
              <w:spacing w:before="0" w:after="283"/>
              <w:jc w:val="right"/>
              <w:rPr/>
            </w:pPr>
            <w:r>
              <w:rPr/>
              <w:t>3,050,708</w:t>
            </w:r>
          </w:p>
        </w:tc>
        <w:tc>
          <w:tcPr>
            <w:tcW w:w="330" w:type="dxa"/>
            <w:tcBorders/>
            <w:shd w:fill="CCE2F1" w:val="clear"/>
            <w:vAlign w:val="center"/>
          </w:tcPr>
          <w:p>
            <w:pPr>
              <w:pStyle w:val="TableContents"/>
              <w:bidi w:val="0"/>
              <w:spacing w:before="0" w:after="283"/>
              <w:jc w:val="left"/>
              <w:rPr/>
            </w:pPr>
            <w:r>
              <w:rPr/>
              <w:t>(2) </w:t>
            </w:r>
          </w:p>
        </w:tc>
      </w:tr>
      <w:tr>
        <w:trPr/>
        <w:tc>
          <w:tcPr>
            <w:tcW w:w="3556" w:type="dxa"/>
            <w:tcBorders/>
            <w:vAlign w:val="center"/>
          </w:tcPr>
          <w:p>
            <w:pPr>
              <w:pStyle w:val="TableContents"/>
              <w:bidi w:val="0"/>
              <w:spacing w:before="0" w:after="283"/>
              <w:jc w:val="left"/>
              <w:rPr>
                <w:sz w:val="4"/>
                <w:szCs w:val="4"/>
              </w:rPr>
            </w:pPr>
            <w:r>
              <w:rPr>
                <w:sz w:val="4"/>
                <w:szCs w:val="4"/>
              </w:rPr>
            </w:r>
          </w:p>
        </w:tc>
        <w:tc>
          <w:tcPr>
            <w:tcW w:w="1448" w:type="dxa"/>
            <w:gridSpan w:val="4"/>
            <w:tcBorders/>
            <w:vAlign w:val="center"/>
          </w:tcPr>
          <w:p>
            <w:pPr>
              <w:pStyle w:val="TableContents"/>
              <w:bidi w:val="0"/>
              <w:spacing w:before="0" w:after="283"/>
              <w:jc w:val="left"/>
              <w:rPr>
                <w:sz w:val="4"/>
                <w:szCs w:val="4"/>
              </w:rPr>
            </w:pPr>
            <w:r>
              <w:rPr>
                <w:sz w:val="4"/>
                <w:szCs w:val="4"/>
              </w:rPr>
            </w:r>
          </w:p>
        </w:tc>
        <w:tc>
          <w:tcPr>
            <w:tcW w:w="2002" w:type="dxa"/>
            <w:gridSpan w:val="4"/>
            <w:tcBorders/>
            <w:vAlign w:val="center"/>
          </w:tcPr>
          <w:p>
            <w:pPr>
              <w:pStyle w:val="TableContents"/>
              <w:bidi w:val="0"/>
              <w:spacing w:before="0" w:after="283"/>
              <w:jc w:val="left"/>
              <w:rPr>
                <w:sz w:val="4"/>
                <w:szCs w:val="4"/>
              </w:rPr>
            </w:pPr>
            <w:r>
              <w:rPr>
                <w:sz w:val="4"/>
                <w:szCs w:val="4"/>
              </w:rPr>
            </w:r>
          </w:p>
        </w:tc>
        <w:tc>
          <w:tcPr>
            <w:tcW w:w="1528" w:type="dxa"/>
            <w:gridSpan w:val="4"/>
            <w:tcBorders/>
            <w:vAlign w:val="center"/>
          </w:tcPr>
          <w:p>
            <w:pPr>
              <w:pStyle w:val="TableContents"/>
              <w:bidi w:val="0"/>
              <w:spacing w:before="0" w:after="283"/>
              <w:jc w:val="left"/>
              <w:rPr>
                <w:sz w:val="4"/>
                <w:szCs w:val="4"/>
              </w:rPr>
            </w:pPr>
            <w:r>
              <w:rPr>
                <w:sz w:val="4"/>
                <w:szCs w:val="4"/>
              </w:rPr>
            </w:r>
          </w:p>
        </w:tc>
        <w:tc>
          <w:tcPr>
            <w:tcW w:w="1671" w:type="dxa"/>
            <w:gridSpan w:val="4"/>
            <w:tcBorders/>
            <w:vAlign w:val="center"/>
          </w:tcPr>
          <w:p>
            <w:pPr>
              <w:pStyle w:val="TableContents"/>
              <w:bidi w:val="0"/>
              <w:spacing w:before="0" w:after="283"/>
              <w:jc w:val="left"/>
              <w:rPr>
                <w:sz w:val="4"/>
                <w:szCs w:val="4"/>
              </w:rPr>
            </w:pPr>
            <w:r>
              <w:rPr>
                <w:sz w:val="4"/>
                <w:szCs w:val="4"/>
              </w:rPr>
            </w:r>
          </w:p>
        </w:tc>
      </w:tr>
      <w:tr>
        <w:trPr/>
        <w:tc>
          <w:tcPr>
            <w:tcW w:w="3556" w:type="dxa"/>
            <w:tcBorders/>
            <w:vAlign w:val="center"/>
          </w:tcPr>
          <w:p>
            <w:pPr>
              <w:pStyle w:val="TableContents"/>
              <w:bidi w:val="0"/>
              <w:spacing w:before="0" w:after="0"/>
              <w:jc w:val="left"/>
              <w:rPr>
                <w:rFonts w:ascii="arial" w:hAnsi="arial"/>
                <w:sz w:val="18"/>
              </w:rPr>
            </w:pPr>
            <w:r>
              <w:rPr>
                <w:rFonts w:ascii="arial" w:hAnsi="arial"/>
                <w:sz w:val="18"/>
              </w:rPr>
              <w:t>Continuing health care benefits for 18 months(3)</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pPr>
            <w:r>
              <w:rPr/>
              <w:t>0</w:t>
            </w:r>
          </w:p>
        </w:tc>
        <w:tc>
          <w:tcPr>
            <w:tcW w:w="30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493" w:type="dxa"/>
            <w:tcBorders/>
            <w:vAlign w:val="center"/>
          </w:tcPr>
          <w:p>
            <w:pPr>
              <w:pStyle w:val="TableContents"/>
              <w:bidi w:val="0"/>
              <w:spacing w:before="0" w:after="283"/>
              <w:jc w:val="right"/>
              <w:rPr/>
            </w:pPr>
            <w:r>
              <w:rPr/>
              <w:t>46,346</w:t>
            </w:r>
          </w:p>
        </w:tc>
        <w:tc>
          <w:tcPr>
            <w:tcW w:w="30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04"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59" w:type="dxa"/>
            <w:tcBorders/>
            <w:vAlign w:val="center"/>
          </w:tcPr>
          <w:p>
            <w:pPr>
              <w:pStyle w:val="TableContents"/>
              <w:bidi w:val="0"/>
              <w:spacing w:before="0" w:after="283"/>
              <w:jc w:val="right"/>
              <w:rPr/>
            </w:pPr>
            <w:r>
              <w:rPr/>
              <w:t>0</w:t>
            </w:r>
          </w:p>
        </w:tc>
        <w:tc>
          <w:tcPr>
            <w:tcW w:w="330" w:type="dxa"/>
            <w:tcBorders/>
            <w:vAlign w:val="center"/>
          </w:tcPr>
          <w:p>
            <w:pPr>
              <w:pStyle w:val="TableContents"/>
              <w:bidi w:val="0"/>
              <w:spacing w:before="0" w:after="283"/>
              <w:jc w:val="left"/>
              <w:rPr/>
            </w:pPr>
            <w:r>
              <w:rPr/>
              <w:t> </w:t>
            </w:r>
          </w:p>
        </w:tc>
      </w:tr>
      <w:tr>
        <w:trPr/>
        <w:tc>
          <w:tcPr>
            <w:tcW w:w="3556" w:type="dxa"/>
            <w:tcBorders/>
            <w:shd w:fill="CCE2F1" w:val="clear"/>
            <w:vAlign w:val="center"/>
          </w:tcPr>
          <w:p>
            <w:pPr>
              <w:pStyle w:val="TableContents"/>
              <w:bidi w:val="0"/>
              <w:spacing w:before="0" w:after="283"/>
              <w:jc w:val="left"/>
              <w:rPr>
                <w:sz w:val="4"/>
                <w:szCs w:val="4"/>
              </w:rPr>
            </w:pPr>
            <w:r>
              <w:rPr>
                <w:sz w:val="4"/>
                <w:szCs w:val="4"/>
              </w:rPr>
            </w:r>
          </w:p>
        </w:tc>
        <w:tc>
          <w:tcPr>
            <w:tcW w:w="1448" w:type="dxa"/>
            <w:gridSpan w:val="4"/>
            <w:tcBorders/>
            <w:shd w:fill="CCE2F1" w:val="clear"/>
            <w:vAlign w:val="center"/>
          </w:tcPr>
          <w:p>
            <w:pPr>
              <w:pStyle w:val="TableContents"/>
              <w:bidi w:val="0"/>
              <w:spacing w:before="0" w:after="283"/>
              <w:jc w:val="left"/>
              <w:rPr>
                <w:sz w:val="4"/>
                <w:szCs w:val="4"/>
              </w:rPr>
            </w:pPr>
            <w:r>
              <w:rPr>
                <w:sz w:val="4"/>
                <w:szCs w:val="4"/>
              </w:rPr>
            </w:r>
          </w:p>
        </w:tc>
        <w:tc>
          <w:tcPr>
            <w:tcW w:w="2002" w:type="dxa"/>
            <w:gridSpan w:val="4"/>
            <w:tcBorders/>
            <w:shd w:fill="CCE2F1" w:val="clear"/>
            <w:vAlign w:val="center"/>
          </w:tcPr>
          <w:p>
            <w:pPr>
              <w:pStyle w:val="TableContents"/>
              <w:bidi w:val="0"/>
              <w:spacing w:before="0" w:after="283"/>
              <w:jc w:val="left"/>
              <w:rPr>
                <w:sz w:val="4"/>
                <w:szCs w:val="4"/>
              </w:rPr>
            </w:pPr>
            <w:r>
              <w:rPr>
                <w:sz w:val="4"/>
                <w:szCs w:val="4"/>
              </w:rPr>
            </w:r>
          </w:p>
        </w:tc>
        <w:tc>
          <w:tcPr>
            <w:tcW w:w="1528" w:type="dxa"/>
            <w:gridSpan w:val="4"/>
            <w:tcBorders/>
            <w:shd w:fill="CCE2F1" w:val="clear"/>
            <w:vAlign w:val="center"/>
          </w:tcPr>
          <w:p>
            <w:pPr>
              <w:pStyle w:val="TableContents"/>
              <w:bidi w:val="0"/>
              <w:spacing w:before="0" w:after="283"/>
              <w:jc w:val="left"/>
              <w:rPr>
                <w:sz w:val="4"/>
                <w:szCs w:val="4"/>
              </w:rPr>
            </w:pPr>
            <w:r>
              <w:rPr>
                <w:sz w:val="4"/>
                <w:szCs w:val="4"/>
              </w:rPr>
            </w:r>
          </w:p>
        </w:tc>
        <w:tc>
          <w:tcPr>
            <w:tcW w:w="1671"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3556" w:type="dxa"/>
            <w:tcBorders/>
            <w:shd w:fill="CCE2F1" w:val="clear"/>
            <w:vAlign w:val="center"/>
          </w:tcPr>
          <w:p>
            <w:pPr>
              <w:pStyle w:val="TableContents"/>
              <w:bidi w:val="0"/>
              <w:spacing w:before="0" w:after="0"/>
              <w:jc w:val="left"/>
              <w:rPr>
                <w:rFonts w:ascii="arial" w:hAnsi="arial"/>
                <w:sz w:val="18"/>
              </w:rPr>
            </w:pPr>
            <w:r>
              <w:rPr>
                <w:rFonts w:ascii="arial" w:hAnsi="arial"/>
                <w:sz w:val="18"/>
              </w:rPr>
              <w:t>Continuing retirement plan contributions for two years(4)</w:t>
            </w:r>
          </w:p>
        </w:tc>
        <w:tc>
          <w:tcPr>
            <w:tcW w:w="60" w:type="dxa"/>
            <w:tcBorders/>
            <w:shd w:fill="CCE2F1" w:val="clear"/>
            <w:vAlign w:val="center"/>
          </w:tcPr>
          <w:p>
            <w:pPr>
              <w:pStyle w:val="TableContents"/>
              <w:bidi w:val="0"/>
              <w:spacing w:before="0" w:after="283"/>
              <w:jc w:val="left"/>
              <w:rPr/>
            </w:pPr>
            <w:r>
              <w:rPr/>
              <w:t> </w:t>
            </w:r>
          </w:p>
        </w:tc>
        <w:tc>
          <w:tcPr>
            <w:tcW w:w="61" w:type="dxa"/>
            <w:tcBorders/>
            <w:shd w:fill="CCE2F1" w:val="clear"/>
            <w:vAlign w:val="center"/>
          </w:tcPr>
          <w:p>
            <w:pPr>
              <w:pStyle w:val="TableContents"/>
              <w:bidi w:val="0"/>
              <w:spacing w:before="0" w:after="283"/>
              <w:jc w:val="left"/>
              <w:rPr/>
            </w:pPr>
            <w:r>
              <w:rPr/>
              <w:t> </w:t>
            </w:r>
          </w:p>
        </w:tc>
        <w:tc>
          <w:tcPr>
            <w:tcW w:w="1018" w:type="dxa"/>
            <w:tcBorders/>
            <w:shd w:fill="CCE2F1" w:val="clear"/>
            <w:vAlign w:val="center"/>
          </w:tcPr>
          <w:p>
            <w:pPr>
              <w:pStyle w:val="TableContents"/>
              <w:bidi w:val="0"/>
              <w:spacing w:before="0" w:after="283"/>
              <w:jc w:val="right"/>
              <w:rPr/>
            </w:pPr>
            <w:r>
              <w:rPr/>
              <w:t>0</w:t>
            </w:r>
          </w:p>
        </w:tc>
        <w:tc>
          <w:tcPr>
            <w:tcW w:w="309"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80" w:type="dxa"/>
            <w:tcBorders/>
            <w:shd w:fill="CCE2F1" w:val="clear"/>
            <w:vAlign w:val="center"/>
          </w:tcPr>
          <w:p>
            <w:pPr>
              <w:pStyle w:val="TableContents"/>
              <w:bidi w:val="0"/>
              <w:spacing w:before="0" w:after="283"/>
              <w:jc w:val="left"/>
              <w:rPr/>
            </w:pPr>
            <w:r>
              <w:rPr/>
              <w:t> </w:t>
            </w:r>
          </w:p>
        </w:tc>
        <w:tc>
          <w:tcPr>
            <w:tcW w:w="1493" w:type="dxa"/>
            <w:tcBorders/>
            <w:shd w:fill="CCE2F1" w:val="clear"/>
            <w:vAlign w:val="center"/>
          </w:tcPr>
          <w:p>
            <w:pPr>
              <w:pStyle w:val="TableContents"/>
              <w:bidi w:val="0"/>
              <w:spacing w:before="0" w:after="283"/>
              <w:jc w:val="right"/>
              <w:rPr/>
            </w:pPr>
            <w:r>
              <w:rPr/>
              <w:t>465,440</w:t>
            </w:r>
          </w:p>
        </w:tc>
        <w:tc>
          <w:tcPr>
            <w:tcW w:w="309"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404" w:type="dxa"/>
            <w:tcBorders/>
            <w:shd w:fill="CCE2F1" w:val="clear"/>
            <w:vAlign w:val="center"/>
          </w:tcPr>
          <w:p>
            <w:pPr>
              <w:pStyle w:val="TableContents"/>
              <w:bidi w:val="0"/>
              <w:spacing w:before="0" w:after="283"/>
              <w:jc w:val="left"/>
              <w:rPr/>
            </w:pPr>
            <w:r>
              <w:rPr/>
              <w:t> </w:t>
            </w:r>
          </w:p>
        </w:tc>
        <w:tc>
          <w:tcPr>
            <w:tcW w:w="944"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2" w:type="dxa"/>
            <w:tcBorders/>
            <w:shd w:fill="CCE2F1" w:val="clear"/>
            <w:vAlign w:val="center"/>
          </w:tcPr>
          <w:p>
            <w:pPr>
              <w:pStyle w:val="TableContents"/>
              <w:bidi w:val="0"/>
              <w:spacing w:before="0" w:after="283"/>
              <w:jc w:val="left"/>
              <w:rPr/>
            </w:pPr>
            <w:r>
              <w:rPr/>
              <w:t> </w:t>
            </w:r>
          </w:p>
        </w:tc>
        <w:tc>
          <w:tcPr>
            <w:tcW w:w="1159" w:type="dxa"/>
            <w:tcBorders/>
            <w:shd w:fill="CCE2F1" w:val="clear"/>
            <w:vAlign w:val="center"/>
          </w:tcPr>
          <w:p>
            <w:pPr>
              <w:pStyle w:val="TableContents"/>
              <w:bidi w:val="0"/>
              <w:spacing w:before="0" w:after="283"/>
              <w:jc w:val="right"/>
              <w:rPr/>
            </w:pPr>
            <w:r>
              <w:rPr/>
              <w:t>0</w:t>
            </w:r>
          </w:p>
        </w:tc>
        <w:tc>
          <w:tcPr>
            <w:tcW w:w="330" w:type="dxa"/>
            <w:tcBorders/>
            <w:shd w:fill="CCE2F1" w:val="clear"/>
            <w:vAlign w:val="center"/>
          </w:tcPr>
          <w:p>
            <w:pPr>
              <w:pStyle w:val="TableContents"/>
              <w:bidi w:val="0"/>
              <w:spacing w:before="0" w:after="283"/>
              <w:jc w:val="left"/>
              <w:rPr/>
            </w:pPr>
            <w:r>
              <w:rPr/>
              <w:t> </w:t>
            </w:r>
          </w:p>
        </w:tc>
      </w:tr>
      <w:tr>
        <w:trPr/>
        <w:tc>
          <w:tcPr>
            <w:tcW w:w="3556" w:type="dxa"/>
            <w:tcBorders>
              <w:top w:val="single" w:sz="8" w:space="0" w:color="0171B9"/>
            </w:tcBorders>
            <w:tcMar>
              <w:top w:w="28" w:type="dxa"/>
            </w:tcMar>
            <w:vAlign w:val="center"/>
          </w:tcPr>
          <w:p>
            <w:pPr>
              <w:pStyle w:val="TableContents"/>
              <w:bidi w:val="0"/>
              <w:spacing w:before="0" w:after="283"/>
              <w:jc w:val="left"/>
              <w:rPr/>
            </w:pPr>
            <w:r>
              <w:rPr/>
              <w:t> </w:t>
            </w:r>
          </w:p>
        </w:tc>
        <w:tc>
          <w:tcPr>
            <w:tcW w:w="1448" w:type="dxa"/>
            <w:gridSpan w:val="4"/>
            <w:tcBorders>
              <w:top w:val="single" w:sz="8" w:space="0" w:color="0171B9"/>
            </w:tcBorders>
            <w:tcMar>
              <w:top w:w="28" w:type="dxa"/>
            </w:tcMar>
            <w:vAlign w:val="center"/>
          </w:tcPr>
          <w:p>
            <w:pPr>
              <w:pStyle w:val="TableContents"/>
              <w:bidi w:val="0"/>
              <w:spacing w:before="0" w:after="283"/>
              <w:jc w:val="left"/>
              <w:rPr/>
            </w:pPr>
            <w:r>
              <w:rPr/>
              <w:t> </w:t>
            </w:r>
          </w:p>
        </w:tc>
        <w:tc>
          <w:tcPr>
            <w:tcW w:w="2002" w:type="dxa"/>
            <w:gridSpan w:val="4"/>
            <w:tcBorders>
              <w:top w:val="single" w:sz="8" w:space="0" w:color="0171B9"/>
            </w:tcBorders>
            <w:tcMar>
              <w:top w:w="28" w:type="dxa"/>
            </w:tcMar>
            <w:vAlign w:val="center"/>
          </w:tcPr>
          <w:p>
            <w:pPr>
              <w:pStyle w:val="TableContents"/>
              <w:bidi w:val="0"/>
              <w:spacing w:before="0" w:after="283"/>
              <w:jc w:val="left"/>
              <w:rPr/>
            </w:pPr>
            <w:r>
              <w:rPr/>
              <w:t> </w:t>
            </w:r>
          </w:p>
        </w:tc>
        <w:tc>
          <w:tcPr>
            <w:tcW w:w="1528" w:type="dxa"/>
            <w:gridSpan w:val="4"/>
            <w:tcBorders>
              <w:top w:val="single" w:sz="8" w:space="0" w:color="0171B9"/>
            </w:tcBorders>
            <w:tcMar>
              <w:top w:w="28" w:type="dxa"/>
            </w:tcMar>
            <w:vAlign w:val="center"/>
          </w:tcPr>
          <w:p>
            <w:pPr>
              <w:pStyle w:val="TableContents"/>
              <w:bidi w:val="0"/>
              <w:spacing w:before="0" w:after="283"/>
              <w:jc w:val="left"/>
              <w:rPr/>
            </w:pPr>
            <w:r>
              <w:rPr/>
              <w:t> </w:t>
            </w:r>
          </w:p>
        </w:tc>
        <w:tc>
          <w:tcPr>
            <w:tcW w:w="1671" w:type="dxa"/>
            <w:gridSpan w:val="4"/>
            <w:tcBorders>
              <w:top w:val="single" w:sz="8" w:space="0" w:color="0171B9"/>
            </w:tcBorders>
            <w:tcMar>
              <w:top w:w="28" w:type="dxa"/>
            </w:tcMar>
            <w:vAlign w:val="center"/>
          </w:tcPr>
          <w:p>
            <w:pPr>
              <w:pStyle w:val="TableContents"/>
              <w:bidi w:val="0"/>
              <w:spacing w:before="0" w:after="283"/>
              <w:jc w:val="left"/>
              <w:rPr/>
            </w:pPr>
            <w:r>
              <w:rPr/>
              <w:t> </w:t>
            </w:r>
          </w:p>
        </w:tc>
      </w:tr>
      <w:tr>
        <w:trPr/>
        <w:tc>
          <w:tcPr>
            <w:tcW w:w="3556" w:type="dxa"/>
            <w:tcBorders>
              <w:bottom w:val="single" w:sz="8" w:space="0" w:color="0171B9"/>
            </w:tcBorders>
            <w:tcMar>
              <w:bottom w:w="80" w:type="dxa"/>
            </w:tcMar>
            <w:vAlign w:val="center"/>
          </w:tcPr>
          <w:p>
            <w:pPr>
              <w:pStyle w:val="TableContents"/>
              <w:bidi w:val="0"/>
              <w:spacing w:before="0" w:after="0"/>
              <w:jc w:val="left"/>
              <w:rPr/>
            </w:pPr>
            <w:r>
              <w:rPr/>
              <w:t> </w:t>
            </w:r>
            <w:r>
              <w:rPr>
                <w:rFonts w:ascii="arial" w:hAnsi="arial"/>
                <w:sz w:val="18"/>
              </w:rPr>
              <w:t>Total</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61" w:type="dxa"/>
            <w:tcBorders>
              <w:bottom w:val="single" w:sz="8" w:space="0" w:color="0171B9"/>
            </w:tcBorders>
            <w:tcMar>
              <w:bottom w:w="80" w:type="dxa"/>
            </w:tcMar>
            <w:vAlign w:val="center"/>
          </w:tcPr>
          <w:p>
            <w:pPr>
              <w:pStyle w:val="TableContents"/>
              <w:bidi w:val="0"/>
              <w:spacing w:before="0" w:after="283"/>
              <w:jc w:val="left"/>
              <w:rPr/>
            </w:pPr>
            <w:r>
              <w:rPr/>
              <w:t> </w:t>
            </w:r>
          </w:p>
        </w:tc>
        <w:tc>
          <w:tcPr>
            <w:tcW w:w="1018" w:type="dxa"/>
            <w:tcBorders>
              <w:bottom w:val="single" w:sz="8" w:space="0" w:color="0171B9"/>
            </w:tcBorders>
            <w:tcMar>
              <w:bottom w:w="80" w:type="dxa"/>
            </w:tcMar>
            <w:vAlign w:val="center"/>
          </w:tcPr>
          <w:p>
            <w:pPr>
              <w:pStyle w:val="TableContents"/>
              <w:bidi w:val="0"/>
              <w:spacing w:before="0" w:after="283"/>
              <w:jc w:val="right"/>
              <w:rPr/>
            </w:pPr>
            <w:r>
              <w:rPr/>
              <w:t>7,840,768</w:t>
            </w:r>
          </w:p>
        </w:tc>
        <w:tc>
          <w:tcPr>
            <w:tcW w:w="309" w:type="dxa"/>
            <w:tcBorders>
              <w:bottom w:val="single" w:sz="8" w:space="0" w:color="0171B9"/>
            </w:tcBorders>
            <w:tcMar>
              <w:bottom w:w="80" w:type="dxa"/>
            </w:tcMar>
            <w:vAlign w:val="center"/>
          </w:tcPr>
          <w:p>
            <w:pPr>
              <w:pStyle w:val="TableContents"/>
              <w:bidi w:val="0"/>
              <w:spacing w:before="0" w:after="283"/>
              <w:jc w:val="left"/>
              <w:rPr/>
            </w:pPr>
            <w:r>
              <w:rPr/>
              <w:t> </w:t>
            </w:r>
          </w:p>
        </w:tc>
        <w:tc>
          <w:tcPr>
            <w:tcW w:w="120" w:type="dxa"/>
            <w:tcBorders>
              <w:bottom w:val="single" w:sz="8" w:space="0" w:color="0171B9"/>
            </w:tcBorders>
            <w:tcMar>
              <w:bottom w:w="28" w:type="dxa"/>
            </w:tcMar>
            <w:vAlign w:val="center"/>
          </w:tcPr>
          <w:p>
            <w:pPr>
              <w:pStyle w:val="TableContents"/>
              <w:bidi w:val="0"/>
              <w:spacing w:before="0" w:after="283"/>
              <w:jc w:val="left"/>
              <w:rPr/>
            </w:pPr>
            <w:r>
              <w:rPr/>
              <w:t>  </w:t>
            </w:r>
          </w:p>
        </w:tc>
        <w:tc>
          <w:tcPr>
            <w:tcW w:w="80" w:type="dxa"/>
            <w:tcBorders>
              <w:bottom w:val="single" w:sz="8" w:space="0" w:color="0171B9"/>
            </w:tcBorders>
            <w:tcMar>
              <w:bottom w:w="80" w:type="dxa"/>
            </w:tcMar>
            <w:vAlign w:val="center"/>
          </w:tcPr>
          <w:p>
            <w:pPr>
              <w:pStyle w:val="TableContents"/>
              <w:bidi w:val="0"/>
              <w:spacing w:before="0" w:after="283"/>
              <w:jc w:val="left"/>
              <w:rPr/>
            </w:pPr>
            <w:r>
              <w:rPr/>
              <w:t> </w:t>
            </w:r>
          </w:p>
        </w:tc>
        <w:tc>
          <w:tcPr>
            <w:tcW w:w="1493" w:type="dxa"/>
            <w:tcBorders>
              <w:bottom w:val="single" w:sz="8" w:space="0" w:color="0171B9"/>
            </w:tcBorders>
            <w:tcMar>
              <w:bottom w:w="80" w:type="dxa"/>
            </w:tcMar>
            <w:vAlign w:val="center"/>
          </w:tcPr>
          <w:p>
            <w:pPr>
              <w:pStyle w:val="TableContents"/>
              <w:bidi w:val="0"/>
              <w:spacing w:before="0" w:after="283"/>
              <w:jc w:val="right"/>
              <w:rPr/>
            </w:pPr>
            <w:r>
              <w:rPr/>
              <w:t>22,360,893</w:t>
            </w:r>
          </w:p>
        </w:tc>
        <w:tc>
          <w:tcPr>
            <w:tcW w:w="309" w:type="dxa"/>
            <w:tcBorders>
              <w:bottom w:val="single" w:sz="8" w:space="0" w:color="0171B9"/>
            </w:tcBorders>
            <w:tcMar>
              <w:bottom w:w="80" w:type="dxa"/>
            </w:tcMar>
            <w:vAlign w:val="center"/>
          </w:tcPr>
          <w:p>
            <w:pPr>
              <w:pStyle w:val="TableContents"/>
              <w:bidi w:val="0"/>
              <w:spacing w:before="0" w:after="283"/>
              <w:jc w:val="left"/>
              <w:rPr/>
            </w:pPr>
            <w:r>
              <w:rPr/>
              <w:t> </w:t>
            </w:r>
          </w:p>
        </w:tc>
        <w:tc>
          <w:tcPr>
            <w:tcW w:w="120" w:type="dxa"/>
            <w:tcBorders>
              <w:bottom w:val="single" w:sz="8" w:space="0" w:color="0171B9"/>
            </w:tcBorders>
            <w:tcMar>
              <w:bottom w:w="28" w:type="dxa"/>
            </w:tcMar>
            <w:vAlign w:val="center"/>
          </w:tcPr>
          <w:p>
            <w:pPr>
              <w:pStyle w:val="TableContents"/>
              <w:bidi w:val="0"/>
              <w:spacing w:before="0" w:after="283"/>
              <w:jc w:val="left"/>
              <w:rPr/>
            </w:pPr>
            <w:r>
              <w:rPr/>
              <w:t>  </w:t>
            </w:r>
          </w:p>
        </w:tc>
        <w:tc>
          <w:tcPr>
            <w:tcW w:w="404" w:type="dxa"/>
            <w:tcBorders>
              <w:bottom w:val="single" w:sz="8" w:space="0" w:color="0171B9"/>
            </w:tcBorders>
            <w:tcMar>
              <w:bottom w:w="80" w:type="dxa"/>
            </w:tcMar>
            <w:vAlign w:val="center"/>
          </w:tcPr>
          <w:p>
            <w:pPr>
              <w:pStyle w:val="TableContents"/>
              <w:bidi w:val="0"/>
              <w:spacing w:before="0" w:after="283"/>
              <w:jc w:val="left"/>
              <w:rPr/>
            </w:pPr>
            <w:r>
              <w:rPr/>
              <w:t> </w:t>
            </w:r>
          </w:p>
        </w:tc>
        <w:tc>
          <w:tcPr>
            <w:tcW w:w="944" w:type="dxa"/>
            <w:tcBorders>
              <w:bottom w:val="single" w:sz="8" w:space="0" w:color="0171B9"/>
            </w:tcBorders>
            <w:tcMar>
              <w:bottom w:w="80" w:type="dxa"/>
            </w:tcMar>
            <w:vAlign w:val="center"/>
          </w:tcPr>
          <w:p>
            <w:pPr>
              <w:pStyle w:val="TableContents"/>
              <w:bidi w:val="0"/>
              <w:spacing w:before="0" w:after="283"/>
              <w:jc w:val="right"/>
              <w:rPr/>
            </w:pPr>
            <w:r>
              <w:rPr/>
              <w:t>0</w:t>
            </w:r>
          </w:p>
        </w:tc>
        <w:tc>
          <w:tcPr>
            <w:tcW w:w="60" w:type="dxa"/>
            <w:tcBorders>
              <w:bottom w:val="single" w:sz="8" w:space="0" w:color="0171B9"/>
            </w:tcBorders>
            <w:tcMar>
              <w:bottom w:w="80" w:type="dxa"/>
            </w:tcMar>
            <w:vAlign w:val="center"/>
          </w:tcPr>
          <w:p>
            <w:pPr>
              <w:pStyle w:val="TableContents"/>
              <w:bidi w:val="0"/>
              <w:spacing w:before="0" w:after="283"/>
              <w:jc w:val="left"/>
              <w:rPr/>
            </w:pPr>
            <w:r>
              <w:rPr/>
              <w:t> </w:t>
            </w:r>
          </w:p>
        </w:tc>
        <w:tc>
          <w:tcPr>
            <w:tcW w:w="120" w:type="dxa"/>
            <w:tcBorders>
              <w:bottom w:val="single" w:sz="8" w:space="0" w:color="0171B9"/>
            </w:tcBorders>
            <w:tcMar>
              <w:bottom w:w="28" w:type="dxa"/>
            </w:tcMar>
            <w:vAlign w:val="center"/>
          </w:tcPr>
          <w:p>
            <w:pPr>
              <w:pStyle w:val="TableContents"/>
              <w:bidi w:val="0"/>
              <w:spacing w:before="0" w:after="283"/>
              <w:jc w:val="left"/>
              <w:rPr/>
            </w:pPr>
            <w:r>
              <w:rPr/>
              <w:t>  </w:t>
            </w:r>
          </w:p>
        </w:tc>
        <w:tc>
          <w:tcPr>
            <w:tcW w:w="62" w:type="dxa"/>
            <w:tcBorders>
              <w:bottom w:val="single" w:sz="8" w:space="0" w:color="0171B9"/>
            </w:tcBorders>
            <w:tcMar>
              <w:bottom w:w="80" w:type="dxa"/>
            </w:tcMar>
            <w:vAlign w:val="center"/>
          </w:tcPr>
          <w:p>
            <w:pPr>
              <w:pStyle w:val="TableContents"/>
              <w:bidi w:val="0"/>
              <w:spacing w:before="0" w:after="283"/>
              <w:jc w:val="left"/>
              <w:rPr/>
            </w:pPr>
            <w:r>
              <w:rPr/>
              <w:t> </w:t>
            </w:r>
          </w:p>
        </w:tc>
        <w:tc>
          <w:tcPr>
            <w:tcW w:w="1159" w:type="dxa"/>
            <w:tcBorders>
              <w:bottom w:val="single" w:sz="8" w:space="0" w:color="0171B9"/>
            </w:tcBorders>
            <w:tcMar>
              <w:bottom w:w="80" w:type="dxa"/>
            </w:tcMar>
            <w:vAlign w:val="center"/>
          </w:tcPr>
          <w:p>
            <w:pPr>
              <w:pStyle w:val="TableContents"/>
              <w:bidi w:val="0"/>
              <w:spacing w:before="0" w:after="283"/>
              <w:jc w:val="right"/>
              <w:rPr/>
            </w:pPr>
            <w:r>
              <w:rPr/>
              <w:t>16,340,325</w:t>
            </w:r>
          </w:p>
        </w:tc>
        <w:tc>
          <w:tcPr>
            <w:tcW w:w="330" w:type="dxa"/>
            <w:tcBorders>
              <w:bottom w:val="single" w:sz="8" w:space="0" w:color="0171B9"/>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96  </w:t>
      </w:r>
      <w:r>
        <w:rPr>
          <w:rFonts w:ascii="arial" w:hAnsi="arial"/>
          <w:b/>
          <w:color w:val="474747"/>
          <w:sz w:val="22"/>
        </w:rPr>
        <w:drawing>
          <wp:inline distT="0" distB="0" distL="0" distR="0">
            <wp:extent cx="64770" cy="15240"/>
            <wp:effectExtent l="0" t="0" r="0" b="0"/>
            <wp:docPr id="343"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159" descr=""/>
                    <pic:cNvPicPr>
                      <a:picLocks noChangeAspect="1" noChangeArrowheads="1"/>
                    </pic:cNvPicPr>
                  </pic:nvPicPr>
                  <pic:blipFill>
                    <a:blip r:embed="rId172"/>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419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371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1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371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Executive Compensation Tables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b/>
          <w:i/>
          <w:sz w:val="22"/>
        </w:rPr>
      </w:pPr>
      <w:r>
        <w:rPr>
          <w:rFonts w:ascii="arial" w:hAnsi="arial"/>
          <w:b/>
          <w:i/>
          <w:sz w:val="22"/>
        </w:rPr>
        <w:t xml:space="preserve">Estimated Payments to David M. Reese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444"/>
        <w:gridCol w:w="60"/>
        <w:gridCol w:w="61"/>
        <w:gridCol w:w="1008"/>
        <w:gridCol w:w="305"/>
        <w:gridCol w:w="120"/>
        <w:gridCol w:w="74"/>
        <w:gridCol w:w="1400"/>
        <w:gridCol w:w="305"/>
        <w:gridCol w:w="120"/>
        <w:gridCol w:w="68"/>
        <w:gridCol w:w="1271"/>
        <w:gridCol w:w="305"/>
        <w:gridCol w:w="120"/>
        <w:gridCol w:w="62"/>
        <w:gridCol w:w="1156"/>
        <w:gridCol w:w="326"/>
      </w:tblGrid>
      <w:tr>
        <w:trPr/>
        <w:tc>
          <w:tcPr>
            <w:tcW w:w="34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3444"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6375" w:type="dxa"/>
            <w:gridSpan w:val="14"/>
            <w:tcBorders>
              <w:bottom w:val="single" w:sz="8" w:space="0" w:color="FFFFFF"/>
            </w:tcBorders>
            <w:shd w:fill="0171B9" w:val="clear"/>
            <w:tcMar>
              <w:bottom w:w="28" w:type="dxa"/>
            </w:tcMar>
            <w:vAlign w:val="center"/>
          </w:tcPr>
          <w:p>
            <w:pPr>
              <w:pStyle w:val="TableContents"/>
              <w:bidi w:val="0"/>
              <w:spacing w:before="0" w:after="283"/>
              <w:jc w:val="center"/>
              <w:rPr>
                <w:b/>
                <w:color w:val="FFFFFF"/>
              </w:rPr>
            </w:pPr>
            <w:r>
              <w:rPr>
                <w:b/>
                <w:color w:val="FFFFFF"/>
              </w:rPr>
              <w:t>Triggering Event</w:t>
            </w:r>
          </w:p>
        </w:tc>
        <w:tc>
          <w:tcPr>
            <w:tcW w:w="326" w:type="dxa"/>
            <w:tcBorders/>
            <w:shd w:fill="0171B9" w:val="clear"/>
            <w:vAlign w:val="center"/>
          </w:tcPr>
          <w:p>
            <w:pPr>
              <w:pStyle w:val="TableContents"/>
              <w:bidi w:val="0"/>
              <w:spacing w:before="0" w:after="283"/>
              <w:jc w:val="left"/>
              <w:rPr/>
            </w:pPr>
            <w:r>
              <w:rPr/>
              <w:t> </w:t>
            </w:r>
          </w:p>
        </w:tc>
      </w:tr>
      <w:tr>
        <w:trPr/>
        <w:tc>
          <w:tcPr>
            <w:tcW w:w="3444" w:type="dxa"/>
            <w:tcBorders>
              <w:bottom w:val="single" w:sz="8" w:space="0" w:color="FFFFFF"/>
            </w:tcBorders>
            <w:shd w:fill="0171B9" w:val="clear"/>
            <w:tcMar>
              <w:bottom w:w="28" w:type="dxa"/>
            </w:tcMar>
            <w:vAlign w:val="center"/>
          </w:tcPr>
          <w:p>
            <w:pPr>
              <w:pStyle w:val="TableContents"/>
              <w:bidi w:val="0"/>
              <w:spacing w:before="0" w:after="283"/>
              <w:jc w:val="left"/>
              <w:rPr>
                <w:color w:val="FFFFFF"/>
              </w:rPr>
            </w:pPr>
            <w:r>
              <w:rPr>
                <w:color w:val="FFFFFF"/>
              </w:rPr>
              <w:t>  </w:t>
            </w:r>
            <w:r>
              <w:rPr>
                <w:b/>
                <w:color w:val="FFFFFF"/>
              </w:rPr>
              <w:t>Estimated Potential Payment or Benefit</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069" w:type="dxa"/>
            <w:gridSpan w:val="2"/>
            <w:tcBorders>
              <w:bottom w:val="single" w:sz="8" w:space="0" w:color="FFFFFF"/>
            </w:tcBorders>
            <w:shd w:fill="0171B9" w:val="clear"/>
            <w:tcMar>
              <w:bottom w:w="28" w:type="dxa"/>
            </w:tcMar>
            <w:vAlign w:val="center"/>
          </w:tcPr>
          <w:p>
            <w:pPr>
              <w:pStyle w:val="TableContents"/>
              <w:bidi w:val="0"/>
              <w:spacing w:before="0" w:after="283"/>
              <w:jc w:val="right"/>
              <w:rPr>
                <w:b/>
                <w:color w:val="FFFFFF"/>
              </w:rPr>
            </w:pPr>
            <w:r>
              <w:rPr>
                <w:b/>
                <w:color w:val="FFFFFF"/>
              </w:rPr>
              <w:t>Change</w:t>
              <w:br/>
              <w:t>in</w:t>
              <w:br/>
              <w:t>Control($)</w:t>
            </w:r>
          </w:p>
        </w:tc>
        <w:tc>
          <w:tcPr>
            <w:tcW w:w="305"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474" w:type="dxa"/>
            <w:gridSpan w:val="2"/>
            <w:tcBorders>
              <w:bottom w:val="single" w:sz="8" w:space="0" w:color="FFFFFF"/>
            </w:tcBorders>
            <w:shd w:fill="0171B9" w:val="clear"/>
            <w:tcMar>
              <w:bottom w:w="28" w:type="dxa"/>
            </w:tcMar>
            <w:vAlign w:val="center"/>
          </w:tcPr>
          <w:p>
            <w:pPr>
              <w:pStyle w:val="TableContents"/>
              <w:bidi w:val="0"/>
              <w:spacing w:before="0" w:after="283"/>
              <w:jc w:val="right"/>
              <w:rPr>
                <w:b/>
                <w:color w:val="FFFFFF"/>
              </w:rPr>
            </w:pPr>
            <w:r>
              <w:rPr>
                <w:b/>
                <w:color w:val="FFFFFF"/>
              </w:rPr>
              <w:t>Change in</w:t>
              <w:br/>
              <w:t>Control and</w:t>
              <w:br/>
              <w:t>Termination($)</w:t>
            </w:r>
          </w:p>
        </w:tc>
        <w:tc>
          <w:tcPr>
            <w:tcW w:w="305"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339" w:type="dxa"/>
            <w:gridSpan w:val="2"/>
            <w:tcBorders>
              <w:bottom w:val="single" w:sz="8" w:space="0" w:color="FFFFFF"/>
            </w:tcBorders>
            <w:shd w:fill="0171B9" w:val="clear"/>
            <w:tcMar>
              <w:bottom w:w="28" w:type="dxa"/>
            </w:tcMar>
            <w:vAlign w:val="center"/>
          </w:tcPr>
          <w:p>
            <w:pPr>
              <w:pStyle w:val="TableContents"/>
              <w:bidi w:val="0"/>
              <w:spacing w:before="0" w:after="283"/>
              <w:jc w:val="right"/>
              <w:rPr>
                <w:b/>
                <w:color w:val="FFFFFF"/>
              </w:rPr>
            </w:pPr>
            <w:r>
              <w:rPr>
                <w:b/>
                <w:color w:val="FFFFFF"/>
              </w:rPr>
              <w:t>Retirement($)</w:t>
            </w:r>
          </w:p>
        </w:tc>
        <w:tc>
          <w:tcPr>
            <w:tcW w:w="305"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18" w:type="dxa"/>
            <w:gridSpan w:val="2"/>
            <w:tcBorders>
              <w:bottom w:val="single" w:sz="8" w:space="0" w:color="FFFFFF"/>
            </w:tcBorders>
            <w:shd w:fill="0171B9" w:val="clear"/>
            <w:tcMar>
              <w:bottom w:w="28" w:type="dxa"/>
            </w:tcMar>
            <w:vAlign w:val="center"/>
          </w:tcPr>
          <w:p>
            <w:pPr>
              <w:pStyle w:val="TableContents"/>
              <w:bidi w:val="0"/>
              <w:spacing w:before="0" w:after="283"/>
              <w:jc w:val="right"/>
              <w:rPr>
                <w:b/>
                <w:color w:val="FFFFFF"/>
              </w:rPr>
            </w:pPr>
            <w:r>
              <w:rPr>
                <w:b/>
                <w:color w:val="FFFFFF"/>
              </w:rPr>
              <w:t>Death or</w:t>
              <w:br/>
              <w:t>Disability($)</w:t>
            </w:r>
          </w:p>
        </w:tc>
        <w:tc>
          <w:tcPr>
            <w:tcW w:w="326"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r>
      <w:tr>
        <w:trPr/>
        <w:tc>
          <w:tcPr>
            <w:tcW w:w="3444" w:type="dxa"/>
            <w:tcBorders/>
            <w:shd w:fill="CCE2F1" w:val="clear"/>
            <w:vAlign w:val="center"/>
          </w:tcPr>
          <w:p>
            <w:pPr>
              <w:pStyle w:val="TableContents"/>
              <w:bidi w:val="0"/>
              <w:spacing w:before="0" w:after="283"/>
              <w:jc w:val="left"/>
              <w:rPr>
                <w:sz w:val="4"/>
                <w:szCs w:val="4"/>
              </w:rPr>
            </w:pPr>
            <w:r>
              <w:rPr>
                <w:sz w:val="4"/>
                <w:szCs w:val="4"/>
              </w:rPr>
            </w:r>
          </w:p>
        </w:tc>
        <w:tc>
          <w:tcPr>
            <w:tcW w:w="1434" w:type="dxa"/>
            <w:gridSpan w:val="4"/>
            <w:tcBorders/>
            <w:shd w:fill="CCE2F1" w:val="clear"/>
            <w:vAlign w:val="center"/>
          </w:tcPr>
          <w:p>
            <w:pPr>
              <w:pStyle w:val="TableContents"/>
              <w:bidi w:val="0"/>
              <w:spacing w:before="0" w:after="283"/>
              <w:jc w:val="left"/>
              <w:rPr>
                <w:sz w:val="4"/>
                <w:szCs w:val="4"/>
              </w:rPr>
            </w:pPr>
            <w:r>
              <w:rPr>
                <w:sz w:val="4"/>
                <w:szCs w:val="4"/>
              </w:rPr>
            </w:r>
          </w:p>
        </w:tc>
        <w:tc>
          <w:tcPr>
            <w:tcW w:w="1899" w:type="dxa"/>
            <w:gridSpan w:val="4"/>
            <w:tcBorders/>
            <w:shd w:fill="CCE2F1" w:val="clear"/>
            <w:vAlign w:val="center"/>
          </w:tcPr>
          <w:p>
            <w:pPr>
              <w:pStyle w:val="TableContents"/>
              <w:bidi w:val="0"/>
              <w:spacing w:before="0" w:after="283"/>
              <w:jc w:val="left"/>
              <w:rPr>
                <w:sz w:val="4"/>
                <w:szCs w:val="4"/>
              </w:rPr>
            </w:pPr>
            <w:r>
              <w:rPr>
                <w:sz w:val="4"/>
                <w:szCs w:val="4"/>
              </w:rPr>
            </w:r>
          </w:p>
        </w:tc>
        <w:tc>
          <w:tcPr>
            <w:tcW w:w="1764" w:type="dxa"/>
            <w:gridSpan w:val="4"/>
            <w:tcBorders/>
            <w:shd w:fill="CCE2F1" w:val="clear"/>
            <w:vAlign w:val="center"/>
          </w:tcPr>
          <w:p>
            <w:pPr>
              <w:pStyle w:val="TableContents"/>
              <w:bidi w:val="0"/>
              <w:spacing w:before="0" w:after="283"/>
              <w:jc w:val="left"/>
              <w:rPr>
                <w:sz w:val="4"/>
                <w:szCs w:val="4"/>
              </w:rPr>
            </w:pPr>
            <w:r>
              <w:rPr>
                <w:sz w:val="4"/>
                <w:szCs w:val="4"/>
              </w:rPr>
            </w:r>
          </w:p>
        </w:tc>
        <w:tc>
          <w:tcPr>
            <w:tcW w:w="1664"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3444" w:type="dxa"/>
            <w:tcBorders/>
            <w:shd w:fill="CCE2F1" w:val="clear"/>
            <w:vAlign w:val="center"/>
          </w:tcPr>
          <w:p>
            <w:pPr>
              <w:pStyle w:val="TableContents"/>
              <w:bidi w:val="0"/>
              <w:spacing w:before="0" w:after="0"/>
              <w:jc w:val="left"/>
              <w:rPr>
                <w:rFonts w:ascii="arial" w:hAnsi="arial"/>
                <w:sz w:val="18"/>
              </w:rPr>
            </w:pPr>
            <w:r>
              <w:rPr>
                <w:rFonts w:ascii="arial" w:hAnsi="arial"/>
                <w:sz w:val="18"/>
              </w:rPr>
              <w:t>Lump sum cash severance payment</w:t>
            </w:r>
          </w:p>
        </w:tc>
        <w:tc>
          <w:tcPr>
            <w:tcW w:w="60" w:type="dxa"/>
            <w:tcBorders/>
            <w:shd w:fill="CCE2F1" w:val="clear"/>
            <w:vAlign w:val="center"/>
          </w:tcPr>
          <w:p>
            <w:pPr>
              <w:pStyle w:val="TableContents"/>
              <w:bidi w:val="0"/>
              <w:spacing w:before="0" w:after="283"/>
              <w:jc w:val="left"/>
              <w:rPr/>
            </w:pPr>
            <w:r>
              <w:rPr/>
              <w:t> </w:t>
            </w:r>
          </w:p>
        </w:tc>
        <w:tc>
          <w:tcPr>
            <w:tcW w:w="61" w:type="dxa"/>
            <w:tcBorders/>
            <w:shd w:fill="CCE2F1" w:val="clear"/>
            <w:vAlign w:val="center"/>
          </w:tcPr>
          <w:p>
            <w:pPr>
              <w:pStyle w:val="TableContents"/>
              <w:bidi w:val="0"/>
              <w:spacing w:before="0" w:after="283"/>
              <w:jc w:val="left"/>
              <w:rPr/>
            </w:pPr>
            <w:r>
              <w:rPr/>
              <w:t> </w:t>
            </w:r>
          </w:p>
        </w:tc>
        <w:tc>
          <w:tcPr>
            <w:tcW w:w="1008" w:type="dxa"/>
            <w:tcBorders/>
            <w:shd w:fill="CCE2F1" w:val="clear"/>
            <w:vAlign w:val="center"/>
          </w:tcPr>
          <w:p>
            <w:pPr>
              <w:pStyle w:val="TableContents"/>
              <w:bidi w:val="0"/>
              <w:spacing w:before="0" w:after="283"/>
              <w:jc w:val="right"/>
              <w:rPr/>
            </w:pPr>
            <w:r>
              <w:rPr/>
              <w:t>0</w:t>
            </w:r>
          </w:p>
        </w:tc>
        <w:tc>
          <w:tcPr>
            <w:tcW w:w="305"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74" w:type="dxa"/>
            <w:tcBorders/>
            <w:shd w:fill="CCE2F1" w:val="clear"/>
            <w:vAlign w:val="center"/>
          </w:tcPr>
          <w:p>
            <w:pPr>
              <w:pStyle w:val="TableContents"/>
              <w:bidi w:val="0"/>
              <w:spacing w:before="0" w:after="283"/>
              <w:jc w:val="left"/>
              <w:rPr/>
            </w:pPr>
            <w:r>
              <w:rPr/>
              <w:t> </w:t>
            </w:r>
          </w:p>
        </w:tc>
        <w:tc>
          <w:tcPr>
            <w:tcW w:w="1400" w:type="dxa"/>
            <w:tcBorders/>
            <w:shd w:fill="CCE2F1" w:val="clear"/>
            <w:vAlign w:val="center"/>
          </w:tcPr>
          <w:p>
            <w:pPr>
              <w:pStyle w:val="TableContents"/>
              <w:bidi w:val="0"/>
              <w:spacing w:before="0" w:after="283"/>
              <w:jc w:val="right"/>
              <w:rPr/>
            </w:pPr>
            <w:r>
              <w:rPr/>
              <w:t>4,878,800</w:t>
            </w:r>
          </w:p>
        </w:tc>
        <w:tc>
          <w:tcPr>
            <w:tcW w:w="305"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8" w:type="dxa"/>
            <w:tcBorders/>
            <w:shd w:fill="CCE2F1" w:val="clear"/>
            <w:vAlign w:val="center"/>
          </w:tcPr>
          <w:p>
            <w:pPr>
              <w:pStyle w:val="TableContents"/>
              <w:bidi w:val="0"/>
              <w:spacing w:before="0" w:after="283"/>
              <w:jc w:val="left"/>
              <w:rPr/>
            </w:pPr>
            <w:r>
              <w:rPr/>
              <w:t> </w:t>
            </w:r>
          </w:p>
        </w:tc>
        <w:tc>
          <w:tcPr>
            <w:tcW w:w="1271" w:type="dxa"/>
            <w:tcBorders/>
            <w:shd w:fill="CCE2F1" w:val="clear"/>
            <w:vAlign w:val="center"/>
          </w:tcPr>
          <w:p>
            <w:pPr>
              <w:pStyle w:val="TableContents"/>
              <w:bidi w:val="0"/>
              <w:spacing w:before="0" w:after="283"/>
              <w:jc w:val="right"/>
              <w:rPr/>
            </w:pPr>
            <w:r>
              <w:rPr/>
              <w:t>0</w:t>
            </w:r>
          </w:p>
        </w:tc>
        <w:tc>
          <w:tcPr>
            <w:tcW w:w="305"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2" w:type="dxa"/>
            <w:tcBorders/>
            <w:shd w:fill="CCE2F1" w:val="clear"/>
            <w:vAlign w:val="center"/>
          </w:tcPr>
          <w:p>
            <w:pPr>
              <w:pStyle w:val="TableContents"/>
              <w:bidi w:val="0"/>
              <w:spacing w:before="0" w:after="283"/>
              <w:jc w:val="left"/>
              <w:rPr/>
            </w:pPr>
            <w:r>
              <w:rPr/>
              <w:t> </w:t>
            </w:r>
          </w:p>
        </w:tc>
        <w:tc>
          <w:tcPr>
            <w:tcW w:w="1156" w:type="dxa"/>
            <w:tcBorders/>
            <w:shd w:fill="CCE2F1" w:val="clear"/>
            <w:vAlign w:val="center"/>
          </w:tcPr>
          <w:p>
            <w:pPr>
              <w:pStyle w:val="TableContents"/>
              <w:bidi w:val="0"/>
              <w:spacing w:before="0" w:after="283"/>
              <w:jc w:val="right"/>
              <w:rPr/>
            </w:pPr>
            <w:r>
              <w:rPr/>
              <w:t>0</w:t>
            </w:r>
          </w:p>
        </w:tc>
        <w:tc>
          <w:tcPr>
            <w:tcW w:w="326" w:type="dxa"/>
            <w:tcBorders/>
            <w:shd w:fill="CCE2F1" w:val="clear"/>
            <w:vAlign w:val="center"/>
          </w:tcPr>
          <w:p>
            <w:pPr>
              <w:pStyle w:val="TableContents"/>
              <w:bidi w:val="0"/>
              <w:spacing w:before="0" w:after="283"/>
              <w:jc w:val="left"/>
              <w:rPr/>
            </w:pPr>
            <w:r>
              <w:rPr/>
              <w:t> </w:t>
            </w:r>
          </w:p>
        </w:tc>
      </w:tr>
      <w:tr>
        <w:trPr/>
        <w:tc>
          <w:tcPr>
            <w:tcW w:w="3444" w:type="dxa"/>
            <w:tcBorders/>
            <w:vAlign w:val="center"/>
          </w:tcPr>
          <w:p>
            <w:pPr>
              <w:pStyle w:val="TableContents"/>
              <w:bidi w:val="0"/>
              <w:spacing w:before="0" w:after="283"/>
              <w:jc w:val="left"/>
              <w:rPr>
                <w:sz w:val="4"/>
                <w:szCs w:val="4"/>
              </w:rPr>
            </w:pPr>
            <w:r>
              <w:rPr>
                <w:sz w:val="4"/>
                <w:szCs w:val="4"/>
              </w:rPr>
            </w:r>
          </w:p>
        </w:tc>
        <w:tc>
          <w:tcPr>
            <w:tcW w:w="1434" w:type="dxa"/>
            <w:gridSpan w:val="4"/>
            <w:tcBorders/>
            <w:vAlign w:val="center"/>
          </w:tcPr>
          <w:p>
            <w:pPr>
              <w:pStyle w:val="TableContents"/>
              <w:bidi w:val="0"/>
              <w:spacing w:before="0" w:after="283"/>
              <w:jc w:val="left"/>
              <w:rPr>
                <w:sz w:val="4"/>
                <w:szCs w:val="4"/>
              </w:rPr>
            </w:pPr>
            <w:r>
              <w:rPr>
                <w:sz w:val="4"/>
                <w:szCs w:val="4"/>
              </w:rPr>
            </w:r>
          </w:p>
        </w:tc>
        <w:tc>
          <w:tcPr>
            <w:tcW w:w="1899" w:type="dxa"/>
            <w:gridSpan w:val="4"/>
            <w:tcBorders/>
            <w:vAlign w:val="center"/>
          </w:tcPr>
          <w:p>
            <w:pPr>
              <w:pStyle w:val="TableContents"/>
              <w:bidi w:val="0"/>
              <w:spacing w:before="0" w:after="283"/>
              <w:jc w:val="left"/>
              <w:rPr>
                <w:sz w:val="4"/>
                <w:szCs w:val="4"/>
              </w:rPr>
            </w:pPr>
            <w:r>
              <w:rPr>
                <w:sz w:val="4"/>
                <w:szCs w:val="4"/>
              </w:rPr>
            </w:r>
          </w:p>
        </w:tc>
        <w:tc>
          <w:tcPr>
            <w:tcW w:w="1764" w:type="dxa"/>
            <w:gridSpan w:val="4"/>
            <w:tcBorders/>
            <w:vAlign w:val="center"/>
          </w:tcPr>
          <w:p>
            <w:pPr>
              <w:pStyle w:val="TableContents"/>
              <w:bidi w:val="0"/>
              <w:spacing w:before="0" w:after="283"/>
              <w:jc w:val="left"/>
              <w:rPr>
                <w:sz w:val="4"/>
                <w:szCs w:val="4"/>
              </w:rPr>
            </w:pPr>
            <w:r>
              <w:rPr>
                <w:sz w:val="4"/>
                <w:szCs w:val="4"/>
              </w:rPr>
            </w:r>
          </w:p>
        </w:tc>
        <w:tc>
          <w:tcPr>
            <w:tcW w:w="1664" w:type="dxa"/>
            <w:gridSpan w:val="4"/>
            <w:tcBorders/>
            <w:vAlign w:val="center"/>
          </w:tcPr>
          <w:p>
            <w:pPr>
              <w:pStyle w:val="TableContents"/>
              <w:bidi w:val="0"/>
              <w:spacing w:before="0" w:after="283"/>
              <w:jc w:val="left"/>
              <w:rPr>
                <w:sz w:val="4"/>
                <w:szCs w:val="4"/>
              </w:rPr>
            </w:pPr>
            <w:r>
              <w:rPr>
                <w:sz w:val="4"/>
                <w:szCs w:val="4"/>
              </w:rPr>
            </w:r>
          </w:p>
        </w:tc>
      </w:tr>
      <w:tr>
        <w:trPr/>
        <w:tc>
          <w:tcPr>
            <w:tcW w:w="3444" w:type="dxa"/>
            <w:tcBorders/>
            <w:vAlign w:val="center"/>
          </w:tcPr>
          <w:p>
            <w:pPr>
              <w:pStyle w:val="TableContents"/>
              <w:bidi w:val="0"/>
              <w:spacing w:before="0" w:after="0"/>
              <w:jc w:val="left"/>
              <w:rPr>
                <w:rFonts w:ascii="arial" w:hAnsi="arial"/>
                <w:sz w:val="18"/>
              </w:rPr>
            </w:pPr>
            <w:r>
              <w:rPr>
                <w:rFonts w:ascii="arial" w:hAnsi="arial"/>
                <w:sz w:val="18"/>
              </w:rPr>
              <w:t>Intrinsic value of accelerated unvested stock options</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w:t>
            </w:r>
          </w:p>
        </w:tc>
        <w:tc>
          <w:tcPr>
            <w:tcW w:w="3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5,133,057</w:t>
            </w:r>
          </w:p>
        </w:tc>
        <w:tc>
          <w:tcPr>
            <w:tcW w:w="3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283"/>
              <w:jc w:val="right"/>
              <w:rPr/>
            </w:pPr>
            <w:r>
              <w:rPr/>
              <w:t>5,133,057</w:t>
            </w:r>
          </w:p>
        </w:tc>
        <w:tc>
          <w:tcPr>
            <w:tcW w:w="3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5,133,057</w:t>
            </w:r>
          </w:p>
        </w:tc>
        <w:tc>
          <w:tcPr>
            <w:tcW w:w="326" w:type="dxa"/>
            <w:tcBorders/>
            <w:vAlign w:val="center"/>
          </w:tcPr>
          <w:p>
            <w:pPr>
              <w:pStyle w:val="TableContents"/>
              <w:bidi w:val="0"/>
              <w:spacing w:before="0" w:after="283"/>
              <w:jc w:val="left"/>
              <w:rPr/>
            </w:pPr>
            <w:r>
              <w:rPr/>
              <w:t> </w:t>
            </w:r>
          </w:p>
        </w:tc>
      </w:tr>
      <w:tr>
        <w:trPr/>
        <w:tc>
          <w:tcPr>
            <w:tcW w:w="3444" w:type="dxa"/>
            <w:tcBorders/>
            <w:shd w:fill="CCE2F1" w:val="clear"/>
            <w:vAlign w:val="center"/>
          </w:tcPr>
          <w:p>
            <w:pPr>
              <w:pStyle w:val="TableContents"/>
              <w:bidi w:val="0"/>
              <w:spacing w:before="0" w:after="283"/>
              <w:jc w:val="left"/>
              <w:rPr>
                <w:sz w:val="4"/>
                <w:szCs w:val="4"/>
              </w:rPr>
            </w:pPr>
            <w:r>
              <w:rPr>
                <w:sz w:val="4"/>
                <w:szCs w:val="4"/>
              </w:rPr>
            </w:r>
          </w:p>
        </w:tc>
        <w:tc>
          <w:tcPr>
            <w:tcW w:w="1434" w:type="dxa"/>
            <w:gridSpan w:val="4"/>
            <w:tcBorders/>
            <w:shd w:fill="CCE2F1" w:val="clear"/>
            <w:vAlign w:val="center"/>
          </w:tcPr>
          <w:p>
            <w:pPr>
              <w:pStyle w:val="TableContents"/>
              <w:bidi w:val="0"/>
              <w:spacing w:before="0" w:after="283"/>
              <w:jc w:val="left"/>
              <w:rPr>
                <w:sz w:val="4"/>
                <w:szCs w:val="4"/>
              </w:rPr>
            </w:pPr>
            <w:r>
              <w:rPr>
                <w:sz w:val="4"/>
                <w:szCs w:val="4"/>
              </w:rPr>
            </w:r>
          </w:p>
        </w:tc>
        <w:tc>
          <w:tcPr>
            <w:tcW w:w="1899" w:type="dxa"/>
            <w:gridSpan w:val="4"/>
            <w:tcBorders/>
            <w:shd w:fill="CCE2F1" w:val="clear"/>
            <w:vAlign w:val="center"/>
          </w:tcPr>
          <w:p>
            <w:pPr>
              <w:pStyle w:val="TableContents"/>
              <w:bidi w:val="0"/>
              <w:spacing w:before="0" w:after="283"/>
              <w:jc w:val="left"/>
              <w:rPr>
                <w:sz w:val="4"/>
                <w:szCs w:val="4"/>
              </w:rPr>
            </w:pPr>
            <w:r>
              <w:rPr>
                <w:sz w:val="4"/>
                <w:szCs w:val="4"/>
              </w:rPr>
            </w:r>
          </w:p>
        </w:tc>
        <w:tc>
          <w:tcPr>
            <w:tcW w:w="1764" w:type="dxa"/>
            <w:gridSpan w:val="4"/>
            <w:tcBorders/>
            <w:shd w:fill="CCE2F1" w:val="clear"/>
            <w:vAlign w:val="center"/>
          </w:tcPr>
          <w:p>
            <w:pPr>
              <w:pStyle w:val="TableContents"/>
              <w:bidi w:val="0"/>
              <w:spacing w:before="0" w:after="283"/>
              <w:jc w:val="left"/>
              <w:rPr>
                <w:sz w:val="4"/>
                <w:szCs w:val="4"/>
              </w:rPr>
            </w:pPr>
            <w:r>
              <w:rPr>
                <w:sz w:val="4"/>
                <w:szCs w:val="4"/>
              </w:rPr>
            </w:r>
          </w:p>
        </w:tc>
        <w:tc>
          <w:tcPr>
            <w:tcW w:w="1664"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3444" w:type="dxa"/>
            <w:tcBorders/>
            <w:shd w:fill="CCE2F1" w:val="clear"/>
            <w:vAlign w:val="center"/>
          </w:tcPr>
          <w:p>
            <w:pPr>
              <w:pStyle w:val="TableContents"/>
              <w:bidi w:val="0"/>
              <w:spacing w:before="0" w:after="0"/>
              <w:jc w:val="left"/>
              <w:rPr>
                <w:rFonts w:ascii="arial" w:hAnsi="arial"/>
                <w:sz w:val="18"/>
              </w:rPr>
            </w:pPr>
            <w:r>
              <w:rPr>
                <w:rFonts w:ascii="arial" w:hAnsi="arial"/>
                <w:sz w:val="18"/>
              </w:rPr>
              <w:t>Intrinsic value of accelerated unvested RSU’s</w:t>
            </w:r>
          </w:p>
        </w:tc>
        <w:tc>
          <w:tcPr>
            <w:tcW w:w="60" w:type="dxa"/>
            <w:tcBorders/>
            <w:shd w:fill="CCE2F1" w:val="clear"/>
            <w:vAlign w:val="center"/>
          </w:tcPr>
          <w:p>
            <w:pPr>
              <w:pStyle w:val="TableContents"/>
              <w:bidi w:val="0"/>
              <w:spacing w:before="0" w:after="283"/>
              <w:jc w:val="left"/>
              <w:rPr/>
            </w:pPr>
            <w:r>
              <w:rPr/>
              <w:t> </w:t>
            </w:r>
          </w:p>
        </w:tc>
        <w:tc>
          <w:tcPr>
            <w:tcW w:w="61" w:type="dxa"/>
            <w:tcBorders/>
            <w:shd w:fill="CCE2F1" w:val="clear"/>
            <w:vAlign w:val="center"/>
          </w:tcPr>
          <w:p>
            <w:pPr>
              <w:pStyle w:val="TableContents"/>
              <w:bidi w:val="0"/>
              <w:spacing w:before="0" w:after="283"/>
              <w:jc w:val="left"/>
              <w:rPr/>
            </w:pPr>
            <w:r>
              <w:rPr/>
              <w:t> </w:t>
            </w:r>
          </w:p>
        </w:tc>
        <w:tc>
          <w:tcPr>
            <w:tcW w:w="1008" w:type="dxa"/>
            <w:tcBorders/>
            <w:shd w:fill="CCE2F1" w:val="clear"/>
            <w:vAlign w:val="center"/>
          </w:tcPr>
          <w:p>
            <w:pPr>
              <w:pStyle w:val="TableContents"/>
              <w:bidi w:val="0"/>
              <w:spacing w:before="0" w:after="283"/>
              <w:jc w:val="right"/>
              <w:rPr/>
            </w:pPr>
            <w:r>
              <w:rPr/>
              <w:t>0</w:t>
            </w:r>
          </w:p>
        </w:tc>
        <w:tc>
          <w:tcPr>
            <w:tcW w:w="305"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74" w:type="dxa"/>
            <w:tcBorders/>
            <w:shd w:fill="CCE2F1" w:val="clear"/>
            <w:vAlign w:val="center"/>
          </w:tcPr>
          <w:p>
            <w:pPr>
              <w:pStyle w:val="TableContents"/>
              <w:bidi w:val="0"/>
              <w:spacing w:before="0" w:after="283"/>
              <w:jc w:val="left"/>
              <w:rPr/>
            </w:pPr>
            <w:r>
              <w:rPr/>
              <w:t> </w:t>
            </w:r>
          </w:p>
        </w:tc>
        <w:tc>
          <w:tcPr>
            <w:tcW w:w="1400" w:type="dxa"/>
            <w:tcBorders/>
            <w:shd w:fill="CCE2F1" w:val="clear"/>
            <w:vAlign w:val="center"/>
          </w:tcPr>
          <w:p>
            <w:pPr>
              <w:pStyle w:val="TableContents"/>
              <w:bidi w:val="0"/>
              <w:spacing w:before="0" w:after="283"/>
              <w:jc w:val="right"/>
              <w:rPr/>
            </w:pPr>
            <w:r>
              <w:rPr/>
              <w:t>3,543,510</w:t>
            </w:r>
          </w:p>
        </w:tc>
        <w:tc>
          <w:tcPr>
            <w:tcW w:w="305"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8" w:type="dxa"/>
            <w:tcBorders/>
            <w:shd w:fill="CCE2F1" w:val="clear"/>
            <w:vAlign w:val="center"/>
          </w:tcPr>
          <w:p>
            <w:pPr>
              <w:pStyle w:val="TableContents"/>
              <w:bidi w:val="0"/>
              <w:spacing w:before="0" w:after="283"/>
              <w:jc w:val="left"/>
              <w:rPr/>
            </w:pPr>
            <w:r>
              <w:rPr/>
              <w:t> </w:t>
            </w:r>
          </w:p>
        </w:tc>
        <w:tc>
          <w:tcPr>
            <w:tcW w:w="1271" w:type="dxa"/>
            <w:tcBorders/>
            <w:shd w:fill="CCE2F1" w:val="clear"/>
            <w:vAlign w:val="center"/>
          </w:tcPr>
          <w:p>
            <w:pPr>
              <w:pStyle w:val="TableContents"/>
              <w:bidi w:val="0"/>
              <w:spacing w:before="0" w:after="283"/>
              <w:jc w:val="right"/>
              <w:rPr/>
            </w:pPr>
            <w:r>
              <w:rPr/>
              <w:t>3,543,510</w:t>
            </w:r>
          </w:p>
        </w:tc>
        <w:tc>
          <w:tcPr>
            <w:tcW w:w="305"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2" w:type="dxa"/>
            <w:tcBorders/>
            <w:shd w:fill="CCE2F1" w:val="clear"/>
            <w:vAlign w:val="center"/>
          </w:tcPr>
          <w:p>
            <w:pPr>
              <w:pStyle w:val="TableContents"/>
              <w:bidi w:val="0"/>
              <w:spacing w:before="0" w:after="283"/>
              <w:jc w:val="left"/>
              <w:rPr/>
            </w:pPr>
            <w:r>
              <w:rPr/>
              <w:t> </w:t>
            </w:r>
          </w:p>
        </w:tc>
        <w:tc>
          <w:tcPr>
            <w:tcW w:w="1156" w:type="dxa"/>
            <w:tcBorders/>
            <w:shd w:fill="CCE2F1" w:val="clear"/>
            <w:vAlign w:val="center"/>
          </w:tcPr>
          <w:p>
            <w:pPr>
              <w:pStyle w:val="TableContents"/>
              <w:bidi w:val="0"/>
              <w:spacing w:before="0" w:after="283"/>
              <w:jc w:val="right"/>
              <w:rPr/>
            </w:pPr>
            <w:r>
              <w:rPr/>
              <w:t>3,543,510</w:t>
            </w:r>
          </w:p>
        </w:tc>
        <w:tc>
          <w:tcPr>
            <w:tcW w:w="326" w:type="dxa"/>
            <w:tcBorders/>
            <w:shd w:fill="CCE2F1" w:val="clear"/>
            <w:vAlign w:val="center"/>
          </w:tcPr>
          <w:p>
            <w:pPr>
              <w:pStyle w:val="TableContents"/>
              <w:bidi w:val="0"/>
              <w:spacing w:before="0" w:after="283"/>
              <w:jc w:val="left"/>
              <w:rPr/>
            </w:pPr>
            <w:r>
              <w:rPr/>
              <w:t> </w:t>
            </w:r>
          </w:p>
        </w:tc>
      </w:tr>
      <w:tr>
        <w:trPr/>
        <w:tc>
          <w:tcPr>
            <w:tcW w:w="3444" w:type="dxa"/>
            <w:tcBorders/>
            <w:vAlign w:val="center"/>
          </w:tcPr>
          <w:p>
            <w:pPr>
              <w:pStyle w:val="TableContents"/>
              <w:bidi w:val="0"/>
              <w:spacing w:before="0" w:after="283"/>
              <w:jc w:val="left"/>
              <w:rPr>
                <w:sz w:val="4"/>
                <w:szCs w:val="4"/>
              </w:rPr>
            </w:pPr>
            <w:r>
              <w:rPr>
                <w:sz w:val="4"/>
                <w:szCs w:val="4"/>
              </w:rPr>
            </w:r>
          </w:p>
        </w:tc>
        <w:tc>
          <w:tcPr>
            <w:tcW w:w="1434" w:type="dxa"/>
            <w:gridSpan w:val="4"/>
            <w:tcBorders/>
            <w:vAlign w:val="center"/>
          </w:tcPr>
          <w:p>
            <w:pPr>
              <w:pStyle w:val="TableContents"/>
              <w:bidi w:val="0"/>
              <w:spacing w:before="0" w:after="283"/>
              <w:jc w:val="left"/>
              <w:rPr>
                <w:sz w:val="4"/>
                <w:szCs w:val="4"/>
              </w:rPr>
            </w:pPr>
            <w:r>
              <w:rPr>
                <w:sz w:val="4"/>
                <w:szCs w:val="4"/>
              </w:rPr>
            </w:r>
          </w:p>
        </w:tc>
        <w:tc>
          <w:tcPr>
            <w:tcW w:w="1899" w:type="dxa"/>
            <w:gridSpan w:val="4"/>
            <w:tcBorders/>
            <w:vAlign w:val="center"/>
          </w:tcPr>
          <w:p>
            <w:pPr>
              <w:pStyle w:val="TableContents"/>
              <w:bidi w:val="0"/>
              <w:spacing w:before="0" w:after="283"/>
              <w:jc w:val="left"/>
              <w:rPr>
                <w:sz w:val="4"/>
                <w:szCs w:val="4"/>
              </w:rPr>
            </w:pPr>
            <w:r>
              <w:rPr>
                <w:sz w:val="4"/>
                <w:szCs w:val="4"/>
              </w:rPr>
            </w:r>
          </w:p>
        </w:tc>
        <w:tc>
          <w:tcPr>
            <w:tcW w:w="1764" w:type="dxa"/>
            <w:gridSpan w:val="4"/>
            <w:tcBorders/>
            <w:vAlign w:val="center"/>
          </w:tcPr>
          <w:p>
            <w:pPr>
              <w:pStyle w:val="TableContents"/>
              <w:bidi w:val="0"/>
              <w:spacing w:before="0" w:after="283"/>
              <w:jc w:val="left"/>
              <w:rPr>
                <w:sz w:val="4"/>
                <w:szCs w:val="4"/>
              </w:rPr>
            </w:pPr>
            <w:r>
              <w:rPr>
                <w:sz w:val="4"/>
                <w:szCs w:val="4"/>
              </w:rPr>
            </w:r>
          </w:p>
        </w:tc>
        <w:tc>
          <w:tcPr>
            <w:tcW w:w="1664" w:type="dxa"/>
            <w:gridSpan w:val="4"/>
            <w:tcBorders/>
            <w:vAlign w:val="center"/>
          </w:tcPr>
          <w:p>
            <w:pPr>
              <w:pStyle w:val="TableContents"/>
              <w:bidi w:val="0"/>
              <w:spacing w:before="0" w:after="283"/>
              <w:jc w:val="left"/>
              <w:rPr>
                <w:sz w:val="4"/>
                <w:szCs w:val="4"/>
              </w:rPr>
            </w:pPr>
            <w:r>
              <w:rPr>
                <w:sz w:val="4"/>
                <w:szCs w:val="4"/>
              </w:rPr>
            </w:r>
          </w:p>
        </w:tc>
      </w:tr>
      <w:tr>
        <w:trPr/>
        <w:tc>
          <w:tcPr>
            <w:tcW w:w="3444" w:type="dxa"/>
            <w:tcBorders/>
            <w:vAlign w:val="center"/>
          </w:tcPr>
          <w:p>
            <w:pPr>
              <w:pStyle w:val="TableContents"/>
              <w:bidi w:val="0"/>
              <w:spacing w:before="0" w:after="0"/>
              <w:jc w:val="left"/>
              <w:rPr>
                <w:rFonts w:ascii="arial" w:hAnsi="arial"/>
                <w:sz w:val="18"/>
              </w:rPr>
            </w:pPr>
            <w:r>
              <w:rPr>
                <w:rFonts w:ascii="arial" w:hAnsi="arial"/>
                <w:sz w:val="18"/>
              </w:rPr>
              <w:t>Value of 2023-2025 performance units</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3,423,406</w:t>
            </w:r>
          </w:p>
        </w:tc>
        <w:tc>
          <w:tcPr>
            <w:tcW w:w="305" w:type="dxa"/>
            <w:tcBorders/>
            <w:vAlign w:val="center"/>
          </w:tcPr>
          <w:p>
            <w:pPr>
              <w:pStyle w:val="TableContents"/>
              <w:bidi w:val="0"/>
              <w:spacing w:before="0" w:after="283"/>
              <w:jc w:val="left"/>
              <w:rPr/>
            </w:pPr>
            <w:r>
              <w:rPr/>
              <w:t>(1)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3,423,406</w:t>
            </w:r>
          </w:p>
        </w:tc>
        <w:tc>
          <w:tcPr>
            <w:tcW w:w="305" w:type="dxa"/>
            <w:tcBorders/>
            <w:vAlign w:val="center"/>
          </w:tcPr>
          <w:p>
            <w:pPr>
              <w:pStyle w:val="TableContents"/>
              <w:bidi w:val="0"/>
              <w:spacing w:before="0" w:after="283"/>
              <w:jc w:val="left"/>
              <w:rPr/>
            </w:pPr>
            <w:r>
              <w:rPr/>
              <w:t>(1) </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283"/>
              <w:jc w:val="right"/>
              <w:rPr/>
            </w:pPr>
            <w:r>
              <w:rPr/>
              <w:t>3,497,139</w:t>
            </w:r>
          </w:p>
        </w:tc>
        <w:tc>
          <w:tcPr>
            <w:tcW w:w="305" w:type="dxa"/>
            <w:tcBorders/>
            <w:vAlign w:val="center"/>
          </w:tcPr>
          <w:p>
            <w:pPr>
              <w:pStyle w:val="TableContents"/>
              <w:bidi w:val="0"/>
              <w:spacing w:before="0" w:after="283"/>
              <w:jc w:val="left"/>
              <w:rPr/>
            </w:pPr>
            <w:r>
              <w:rPr/>
              <w:t>(2)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3,497,139</w:t>
            </w:r>
          </w:p>
        </w:tc>
        <w:tc>
          <w:tcPr>
            <w:tcW w:w="326" w:type="dxa"/>
            <w:tcBorders/>
            <w:vAlign w:val="center"/>
          </w:tcPr>
          <w:p>
            <w:pPr>
              <w:pStyle w:val="TableContents"/>
              <w:bidi w:val="0"/>
              <w:spacing w:before="0" w:after="283"/>
              <w:jc w:val="left"/>
              <w:rPr/>
            </w:pPr>
            <w:r>
              <w:rPr/>
              <w:t>(2) </w:t>
            </w:r>
          </w:p>
        </w:tc>
      </w:tr>
      <w:tr>
        <w:trPr/>
        <w:tc>
          <w:tcPr>
            <w:tcW w:w="3444" w:type="dxa"/>
            <w:tcBorders/>
            <w:shd w:fill="CCE2F1" w:val="clear"/>
            <w:vAlign w:val="center"/>
          </w:tcPr>
          <w:p>
            <w:pPr>
              <w:pStyle w:val="TableContents"/>
              <w:bidi w:val="0"/>
              <w:spacing w:before="0" w:after="283"/>
              <w:jc w:val="left"/>
              <w:rPr>
                <w:sz w:val="4"/>
                <w:szCs w:val="4"/>
              </w:rPr>
            </w:pPr>
            <w:r>
              <w:rPr>
                <w:sz w:val="4"/>
                <w:szCs w:val="4"/>
              </w:rPr>
            </w:r>
          </w:p>
        </w:tc>
        <w:tc>
          <w:tcPr>
            <w:tcW w:w="1434" w:type="dxa"/>
            <w:gridSpan w:val="4"/>
            <w:tcBorders/>
            <w:shd w:fill="CCE2F1" w:val="clear"/>
            <w:vAlign w:val="center"/>
          </w:tcPr>
          <w:p>
            <w:pPr>
              <w:pStyle w:val="TableContents"/>
              <w:bidi w:val="0"/>
              <w:spacing w:before="0" w:after="283"/>
              <w:jc w:val="left"/>
              <w:rPr>
                <w:sz w:val="4"/>
                <w:szCs w:val="4"/>
              </w:rPr>
            </w:pPr>
            <w:r>
              <w:rPr>
                <w:sz w:val="4"/>
                <w:szCs w:val="4"/>
              </w:rPr>
            </w:r>
          </w:p>
        </w:tc>
        <w:tc>
          <w:tcPr>
            <w:tcW w:w="1899" w:type="dxa"/>
            <w:gridSpan w:val="4"/>
            <w:tcBorders/>
            <w:shd w:fill="CCE2F1" w:val="clear"/>
            <w:vAlign w:val="center"/>
          </w:tcPr>
          <w:p>
            <w:pPr>
              <w:pStyle w:val="TableContents"/>
              <w:bidi w:val="0"/>
              <w:spacing w:before="0" w:after="283"/>
              <w:jc w:val="left"/>
              <w:rPr>
                <w:sz w:val="4"/>
                <w:szCs w:val="4"/>
              </w:rPr>
            </w:pPr>
            <w:r>
              <w:rPr>
                <w:sz w:val="4"/>
                <w:szCs w:val="4"/>
              </w:rPr>
            </w:r>
          </w:p>
        </w:tc>
        <w:tc>
          <w:tcPr>
            <w:tcW w:w="1764" w:type="dxa"/>
            <w:gridSpan w:val="4"/>
            <w:tcBorders/>
            <w:shd w:fill="CCE2F1" w:val="clear"/>
            <w:vAlign w:val="center"/>
          </w:tcPr>
          <w:p>
            <w:pPr>
              <w:pStyle w:val="TableContents"/>
              <w:bidi w:val="0"/>
              <w:spacing w:before="0" w:after="283"/>
              <w:jc w:val="left"/>
              <w:rPr>
                <w:sz w:val="4"/>
                <w:szCs w:val="4"/>
              </w:rPr>
            </w:pPr>
            <w:r>
              <w:rPr>
                <w:sz w:val="4"/>
                <w:szCs w:val="4"/>
              </w:rPr>
            </w:r>
          </w:p>
        </w:tc>
        <w:tc>
          <w:tcPr>
            <w:tcW w:w="1664"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3444" w:type="dxa"/>
            <w:tcBorders/>
            <w:shd w:fill="CCE2F1" w:val="clear"/>
            <w:vAlign w:val="center"/>
          </w:tcPr>
          <w:p>
            <w:pPr>
              <w:pStyle w:val="TableContents"/>
              <w:bidi w:val="0"/>
              <w:spacing w:before="0" w:after="0"/>
              <w:jc w:val="left"/>
              <w:rPr>
                <w:rFonts w:ascii="arial" w:hAnsi="arial"/>
                <w:sz w:val="18"/>
              </w:rPr>
            </w:pPr>
            <w:r>
              <w:rPr>
                <w:rFonts w:ascii="arial" w:hAnsi="arial"/>
                <w:sz w:val="18"/>
              </w:rPr>
              <w:t>Value of 2022-2024 performance units</w:t>
            </w:r>
          </w:p>
        </w:tc>
        <w:tc>
          <w:tcPr>
            <w:tcW w:w="60" w:type="dxa"/>
            <w:tcBorders/>
            <w:shd w:fill="CCE2F1" w:val="clear"/>
            <w:vAlign w:val="center"/>
          </w:tcPr>
          <w:p>
            <w:pPr>
              <w:pStyle w:val="TableContents"/>
              <w:bidi w:val="0"/>
              <w:spacing w:before="0" w:after="283"/>
              <w:jc w:val="left"/>
              <w:rPr/>
            </w:pPr>
            <w:r>
              <w:rPr/>
              <w:t> </w:t>
            </w:r>
          </w:p>
        </w:tc>
        <w:tc>
          <w:tcPr>
            <w:tcW w:w="61" w:type="dxa"/>
            <w:tcBorders/>
            <w:shd w:fill="CCE2F1" w:val="clear"/>
            <w:vAlign w:val="center"/>
          </w:tcPr>
          <w:p>
            <w:pPr>
              <w:pStyle w:val="TableContents"/>
              <w:bidi w:val="0"/>
              <w:spacing w:before="0" w:after="283"/>
              <w:jc w:val="left"/>
              <w:rPr/>
            </w:pPr>
            <w:r>
              <w:rPr/>
              <w:t> </w:t>
            </w:r>
          </w:p>
        </w:tc>
        <w:tc>
          <w:tcPr>
            <w:tcW w:w="1008" w:type="dxa"/>
            <w:tcBorders/>
            <w:shd w:fill="CCE2F1" w:val="clear"/>
            <w:vAlign w:val="center"/>
          </w:tcPr>
          <w:p>
            <w:pPr>
              <w:pStyle w:val="TableContents"/>
              <w:bidi w:val="0"/>
              <w:spacing w:before="0" w:after="283"/>
              <w:jc w:val="right"/>
              <w:rPr/>
            </w:pPr>
            <w:r>
              <w:rPr/>
              <w:t>3,633,084</w:t>
            </w:r>
          </w:p>
        </w:tc>
        <w:tc>
          <w:tcPr>
            <w:tcW w:w="305" w:type="dxa"/>
            <w:tcBorders/>
            <w:shd w:fill="CCE2F1" w:val="clear"/>
            <w:vAlign w:val="center"/>
          </w:tcPr>
          <w:p>
            <w:pPr>
              <w:pStyle w:val="TableContents"/>
              <w:bidi w:val="0"/>
              <w:spacing w:before="0" w:after="283"/>
              <w:jc w:val="left"/>
              <w:rPr/>
            </w:pPr>
            <w:r>
              <w:rPr/>
              <w:t>(1) </w:t>
            </w:r>
          </w:p>
        </w:tc>
        <w:tc>
          <w:tcPr>
            <w:tcW w:w="120" w:type="dxa"/>
            <w:tcBorders/>
            <w:shd w:fill="CCE2F1" w:val="clear"/>
            <w:vAlign w:val="center"/>
          </w:tcPr>
          <w:p>
            <w:pPr>
              <w:pStyle w:val="TableContents"/>
              <w:bidi w:val="0"/>
              <w:spacing w:before="0" w:after="283"/>
              <w:jc w:val="left"/>
              <w:rPr/>
            </w:pPr>
            <w:r>
              <w:rPr/>
              <w:t>  </w:t>
            </w:r>
          </w:p>
        </w:tc>
        <w:tc>
          <w:tcPr>
            <w:tcW w:w="74" w:type="dxa"/>
            <w:tcBorders/>
            <w:shd w:fill="CCE2F1" w:val="clear"/>
            <w:vAlign w:val="center"/>
          </w:tcPr>
          <w:p>
            <w:pPr>
              <w:pStyle w:val="TableContents"/>
              <w:bidi w:val="0"/>
              <w:spacing w:before="0" w:after="283"/>
              <w:jc w:val="left"/>
              <w:rPr/>
            </w:pPr>
            <w:r>
              <w:rPr/>
              <w:t> </w:t>
            </w:r>
          </w:p>
        </w:tc>
        <w:tc>
          <w:tcPr>
            <w:tcW w:w="1400" w:type="dxa"/>
            <w:tcBorders/>
            <w:shd w:fill="CCE2F1" w:val="clear"/>
            <w:vAlign w:val="center"/>
          </w:tcPr>
          <w:p>
            <w:pPr>
              <w:pStyle w:val="TableContents"/>
              <w:bidi w:val="0"/>
              <w:spacing w:before="0" w:after="283"/>
              <w:jc w:val="right"/>
              <w:rPr/>
            </w:pPr>
            <w:r>
              <w:rPr/>
              <w:t>3,633,084</w:t>
            </w:r>
          </w:p>
        </w:tc>
        <w:tc>
          <w:tcPr>
            <w:tcW w:w="305" w:type="dxa"/>
            <w:tcBorders/>
            <w:shd w:fill="CCE2F1" w:val="clear"/>
            <w:vAlign w:val="center"/>
          </w:tcPr>
          <w:p>
            <w:pPr>
              <w:pStyle w:val="TableContents"/>
              <w:bidi w:val="0"/>
              <w:spacing w:before="0" w:after="283"/>
              <w:jc w:val="left"/>
              <w:rPr/>
            </w:pPr>
            <w:r>
              <w:rPr/>
              <w:t>(1) </w:t>
            </w:r>
          </w:p>
        </w:tc>
        <w:tc>
          <w:tcPr>
            <w:tcW w:w="120" w:type="dxa"/>
            <w:tcBorders/>
            <w:shd w:fill="CCE2F1" w:val="clear"/>
            <w:vAlign w:val="center"/>
          </w:tcPr>
          <w:p>
            <w:pPr>
              <w:pStyle w:val="TableContents"/>
              <w:bidi w:val="0"/>
              <w:spacing w:before="0" w:after="283"/>
              <w:jc w:val="left"/>
              <w:rPr/>
            </w:pPr>
            <w:r>
              <w:rPr/>
              <w:t>  </w:t>
            </w:r>
          </w:p>
        </w:tc>
        <w:tc>
          <w:tcPr>
            <w:tcW w:w="68" w:type="dxa"/>
            <w:tcBorders/>
            <w:shd w:fill="CCE2F1" w:val="clear"/>
            <w:vAlign w:val="center"/>
          </w:tcPr>
          <w:p>
            <w:pPr>
              <w:pStyle w:val="TableContents"/>
              <w:bidi w:val="0"/>
              <w:spacing w:before="0" w:after="283"/>
              <w:jc w:val="left"/>
              <w:rPr/>
            </w:pPr>
            <w:r>
              <w:rPr/>
              <w:t> </w:t>
            </w:r>
          </w:p>
        </w:tc>
        <w:tc>
          <w:tcPr>
            <w:tcW w:w="1271" w:type="dxa"/>
            <w:tcBorders/>
            <w:shd w:fill="CCE2F1" w:val="clear"/>
            <w:vAlign w:val="center"/>
          </w:tcPr>
          <w:p>
            <w:pPr>
              <w:pStyle w:val="TableContents"/>
              <w:bidi w:val="0"/>
              <w:spacing w:before="0" w:after="283"/>
              <w:jc w:val="right"/>
              <w:rPr/>
            </w:pPr>
            <w:r>
              <w:rPr/>
              <w:t>2,745,695</w:t>
            </w:r>
          </w:p>
        </w:tc>
        <w:tc>
          <w:tcPr>
            <w:tcW w:w="305" w:type="dxa"/>
            <w:tcBorders/>
            <w:shd w:fill="CCE2F1" w:val="clear"/>
            <w:vAlign w:val="center"/>
          </w:tcPr>
          <w:p>
            <w:pPr>
              <w:pStyle w:val="TableContents"/>
              <w:bidi w:val="0"/>
              <w:spacing w:before="0" w:after="283"/>
              <w:jc w:val="left"/>
              <w:rPr/>
            </w:pPr>
            <w:r>
              <w:rPr/>
              <w:t>(2) </w:t>
            </w:r>
          </w:p>
        </w:tc>
        <w:tc>
          <w:tcPr>
            <w:tcW w:w="120" w:type="dxa"/>
            <w:tcBorders/>
            <w:shd w:fill="CCE2F1" w:val="clear"/>
            <w:vAlign w:val="center"/>
          </w:tcPr>
          <w:p>
            <w:pPr>
              <w:pStyle w:val="TableContents"/>
              <w:bidi w:val="0"/>
              <w:spacing w:before="0" w:after="283"/>
              <w:jc w:val="left"/>
              <w:rPr/>
            </w:pPr>
            <w:r>
              <w:rPr/>
              <w:t>  </w:t>
            </w:r>
          </w:p>
        </w:tc>
        <w:tc>
          <w:tcPr>
            <w:tcW w:w="62" w:type="dxa"/>
            <w:tcBorders/>
            <w:shd w:fill="CCE2F1" w:val="clear"/>
            <w:vAlign w:val="center"/>
          </w:tcPr>
          <w:p>
            <w:pPr>
              <w:pStyle w:val="TableContents"/>
              <w:bidi w:val="0"/>
              <w:spacing w:before="0" w:after="283"/>
              <w:jc w:val="left"/>
              <w:rPr/>
            </w:pPr>
            <w:r>
              <w:rPr/>
              <w:t> </w:t>
            </w:r>
          </w:p>
        </w:tc>
        <w:tc>
          <w:tcPr>
            <w:tcW w:w="1156" w:type="dxa"/>
            <w:tcBorders/>
            <w:shd w:fill="CCE2F1" w:val="clear"/>
            <w:vAlign w:val="center"/>
          </w:tcPr>
          <w:p>
            <w:pPr>
              <w:pStyle w:val="TableContents"/>
              <w:bidi w:val="0"/>
              <w:spacing w:before="0" w:after="283"/>
              <w:jc w:val="right"/>
              <w:rPr/>
            </w:pPr>
            <w:r>
              <w:rPr/>
              <w:t>2,745,695</w:t>
            </w:r>
          </w:p>
        </w:tc>
        <w:tc>
          <w:tcPr>
            <w:tcW w:w="326" w:type="dxa"/>
            <w:tcBorders/>
            <w:shd w:fill="CCE2F1" w:val="clear"/>
            <w:vAlign w:val="center"/>
          </w:tcPr>
          <w:p>
            <w:pPr>
              <w:pStyle w:val="TableContents"/>
              <w:bidi w:val="0"/>
              <w:spacing w:before="0" w:after="283"/>
              <w:jc w:val="left"/>
              <w:rPr/>
            </w:pPr>
            <w:r>
              <w:rPr/>
              <w:t>(2) </w:t>
            </w:r>
          </w:p>
        </w:tc>
      </w:tr>
      <w:tr>
        <w:trPr/>
        <w:tc>
          <w:tcPr>
            <w:tcW w:w="3444" w:type="dxa"/>
            <w:tcBorders/>
            <w:vAlign w:val="center"/>
          </w:tcPr>
          <w:p>
            <w:pPr>
              <w:pStyle w:val="TableContents"/>
              <w:bidi w:val="0"/>
              <w:spacing w:before="0" w:after="283"/>
              <w:jc w:val="left"/>
              <w:rPr>
                <w:sz w:val="4"/>
                <w:szCs w:val="4"/>
              </w:rPr>
            </w:pPr>
            <w:r>
              <w:rPr>
                <w:sz w:val="4"/>
                <w:szCs w:val="4"/>
              </w:rPr>
            </w:r>
          </w:p>
        </w:tc>
        <w:tc>
          <w:tcPr>
            <w:tcW w:w="1434" w:type="dxa"/>
            <w:gridSpan w:val="4"/>
            <w:tcBorders/>
            <w:vAlign w:val="center"/>
          </w:tcPr>
          <w:p>
            <w:pPr>
              <w:pStyle w:val="TableContents"/>
              <w:bidi w:val="0"/>
              <w:spacing w:before="0" w:after="283"/>
              <w:jc w:val="left"/>
              <w:rPr>
                <w:sz w:val="4"/>
                <w:szCs w:val="4"/>
              </w:rPr>
            </w:pPr>
            <w:r>
              <w:rPr>
                <w:sz w:val="4"/>
                <w:szCs w:val="4"/>
              </w:rPr>
            </w:r>
          </w:p>
        </w:tc>
        <w:tc>
          <w:tcPr>
            <w:tcW w:w="1899" w:type="dxa"/>
            <w:gridSpan w:val="4"/>
            <w:tcBorders/>
            <w:vAlign w:val="center"/>
          </w:tcPr>
          <w:p>
            <w:pPr>
              <w:pStyle w:val="TableContents"/>
              <w:bidi w:val="0"/>
              <w:spacing w:before="0" w:after="283"/>
              <w:jc w:val="left"/>
              <w:rPr>
                <w:sz w:val="4"/>
                <w:szCs w:val="4"/>
              </w:rPr>
            </w:pPr>
            <w:r>
              <w:rPr>
                <w:sz w:val="4"/>
                <w:szCs w:val="4"/>
              </w:rPr>
            </w:r>
          </w:p>
        </w:tc>
        <w:tc>
          <w:tcPr>
            <w:tcW w:w="1764" w:type="dxa"/>
            <w:gridSpan w:val="4"/>
            <w:tcBorders/>
            <w:vAlign w:val="center"/>
          </w:tcPr>
          <w:p>
            <w:pPr>
              <w:pStyle w:val="TableContents"/>
              <w:bidi w:val="0"/>
              <w:spacing w:before="0" w:after="283"/>
              <w:jc w:val="left"/>
              <w:rPr>
                <w:sz w:val="4"/>
                <w:szCs w:val="4"/>
              </w:rPr>
            </w:pPr>
            <w:r>
              <w:rPr>
                <w:sz w:val="4"/>
                <w:szCs w:val="4"/>
              </w:rPr>
            </w:r>
          </w:p>
        </w:tc>
        <w:tc>
          <w:tcPr>
            <w:tcW w:w="1664" w:type="dxa"/>
            <w:gridSpan w:val="4"/>
            <w:tcBorders/>
            <w:vAlign w:val="center"/>
          </w:tcPr>
          <w:p>
            <w:pPr>
              <w:pStyle w:val="TableContents"/>
              <w:bidi w:val="0"/>
              <w:spacing w:before="0" w:after="283"/>
              <w:jc w:val="left"/>
              <w:rPr>
                <w:sz w:val="4"/>
                <w:szCs w:val="4"/>
              </w:rPr>
            </w:pPr>
            <w:r>
              <w:rPr>
                <w:sz w:val="4"/>
                <w:szCs w:val="4"/>
              </w:rPr>
            </w:r>
          </w:p>
        </w:tc>
      </w:tr>
      <w:tr>
        <w:trPr/>
        <w:tc>
          <w:tcPr>
            <w:tcW w:w="3444" w:type="dxa"/>
            <w:tcBorders/>
            <w:vAlign w:val="center"/>
          </w:tcPr>
          <w:p>
            <w:pPr>
              <w:pStyle w:val="TableContents"/>
              <w:bidi w:val="0"/>
              <w:spacing w:before="0" w:after="0"/>
              <w:jc w:val="left"/>
              <w:rPr>
                <w:rFonts w:ascii="arial" w:hAnsi="arial"/>
                <w:sz w:val="18"/>
              </w:rPr>
            </w:pPr>
            <w:r>
              <w:rPr>
                <w:rFonts w:ascii="arial" w:hAnsi="arial"/>
                <w:sz w:val="18"/>
              </w:rPr>
              <w:t>Continuing health care benefits for 18 months(3)</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w:t>
            </w:r>
          </w:p>
        </w:tc>
        <w:tc>
          <w:tcPr>
            <w:tcW w:w="3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46,346</w:t>
            </w:r>
          </w:p>
        </w:tc>
        <w:tc>
          <w:tcPr>
            <w:tcW w:w="3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283"/>
              <w:jc w:val="right"/>
              <w:rPr/>
            </w:pPr>
            <w:r>
              <w:rPr/>
              <w:t>0</w:t>
            </w:r>
          </w:p>
        </w:tc>
        <w:tc>
          <w:tcPr>
            <w:tcW w:w="3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0</w:t>
            </w:r>
          </w:p>
        </w:tc>
        <w:tc>
          <w:tcPr>
            <w:tcW w:w="326" w:type="dxa"/>
            <w:tcBorders/>
            <w:vAlign w:val="center"/>
          </w:tcPr>
          <w:p>
            <w:pPr>
              <w:pStyle w:val="TableContents"/>
              <w:bidi w:val="0"/>
              <w:spacing w:before="0" w:after="283"/>
              <w:jc w:val="left"/>
              <w:rPr/>
            </w:pPr>
            <w:r>
              <w:rPr/>
              <w:t> </w:t>
            </w:r>
          </w:p>
        </w:tc>
      </w:tr>
      <w:tr>
        <w:trPr/>
        <w:tc>
          <w:tcPr>
            <w:tcW w:w="3444" w:type="dxa"/>
            <w:tcBorders/>
            <w:shd w:fill="CCE2F1" w:val="clear"/>
            <w:vAlign w:val="center"/>
          </w:tcPr>
          <w:p>
            <w:pPr>
              <w:pStyle w:val="TableContents"/>
              <w:bidi w:val="0"/>
              <w:spacing w:before="0" w:after="283"/>
              <w:jc w:val="left"/>
              <w:rPr>
                <w:sz w:val="4"/>
                <w:szCs w:val="4"/>
              </w:rPr>
            </w:pPr>
            <w:r>
              <w:rPr>
                <w:sz w:val="4"/>
                <w:szCs w:val="4"/>
              </w:rPr>
            </w:r>
          </w:p>
        </w:tc>
        <w:tc>
          <w:tcPr>
            <w:tcW w:w="1434" w:type="dxa"/>
            <w:gridSpan w:val="4"/>
            <w:tcBorders/>
            <w:shd w:fill="CCE2F1" w:val="clear"/>
            <w:vAlign w:val="center"/>
          </w:tcPr>
          <w:p>
            <w:pPr>
              <w:pStyle w:val="TableContents"/>
              <w:bidi w:val="0"/>
              <w:spacing w:before="0" w:after="283"/>
              <w:jc w:val="left"/>
              <w:rPr>
                <w:sz w:val="4"/>
                <w:szCs w:val="4"/>
              </w:rPr>
            </w:pPr>
            <w:r>
              <w:rPr>
                <w:sz w:val="4"/>
                <w:szCs w:val="4"/>
              </w:rPr>
            </w:r>
          </w:p>
        </w:tc>
        <w:tc>
          <w:tcPr>
            <w:tcW w:w="1899" w:type="dxa"/>
            <w:gridSpan w:val="4"/>
            <w:tcBorders/>
            <w:shd w:fill="CCE2F1" w:val="clear"/>
            <w:vAlign w:val="center"/>
          </w:tcPr>
          <w:p>
            <w:pPr>
              <w:pStyle w:val="TableContents"/>
              <w:bidi w:val="0"/>
              <w:spacing w:before="0" w:after="283"/>
              <w:jc w:val="left"/>
              <w:rPr>
                <w:sz w:val="4"/>
                <w:szCs w:val="4"/>
              </w:rPr>
            </w:pPr>
            <w:r>
              <w:rPr>
                <w:sz w:val="4"/>
                <w:szCs w:val="4"/>
              </w:rPr>
            </w:r>
          </w:p>
        </w:tc>
        <w:tc>
          <w:tcPr>
            <w:tcW w:w="1764" w:type="dxa"/>
            <w:gridSpan w:val="4"/>
            <w:tcBorders/>
            <w:shd w:fill="CCE2F1" w:val="clear"/>
            <w:vAlign w:val="center"/>
          </w:tcPr>
          <w:p>
            <w:pPr>
              <w:pStyle w:val="TableContents"/>
              <w:bidi w:val="0"/>
              <w:spacing w:before="0" w:after="283"/>
              <w:jc w:val="left"/>
              <w:rPr>
                <w:sz w:val="4"/>
                <w:szCs w:val="4"/>
              </w:rPr>
            </w:pPr>
            <w:r>
              <w:rPr>
                <w:sz w:val="4"/>
                <w:szCs w:val="4"/>
              </w:rPr>
            </w:r>
          </w:p>
        </w:tc>
        <w:tc>
          <w:tcPr>
            <w:tcW w:w="1664"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3444" w:type="dxa"/>
            <w:tcBorders/>
            <w:shd w:fill="CCE2F1" w:val="clear"/>
            <w:vAlign w:val="center"/>
          </w:tcPr>
          <w:p>
            <w:pPr>
              <w:pStyle w:val="TableContents"/>
              <w:bidi w:val="0"/>
              <w:spacing w:before="0" w:after="0"/>
              <w:jc w:val="left"/>
              <w:rPr>
                <w:rFonts w:ascii="arial" w:hAnsi="arial"/>
                <w:sz w:val="18"/>
              </w:rPr>
            </w:pPr>
            <w:r>
              <w:rPr>
                <w:rFonts w:ascii="arial" w:hAnsi="arial"/>
                <w:sz w:val="18"/>
              </w:rPr>
              <w:t>Continuing retirement plan contributions for two years(4)</w:t>
            </w:r>
          </w:p>
        </w:tc>
        <w:tc>
          <w:tcPr>
            <w:tcW w:w="60" w:type="dxa"/>
            <w:tcBorders/>
            <w:shd w:fill="CCE2F1" w:val="clear"/>
            <w:vAlign w:val="center"/>
          </w:tcPr>
          <w:p>
            <w:pPr>
              <w:pStyle w:val="TableContents"/>
              <w:bidi w:val="0"/>
              <w:spacing w:before="0" w:after="283"/>
              <w:jc w:val="left"/>
              <w:rPr/>
            </w:pPr>
            <w:r>
              <w:rPr/>
              <w:t> </w:t>
            </w:r>
          </w:p>
        </w:tc>
        <w:tc>
          <w:tcPr>
            <w:tcW w:w="61" w:type="dxa"/>
            <w:tcBorders/>
            <w:shd w:fill="CCE2F1" w:val="clear"/>
            <w:vAlign w:val="center"/>
          </w:tcPr>
          <w:p>
            <w:pPr>
              <w:pStyle w:val="TableContents"/>
              <w:bidi w:val="0"/>
              <w:spacing w:before="0" w:after="283"/>
              <w:jc w:val="left"/>
              <w:rPr/>
            </w:pPr>
            <w:r>
              <w:rPr/>
              <w:t> </w:t>
            </w:r>
          </w:p>
        </w:tc>
        <w:tc>
          <w:tcPr>
            <w:tcW w:w="1008" w:type="dxa"/>
            <w:tcBorders/>
            <w:shd w:fill="CCE2F1" w:val="clear"/>
            <w:vAlign w:val="center"/>
          </w:tcPr>
          <w:p>
            <w:pPr>
              <w:pStyle w:val="TableContents"/>
              <w:bidi w:val="0"/>
              <w:spacing w:before="0" w:after="283"/>
              <w:jc w:val="right"/>
              <w:rPr/>
            </w:pPr>
            <w:r>
              <w:rPr/>
              <w:t>0</w:t>
            </w:r>
          </w:p>
        </w:tc>
        <w:tc>
          <w:tcPr>
            <w:tcW w:w="305"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74" w:type="dxa"/>
            <w:tcBorders/>
            <w:shd w:fill="CCE2F1" w:val="clear"/>
            <w:vAlign w:val="center"/>
          </w:tcPr>
          <w:p>
            <w:pPr>
              <w:pStyle w:val="TableContents"/>
              <w:bidi w:val="0"/>
              <w:spacing w:before="0" w:after="283"/>
              <w:jc w:val="left"/>
              <w:rPr/>
            </w:pPr>
            <w:r>
              <w:rPr/>
              <w:t> </w:t>
            </w:r>
          </w:p>
        </w:tc>
        <w:tc>
          <w:tcPr>
            <w:tcW w:w="1400" w:type="dxa"/>
            <w:tcBorders/>
            <w:shd w:fill="CCE2F1" w:val="clear"/>
            <w:vAlign w:val="center"/>
          </w:tcPr>
          <w:p>
            <w:pPr>
              <w:pStyle w:val="TableContents"/>
              <w:bidi w:val="0"/>
              <w:spacing w:before="0" w:after="283"/>
              <w:jc w:val="right"/>
              <w:rPr/>
            </w:pPr>
            <w:r>
              <w:rPr/>
              <w:t>492,880</w:t>
            </w:r>
          </w:p>
        </w:tc>
        <w:tc>
          <w:tcPr>
            <w:tcW w:w="305"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8" w:type="dxa"/>
            <w:tcBorders/>
            <w:shd w:fill="CCE2F1" w:val="clear"/>
            <w:vAlign w:val="center"/>
          </w:tcPr>
          <w:p>
            <w:pPr>
              <w:pStyle w:val="TableContents"/>
              <w:bidi w:val="0"/>
              <w:spacing w:before="0" w:after="283"/>
              <w:jc w:val="left"/>
              <w:rPr/>
            </w:pPr>
            <w:r>
              <w:rPr/>
              <w:t> </w:t>
            </w:r>
          </w:p>
        </w:tc>
        <w:tc>
          <w:tcPr>
            <w:tcW w:w="1271" w:type="dxa"/>
            <w:tcBorders/>
            <w:shd w:fill="CCE2F1" w:val="clear"/>
            <w:vAlign w:val="center"/>
          </w:tcPr>
          <w:p>
            <w:pPr>
              <w:pStyle w:val="TableContents"/>
              <w:bidi w:val="0"/>
              <w:spacing w:before="0" w:after="283"/>
              <w:jc w:val="right"/>
              <w:rPr/>
            </w:pPr>
            <w:r>
              <w:rPr/>
              <w:t>0</w:t>
            </w:r>
          </w:p>
        </w:tc>
        <w:tc>
          <w:tcPr>
            <w:tcW w:w="305"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2" w:type="dxa"/>
            <w:tcBorders/>
            <w:shd w:fill="CCE2F1" w:val="clear"/>
            <w:vAlign w:val="center"/>
          </w:tcPr>
          <w:p>
            <w:pPr>
              <w:pStyle w:val="TableContents"/>
              <w:bidi w:val="0"/>
              <w:spacing w:before="0" w:after="283"/>
              <w:jc w:val="left"/>
              <w:rPr/>
            </w:pPr>
            <w:r>
              <w:rPr/>
              <w:t> </w:t>
            </w:r>
          </w:p>
        </w:tc>
        <w:tc>
          <w:tcPr>
            <w:tcW w:w="1156" w:type="dxa"/>
            <w:tcBorders/>
            <w:shd w:fill="CCE2F1" w:val="clear"/>
            <w:vAlign w:val="center"/>
          </w:tcPr>
          <w:p>
            <w:pPr>
              <w:pStyle w:val="TableContents"/>
              <w:bidi w:val="0"/>
              <w:spacing w:before="0" w:after="283"/>
              <w:jc w:val="right"/>
              <w:rPr/>
            </w:pPr>
            <w:r>
              <w:rPr/>
              <w:t>0</w:t>
            </w:r>
          </w:p>
        </w:tc>
        <w:tc>
          <w:tcPr>
            <w:tcW w:w="326" w:type="dxa"/>
            <w:tcBorders/>
            <w:shd w:fill="CCE2F1" w:val="clear"/>
            <w:vAlign w:val="center"/>
          </w:tcPr>
          <w:p>
            <w:pPr>
              <w:pStyle w:val="TableContents"/>
              <w:bidi w:val="0"/>
              <w:spacing w:before="0" w:after="283"/>
              <w:jc w:val="left"/>
              <w:rPr/>
            </w:pPr>
            <w:r>
              <w:rPr/>
              <w:t> </w:t>
            </w:r>
          </w:p>
        </w:tc>
      </w:tr>
      <w:tr>
        <w:trPr/>
        <w:tc>
          <w:tcPr>
            <w:tcW w:w="3444" w:type="dxa"/>
            <w:tcBorders>
              <w:top w:val="single" w:sz="8" w:space="0" w:color="0171B9"/>
            </w:tcBorders>
            <w:tcMar>
              <w:top w:w="28" w:type="dxa"/>
            </w:tcMar>
            <w:vAlign w:val="center"/>
          </w:tcPr>
          <w:p>
            <w:pPr>
              <w:pStyle w:val="TableContents"/>
              <w:bidi w:val="0"/>
              <w:spacing w:before="0" w:after="283"/>
              <w:jc w:val="left"/>
              <w:rPr/>
            </w:pPr>
            <w:r>
              <w:rPr/>
              <w:t> </w:t>
            </w:r>
          </w:p>
        </w:tc>
        <w:tc>
          <w:tcPr>
            <w:tcW w:w="1434" w:type="dxa"/>
            <w:gridSpan w:val="4"/>
            <w:tcBorders>
              <w:top w:val="single" w:sz="8" w:space="0" w:color="0171B9"/>
            </w:tcBorders>
            <w:tcMar>
              <w:top w:w="28" w:type="dxa"/>
            </w:tcMar>
            <w:vAlign w:val="center"/>
          </w:tcPr>
          <w:p>
            <w:pPr>
              <w:pStyle w:val="TableContents"/>
              <w:bidi w:val="0"/>
              <w:spacing w:before="0" w:after="283"/>
              <w:jc w:val="left"/>
              <w:rPr/>
            </w:pPr>
            <w:r>
              <w:rPr/>
              <w:t> </w:t>
            </w:r>
          </w:p>
        </w:tc>
        <w:tc>
          <w:tcPr>
            <w:tcW w:w="1899" w:type="dxa"/>
            <w:gridSpan w:val="4"/>
            <w:tcBorders>
              <w:top w:val="single" w:sz="8" w:space="0" w:color="0171B9"/>
            </w:tcBorders>
            <w:tcMar>
              <w:top w:w="28" w:type="dxa"/>
            </w:tcMar>
            <w:vAlign w:val="center"/>
          </w:tcPr>
          <w:p>
            <w:pPr>
              <w:pStyle w:val="TableContents"/>
              <w:bidi w:val="0"/>
              <w:spacing w:before="0" w:after="283"/>
              <w:jc w:val="left"/>
              <w:rPr/>
            </w:pPr>
            <w:r>
              <w:rPr/>
              <w:t> </w:t>
            </w:r>
          </w:p>
        </w:tc>
        <w:tc>
          <w:tcPr>
            <w:tcW w:w="1764" w:type="dxa"/>
            <w:gridSpan w:val="4"/>
            <w:tcBorders>
              <w:top w:val="single" w:sz="8" w:space="0" w:color="0171B9"/>
            </w:tcBorders>
            <w:tcMar>
              <w:top w:w="28" w:type="dxa"/>
            </w:tcMar>
            <w:vAlign w:val="center"/>
          </w:tcPr>
          <w:p>
            <w:pPr>
              <w:pStyle w:val="TableContents"/>
              <w:bidi w:val="0"/>
              <w:spacing w:before="0" w:after="283"/>
              <w:jc w:val="left"/>
              <w:rPr/>
            </w:pPr>
            <w:r>
              <w:rPr/>
              <w:t> </w:t>
            </w:r>
          </w:p>
        </w:tc>
        <w:tc>
          <w:tcPr>
            <w:tcW w:w="1664" w:type="dxa"/>
            <w:gridSpan w:val="4"/>
            <w:tcBorders>
              <w:top w:val="single" w:sz="8" w:space="0" w:color="0171B9"/>
            </w:tcBorders>
            <w:tcMar>
              <w:top w:w="28" w:type="dxa"/>
            </w:tcMar>
            <w:vAlign w:val="center"/>
          </w:tcPr>
          <w:p>
            <w:pPr>
              <w:pStyle w:val="TableContents"/>
              <w:bidi w:val="0"/>
              <w:spacing w:before="0" w:after="283"/>
              <w:jc w:val="left"/>
              <w:rPr/>
            </w:pPr>
            <w:r>
              <w:rPr/>
              <w:t> </w:t>
            </w:r>
          </w:p>
        </w:tc>
      </w:tr>
      <w:tr>
        <w:trPr/>
        <w:tc>
          <w:tcPr>
            <w:tcW w:w="3444" w:type="dxa"/>
            <w:tcBorders>
              <w:bottom w:val="single" w:sz="8" w:space="0" w:color="0171B9"/>
            </w:tcBorders>
            <w:tcMar>
              <w:bottom w:w="80" w:type="dxa"/>
            </w:tcMar>
            <w:vAlign w:val="center"/>
          </w:tcPr>
          <w:p>
            <w:pPr>
              <w:pStyle w:val="TableContents"/>
              <w:bidi w:val="0"/>
              <w:spacing w:before="0" w:after="0"/>
              <w:jc w:val="left"/>
              <w:rPr/>
            </w:pPr>
            <w:r>
              <w:rPr/>
              <w:t> </w:t>
            </w:r>
            <w:r>
              <w:rPr>
                <w:rFonts w:ascii="arial" w:hAnsi="arial"/>
                <w:sz w:val="18"/>
              </w:rPr>
              <w:t>Total</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61" w:type="dxa"/>
            <w:tcBorders>
              <w:bottom w:val="single" w:sz="8" w:space="0" w:color="0171B9"/>
            </w:tcBorders>
            <w:tcMar>
              <w:bottom w:w="80" w:type="dxa"/>
            </w:tcMar>
            <w:vAlign w:val="center"/>
          </w:tcPr>
          <w:p>
            <w:pPr>
              <w:pStyle w:val="TableContents"/>
              <w:bidi w:val="0"/>
              <w:spacing w:before="0" w:after="283"/>
              <w:jc w:val="left"/>
              <w:rPr/>
            </w:pPr>
            <w:r>
              <w:rPr/>
              <w:t> </w:t>
            </w:r>
          </w:p>
        </w:tc>
        <w:tc>
          <w:tcPr>
            <w:tcW w:w="1008" w:type="dxa"/>
            <w:tcBorders>
              <w:bottom w:val="single" w:sz="8" w:space="0" w:color="0171B9"/>
            </w:tcBorders>
            <w:tcMar>
              <w:bottom w:w="80" w:type="dxa"/>
            </w:tcMar>
            <w:vAlign w:val="center"/>
          </w:tcPr>
          <w:p>
            <w:pPr>
              <w:pStyle w:val="TableContents"/>
              <w:bidi w:val="0"/>
              <w:spacing w:before="0" w:after="283"/>
              <w:jc w:val="right"/>
              <w:rPr/>
            </w:pPr>
            <w:r>
              <w:rPr/>
              <w:t>7,056,490</w:t>
            </w:r>
          </w:p>
        </w:tc>
        <w:tc>
          <w:tcPr>
            <w:tcW w:w="305" w:type="dxa"/>
            <w:tcBorders>
              <w:bottom w:val="single" w:sz="8" w:space="0" w:color="0171B9"/>
            </w:tcBorders>
            <w:tcMar>
              <w:bottom w:w="80" w:type="dxa"/>
            </w:tcMar>
            <w:vAlign w:val="center"/>
          </w:tcPr>
          <w:p>
            <w:pPr>
              <w:pStyle w:val="TableContents"/>
              <w:bidi w:val="0"/>
              <w:spacing w:before="0" w:after="283"/>
              <w:jc w:val="left"/>
              <w:rPr/>
            </w:pPr>
            <w:r>
              <w:rPr/>
              <w:t> </w:t>
            </w:r>
          </w:p>
        </w:tc>
        <w:tc>
          <w:tcPr>
            <w:tcW w:w="120" w:type="dxa"/>
            <w:tcBorders>
              <w:bottom w:val="single" w:sz="8" w:space="0" w:color="0171B9"/>
            </w:tcBorders>
            <w:tcMar>
              <w:bottom w:w="28" w:type="dxa"/>
            </w:tcMar>
            <w:vAlign w:val="center"/>
          </w:tcPr>
          <w:p>
            <w:pPr>
              <w:pStyle w:val="TableContents"/>
              <w:bidi w:val="0"/>
              <w:spacing w:before="0" w:after="283"/>
              <w:jc w:val="left"/>
              <w:rPr/>
            </w:pPr>
            <w:r>
              <w:rPr/>
              <w:t>  </w:t>
            </w:r>
          </w:p>
        </w:tc>
        <w:tc>
          <w:tcPr>
            <w:tcW w:w="74" w:type="dxa"/>
            <w:tcBorders>
              <w:bottom w:val="single" w:sz="8" w:space="0" w:color="0171B9"/>
            </w:tcBorders>
            <w:tcMar>
              <w:bottom w:w="80" w:type="dxa"/>
            </w:tcMar>
            <w:vAlign w:val="center"/>
          </w:tcPr>
          <w:p>
            <w:pPr>
              <w:pStyle w:val="TableContents"/>
              <w:bidi w:val="0"/>
              <w:spacing w:before="0" w:after="283"/>
              <w:jc w:val="left"/>
              <w:rPr/>
            </w:pPr>
            <w:r>
              <w:rPr/>
              <w:t> </w:t>
            </w:r>
          </w:p>
        </w:tc>
        <w:tc>
          <w:tcPr>
            <w:tcW w:w="1400" w:type="dxa"/>
            <w:tcBorders>
              <w:bottom w:val="single" w:sz="8" w:space="0" w:color="0171B9"/>
            </w:tcBorders>
            <w:tcMar>
              <w:bottom w:w="80" w:type="dxa"/>
            </w:tcMar>
            <w:vAlign w:val="center"/>
          </w:tcPr>
          <w:p>
            <w:pPr>
              <w:pStyle w:val="TableContents"/>
              <w:bidi w:val="0"/>
              <w:spacing w:before="0" w:after="283"/>
              <w:jc w:val="right"/>
              <w:rPr/>
            </w:pPr>
            <w:r>
              <w:rPr/>
              <w:t>21,151,083</w:t>
            </w:r>
          </w:p>
        </w:tc>
        <w:tc>
          <w:tcPr>
            <w:tcW w:w="305" w:type="dxa"/>
            <w:tcBorders>
              <w:bottom w:val="single" w:sz="8" w:space="0" w:color="0171B9"/>
            </w:tcBorders>
            <w:tcMar>
              <w:bottom w:w="80" w:type="dxa"/>
            </w:tcMar>
            <w:vAlign w:val="center"/>
          </w:tcPr>
          <w:p>
            <w:pPr>
              <w:pStyle w:val="TableContents"/>
              <w:bidi w:val="0"/>
              <w:spacing w:before="0" w:after="283"/>
              <w:jc w:val="left"/>
              <w:rPr/>
            </w:pPr>
            <w:r>
              <w:rPr/>
              <w:t> </w:t>
            </w:r>
          </w:p>
        </w:tc>
        <w:tc>
          <w:tcPr>
            <w:tcW w:w="120" w:type="dxa"/>
            <w:tcBorders>
              <w:bottom w:val="single" w:sz="8" w:space="0" w:color="0171B9"/>
            </w:tcBorders>
            <w:tcMar>
              <w:bottom w:w="28" w:type="dxa"/>
            </w:tcMar>
            <w:vAlign w:val="center"/>
          </w:tcPr>
          <w:p>
            <w:pPr>
              <w:pStyle w:val="TableContents"/>
              <w:bidi w:val="0"/>
              <w:spacing w:before="0" w:after="283"/>
              <w:jc w:val="left"/>
              <w:rPr/>
            </w:pPr>
            <w:r>
              <w:rPr/>
              <w:t>  </w:t>
            </w:r>
          </w:p>
        </w:tc>
        <w:tc>
          <w:tcPr>
            <w:tcW w:w="68" w:type="dxa"/>
            <w:tcBorders>
              <w:bottom w:val="single" w:sz="8" w:space="0" w:color="0171B9"/>
            </w:tcBorders>
            <w:tcMar>
              <w:bottom w:w="80" w:type="dxa"/>
            </w:tcMar>
            <w:vAlign w:val="center"/>
          </w:tcPr>
          <w:p>
            <w:pPr>
              <w:pStyle w:val="TableContents"/>
              <w:bidi w:val="0"/>
              <w:spacing w:before="0" w:after="283"/>
              <w:jc w:val="left"/>
              <w:rPr/>
            </w:pPr>
            <w:r>
              <w:rPr/>
              <w:t> </w:t>
            </w:r>
          </w:p>
        </w:tc>
        <w:tc>
          <w:tcPr>
            <w:tcW w:w="1271" w:type="dxa"/>
            <w:tcBorders>
              <w:bottom w:val="single" w:sz="8" w:space="0" w:color="0171B9"/>
            </w:tcBorders>
            <w:tcMar>
              <w:bottom w:w="80" w:type="dxa"/>
            </w:tcMar>
            <w:vAlign w:val="center"/>
          </w:tcPr>
          <w:p>
            <w:pPr>
              <w:pStyle w:val="TableContents"/>
              <w:bidi w:val="0"/>
              <w:spacing w:before="0" w:after="283"/>
              <w:jc w:val="right"/>
              <w:rPr/>
            </w:pPr>
            <w:r>
              <w:rPr/>
              <w:t>14,919,401</w:t>
            </w:r>
          </w:p>
        </w:tc>
        <w:tc>
          <w:tcPr>
            <w:tcW w:w="305" w:type="dxa"/>
            <w:tcBorders>
              <w:bottom w:val="single" w:sz="8" w:space="0" w:color="0171B9"/>
            </w:tcBorders>
            <w:tcMar>
              <w:bottom w:w="80" w:type="dxa"/>
            </w:tcMar>
            <w:vAlign w:val="center"/>
          </w:tcPr>
          <w:p>
            <w:pPr>
              <w:pStyle w:val="TableContents"/>
              <w:bidi w:val="0"/>
              <w:spacing w:before="0" w:after="283"/>
              <w:jc w:val="left"/>
              <w:rPr/>
            </w:pPr>
            <w:r>
              <w:rPr/>
              <w:t> </w:t>
            </w:r>
          </w:p>
        </w:tc>
        <w:tc>
          <w:tcPr>
            <w:tcW w:w="120" w:type="dxa"/>
            <w:tcBorders>
              <w:bottom w:val="single" w:sz="8" w:space="0" w:color="0171B9"/>
            </w:tcBorders>
            <w:tcMar>
              <w:bottom w:w="28" w:type="dxa"/>
            </w:tcMar>
            <w:vAlign w:val="center"/>
          </w:tcPr>
          <w:p>
            <w:pPr>
              <w:pStyle w:val="TableContents"/>
              <w:bidi w:val="0"/>
              <w:spacing w:before="0" w:after="283"/>
              <w:jc w:val="left"/>
              <w:rPr/>
            </w:pPr>
            <w:r>
              <w:rPr/>
              <w:t>  </w:t>
            </w:r>
          </w:p>
        </w:tc>
        <w:tc>
          <w:tcPr>
            <w:tcW w:w="62" w:type="dxa"/>
            <w:tcBorders>
              <w:bottom w:val="single" w:sz="8" w:space="0" w:color="0171B9"/>
            </w:tcBorders>
            <w:tcMar>
              <w:bottom w:w="80" w:type="dxa"/>
            </w:tcMar>
            <w:vAlign w:val="center"/>
          </w:tcPr>
          <w:p>
            <w:pPr>
              <w:pStyle w:val="TableContents"/>
              <w:bidi w:val="0"/>
              <w:spacing w:before="0" w:after="283"/>
              <w:jc w:val="left"/>
              <w:rPr/>
            </w:pPr>
            <w:r>
              <w:rPr/>
              <w:t> </w:t>
            </w:r>
          </w:p>
        </w:tc>
        <w:tc>
          <w:tcPr>
            <w:tcW w:w="1156" w:type="dxa"/>
            <w:tcBorders>
              <w:bottom w:val="single" w:sz="8" w:space="0" w:color="0171B9"/>
            </w:tcBorders>
            <w:tcMar>
              <w:bottom w:w="80" w:type="dxa"/>
            </w:tcMar>
            <w:vAlign w:val="center"/>
          </w:tcPr>
          <w:p>
            <w:pPr>
              <w:pStyle w:val="TableContents"/>
              <w:bidi w:val="0"/>
              <w:spacing w:before="0" w:after="283"/>
              <w:jc w:val="right"/>
              <w:rPr/>
            </w:pPr>
            <w:r>
              <w:rPr/>
              <w:t>14,919,401</w:t>
            </w:r>
          </w:p>
        </w:tc>
        <w:tc>
          <w:tcPr>
            <w:tcW w:w="326" w:type="dxa"/>
            <w:tcBorders>
              <w:bottom w:val="single" w:sz="8" w:space="0" w:color="0171B9"/>
            </w:tcBorders>
            <w:tcMar>
              <w:bottom w:w="80" w:type="dxa"/>
            </w:tcMar>
            <w:vAlign w:val="center"/>
          </w:tcPr>
          <w:p>
            <w:pPr>
              <w:pStyle w:val="TableContents"/>
              <w:bidi w:val="0"/>
              <w:spacing w:before="0" w:after="283"/>
              <w:jc w:val="left"/>
              <w:rPr/>
            </w:pPr>
            <w:r>
              <w:rPr/>
              <w:t> </w:t>
            </w:r>
          </w:p>
        </w:tc>
      </w:tr>
    </w:tbl>
    <w:p>
      <w:pPr>
        <w:pStyle w:val="TextBody"/>
        <w:bidi w:val="0"/>
        <w:spacing w:before="240" w:after="0"/>
        <w:jc w:val="center"/>
        <w:rPr>
          <w:rFonts w:ascii="arial" w:hAnsi="arial"/>
          <w:b/>
          <w:i/>
          <w:sz w:val="22"/>
        </w:rPr>
      </w:pPr>
      <w:r>
        <w:rPr>
          <w:rFonts w:ascii="arial" w:hAnsi="arial"/>
          <w:b/>
          <w:i/>
          <w:sz w:val="22"/>
        </w:rPr>
        <w:t xml:space="preserve">Estimated Payments to Peter H. Griffith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631"/>
        <w:gridCol w:w="60"/>
        <w:gridCol w:w="61"/>
        <w:gridCol w:w="1010"/>
        <w:gridCol w:w="312"/>
        <w:gridCol w:w="120"/>
        <w:gridCol w:w="75"/>
        <w:gridCol w:w="1413"/>
        <w:gridCol w:w="312"/>
        <w:gridCol w:w="120"/>
        <w:gridCol w:w="406"/>
        <w:gridCol w:w="948"/>
        <w:gridCol w:w="60"/>
        <w:gridCol w:w="120"/>
        <w:gridCol w:w="62"/>
        <w:gridCol w:w="1161"/>
        <w:gridCol w:w="334"/>
      </w:tblGrid>
      <w:tr>
        <w:trPr/>
        <w:tc>
          <w:tcPr>
            <w:tcW w:w="36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6180" w:type="dxa"/>
            <w:gridSpan w:val="14"/>
            <w:tcBorders>
              <w:bottom w:val="single" w:sz="8" w:space="0" w:color="FFFFFF"/>
            </w:tcBorders>
            <w:shd w:fill="0171B9" w:val="clear"/>
            <w:tcMar>
              <w:bottom w:w="28" w:type="dxa"/>
            </w:tcMar>
            <w:vAlign w:val="center"/>
          </w:tcPr>
          <w:p>
            <w:pPr>
              <w:pStyle w:val="TableContents"/>
              <w:bidi w:val="0"/>
              <w:spacing w:before="0" w:after="283"/>
              <w:jc w:val="center"/>
              <w:rPr>
                <w:b/>
                <w:color w:val="FFFFFF"/>
              </w:rPr>
            </w:pPr>
            <w:r>
              <w:rPr>
                <w:b/>
                <w:color w:val="FFFFFF"/>
              </w:rPr>
              <w:t>Triggering Event</w:t>
            </w:r>
          </w:p>
        </w:tc>
        <w:tc>
          <w:tcPr>
            <w:tcW w:w="334" w:type="dxa"/>
            <w:tcBorders/>
            <w:shd w:fill="0171B9" w:val="clear"/>
            <w:vAlign w:val="center"/>
          </w:tcPr>
          <w:p>
            <w:pPr>
              <w:pStyle w:val="TableContents"/>
              <w:bidi w:val="0"/>
              <w:spacing w:before="0" w:after="283"/>
              <w:jc w:val="left"/>
              <w:rPr/>
            </w:pPr>
            <w:r>
              <w:rPr/>
              <w:t> </w:t>
            </w:r>
          </w:p>
        </w:tc>
      </w:tr>
      <w:tr>
        <w:trPr/>
        <w:tc>
          <w:tcPr>
            <w:tcW w:w="3631" w:type="dxa"/>
            <w:tcBorders>
              <w:bottom w:val="single" w:sz="8" w:space="0" w:color="FFFFFF"/>
            </w:tcBorders>
            <w:shd w:fill="0171B9" w:val="clear"/>
            <w:tcMar>
              <w:bottom w:w="28" w:type="dxa"/>
            </w:tcMar>
            <w:vAlign w:val="center"/>
          </w:tcPr>
          <w:p>
            <w:pPr>
              <w:pStyle w:val="TableContents"/>
              <w:bidi w:val="0"/>
              <w:spacing w:before="0" w:after="283"/>
              <w:jc w:val="left"/>
              <w:rPr>
                <w:color w:val="FFFFFF"/>
              </w:rPr>
            </w:pPr>
            <w:r>
              <w:rPr>
                <w:color w:val="FFFFFF"/>
              </w:rPr>
              <w:t>  </w:t>
            </w:r>
            <w:r>
              <w:rPr>
                <w:b/>
                <w:color w:val="FFFFFF"/>
              </w:rPr>
              <w:t>Estimated Potential Payment or Benefit</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071" w:type="dxa"/>
            <w:gridSpan w:val="2"/>
            <w:tcBorders>
              <w:bottom w:val="single" w:sz="8" w:space="0" w:color="FFFFFF"/>
            </w:tcBorders>
            <w:shd w:fill="0171B9" w:val="clear"/>
            <w:tcMar>
              <w:bottom w:w="28" w:type="dxa"/>
            </w:tcMar>
            <w:vAlign w:val="center"/>
          </w:tcPr>
          <w:p>
            <w:pPr>
              <w:pStyle w:val="TableContents"/>
              <w:bidi w:val="0"/>
              <w:spacing w:before="0" w:after="283"/>
              <w:jc w:val="right"/>
              <w:rPr>
                <w:b/>
                <w:color w:val="FFFFFF"/>
              </w:rPr>
            </w:pPr>
            <w:r>
              <w:rPr>
                <w:b/>
                <w:color w:val="FFFFFF"/>
              </w:rPr>
              <w:t>Change</w:t>
              <w:br/>
              <w:t>in</w:t>
              <w:br/>
              <w:t>Control($)</w:t>
            </w:r>
          </w:p>
        </w:tc>
        <w:tc>
          <w:tcPr>
            <w:tcW w:w="312"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488" w:type="dxa"/>
            <w:gridSpan w:val="2"/>
            <w:tcBorders>
              <w:bottom w:val="single" w:sz="8" w:space="0" w:color="FFFFFF"/>
            </w:tcBorders>
            <w:shd w:fill="0171B9" w:val="clear"/>
            <w:tcMar>
              <w:bottom w:w="28" w:type="dxa"/>
            </w:tcMar>
            <w:vAlign w:val="center"/>
          </w:tcPr>
          <w:p>
            <w:pPr>
              <w:pStyle w:val="TableContents"/>
              <w:bidi w:val="0"/>
              <w:spacing w:before="0" w:after="283"/>
              <w:jc w:val="right"/>
              <w:rPr>
                <w:b/>
                <w:color w:val="FFFFFF"/>
              </w:rPr>
            </w:pPr>
            <w:r>
              <w:rPr>
                <w:b/>
                <w:color w:val="FFFFFF"/>
              </w:rPr>
              <w:t>Change in</w:t>
              <w:br/>
              <w:t>Control and</w:t>
              <w:br/>
              <w:t>Termination($)</w:t>
            </w:r>
          </w:p>
        </w:tc>
        <w:tc>
          <w:tcPr>
            <w:tcW w:w="312"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354" w:type="dxa"/>
            <w:gridSpan w:val="2"/>
            <w:tcBorders>
              <w:bottom w:val="single" w:sz="8" w:space="0" w:color="FFFFFF"/>
            </w:tcBorders>
            <w:shd w:fill="0171B9" w:val="clear"/>
            <w:tcMar>
              <w:bottom w:w="28" w:type="dxa"/>
            </w:tcMar>
            <w:vAlign w:val="center"/>
          </w:tcPr>
          <w:p>
            <w:pPr>
              <w:pStyle w:val="TableContents"/>
              <w:bidi w:val="0"/>
              <w:spacing w:before="0" w:after="283"/>
              <w:jc w:val="right"/>
              <w:rPr>
                <w:b/>
                <w:color w:val="FFFFFF"/>
              </w:rPr>
            </w:pPr>
            <w:r>
              <w:rPr>
                <w:b/>
                <w:color w:val="FFFFFF"/>
              </w:rPr>
              <w:t>Retirement($)</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23" w:type="dxa"/>
            <w:gridSpan w:val="2"/>
            <w:tcBorders>
              <w:bottom w:val="single" w:sz="8" w:space="0" w:color="FFFFFF"/>
            </w:tcBorders>
            <w:shd w:fill="0171B9" w:val="clear"/>
            <w:tcMar>
              <w:bottom w:w="28" w:type="dxa"/>
            </w:tcMar>
            <w:vAlign w:val="center"/>
          </w:tcPr>
          <w:p>
            <w:pPr>
              <w:pStyle w:val="TableContents"/>
              <w:bidi w:val="0"/>
              <w:spacing w:before="0" w:after="283"/>
              <w:jc w:val="right"/>
              <w:rPr>
                <w:b/>
                <w:color w:val="FFFFFF"/>
              </w:rPr>
            </w:pPr>
            <w:r>
              <w:rPr>
                <w:b/>
                <w:color w:val="FFFFFF"/>
              </w:rPr>
              <w:t>Death or</w:t>
              <w:br/>
              <w:t>Disability($)</w:t>
            </w:r>
          </w:p>
        </w:tc>
        <w:tc>
          <w:tcPr>
            <w:tcW w:w="334"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r>
      <w:tr>
        <w:trPr/>
        <w:tc>
          <w:tcPr>
            <w:tcW w:w="3631" w:type="dxa"/>
            <w:tcBorders/>
            <w:shd w:fill="CCE2F1" w:val="clear"/>
            <w:vAlign w:val="center"/>
          </w:tcPr>
          <w:p>
            <w:pPr>
              <w:pStyle w:val="TableContents"/>
              <w:bidi w:val="0"/>
              <w:spacing w:before="0" w:after="283"/>
              <w:jc w:val="left"/>
              <w:rPr>
                <w:sz w:val="4"/>
                <w:szCs w:val="4"/>
              </w:rPr>
            </w:pPr>
            <w:r>
              <w:rPr>
                <w:sz w:val="4"/>
                <w:szCs w:val="4"/>
              </w:rPr>
            </w:r>
          </w:p>
        </w:tc>
        <w:tc>
          <w:tcPr>
            <w:tcW w:w="1443" w:type="dxa"/>
            <w:gridSpan w:val="4"/>
            <w:tcBorders/>
            <w:shd w:fill="CCE2F1" w:val="clear"/>
            <w:vAlign w:val="center"/>
          </w:tcPr>
          <w:p>
            <w:pPr>
              <w:pStyle w:val="TableContents"/>
              <w:bidi w:val="0"/>
              <w:spacing w:before="0" w:after="283"/>
              <w:jc w:val="left"/>
              <w:rPr>
                <w:sz w:val="4"/>
                <w:szCs w:val="4"/>
              </w:rPr>
            </w:pPr>
            <w:r>
              <w:rPr>
                <w:sz w:val="4"/>
                <w:szCs w:val="4"/>
              </w:rPr>
            </w:r>
          </w:p>
        </w:tc>
        <w:tc>
          <w:tcPr>
            <w:tcW w:w="1920" w:type="dxa"/>
            <w:gridSpan w:val="4"/>
            <w:tcBorders/>
            <w:shd w:fill="CCE2F1" w:val="clear"/>
            <w:vAlign w:val="center"/>
          </w:tcPr>
          <w:p>
            <w:pPr>
              <w:pStyle w:val="TableContents"/>
              <w:bidi w:val="0"/>
              <w:spacing w:before="0" w:after="283"/>
              <w:jc w:val="left"/>
              <w:rPr>
                <w:sz w:val="4"/>
                <w:szCs w:val="4"/>
              </w:rPr>
            </w:pPr>
            <w:r>
              <w:rPr>
                <w:sz w:val="4"/>
                <w:szCs w:val="4"/>
              </w:rPr>
            </w:r>
          </w:p>
        </w:tc>
        <w:tc>
          <w:tcPr>
            <w:tcW w:w="1534" w:type="dxa"/>
            <w:gridSpan w:val="4"/>
            <w:tcBorders/>
            <w:shd w:fill="CCE2F1" w:val="clear"/>
            <w:vAlign w:val="center"/>
          </w:tcPr>
          <w:p>
            <w:pPr>
              <w:pStyle w:val="TableContents"/>
              <w:bidi w:val="0"/>
              <w:spacing w:before="0" w:after="283"/>
              <w:jc w:val="left"/>
              <w:rPr>
                <w:sz w:val="4"/>
                <w:szCs w:val="4"/>
              </w:rPr>
            </w:pPr>
            <w:r>
              <w:rPr>
                <w:sz w:val="4"/>
                <w:szCs w:val="4"/>
              </w:rPr>
            </w:r>
          </w:p>
        </w:tc>
        <w:tc>
          <w:tcPr>
            <w:tcW w:w="1677"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3631" w:type="dxa"/>
            <w:tcBorders/>
            <w:shd w:fill="CCE2F1" w:val="clear"/>
            <w:vAlign w:val="center"/>
          </w:tcPr>
          <w:p>
            <w:pPr>
              <w:pStyle w:val="TableContents"/>
              <w:bidi w:val="0"/>
              <w:spacing w:before="0" w:after="0"/>
              <w:jc w:val="left"/>
              <w:rPr>
                <w:rFonts w:ascii="arial" w:hAnsi="arial"/>
                <w:sz w:val="18"/>
              </w:rPr>
            </w:pPr>
            <w:r>
              <w:rPr>
                <w:rFonts w:ascii="arial" w:hAnsi="arial"/>
                <w:sz w:val="18"/>
              </w:rPr>
              <w:t>Lump sum cash severance payment</w:t>
            </w:r>
          </w:p>
        </w:tc>
        <w:tc>
          <w:tcPr>
            <w:tcW w:w="60" w:type="dxa"/>
            <w:tcBorders/>
            <w:shd w:fill="CCE2F1" w:val="clear"/>
            <w:vAlign w:val="center"/>
          </w:tcPr>
          <w:p>
            <w:pPr>
              <w:pStyle w:val="TableContents"/>
              <w:bidi w:val="0"/>
              <w:spacing w:before="0" w:after="283"/>
              <w:jc w:val="left"/>
              <w:rPr/>
            </w:pPr>
            <w:r>
              <w:rPr/>
              <w:t> </w:t>
            </w:r>
          </w:p>
        </w:tc>
        <w:tc>
          <w:tcPr>
            <w:tcW w:w="61" w:type="dxa"/>
            <w:tcBorders/>
            <w:shd w:fill="CCE2F1" w:val="clear"/>
            <w:vAlign w:val="center"/>
          </w:tcPr>
          <w:p>
            <w:pPr>
              <w:pStyle w:val="TableContents"/>
              <w:bidi w:val="0"/>
              <w:spacing w:before="0" w:after="283"/>
              <w:jc w:val="left"/>
              <w:rPr/>
            </w:pPr>
            <w:r>
              <w:rPr/>
              <w:t> </w:t>
            </w:r>
          </w:p>
        </w:tc>
        <w:tc>
          <w:tcPr>
            <w:tcW w:w="1010" w:type="dxa"/>
            <w:tcBorders/>
            <w:shd w:fill="CCE2F1" w:val="clear"/>
            <w:vAlign w:val="center"/>
          </w:tcPr>
          <w:p>
            <w:pPr>
              <w:pStyle w:val="TableContents"/>
              <w:bidi w:val="0"/>
              <w:spacing w:before="0" w:after="283"/>
              <w:jc w:val="right"/>
              <w:rPr/>
            </w:pPr>
            <w:r>
              <w:rPr/>
              <w:t>0</w:t>
            </w:r>
          </w:p>
        </w:tc>
        <w:tc>
          <w:tcPr>
            <w:tcW w:w="312"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75" w:type="dxa"/>
            <w:tcBorders/>
            <w:shd w:fill="CCE2F1" w:val="clear"/>
            <w:vAlign w:val="center"/>
          </w:tcPr>
          <w:p>
            <w:pPr>
              <w:pStyle w:val="TableContents"/>
              <w:bidi w:val="0"/>
              <w:spacing w:before="0" w:after="283"/>
              <w:jc w:val="left"/>
              <w:rPr/>
            </w:pPr>
            <w:r>
              <w:rPr/>
              <w:t> </w:t>
            </w:r>
          </w:p>
        </w:tc>
        <w:tc>
          <w:tcPr>
            <w:tcW w:w="1413" w:type="dxa"/>
            <w:tcBorders/>
            <w:shd w:fill="CCE2F1" w:val="clear"/>
            <w:vAlign w:val="center"/>
          </w:tcPr>
          <w:p>
            <w:pPr>
              <w:pStyle w:val="TableContents"/>
              <w:bidi w:val="0"/>
              <w:spacing w:before="0" w:after="283"/>
              <w:jc w:val="right"/>
              <w:rPr/>
            </w:pPr>
            <w:r>
              <w:rPr/>
              <w:t>4,359,600</w:t>
            </w:r>
          </w:p>
        </w:tc>
        <w:tc>
          <w:tcPr>
            <w:tcW w:w="312"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406" w:type="dxa"/>
            <w:tcBorders/>
            <w:shd w:fill="CCE2F1" w:val="clear"/>
            <w:vAlign w:val="center"/>
          </w:tcPr>
          <w:p>
            <w:pPr>
              <w:pStyle w:val="TableContents"/>
              <w:bidi w:val="0"/>
              <w:spacing w:before="0" w:after="283"/>
              <w:jc w:val="left"/>
              <w:rPr/>
            </w:pPr>
            <w:r>
              <w:rPr/>
              <w:t> </w:t>
            </w:r>
          </w:p>
        </w:tc>
        <w:tc>
          <w:tcPr>
            <w:tcW w:w="948"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2" w:type="dxa"/>
            <w:tcBorders/>
            <w:shd w:fill="CCE2F1" w:val="clear"/>
            <w:vAlign w:val="center"/>
          </w:tcPr>
          <w:p>
            <w:pPr>
              <w:pStyle w:val="TableContents"/>
              <w:bidi w:val="0"/>
              <w:spacing w:before="0" w:after="283"/>
              <w:jc w:val="left"/>
              <w:rPr/>
            </w:pPr>
            <w:r>
              <w:rPr/>
              <w:t> </w:t>
            </w:r>
          </w:p>
        </w:tc>
        <w:tc>
          <w:tcPr>
            <w:tcW w:w="1161" w:type="dxa"/>
            <w:tcBorders/>
            <w:shd w:fill="CCE2F1" w:val="clear"/>
            <w:vAlign w:val="center"/>
          </w:tcPr>
          <w:p>
            <w:pPr>
              <w:pStyle w:val="TableContents"/>
              <w:bidi w:val="0"/>
              <w:spacing w:before="0" w:after="283"/>
              <w:jc w:val="right"/>
              <w:rPr/>
            </w:pPr>
            <w:r>
              <w:rPr/>
              <w:t>0</w:t>
            </w:r>
          </w:p>
        </w:tc>
        <w:tc>
          <w:tcPr>
            <w:tcW w:w="334" w:type="dxa"/>
            <w:tcBorders/>
            <w:shd w:fill="CCE2F1" w:val="clear"/>
            <w:vAlign w:val="center"/>
          </w:tcPr>
          <w:p>
            <w:pPr>
              <w:pStyle w:val="TableContents"/>
              <w:bidi w:val="0"/>
              <w:spacing w:before="0" w:after="283"/>
              <w:jc w:val="left"/>
              <w:rPr/>
            </w:pPr>
            <w:r>
              <w:rPr/>
              <w:t> </w:t>
            </w:r>
          </w:p>
        </w:tc>
      </w:tr>
      <w:tr>
        <w:trPr/>
        <w:tc>
          <w:tcPr>
            <w:tcW w:w="3631" w:type="dxa"/>
            <w:tcBorders/>
            <w:vAlign w:val="center"/>
          </w:tcPr>
          <w:p>
            <w:pPr>
              <w:pStyle w:val="TableContents"/>
              <w:bidi w:val="0"/>
              <w:spacing w:before="0" w:after="283"/>
              <w:jc w:val="left"/>
              <w:rPr>
                <w:sz w:val="4"/>
                <w:szCs w:val="4"/>
              </w:rPr>
            </w:pPr>
            <w:r>
              <w:rPr>
                <w:sz w:val="4"/>
                <w:szCs w:val="4"/>
              </w:rPr>
            </w:r>
          </w:p>
        </w:tc>
        <w:tc>
          <w:tcPr>
            <w:tcW w:w="1443" w:type="dxa"/>
            <w:gridSpan w:val="4"/>
            <w:tcBorders/>
            <w:vAlign w:val="center"/>
          </w:tcPr>
          <w:p>
            <w:pPr>
              <w:pStyle w:val="TableContents"/>
              <w:bidi w:val="0"/>
              <w:spacing w:before="0" w:after="283"/>
              <w:jc w:val="left"/>
              <w:rPr>
                <w:sz w:val="4"/>
                <w:szCs w:val="4"/>
              </w:rPr>
            </w:pPr>
            <w:r>
              <w:rPr>
                <w:sz w:val="4"/>
                <w:szCs w:val="4"/>
              </w:rPr>
            </w:r>
          </w:p>
        </w:tc>
        <w:tc>
          <w:tcPr>
            <w:tcW w:w="1920" w:type="dxa"/>
            <w:gridSpan w:val="4"/>
            <w:tcBorders/>
            <w:vAlign w:val="center"/>
          </w:tcPr>
          <w:p>
            <w:pPr>
              <w:pStyle w:val="TableContents"/>
              <w:bidi w:val="0"/>
              <w:spacing w:before="0" w:after="283"/>
              <w:jc w:val="left"/>
              <w:rPr>
                <w:sz w:val="4"/>
                <w:szCs w:val="4"/>
              </w:rPr>
            </w:pPr>
            <w:r>
              <w:rPr>
                <w:sz w:val="4"/>
                <w:szCs w:val="4"/>
              </w:rPr>
            </w:r>
          </w:p>
        </w:tc>
        <w:tc>
          <w:tcPr>
            <w:tcW w:w="1534" w:type="dxa"/>
            <w:gridSpan w:val="4"/>
            <w:tcBorders/>
            <w:vAlign w:val="center"/>
          </w:tcPr>
          <w:p>
            <w:pPr>
              <w:pStyle w:val="TableContents"/>
              <w:bidi w:val="0"/>
              <w:spacing w:before="0" w:after="283"/>
              <w:jc w:val="left"/>
              <w:rPr>
                <w:sz w:val="4"/>
                <w:szCs w:val="4"/>
              </w:rPr>
            </w:pPr>
            <w:r>
              <w:rPr>
                <w:sz w:val="4"/>
                <w:szCs w:val="4"/>
              </w:rPr>
            </w:r>
          </w:p>
        </w:tc>
        <w:tc>
          <w:tcPr>
            <w:tcW w:w="1677" w:type="dxa"/>
            <w:gridSpan w:val="4"/>
            <w:tcBorders/>
            <w:vAlign w:val="center"/>
          </w:tcPr>
          <w:p>
            <w:pPr>
              <w:pStyle w:val="TableContents"/>
              <w:bidi w:val="0"/>
              <w:spacing w:before="0" w:after="283"/>
              <w:jc w:val="left"/>
              <w:rPr>
                <w:sz w:val="4"/>
                <w:szCs w:val="4"/>
              </w:rPr>
            </w:pPr>
            <w:r>
              <w:rPr>
                <w:sz w:val="4"/>
                <w:szCs w:val="4"/>
              </w:rPr>
            </w:r>
          </w:p>
        </w:tc>
      </w:tr>
      <w:tr>
        <w:trPr/>
        <w:tc>
          <w:tcPr>
            <w:tcW w:w="3631" w:type="dxa"/>
            <w:tcBorders/>
            <w:vAlign w:val="center"/>
          </w:tcPr>
          <w:p>
            <w:pPr>
              <w:pStyle w:val="TableContents"/>
              <w:bidi w:val="0"/>
              <w:spacing w:before="0" w:after="0"/>
              <w:jc w:val="left"/>
              <w:rPr>
                <w:rFonts w:ascii="arial" w:hAnsi="arial"/>
                <w:sz w:val="18"/>
              </w:rPr>
            </w:pPr>
            <w:r>
              <w:rPr>
                <w:rFonts w:ascii="arial" w:hAnsi="arial"/>
                <w:sz w:val="18"/>
              </w:rPr>
              <w:t>Intrinsic value of accelerated unvested stock options</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0</w:t>
            </w:r>
          </w:p>
        </w:tc>
        <w:tc>
          <w:tcPr>
            <w:tcW w:w="31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4,932,699</w:t>
            </w:r>
          </w:p>
        </w:tc>
        <w:tc>
          <w:tcPr>
            <w:tcW w:w="31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61" w:type="dxa"/>
            <w:tcBorders/>
            <w:vAlign w:val="center"/>
          </w:tcPr>
          <w:p>
            <w:pPr>
              <w:pStyle w:val="TableContents"/>
              <w:bidi w:val="0"/>
              <w:spacing w:before="0" w:after="283"/>
              <w:jc w:val="right"/>
              <w:rPr/>
            </w:pPr>
            <w:r>
              <w:rPr/>
              <w:t>4,932,699</w:t>
            </w:r>
          </w:p>
        </w:tc>
        <w:tc>
          <w:tcPr>
            <w:tcW w:w="334" w:type="dxa"/>
            <w:tcBorders/>
            <w:vAlign w:val="center"/>
          </w:tcPr>
          <w:p>
            <w:pPr>
              <w:pStyle w:val="TableContents"/>
              <w:bidi w:val="0"/>
              <w:spacing w:before="0" w:after="283"/>
              <w:jc w:val="left"/>
              <w:rPr/>
            </w:pPr>
            <w:r>
              <w:rPr/>
              <w:t> </w:t>
            </w:r>
          </w:p>
        </w:tc>
      </w:tr>
      <w:tr>
        <w:trPr/>
        <w:tc>
          <w:tcPr>
            <w:tcW w:w="3631" w:type="dxa"/>
            <w:tcBorders/>
            <w:shd w:fill="CCE2F1" w:val="clear"/>
            <w:vAlign w:val="center"/>
          </w:tcPr>
          <w:p>
            <w:pPr>
              <w:pStyle w:val="TableContents"/>
              <w:bidi w:val="0"/>
              <w:spacing w:before="0" w:after="283"/>
              <w:jc w:val="left"/>
              <w:rPr>
                <w:sz w:val="4"/>
                <w:szCs w:val="4"/>
              </w:rPr>
            </w:pPr>
            <w:r>
              <w:rPr>
                <w:sz w:val="4"/>
                <w:szCs w:val="4"/>
              </w:rPr>
            </w:r>
          </w:p>
        </w:tc>
        <w:tc>
          <w:tcPr>
            <w:tcW w:w="1443" w:type="dxa"/>
            <w:gridSpan w:val="4"/>
            <w:tcBorders/>
            <w:shd w:fill="CCE2F1" w:val="clear"/>
            <w:vAlign w:val="center"/>
          </w:tcPr>
          <w:p>
            <w:pPr>
              <w:pStyle w:val="TableContents"/>
              <w:bidi w:val="0"/>
              <w:spacing w:before="0" w:after="283"/>
              <w:jc w:val="left"/>
              <w:rPr>
                <w:sz w:val="4"/>
                <w:szCs w:val="4"/>
              </w:rPr>
            </w:pPr>
            <w:r>
              <w:rPr>
                <w:sz w:val="4"/>
                <w:szCs w:val="4"/>
              </w:rPr>
            </w:r>
          </w:p>
        </w:tc>
        <w:tc>
          <w:tcPr>
            <w:tcW w:w="1920" w:type="dxa"/>
            <w:gridSpan w:val="4"/>
            <w:tcBorders/>
            <w:shd w:fill="CCE2F1" w:val="clear"/>
            <w:vAlign w:val="center"/>
          </w:tcPr>
          <w:p>
            <w:pPr>
              <w:pStyle w:val="TableContents"/>
              <w:bidi w:val="0"/>
              <w:spacing w:before="0" w:after="283"/>
              <w:jc w:val="left"/>
              <w:rPr>
                <w:sz w:val="4"/>
                <w:szCs w:val="4"/>
              </w:rPr>
            </w:pPr>
            <w:r>
              <w:rPr>
                <w:sz w:val="4"/>
                <w:szCs w:val="4"/>
              </w:rPr>
            </w:r>
          </w:p>
        </w:tc>
        <w:tc>
          <w:tcPr>
            <w:tcW w:w="1534" w:type="dxa"/>
            <w:gridSpan w:val="4"/>
            <w:tcBorders/>
            <w:shd w:fill="CCE2F1" w:val="clear"/>
            <w:vAlign w:val="center"/>
          </w:tcPr>
          <w:p>
            <w:pPr>
              <w:pStyle w:val="TableContents"/>
              <w:bidi w:val="0"/>
              <w:spacing w:before="0" w:after="283"/>
              <w:jc w:val="left"/>
              <w:rPr>
                <w:sz w:val="4"/>
                <w:szCs w:val="4"/>
              </w:rPr>
            </w:pPr>
            <w:r>
              <w:rPr>
                <w:sz w:val="4"/>
                <w:szCs w:val="4"/>
              </w:rPr>
            </w:r>
          </w:p>
        </w:tc>
        <w:tc>
          <w:tcPr>
            <w:tcW w:w="1677"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3631" w:type="dxa"/>
            <w:tcBorders/>
            <w:shd w:fill="CCE2F1" w:val="clear"/>
            <w:vAlign w:val="center"/>
          </w:tcPr>
          <w:p>
            <w:pPr>
              <w:pStyle w:val="TableContents"/>
              <w:bidi w:val="0"/>
              <w:spacing w:before="0" w:after="0"/>
              <w:jc w:val="left"/>
              <w:rPr>
                <w:rFonts w:ascii="arial" w:hAnsi="arial"/>
                <w:sz w:val="18"/>
              </w:rPr>
            </w:pPr>
            <w:r>
              <w:rPr>
                <w:rFonts w:ascii="arial" w:hAnsi="arial"/>
                <w:sz w:val="18"/>
              </w:rPr>
              <w:t>Intrinsic value of accelerated unvested RSU’s</w:t>
            </w:r>
          </w:p>
        </w:tc>
        <w:tc>
          <w:tcPr>
            <w:tcW w:w="60" w:type="dxa"/>
            <w:tcBorders/>
            <w:shd w:fill="CCE2F1" w:val="clear"/>
            <w:vAlign w:val="center"/>
          </w:tcPr>
          <w:p>
            <w:pPr>
              <w:pStyle w:val="TableContents"/>
              <w:bidi w:val="0"/>
              <w:spacing w:before="0" w:after="283"/>
              <w:jc w:val="left"/>
              <w:rPr/>
            </w:pPr>
            <w:r>
              <w:rPr/>
              <w:t> </w:t>
            </w:r>
          </w:p>
        </w:tc>
        <w:tc>
          <w:tcPr>
            <w:tcW w:w="61" w:type="dxa"/>
            <w:tcBorders/>
            <w:shd w:fill="CCE2F1" w:val="clear"/>
            <w:vAlign w:val="center"/>
          </w:tcPr>
          <w:p>
            <w:pPr>
              <w:pStyle w:val="TableContents"/>
              <w:bidi w:val="0"/>
              <w:spacing w:before="0" w:after="283"/>
              <w:jc w:val="left"/>
              <w:rPr/>
            </w:pPr>
            <w:r>
              <w:rPr/>
              <w:t> </w:t>
            </w:r>
          </w:p>
        </w:tc>
        <w:tc>
          <w:tcPr>
            <w:tcW w:w="1010" w:type="dxa"/>
            <w:tcBorders/>
            <w:shd w:fill="CCE2F1" w:val="clear"/>
            <w:vAlign w:val="center"/>
          </w:tcPr>
          <w:p>
            <w:pPr>
              <w:pStyle w:val="TableContents"/>
              <w:bidi w:val="0"/>
              <w:spacing w:before="0" w:after="283"/>
              <w:jc w:val="right"/>
              <w:rPr/>
            </w:pPr>
            <w:r>
              <w:rPr/>
              <w:t>0</w:t>
            </w:r>
          </w:p>
        </w:tc>
        <w:tc>
          <w:tcPr>
            <w:tcW w:w="312"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75" w:type="dxa"/>
            <w:tcBorders/>
            <w:shd w:fill="CCE2F1" w:val="clear"/>
            <w:vAlign w:val="center"/>
          </w:tcPr>
          <w:p>
            <w:pPr>
              <w:pStyle w:val="TableContents"/>
              <w:bidi w:val="0"/>
              <w:spacing w:before="0" w:after="283"/>
              <w:jc w:val="left"/>
              <w:rPr/>
            </w:pPr>
            <w:r>
              <w:rPr/>
              <w:t> </w:t>
            </w:r>
          </w:p>
        </w:tc>
        <w:tc>
          <w:tcPr>
            <w:tcW w:w="1413" w:type="dxa"/>
            <w:tcBorders/>
            <w:shd w:fill="CCE2F1" w:val="clear"/>
            <w:vAlign w:val="center"/>
          </w:tcPr>
          <w:p>
            <w:pPr>
              <w:pStyle w:val="TableContents"/>
              <w:bidi w:val="0"/>
              <w:spacing w:before="0" w:after="283"/>
              <w:jc w:val="right"/>
              <w:rPr/>
            </w:pPr>
            <w:r>
              <w:rPr/>
              <w:t>3,392,876</w:t>
            </w:r>
          </w:p>
        </w:tc>
        <w:tc>
          <w:tcPr>
            <w:tcW w:w="312"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406" w:type="dxa"/>
            <w:tcBorders/>
            <w:shd w:fill="CCE2F1" w:val="clear"/>
            <w:vAlign w:val="center"/>
          </w:tcPr>
          <w:p>
            <w:pPr>
              <w:pStyle w:val="TableContents"/>
              <w:bidi w:val="0"/>
              <w:spacing w:before="0" w:after="283"/>
              <w:jc w:val="left"/>
              <w:rPr/>
            </w:pPr>
            <w:r>
              <w:rPr/>
              <w:t> </w:t>
            </w:r>
          </w:p>
        </w:tc>
        <w:tc>
          <w:tcPr>
            <w:tcW w:w="948"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2" w:type="dxa"/>
            <w:tcBorders/>
            <w:shd w:fill="CCE2F1" w:val="clear"/>
            <w:vAlign w:val="center"/>
          </w:tcPr>
          <w:p>
            <w:pPr>
              <w:pStyle w:val="TableContents"/>
              <w:bidi w:val="0"/>
              <w:spacing w:before="0" w:after="283"/>
              <w:jc w:val="left"/>
              <w:rPr/>
            </w:pPr>
            <w:r>
              <w:rPr/>
              <w:t> </w:t>
            </w:r>
          </w:p>
        </w:tc>
        <w:tc>
          <w:tcPr>
            <w:tcW w:w="1161" w:type="dxa"/>
            <w:tcBorders/>
            <w:shd w:fill="CCE2F1" w:val="clear"/>
            <w:vAlign w:val="center"/>
          </w:tcPr>
          <w:p>
            <w:pPr>
              <w:pStyle w:val="TableContents"/>
              <w:bidi w:val="0"/>
              <w:spacing w:before="0" w:after="283"/>
              <w:jc w:val="right"/>
              <w:rPr/>
            </w:pPr>
            <w:r>
              <w:rPr/>
              <w:t>3,392,876</w:t>
            </w:r>
          </w:p>
        </w:tc>
        <w:tc>
          <w:tcPr>
            <w:tcW w:w="334" w:type="dxa"/>
            <w:tcBorders/>
            <w:shd w:fill="CCE2F1" w:val="clear"/>
            <w:vAlign w:val="center"/>
          </w:tcPr>
          <w:p>
            <w:pPr>
              <w:pStyle w:val="TableContents"/>
              <w:bidi w:val="0"/>
              <w:spacing w:before="0" w:after="283"/>
              <w:jc w:val="left"/>
              <w:rPr/>
            </w:pPr>
            <w:r>
              <w:rPr/>
              <w:t> </w:t>
            </w:r>
          </w:p>
        </w:tc>
      </w:tr>
      <w:tr>
        <w:trPr/>
        <w:tc>
          <w:tcPr>
            <w:tcW w:w="3631" w:type="dxa"/>
            <w:tcBorders/>
            <w:vAlign w:val="center"/>
          </w:tcPr>
          <w:p>
            <w:pPr>
              <w:pStyle w:val="TableContents"/>
              <w:bidi w:val="0"/>
              <w:spacing w:before="0" w:after="283"/>
              <w:jc w:val="left"/>
              <w:rPr>
                <w:sz w:val="4"/>
                <w:szCs w:val="4"/>
              </w:rPr>
            </w:pPr>
            <w:r>
              <w:rPr>
                <w:sz w:val="4"/>
                <w:szCs w:val="4"/>
              </w:rPr>
            </w:r>
          </w:p>
        </w:tc>
        <w:tc>
          <w:tcPr>
            <w:tcW w:w="1443" w:type="dxa"/>
            <w:gridSpan w:val="4"/>
            <w:tcBorders/>
            <w:vAlign w:val="center"/>
          </w:tcPr>
          <w:p>
            <w:pPr>
              <w:pStyle w:val="TableContents"/>
              <w:bidi w:val="0"/>
              <w:spacing w:before="0" w:after="283"/>
              <w:jc w:val="left"/>
              <w:rPr>
                <w:sz w:val="4"/>
                <w:szCs w:val="4"/>
              </w:rPr>
            </w:pPr>
            <w:r>
              <w:rPr>
                <w:sz w:val="4"/>
                <w:szCs w:val="4"/>
              </w:rPr>
            </w:r>
          </w:p>
        </w:tc>
        <w:tc>
          <w:tcPr>
            <w:tcW w:w="1920" w:type="dxa"/>
            <w:gridSpan w:val="4"/>
            <w:tcBorders/>
            <w:vAlign w:val="center"/>
          </w:tcPr>
          <w:p>
            <w:pPr>
              <w:pStyle w:val="TableContents"/>
              <w:bidi w:val="0"/>
              <w:spacing w:before="0" w:after="283"/>
              <w:jc w:val="left"/>
              <w:rPr>
                <w:sz w:val="4"/>
                <w:szCs w:val="4"/>
              </w:rPr>
            </w:pPr>
            <w:r>
              <w:rPr>
                <w:sz w:val="4"/>
                <w:szCs w:val="4"/>
              </w:rPr>
            </w:r>
          </w:p>
        </w:tc>
        <w:tc>
          <w:tcPr>
            <w:tcW w:w="1534" w:type="dxa"/>
            <w:gridSpan w:val="4"/>
            <w:tcBorders/>
            <w:vAlign w:val="center"/>
          </w:tcPr>
          <w:p>
            <w:pPr>
              <w:pStyle w:val="TableContents"/>
              <w:bidi w:val="0"/>
              <w:spacing w:before="0" w:after="283"/>
              <w:jc w:val="left"/>
              <w:rPr>
                <w:sz w:val="4"/>
                <w:szCs w:val="4"/>
              </w:rPr>
            </w:pPr>
            <w:r>
              <w:rPr>
                <w:sz w:val="4"/>
                <w:szCs w:val="4"/>
              </w:rPr>
            </w:r>
          </w:p>
        </w:tc>
        <w:tc>
          <w:tcPr>
            <w:tcW w:w="1677" w:type="dxa"/>
            <w:gridSpan w:val="4"/>
            <w:tcBorders/>
            <w:vAlign w:val="center"/>
          </w:tcPr>
          <w:p>
            <w:pPr>
              <w:pStyle w:val="TableContents"/>
              <w:bidi w:val="0"/>
              <w:spacing w:before="0" w:after="283"/>
              <w:jc w:val="left"/>
              <w:rPr>
                <w:sz w:val="4"/>
                <w:szCs w:val="4"/>
              </w:rPr>
            </w:pPr>
            <w:r>
              <w:rPr>
                <w:sz w:val="4"/>
                <w:szCs w:val="4"/>
              </w:rPr>
            </w:r>
          </w:p>
        </w:tc>
      </w:tr>
      <w:tr>
        <w:trPr/>
        <w:tc>
          <w:tcPr>
            <w:tcW w:w="3631" w:type="dxa"/>
            <w:tcBorders/>
            <w:vAlign w:val="center"/>
          </w:tcPr>
          <w:p>
            <w:pPr>
              <w:pStyle w:val="TableContents"/>
              <w:bidi w:val="0"/>
              <w:spacing w:before="0" w:after="0"/>
              <w:jc w:val="left"/>
              <w:rPr>
                <w:rFonts w:ascii="arial" w:hAnsi="arial"/>
                <w:sz w:val="18"/>
              </w:rPr>
            </w:pPr>
            <w:r>
              <w:rPr>
                <w:rFonts w:ascii="arial" w:hAnsi="arial"/>
                <w:sz w:val="18"/>
              </w:rPr>
              <w:t>Value of 2023-2025 performance units</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3,423,406</w:t>
            </w:r>
          </w:p>
        </w:tc>
        <w:tc>
          <w:tcPr>
            <w:tcW w:w="312" w:type="dxa"/>
            <w:tcBorders/>
            <w:vAlign w:val="center"/>
          </w:tcPr>
          <w:p>
            <w:pPr>
              <w:pStyle w:val="TableContents"/>
              <w:bidi w:val="0"/>
              <w:spacing w:before="0" w:after="283"/>
              <w:jc w:val="left"/>
              <w:rPr/>
            </w:pPr>
            <w:r>
              <w:rPr/>
              <w:t>(1) </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3,423,406</w:t>
            </w:r>
          </w:p>
        </w:tc>
        <w:tc>
          <w:tcPr>
            <w:tcW w:w="312" w:type="dxa"/>
            <w:tcBorders/>
            <w:vAlign w:val="center"/>
          </w:tcPr>
          <w:p>
            <w:pPr>
              <w:pStyle w:val="TableContents"/>
              <w:bidi w:val="0"/>
              <w:spacing w:before="0" w:after="283"/>
              <w:jc w:val="left"/>
              <w:rPr/>
            </w:pPr>
            <w:r>
              <w:rPr/>
              <w:t>(1) </w:t>
            </w:r>
          </w:p>
        </w:tc>
        <w:tc>
          <w:tcPr>
            <w:tcW w:w="120"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61" w:type="dxa"/>
            <w:tcBorders/>
            <w:vAlign w:val="center"/>
          </w:tcPr>
          <w:p>
            <w:pPr>
              <w:pStyle w:val="TableContents"/>
              <w:bidi w:val="0"/>
              <w:spacing w:before="0" w:after="283"/>
              <w:jc w:val="right"/>
              <w:rPr/>
            </w:pPr>
            <w:r>
              <w:rPr/>
              <w:t>3,497,139</w:t>
            </w:r>
          </w:p>
        </w:tc>
        <w:tc>
          <w:tcPr>
            <w:tcW w:w="334" w:type="dxa"/>
            <w:tcBorders/>
            <w:vAlign w:val="center"/>
          </w:tcPr>
          <w:p>
            <w:pPr>
              <w:pStyle w:val="TableContents"/>
              <w:bidi w:val="0"/>
              <w:spacing w:before="0" w:after="283"/>
              <w:jc w:val="left"/>
              <w:rPr/>
            </w:pPr>
            <w:r>
              <w:rPr/>
              <w:t>(2) </w:t>
            </w:r>
          </w:p>
        </w:tc>
      </w:tr>
      <w:tr>
        <w:trPr/>
        <w:tc>
          <w:tcPr>
            <w:tcW w:w="3631" w:type="dxa"/>
            <w:tcBorders/>
            <w:shd w:fill="CCE2F1" w:val="clear"/>
            <w:vAlign w:val="center"/>
          </w:tcPr>
          <w:p>
            <w:pPr>
              <w:pStyle w:val="TableContents"/>
              <w:bidi w:val="0"/>
              <w:spacing w:before="0" w:after="283"/>
              <w:jc w:val="left"/>
              <w:rPr>
                <w:sz w:val="4"/>
                <w:szCs w:val="4"/>
              </w:rPr>
            </w:pPr>
            <w:r>
              <w:rPr>
                <w:sz w:val="4"/>
                <w:szCs w:val="4"/>
              </w:rPr>
            </w:r>
          </w:p>
        </w:tc>
        <w:tc>
          <w:tcPr>
            <w:tcW w:w="1443" w:type="dxa"/>
            <w:gridSpan w:val="4"/>
            <w:tcBorders/>
            <w:shd w:fill="CCE2F1" w:val="clear"/>
            <w:vAlign w:val="center"/>
          </w:tcPr>
          <w:p>
            <w:pPr>
              <w:pStyle w:val="TableContents"/>
              <w:bidi w:val="0"/>
              <w:spacing w:before="0" w:after="283"/>
              <w:jc w:val="left"/>
              <w:rPr>
                <w:sz w:val="4"/>
                <w:szCs w:val="4"/>
              </w:rPr>
            </w:pPr>
            <w:r>
              <w:rPr>
                <w:sz w:val="4"/>
                <w:szCs w:val="4"/>
              </w:rPr>
            </w:r>
          </w:p>
        </w:tc>
        <w:tc>
          <w:tcPr>
            <w:tcW w:w="1920" w:type="dxa"/>
            <w:gridSpan w:val="4"/>
            <w:tcBorders/>
            <w:shd w:fill="CCE2F1" w:val="clear"/>
            <w:vAlign w:val="center"/>
          </w:tcPr>
          <w:p>
            <w:pPr>
              <w:pStyle w:val="TableContents"/>
              <w:bidi w:val="0"/>
              <w:spacing w:before="0" w:after="283"/>
              <w:jc w:val="left"/>
              <w:rPr>
                <w:sz w:val="4"/>
                <w:szCs w:val="4"/>
              </w:rPr>
            </w:pPr>
            <w:r>
              <w:rPr>
                <w:sz w:val="4"/>
                <w:szCs w:val="4"/>
              </w:rPr>
            </w:r>
          </w:p>
        </w:tc>
        <w:tc>
          <w:tcPr>
            <w:tcW w:w="1534" w:type="dxa"/>
            <w:gridSpan w:val="4"/>
            <w:tcBorders/>
            <w:shd w:fill="CCE2F1" w:val="clear"/>
            <w:vAlign w:val="center"/>
          </w:tcPr>
          <w:p>
            <w:pPr>
              <w:pStyle w:val="TableContents"/>
              <w:bidi w:val="0"/>
              <w:spacing w:before="0" w:after="283"/>
              <w:jc w:val="left"/>
              <w:rPr>
                <w:sz w:val="4"/>
                <w:szCs w:val="4"/>
              </w:rPr>
            </w:pPr>
            <w:r>
              <w:rPr>
                <w:sz w:val="4"/>
                <w:szCs w:val="4"/>
              </w:rPr>
            </w:r>
          </w:p>
        </w:tc>
        <w:tc>
          <w:tcPr>
            <w:tcW w:w="1677"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3631" w:type="dxa"/>
            <w:tcBorders/>
            <w:shd w:fill="CCE2F1" w:val="clear"/>
            <w:vAlign w:val="center"/>
          </w:tcPr>
          <w:p>
            <w:pPr>
              <w:pStyle w:val="TableContents"/>
              <w:bidi w:val="0"/>
              <w:spacing w:before="0" w:after="0"/>
              <w:jc w:val="left"/>
              <w:rPr>
                <w:rFonts w:ascii="arial" w:hAnsi="arial"/>
                <w:sz w:val="18"/>
              </w:rPr>
            </w:pPr>
            <w:r>
              <w:rPr>
                <w:rFonts w:ascii="arial" w:hAnsi="arial"/>
                <w:sz w:val="18"/>
              </w:rPr>
              <w:t>Value of 2022-2024 performance units</w:t>
            </w:r>
          </w:p>
        </w:tc>
        <w:tc>
          <w:tcPr>
            <w:tcW w:w="60" w:type="dxa"/>
            <w:tcBorders/>
            <w:shd w:fill="CCE2F1" w:val="clear"/>
            <w:vAlign w:val="center"/>
          </w:tcPr>
          <w:p>
            <w:pPr>
              <w:pStyle w:val="TableContents"/>
              <w:bidi w:val="0"/>
              <w:spacing w:before="0" w:after="283"/>
              <w:jc w:val="left"/>
              <w:rPr/>
            </w:pPr>
            <w:r>
              <w:rPr/>
              <w:t> </w:t>
            </w:r>
          </w:p>
        </w:tc>
        <w:tc>
          <w:tcPr>
            <w:tcW w:w="61" w:type="dxa"/>
            <w:tcBorders/>
            <w:shd w:fill="CCE2F1" w:val="clear"/>
            <w:vAlign w:val="center"/>
          </w:tcPr>
          <w:p>
            <w:pPr>
              <w:pStyle w:val="TableContents"/>
              <w:bidi w:val="0"/>
              <w:spacing w:before="0" w:after="283"/>
              <w:jc w:val="left"/>
              <w:rPr/>
            </w:pPr>
            <w:r>
              <w:rPr/>
              <w:t> </w:t>
            </w:r>
          </w:p>
        </w:tc>
        <w:tc>
          <w:tcPr>
            <w:tcW w:w="1010" w:type="dxa"/>
            <w:tcBorders/>
            <w:shd w:fill="CCE2F1" w:val="clear"/>
            <w:vAlign w:val="center"/>
          </w:tcPr>
          <w:p>
            <w:pPr>
              <w:pStyle w:val="TableContents"/>
              <w:bidi w:val="0"/>
              <w:spacing w:before="0" w:after="283"/>
              <w:jc w:val="right"/>
              <w:rPr/>
            </w:pPr>
            <w:r>
              <w:rPr/>
              <w:t>3,633,084</w:t>
            </w:r>
          </w:p>
        </w:tc>
        <w:tc>
          <w:tcPr>
            <w:tcW w:w="312" w:type="dxa"/>
            <w:tcBorders/>
            <w:shd w:fill="CCE2F1" w:val="clear"/>
            <w:vAlign w:val="center"/>
          </w:tcPr>
          <w:p>
            <w:pPr>
              <w:pStyle w:val="TableContents"/>
              <w:bidi w:val="0"/>
              <w:spacing w:before="0" w:after="283"/>
              <w:jc w:val="left"/>
              <w:rPr/>
            </w:pPr>
            <w:r>
              <w:rPr/>
              <w:t>(1) </w:t>
            </w:r>
          </w:p>
        </w:tc>
        <w:tc>
          <w:tcPr>
            <w:tcW w:w="120" w:type="dxa"/>
            <w:tcBorders/>
            <w:shd w:fill="CCE2F1" w:val="clear"/>
            <w:vAlign w:val="center"/>
          </w:tcPr>
          <w:p>
            <w:pPr>
              <w:pStyle w:val="TableContents"/>
              <w:bidi w:val="0"/>
              <w:spacing w:before="0" w:after="283"/>
              <w:jc w:val="left"/>
              <w:rPr/>
            </w:pPr>
            <w:r>
              <w:rPr/>
              <w:t>  </w:t>
            </w:r>
          </w:p>
        </w:tc>
        <w:tc>
          <w:tcPr>
            <w:tcW w:w="75" w:type="dxa"/>
            <w:tcBorders/>
            <w:shd w:fill="CCE2F1" w:val="clear"/>
            <w:vAlign w:val="center"/>
          </w:tcPr>
          <w:p>
            <w:pPr>
              <w:pStyle w:val="TableContents"/>
              <w:bidi w:val="0"/>
              <w:spacing w:before="0" w:after="283"/>
              <w:jc w:val="left"/>
              <w:rPr/>
            </w:pPr>
            <w:r>
              <w:rPr/>
              <w:t> </w:t>
            </w:r>
          </w:p>
        </w:tc>
        <w:tc>
          <w:tcPr>
            <w:tcW w:w="1413" w:type="dxa"/>
            <w:tcBorders/>
            <w:shd w:fill="CCE2F1" w:val="clear"/>
            <w:vAlign w:val="center"/>
          </w:tcPr>
          <w:p>
            <w:pPr>
              <w:pStyle w:val="TableContents"/>
              <w:bidi w:val="0"/>
              <w:spacing w:before="0" w:after="283"/>
              <w:jc w:val="right"/>
              <w:rPr/>
            </w:pPr>
            <w:r>
              <w:rPr/>
              <w:t>3,633,084</w:t>
            </w:r>
          </w:p>
        </w:tc>
        <w:tc>
          <w:tcPr>
            <w:tcW w:w="312" w:type="dxa"/>
            <w:tcBorders/>
            <w:shd w:fill="CCE2F1" w:val="clear"/>
            <w:vAlign w:val="center"/>
          </w:tcPr>
          <w:p>
            <w:pPr>
              <w:pStyle w:val="TableContents"/>
              <w:bidi w:val="0"/>
              <w:spacing w:before="0" w:after="283"/>
              <w:jc w:val="left"/>
              <w:rPr/>
            </w:pPr>
            <w:r>
              <w:rPr/>
              <w:t>(1) </w:t>
            </w:r>
          </w:p>
        </w:tc>
        <w:tc>
          <w:tcPr>
            <w:tcW w:w="120" w:type="dxa"/>
            <w:tcBorders/>
            <w:shd w:fill="CCE2F1" w:val="clear"/>
            <w:vAlign w:val="center"/>
          </w:tcPr>
          <w:p>
            <w:pPr>
              <w:pStyle w:val="TableContents"/>
              <w:bidi w:val="0"/>
              <w:spacing w:before="0" w:after="283"/>
              <w:jc w:val="left"/>
              <w:rPr/>
            </w:pPr>
            <w:r>
              <w:rPr/>
              <w:t>  </w:t>
            </w:r>
          </w:p>
        </w:tc>
        <w:tc>
          <w:tcPr>
            <w:tcW w:w="406" w:type="dxa"/>
            <w:tcBorders/>
            <w:shd w:fill="CCE2F1" w:val="clear"/>
            <w:vAlign w:val="center"/>
          </w:tcPr>
          <w:p>
            <w:pPr>
              <w:pStyle w:val="TableContents"/>
              <w:bidi w:val="0"/>
              <w:spacing w:before="0" w:after="283"/>
              <w:jc w:val="left"/>
              <w:rPr/>
            </w:pPr>
            <w:r>
              <w:rPr/>
              <w:t> </w:t>
            </w:r>
          </w:p>
        </w:tc>
        <w:tc>
          <w:tcPr>
            <w:tcW w:w="948"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2" w:type="dxa"/>
            <w:tcBorders/>
            <w:shd w:fill="CCE2F1" w:val="clear"/>
            <w:vAlign w:val="center"/>
          </w:tcPr>
          <w:p>
            <w:pPr>
              <w:pStyle w:val="TableContents"/>
              <w:bidi w:val="0"/>
              <w:spacing w:before="0" w:after="283"/>
              <w:jc w:val="left"/>
              <w:rPr/>
            </w:pPr>
            <w:r>
              <w:rPr/>
              <w:t> </w:t>
            </w:r>
          </w:p>
        </w:tc>
        <w:tc>
          <w:tcPr>
            <w:tcW w:w="1161" w:type="dxa"/>
            <w:tcBorders/>
            <w:shd w:fill="CCE2F1" w:val="clear"/>
            <w:vAlign w:val="center"/>
          </w:tcPr>
          <w:p>
            <w:pPr>
              <w:pStyle w:val="TableContents"/>
              <w:bidi w:val="0"/>
              <w:spacing w:before="0" w:after="283"/>
              <w:jc w:val="right"/>
              <w:rPr/>
            </w:pPr>
            <w:r>
              <w:rPr/>
              <w:t>2,745,695</w:t>
            </w:r>
          </w:p>
        </w:tc>
        <w:tc>
          <w:tcPr>
            <w:tcW w:w="334" w:type="dxa"/>
            <w:tcBorders/>
            <w:shd w:fill="CCE2F1" w:val="clear"/>
            <w:vAlign w:val="center"/>
          </w:tcPr>
          <w:p>
            <w:pPr>
              <w:pStyle w:val="TableContents"/>
              <w:bidi w:val="0"/>
              <w:spacing w:before="0" w:after="283"/>
              <w:jc w:val="left"/>
              <w:rPr/>
            </w:pPr>
            <w:r>
              <w:rPr/>
              <w:t>(2) </w:t>
            </w:r>
          </w:p>
        </w:tc>
      </w:tr>
      <w:tr>
        <w:trPr/>
        <w:tc>
          <w:tcPr>
            <w:tcW w:w="3631" w:type="dxa"/>
            <w:tcBorders/>
            <w:vAlign w:val="center"/>
          </w:tcPr>
          <w:p>
            <w:pPr>
              <w:pStyle w:val="TableContents"/>
              <w:bidi w:val="0"/>
              <w:spacing w:before="0" w:after="283"/>
              <w:jc w:val="left"/>
              <w:rPr>
                <w:sz w:val="4"/>
                <w:szCs w:val="4"/>
              </w:rPr>
            </w:pPr>
            <w:r>
              <w:rPr>
                <w:sz w:val="4"/>
                <w:szCs w:val="4"/>
              </w:rPr>
            </w:r>
          </w:p>
        </w:tc>
        <w:tc>
          <w:tcPr>
            <w:tcW w:w="1443" w:type="dxa"/>
            <w:gridSpan w:val="4"/>
            <w:tcBorders/>
            <w:vAlign w:val="center"/>
          </w:tcPr>
          <w:p>
            <w:pPr>
              <w:pStyle w:val="TableContents"/>
              <w:bidi w:val="0"/>
              <w:spacing w:before="0" w:after="283"/>
              <w:jc w:val="left"/>
              <w:rPr>
                <w:sz w:val="4"/>
                <w:szCs w:val="4"/>
              </w:rPr>
            </w:pPr>
            <w:r>
              <w:rPr>
                <w:sz w:val="4"/>
                <w:szCs w:val="4"/>
              </w:rPr>
            </w:r>
          </w:p>
        </w:tc>
        <w:tc>
          <w:tcPr>
            <w:tcW w:w="1920" w:type="dxa"/>
            <w:gridSpan w:val="4"/>
            <w:tcBorders/>
            <w:vAlign w:val="center"/>
          </w:tcPr>
          <w:p>
            <w:pPr>
              <w:pStyle w:val="TableContents"/>
              <w:bidi w:val="0"/>
              <w:spacing w:before="0" w:after="283"/>
              <w:jc w:val="left"/>
              <w:rPr>
                <w:sz w:val="4"/>
                <w:szCs w:val="4"/>
              </w:rPr>
            </w:pPr>
            <w:r>
              <w:rPr>
                <w:sz w:val="4"/>
                <w:szCs w:val="4"/>
              </w:rPr>
            </w:r>
          </w:p>
        </w:tc>
        <w:tc>
          <w:tcPr>
            <w:tcW w:w="1534" w:type="dxa"/>
            <w:gridSpan w:val="4"/>
            <w:tcBorders/>
            <w:vAlign w:val="center"/>
          </w:tcPr>
          <w:p>
            <w:pPr>
              <w:pStyle w:val="TableContents"/>
              <w:bidi w:val="0"/>
              <w:spacing w:before="0" w:after="283"/>
              <w:jc w:val="left"/>
              <w:rPr>
                <w:sz w:val="4"/>
                <w:szCs w:val="4"/>
              </w:rPr>
            </w:pPr>
            <w:r>
              <w:rPr>
                <w:sz w:val="4"/>
                <w:szCs w:val="4"/>
              </w:rPr>
            </w:r>
          </w:p>
        </w:tc>
        <w:tc>
          <w:tcPr>
            <w:tcW w:w="1677" w:type="dxa"/>
            <w:gridSpan w:val="4"/>
            <w:tcBorders/>
            <w:vAlign w:val="center"/>
          </w:tcPr>
          <w:p>
            <w:pPr>
              <w:pStyle w:val="TableContents"/>
              <w:bidi w:val="0"/>
              <w:spacing w:before="0" w:after="283"/>
              <w:jc w:val="left"/>
              <w:rPr>
                <w:sz w:val="4"/>
                <w:szCs w:val="4"/>
              </w:rPr>
            </w:pPr>
            <w:r>
              <w:rPr>
                <w:sz w:val="4"/>
                <w:szCs w:val="4"/>
              </w:rPr>
            </w:r>
          </w:p>
        </w:tc>
      </w:tr>
      <w:tr>
        <w:trPr/>
        <w:tc>
          <w:tcPr>
            <w:tcW w:w="3631" w:type="dxa"/>
            <w:tcBorders/>
            <w:vAlign w:val="center"/>
          </w:tcPr>
          <w:p>
            <w:pPr>
              <w:pStyle w:val="TableContents"/>
              <w:bidi w:val="0"/>
              <w:spacing w:before="0" w:after="0"/>
              <w:jc w:val="left"/>
              <w:rPr>
                <w:rFonts w:ascii="arial" w:hAnsi="arial"/>
                <w:sz w:val="18"/>
              </w:rPr>
            </w:pPr>
            <w:r>
              <w:rPr>
                <w:rFonts w:ascii="arial" w:hAnsi="arial"/>
                <w:sz w:val="18"/>
              </w:rPr>
              <w:t>Continuing health care benefits for 18 months(3)</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0</w:t>
            </w:r>
          </w:p>
        </w:tc>
        <w:tc>
          <w:tcPr>
            <w:tcW w:w="31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31,335</w:t>
            </w:r>
          </w:p>
        </w:tc>
        <w:tc>
          <w:tcPr>
            <w:tcW w:w="31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61" w:type="dxa"/>
            <w:tcBorders/>
            <w:vAlign w:val="center"/>
          </w:tcPr>
          <w:p>
            <w:pPr>
              <w:pStyle w:val="TableContents"/>
              <w:bidi w:val="0"/>
              <w:spacing w:before="0" w:after="283"/>
              <w:jc w:val="right"/>
              <w:rPr/>
            </w:pPr>
            <w:r>
              <w:rPr/>
              <w:t>0</w:t>
            </w:r>
          </w:p>
        </w:tc>
        <w:tc>
          <w:tcPr>
            <w:tcW w:w="334" w:type="dxa"/>
            <w:tcBorders/>
            <w:vAlign w:val="center"/>
          </w:tcPr>
          <w:p>
            <w:pPr>
              <w:pStyle w:val="TableContents"/>
              <w:bidi w:val="0"/>
              <w:spacing w:before="0" w:after="283"/>
              <w:jc w:val="left"/>
              <w:rPr/>
            </w:pPr>
            <w:r>
              <w:rPr/>
              <w:t> </w:t>
            </w:r>
          </w:p>
        </w:tc>
      </w:tr>
      <w:tr>
        <w:trPr/>
        <w:tc>
          <w:tcPr>
            <w:tcW w:w="3631" w:type="dxa"/>
            <w:tcBorders/>
            <w:shd w:fill="CCE2F1" w:val="clear"/>
            <w:vAlign w:val="center"/>
          </w:tcPr>
          <w:p>
            <w:pPr>
              <w:pStyle w:val="TableContents"/>
              <w:bidi w:val="0"/>
              <w:spacing w:before="0" w:after="283"/>
              <w:jc w:val="left"/>
              <w:rPr>
                <w:sz w:val="4"/>
                <w:szCs w:val="4"/>
              </w:rPr>
            </w:pPr>
            <w:r>
              <w:rPr>
                <w:sz w:val="4"/>
                <w:szCs w:val="4"/>
              </w:rPr>
            </w:r>
          </w:p>
        </w:tc>
        <w:tc>
          <w:tcPr>
            <w:tcW w:w="1443" w:type="dxa"/>
            <w:gridSpan w:val="4"/>
            <w:tcBorders/>
            <w:shd w:fill="CCE2F1" w:val="clear"/>
            <w:vAlign w:val="center"/>
          </w:tcPr>
          <w:p>
            <w:pPr>
              <w:pStyle w:val="TableContents"/>
              <w:bidi w:val="0"/>
              <w:spacing w:before="0" w:after="283"/>
              <w:jc w:val="left"/>
              <w:rPr>
                <w:sz w:val="4"/>
                <w:szCs w:val="4"/>
              </w:rPr>
            </w:pPr>
            <w:r>
              <w:rPr>
                <w:sz w:val="4"/>
                <w:szCs w:val="4"/>
              </w:rPr>
            </w:r>
          </w:p>
        </w:tc>
        <w:tc>
          <w:tcPr>
            <w:tcW w:w="1920" w:type="dxa"/>
            <w:gridSpan w:val="4"/>
            <w:tcBorders/>
            <w:shd w:fill="CCE2F1" w:val="clear"/>
            <w:vAlign w:val="center"/>
          </w:tcPr>
          <w:p>
            <w:pPr>
              <w:pStyle w:val="TableContents"/>
              <w:bidi w:val="0"/>
              <w:spacing w:before="0" w:after="283"/>
              <w:jc w:val="left"/>
              <w:rPr>
                <w:sz w:val="4"/>
                <w:szCs w:val="4"/>
              </w:rPr>
            </w:pPr>
            <w:r>
              <w:rPr>
                <w:sz w:val="4"/>
                <w:szCs w:val="4"/>
              </w:rPr>
            </w:r>
          </w:p>
        </w:tc>
        <w:tc>
          <w:tcPr>
            <w:tcW w:w="1534" w:type="dxa"/>
            <w:gridSpan w:val="4"/>
            <w:tcBorders/>
            <w:shd w:fill="CCE2F1" w:val="clear"/>
            <w:vAlign w:val="center"/>
          </w:tcPr>
          <w:p>
            <w:pPr>
              <w:pStyle w:val="TableContents"/>
              <w:bidi w:val="0"/>
              <w:spacing w:before="0" w:after="283"/>
              <w:jc w:val="left"/>
              <w:rPr>
                <w:sz w:val="4"/>
                <w:szCs w:val="4"/>
              </w:rPr>
            </w:pPr>
            <w:r>
              <w:rPr>
                <w:sz w:val="4"/>
                <w:szCs w:val="4"/>
              </w:rPr>
            </w:r>
          </w:p>
        </w:tc>
        <w:tc>
          <w:tcPr>
            <w:tcW w:w="1677"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3631" w:type="dxa"/>
            <w:tcBorders/>
            <w:shd w:fill="CCE2F1" w:val="clear"/>
            <w:vAlign w:val="center"/>
          </w:tcPr>
          <w:p>
            <w:pPr>
              <w:pStyle w:val="TableContents"/>
              <w:bidi w:val="0"/>
              <w:spacing w:before="0" w:after="0"/>
              <w:jc w:val="left"/>
              <w:rPr>
                <w:rFonts w:ascii="arial" w:hAnsi="arial"/>
                <w:sz w:val="18"/>
              </w:rPr>
            </w:pPr>
            <w:r>
              <w:rPr>
                <w:rFonts w:ascii="arial" w:hAnsi="arial"/>
                <w:sz w:val="18"/>
              </w:rPr>
              <w:t>Continuing retirement plan contributions for two years(4)</w:t>
            </w:r>
          </w:p>
        </w:tc>
        <w:tc>
          <w:tcPr>
            <w:tcW w:w="60" w:type="dxa"/>
            <w:tcBorders/>
            <w:shd w:fill="CCE2F1" w:val="clear"/>
            <w:vAlign w:val="center"/>
          </w:tcPr>
          <w:p>
            <w:pPr>
              <w:pStyle w:val="TableContents"/>
              <w:bidi w:val="0"/>
              <w:spacing w:before="0" w:after="283"/>
              <w:jc w:val="left"/>
              <w:rPr/>
            </w:pPr>
            <w:r>
              <w:rPr/>
              <w:t> </w:t>
            </w:r>
          </w:p>
        </w:tc>
        <w:tc>
          <w:tcPr>
            <w:tcW w:w="61" w:type="dxa"/>
            <w:tcBorders/>
            <w:shd w:fill="CCE2F1" w:val="clear"/>
            <w:vAlign w:val="center"/>
          </w:tcPr>
          <w:p>
            <w:pPr>
              <w:pStyle w:val="TableContents"/>
              <w:bidi w:val="0"/>
              <w:spacing w:before="0" w:after="283"/>
              <w:jc w:val="left"/>
              <w:rPr/>
            </w:pPr>
            <w:r>
              <w:rPr/>
              <w:t> </w:t>
            </w:r>
          </w:p>
        </w:tc>
        <w:tc>
          <w:tcPr>
            <w:tcW w:w="1010" w:type="dxa"/>
            <w:tcBorders/>
            <w:shd w:fill="CCE2F1" w:val="clear"/>
            <w:vAlign w:val="center"/>
          </w:tcPr>
          <w:p>
            <w:pPr>
              <w:pStyle w:val="TableContents"/>
              <w:bidi w:val="0"/>
              <w:spacing w:before="0" w:after="283"/>
              <w:jc w:val="right"/>
              <w:rPr/>
            </w:pPr>
            <w:r>
              <w:rPr/>
              <w:t>0</w:t>
            </w:r>
          </w:p>
        </w:tc>
        <w:tc>
          <w:tcPr>
            <w:tcW w:w="312"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75" w:type="dxa"/>
            <w:tcBorders/>
            <w:shd w:fill="CCE2F1" w:val="clear"/>
            <w:vAlign w:val="center"/>
          </w:tcPr>
          <w:p>
            <w:pPr>
              <w:pStyle w:val="TableContents"/>
              <w:bidi w:val="0"/>
              <w:spacing w:before="0" w:after="283"/>
              <w:jc w:val="left"/>
              <w:rPr/>
            </w:pPr>
            <w:r>
              <w:rPr/>
              <w:t> </w:t>
            </w:r>
          </w:p>
        </w:tc>
        <w:tc>
          <w:tcPr>
            <w:tcW w:w="1413" w:type="dxa"/>
            <w:tcBorders/>
            <w:shd w:fill="CCE2F1" w:val="clear"/>
            <w:vAlign w:val="center"/>
          </w:tcPr>
          <w:p>
            <w:pPr>
              <w:pStyle w:val="TableContents"/>
              <w:bidi w:val="0"/>
              <w:spacing w:before="0" w:after="283"/>
              <w:jc w:val="right"/>
              <w:rPr/>
            </w:pPr>
            <w:r>
              <w:rPr/>
              <w:t>440,960</w:t>
            </w:r>
          </w:p>
        </w:tc>
        <w:tc>
          <w:tcPr>
            <w:tcW w:w="312"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406" w:type="dxa"/>
            <w:tcBorders/>
            <w:shd w:fill="CCE2F1" w:val="clear"/>
            <w:vAlign w:val="center"/>
          </w:tcPr>
          <w:p>
            <w:pPr>
              <w:pStyle w:val="TableContents"/>
              <w:bidi w:val="0"/>
              <w:spacing w:before="0" w:after="283"/>
              <w:jc w:val="left"/>
              <w:rPr/>
            </w:pPr>
            <w:r>
              <w:rPr/>
              <w:t> </w:t>
            </w:r>
          </w:p>
        </w:tc>
        <w:tc>
          <w:tcPr>
            <w:tcW w:w="948"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2" w:type="dxa"/>
            <w:tcBorders/>
            <w:shd w:fill="CCE2F1" w:val="clear"/>
            <w:vAlign w:val="center"/>
          </w:tcPr>
          <w:p>
            <w:pPr>
              <w:pStyle w:val="TableContents"/>
              <w:bidi w:val="0"/>
              <w:spacing w:before="0" w:after="283"/>
              <w:jc w:val="left"/>
              <w:rPr/>
            </w:pPr>
            <w:r>
              <w:rPr/>
              <w:t> </w:t>
            </w:r>
          </w:p>
        </w:tc>
        <w:tc>
          <w:tcPr>
            <w:tcW w:w="1161" w:type="dxa"/>
            <w:tcBorders/>
            <w:shd w:fill="CCE2F1" w:val="clear"/>
            <w:vAlign w:val="center"/>
          </w:tcPr>
          <w:p>
            <w:pPr>
              <w:pStyle w:val="TableContents"/>
              <w:bidi w:val="0"/>
              <w:spacing w:before="0" w:after="283"/>
              <w:jc w:val="right"/>
              <w:rPr/>
            </w:pPr>
            <w:r>
              <w:rPr/>
              <w:t>0</w:t>
            </w:r>
          </w:p>
        </w:tc>
        <w:tc>
          <w:tcPr>
            <w:tcW w:w="334" w:type="dxa"/>
            <w:tcBorders/>
            <w:shd w:fill="CCE2F1" w:val="clear"/>
            <w:vAlign w:val="center"/>
          </w:tcPr>
          <w:p>
            <w:pPr>
              <w:pStyle w:val="TableContents"/>
              <w:bidi w:val="0"/>
              <w:spacing w:before="0" w:after="283"/>
              <w:jc w:val="left"/>
              <w:rPr/>
            </w:pPr>
            <w:r>
              <w:rPr/>
              <w:t> </w:t>
            </w:r>
          </w:p>
        </w:tc>
      </w:tr>
      <w:tr>
        <w:trPr/>
        <w:tc>
          <w:tcPr>
            <w:tcW w:w="3631" w:type="dxa"/>
            <w:tcBorders>
              <w:top w:val="single" w:sz="8" w:space="0" w:color="0171B9"/>
            </w:tcBorders>
            <w:tcMar>
              <w:top w:w="28" w:type="dxa"/>
            </w:tcMar>
            <w:vAlign w:val="center"/>
          </w:tcPr>
          <w:p>
            <w:pPr>
              <w:pStyle w:val="TableContents"/>
              <w:bidi w:val="0"/>
              <w:spacing w:before="0" w:after="283"/>
              <w:jc w:val="left"/>
              <w:rPr/>
            </w:pPr>
            <w:r>
              <w:rPr/>
              <w:t> </w:t>
            </w:r>
          </w:p>
        </w:tc>
        <w:tc>
          <w:tcPr>
            <w:tcW w:w="1443" w:type="dxa"/>
            <w:gridSpan w:val="4"/>
            <w:tcBorders>
              <w:top w:val="single" w:sz="8" w:space="0" w:color="0171B9"/>
            </w:tcBorders>
            <w:tcMar>
              <w:top w:w="28" w:type="dxa"/>
            </w:tcMar>
            <w:vAlign w:val="center"/>
          </w:tcPr>
          <w:p>
            <w:pPr>
              <w:pStyle w:val="TableContents"/>
              <w:bidi w:val="0"/>
              <w:spacing w:before="0" w:after="283"/>
              <w:jc w:val="left"/>
              <w:rPr/>
            </w:pPr>
            <w:r>
              <w:rPr/>
              <w:t> </w:t>
            </w:r>
          </w:p>
        </w:tc>
        <w:tc>
          <w:tcPr>
            <w:tcW w:w="1920" w:type="dxa"/>
            <w:gridSpan w:val="4"/>
            <w:tcBorders>
              <w:top w:val="single" w:sz="8" w:space="0" w:color="0171B9"/>
            </w:tcBorders>
            <w:tcMar>
              <w:top w:w="28" w:type="dxa"/>
            </w:tcMar>
            <w:vAlign w:val="center"/>
          </w:tcPr>
          <w:p>
            <w:pPr>
              <w:pStyle w:val="TableContents"/>
              <w:bidi w:val="0"/>
              <w:spacing w:before="0" w:after="283"/>
              <w:jc w:val="left"/>
              <w:rPr/>
            </w:pPr>
            <w:r>
              <w:rPr/>
              <w:t> </w:t>
            </w:r>
          </w:p>
        </w:tc>
        <w:tc>
          <w:tcPr>
            <w:tcW w:w="1534" w:type="dxa"/>
            <w:gridSpan w:val="4"/>
            <w:tcBorders>
              <w:top w:val="single" w:sz="8" w:space="0" w:color="0171B9"/>
            </w:tcBorders>
            <w:tcMar>
              <w:top w:w="28" w:type="dxa"/>
            </w:tcMar>
            <w:vAlign w:val="center"/>
          </w:tcPr>
          <w:p>
            <w:pPr>
              <w:pStyle w:val="TableContents"/>
              <w:bidi w:val="0"/>
              <w:spacing w:before="0" w:after="283"/>
              <w:jc w:val="left"/>
              <w:rPr/>
            </w:pPr>
            <w:r>
              <w:rPr/>
              <w:t> </w:t>
            </w:r>
          </w:p>
        </w:tc>
        <w:tc>
          <w:tcPr>
            <w:tcW w:w="1677" w:type="dxa"/>
            <w:gridSpan w:val="4"/>
            <w:tcBorders>
              <w:top w:val="single" w:sz="8" w:space="0" w:color="0171B9"/>
            </w:tcBorders>
            <w:tcMar>
              <w:top w:w="28" w:type="dxa"/>
            </w:tcMar>
            <w:vAlign w:val="center"/>
          </w:tcPr>
          <w:p>
            <w:pPr>
              <w:pStyle w:val="TableContents"/>
              <w:bidi w:val="0"/>
              <w:spacing w:before="0" w:after="283"/>
              <w:jc w:val="left"/>
              <w:rPr/>
            </w:pPr>
            <w:r>
              <w:rPr/>
              <w:t> </w:t>
            </w:r>
          </w:p>
        </w:tc>
      </w:tr>
      <w:tr>
        <w:trPr/>
        <w:tc>
          <w:tcPr>
            <w:tcW w:w="3631" w:type="dxa"/>
            <w:tcBorders>
              <w:bottom w:val="single" w:sz="8" w:space="0" w:color="0171B9"/>
            </w:tcBorders>
            <w:tcMar>
              <w:bottom w:w="80" w:type="dxa"/>
            </w:tcMar>
            <w:vAlign w:val="center"/>
          </w:tcPr>
          <w:p>
            <w:pPr>
              <w:pStyle w:val="TableContents"/>
              <w:bidi w:val="0"/>
              <w:spacing w:before="0" w:after="0"/>
              <w:jc w:val="left"/>
              <w:rPr/>
            </w:pPr>
            <w:r>
              <w:rPr/>
              <w:t> </w:t>
            </w:r>
            <w:r>
              <w:rPr>
                <w:rFonts w:ascii="arial" w:hAnsi="arial"/>
                <w:sz w:val="18"/>
              </w:rPr>
              <w:t>Total</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61" w:type="dxa"/>
            <w:tcBorders>
              <w:bottom w:val="single" w:sz="8" w:space="0" w:color="0171B9"/>
            </w:tcBorders>
            <w:tcMar>
              <w:bottom w:w="80" w:type="dxa"/>
            </w:tcMar>
            <w:vAlign w:val="center"/>
          </w:tcPr>
          <w:p>
            <w:pPr>
              <w:pStyle w:val="TableContents"/>
              <w:bidi w:val="0"/>
              <w:spacing w:before="0" w:after="283"/>
              <w:jc w:val="left"/>
              <w:rPr/>
            </w:pPr>
            <w:r>
              <w:rPr/>
              <w:t> </w:t>
            </w:r>
          </w:p>
        </w:tc>
        <w:tc>
          <w:tcPr>
            <w:tcW w:w="1010" w:type="dxa"/>
            <w:tcBorders>
              <w:bottom w:val="single" w:sz="8" w:space="0" w:color="0171B9"/>
            </w:tcBorders>
            <w:tcMar>
              <w:bottom w:w="80" w:type="dxa"/>
            </w:tcMar>
            <w:vAlign w:val="center"/>
          </w:tcPr>
          <w:p>
            <w:pPr>
              <w:pStyle w:val="TableContents"/>
              <w:bidi w:val="0"/>
              <w:spacing w:before="0" w:after="283"/>
              <w:jc w:val="right"/>
              <w:rPr/>
            </w:pPr>
            <w:r>
              <w:rPr/>
              <w:t>7,056,490</w:t>
            </w:r>
          </w:p>
        </w:tc>
        <w:tc>
          <w:tcPr>
            <w:tcW w:w="312" w:type="dxa"/>
            <w:tcBorders>
              <w:bottom w:val="single" w:sz="8" w:space="0" w:color="0171B9"/>
            </w:tcBorders>
            <w:tcMar>
              <w:bottom w:w="80" w:type="dxa"/>
            </w:tcMar>
            <w:vAlign w:val="center"/>
          </w:tcPr>
          <w:p>
            <w:pPr>
              <w:pStyle w:val="TableContents"/>
              <w:bidi w:val="0"/>
              <w:spacing w:before="0" w:after="283"/>
              <w:jc w:val="left"/>
              <w:rPr/>
            </w:pPr>
            <w:r>
              <w:rPr/>
              <w:t> </w:t>
            </w:r>
          </w:p>
        </w:tc>
        <w:tc>
          <w:tcPr>
            <w:tcW w:w="120" w:type="dxa"/>
            <w:tcBorders>
              <w:bottom w:val="single" w:sz="8" w:space="0" w:color="0171B9"/>
            </w:tcBorders>
            <w:tcMar>
              <w:bottom w:w="28" w:type="dxa"/>
            </w:tcMar>
            <w:vAlign w:val="center"/>
          </w:tcPr>
          <w:p>
            <w:pPr>
              <w:pStyle w:val="TableContents"/>
              <w:bidi w:val="0"/>
              <w:spacing w:before="0" w:after="283"/>
              <w:jc w:val="left"/>
              <w:rPr/>
            </w:pPr>
            <w:r>
              <w:rPr/>
              <w:t>  </w:t>
            </w:r>
          </w:p>
        </w:tc>
        <w:tc>
          <w:tcPr>
            <w:tcW w:w="75" w:type="dxa"/>
            <w:tcBorders>
              <w:bottom w:val="single" w:sz="8" w:space="0" w:color="0171B9"/>
            </w:tcBorders>
            <w:tcMar>
              <w:bottom w:w="80" w:type="dxa"/>
            </w:tcMar>
            <w:vAlign w:val="center"/>
          </w:tcPr>
          <w:p>
            <w:pPr>
              <w:pStyle w:val="TableContents"/>
              <w:bidi w:val="0"/>
              <w:spacing w:before="0" w:after="283"/>
              <w:jc w:val="left"/>
              <w:rPr/>
            </w:pPr>
            <w:r>
              <w:rPr/>
              <w:t> </w:t>
            </w:r>
          </w:p>
        </w:tc>
        <w:tc>
          <w:tcPr>
            <w:tcW w:w="1413" w:type="dxa"/>
            <w:tcBorders>
              <w:bottom w:val="single" w:sz="8" w:space="0" w:color="0171B9"/>
            </w:tcBorders>
            <w:tcMar>
              <w:bottom w:w="80" w:type="dxa"/>
            </w:tcMar>
            <w:vAlign w:val="center"/>
          </w:tcPr>
          <w:p>
            <w:pPr>
              <w:pStyle w:val="TableContents"/>
              <w:bidi w:val="0"/>
              <w:spacing w:before="0" w:after="283"/>
              <w:jc w:val="right"/>
              <w:rPr/>
            </w:pPr>
            <w:r>
              <w:rPr/>
              <w:t>20,213,960</w:t>
            </w:r>
          </w:p>
        </w:tc>
        <w:tc>
          <w:tcPr>
            <w:tcW w:w="312" w:type="dxa"/>
            <w:tcBorders>
              <w:bottom w:val="single" w:sz="8" w:space="0" w:color="0171B9"/>
            </w:tcBorders>
            <w:tcMar>
              <w:bottom w:w="80" w:type="dxa"/>
            </w:tcMar>
            <w:vAlign w:val="center"/>
          </w:tcPr>
          <w:p>
            <w:pPr>
              <w:pStyle w:val="TableContents"/>
              <w:bidi w:val="0"/>
              <w:spacing w:before="0" w:after="283"/>
              <w:jc w:val="left"/>
              <w:rPr/>
            </w:pPr>
            <w:r>
              <w:rPr/>
              <w:t> </w:t>
            </w:r>
          </w:p>
        </w:tc>
        <w:tc>
          <w:tcPr>
            <w:tcW w:w="120" w:type="dxa"/>
            <w:tcBorders>
              <w:bottom w:val="single" w:sz="8" w:space="0" w:color="0171B9"/>
            </w:tcBorders>
            <w:tcMar>
              <w:bottom w:w="28" w:type="dxa"/>
            </w:tcMar>
            <w:vAlign w:val="center"/>
          </w:tcPr>
          <w:p>
            <w:pPr>
              <w:pStyle w:val="TableContents"/>
              <w:bidi w:val="0"/>
              <w:spacing w:before="0" w:after="283"/>
              <w:jc w:val="left"/>
              <w:rPr/>
            </w:pPr>
            <w:r>
              <w:rPr/>
              <w:t>  </w:t>
            </w:r>
          </w:p>
        </w:tc>
        <w:tc>
          <w:tcPr>
            <w:tcW w:w="406" w:type="dxa"/>
            <w:tcBorders>
              <w:bottom w:val="single" w:sz="8" w:space="0" w:color="0171B9"/>
            </w:tcBorders>
            <w:tcMar>
              <w:bottom w:w="80" w:type="dxa"/>
            </w:tcMar>
            <w:vAlign w:val="center"/>
          </w:tcPr>
          <w:p>
            <w:pPr>
              <w:pStyle w:val="TableContents"/>
              <w:bidi w:val="0"/>
              <w:spacing w:before="0" w:after="283"/>
              <w:jc w:val="left"/>
              <w:rPr/>
            </w:pPr>
            <w:r>
              <w:rPr/>
              <w:t> </w:t>
            </w:r>
          </w:p>
        </w:tc>
        <w:tc>
          <w:tcPr>
            <w:tcW w:w="948" w:type="dxa"/>
            <w:tcBorders>
              <w:bottom w:val="single" w:sz="8" w:space="0" w:color="0171B9"/>
            </w:tcBorders>
            <w:tcMar>
              <w:bottom w:w="80" w:type="dxa"/>
            </w:tcMar>
            <w:vAlign w:val="center"/>
          </w:tcPr>
          <w:p>
            <w:pPr>
              <w:pStyle w:val="TableContents"/>
              <w:bidi w:val="0"/>
              <w:spacing w:before="0" w:after="283"/>
              <w:jc w:val="right"/>
              <w:rPr/>
            </w:pPr>
            <w:r>
              <w:rPr/>
              <w:t>0</w:t>
            </w:r>
          </w:p>
        </w:tc>
        <w:tc>
          <w:tcPr>
            <w:tcW w:w="60" w:type="dxa"/>
            <w:tcBorders>
              <w:bottom w:val="single" w:sz="8" w:space="0" w:color="0171B9"/>
            </w:tcBorders>
            <w:tcMar>
              <w:bottom w:w="80" w:type="dxa"/>
            </w:tcMar>
            <w:vAlign w:val="center"/>
          </w:tcPr>
          <w:p>
            <w:pPr>
              <w:pStyle w:val="TableContents"/>
              <w:bidi w:val="0"/>
              <w:spacing w:before="0" w:after="283"/>
              <w:jc w:val="left"/>
              <w:rPr/>
            </w:pPr>
            <w:r>
              <w:rPr/>
              <w:t> </w:t>
            </w:r>
          </w:p>
        </w:tc>
        <w:tc>
          <w:tcPr>
            <w:tcW w:w="120" w:type="dxa"/>
            <w:tcBorders>
              <w:bottom w:val="single" w:sz="8" w:space="0" w:color="0171B9"/>
            </w:tcBorders>
            <w:tcMar>
              <w:bottom w:w="28" w:type="dxa"/>
            </w:tcMar>
            <w:vAlign w:val="center"/>
          </w:tcPr>
          <w:p>
            <w:pPr>
              <w:pStyle w:val="TableContents"/>
              <w:bidi w:val="0"/>
              <w:spacing w:before="0" w:after="283"/>
              <w:jc w:val="left"/>
              <w:rPr/>
            </w:pPr>
            <w:r>
              <w:rPr/>
              <w:t>  </w:t>
            </w:r>
          </w:p>
        </w:tc>
        <w:tc>
          <w:tcPr>
            <w:tcW w:w="62" w:type="dxa"/>
            <w:tcBorders>
              <w:bottom w:val="single" w:sz="8" w:space="0" w:color="0171B9"/>
            </w:tcBorders>
            <w:tcMar>
              <w:bottom w:w="80" w:type="dxa"/>
            </w:tcMar>
            <w:vAlign w:val="center"/>
          </w:tcPr>
          <w:p>
            <w:pPr>
              <w:pStyle w:val="TableContents"/>
              <w:bidi w:val="0"/>
              <w:spacing w:before="0" w:after="283"/>
              <w:jc w:val="left"/>
              <w:rPr/>
            </w:pPr>
            <w:r>
              <w:rPr/>
              <w:t> </w:t>
            </w:r>
          </w:p>
        </w:tc>
        <w:tc>
          <w:tcPr>
            <w:tcW w:w="1161" w:type="dxa"/>
            <w:tcBorders>
              <w:bottom w:val="single" w:sz="8" w:space="0" w:color="0171B9"/>
            </w:tcBorders>
            <w:tcMar>
              <w:bottom w:w="80" w:type="dxa"/>
            </w:tcMar>
            <w:vAlign w:val="center"/>
          </w:tcPr>
          <w:p>
            <w:pPr>
              <w:pStyle w:val="TableContents"/>
              <w:bidi w:val="0"/>
              <w:spacing w:before="0" w:after="283"/>
              <w:jc w:val="right"/>
              <w:rPr/>
            </w:pPr>
            <w:r>
              <w:rPr/>
              <w:t>14,568,409</w:t>
            </w:r>
          </w:p>
        </w:tc>
        <w:tc>
          <w:tcPr>
            <w:tcW w:w="334" w:type="dxa"/>
            <w:tcBorders>
              <w:bottom w:val="single" w:sz="8" w:space="0" w:color="0171B9"/>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344"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160" descr=""/>
                    <pic:cNvPicPr>
                      <a:picLocks noChangeAspect="1" noChangeArrowheads="1"/>
                    </pic:cNvPicPr>
                  </pic:nvPicPr>
                  <pic:blipFill>
                    <a:blip r:embed="rId173"/>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97</w:t>
      </w:r>
      <w:r>
        <w:rPr>
          <w:rFonts w:ascii="arial" w:hAnsi="arial"/>
          <w:b/>
          <w:sz w:val="22"/>
        </w:rPr>
        <w:t xml:space="preserve"> </w:t>
      </w:r>
      <w:r>
        <w:br w:type="page"/>
      </w:r>
    </w:p>
    <w:p>
      <w:pPr>
        <w:pStyle w:val="HorizontalLine"/>
        <w:bidi w:val="0"/>
        <w:jc w:val="left"/>
        <w:rPr/>
      </w:pPr>
      <w:r>
        <w:rPr/>
      </w:r>
    </w:p>
    <w:tbl>
      <w:tblPr>
        <w:tblW w:w="419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371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1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371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Executive Compensation Tables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b/>
          <w:i/>
          <w:sz w:val="22"/>
        </w:rPr>
      </w:pPr>
      <w:r>
        <w:rPr>
          <w:rFonts w:ascii="arial" w:hAnsi="arial"/>
          <w:b/>
          <w:i/>
          <w:sz w:val="22"/>
        </w:rPr>
        <w:t xml:space="preserve">Estimated Payments to Esteban Santos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443"/>
        <w:gridCol w:w="60"/>
        <w:gridCol w:w="61"/>
        <w:gridCol w:w="1018"/>
        <w:gridCol w:w="304"/>
        <w:gridCol w:w="120"/>
        <w:gridCol w:w="74"/>
        <w:gridCol w:w="1398"/>
        <w:gridCol w:w="304"/>
        <w:gridCol w:w="120"/>
        <w:gridCol w:w="68"/>
        <w:gridCol w:w="1269"/>
        <w:gridCol w:w="304"/>
        <w:gridCol w:w="120"/>
        <w:gridCol w:w="62"/>
        <w:gridCol w:w="1156"/>
        <w:gridCol w:w="324"/>
      </w:tblGrid>
      <w:tr>
        <w:trPr/>
        <w:tc>
          <w:tcPr>
            <w:tcW w:w="34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3443"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6378" w:type="dxa"/>
            <w:gridSpan w:val="14"/>
            <w:tcBorders>
              <w:bottom w:val="single" w:sz="8" w:space="0" w:color="FFFFFF"/>
            </w:tcBorders>
            <w:shd w:fill="0171B9" w:val="clear"/>
            <w:tcMar>
              <w:bottom w:w="28" w:type="dxa"/>
            </w:tcMar>
            <w:vAlign w:val="center"/>
          </w:tcPr>
          <w:p>
            <w:pPr>
              <w:pStyle w:val="TableContents"/>
              <w:bidi w:val="0"/>
              <w:spacing w:before="0" w:after="283"/>
              <w:jc w:val="center"/>
              <w:rPr>
                <w:b/>
                <w:color w:val="FFFFFF"/>
              </w:rPr>
            </w:pPr>
            <w:r>
              <w:rPr>
                <w:b/>
                <w:color w:val="FFFFFF"/>
              </w:rPr>
              <w:t>Triggering Event</w:t>
            </w:r>
          </w:p>
        </w:tc>
        <w:tc>
          <w:tcPr>
            <w:tcW w:w="324" w:type="dxa"/>
            <w:tcBorders/>
            <w:shd w:fill="0171B9" w:val="clear"/>
            <w:vAlign w:val="center"/>
          </w:tcPr>
          <w:p>
            <w:pPr>
              <w:pStyle w:val="TableContents"/>
              <w:bidi w:val="0"/>
              <w:spacing w:before="0" w:after="283"/>
              <w:jc w:val="left"/>
              <w:rPr/>
            </w:pPr>
            <w:r>
              <w:rPr/>
              <w:t> </w:t>
            </w:r>
          </w:p>
        </w:tc>
      </w:tr>
      <w:tr>
        <w:trPr/>
        <w:tc>
          <w:tcPr>
            <w:tcW w:w="3443" w:type="dxa"/>
            <w:tcBorders>
              <w:bottom w:val="single" w:sz="8" w:space="0" w:color="FFFFFF"/>
            </w:tcBorders>
            <w:shd w:fill="0171B9" w:val="clear"/>
            <w:tcMar>
              <w:bottom w:w="28" w:type="dxa"/>
            </w:tcMar>
            <w:vAlign w:val="center"/>
          </w:tcPr>
          <w:p>
            <w:pPr>
              <w:pStyle w:val="TableContents"/>
              <w:bidi w:val="0"/>
              <w:spacing w:before="0" w:after="283"/>
              <w:jc w:val="left"/>
              <w:rPr>
                <w:color w:val="FFFFFF"/>
              </w:rPr>
            </w:pPr>
            <w:r>
              <w:rPr>
                <w:color w:val="FFFFFF"/>
              </w:rPr>
              <w:t>  </w:t>
            </w:r>
            <w:r>
              <w:rPr>
                <w:b/>
                <w:color w:val="FFFFFF"/>
              </w:rPr>
              <w:t>Estimated Potential Payment or Benefit</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079" w:type="dxa"/>
            <w:gridSpan w:val="2"/>
            <w:tcBorders>
              <w:bottom w:val="single" w:sz="8" w:space="0" w:color="FFFFFF"/>
            </w:tcBorders>
            <w:shd w:fill="0171B9" w:val="clear"/>
            <w:tcMar>
              <w:bottom w:w="28" w:type="dxa"/>
            </w:tcMar>
            <w:vAlign w:val="center"/>
          </w:tcPr>
          <w:p>
            <w:pPr>
              <w:pStyle w:val="TableContents"/>
              <w:bidi w:val="0"/>
              <w:spacing w:before="0" w:after="283"/>
              <w:jc w:val="right"/>
              <w:rPr>
                <w:b/>
                <w:color w:val="FFFFFF"/>
              </w:rPr>
            </w:pPr>
            <w:r>
              <w:rPr>
                <w:b/>
                <w:color w:val="FFFFFF"/>
              </w:rPr>
              <w:t>Change in</w:t>
              <w:br/>
              <w:t>Control($)</w:t>
            </w:r>
          </w:p>
        </w:tc>
        <w:tc>
          <w:tcPr>
            <w:tcW w:w="304"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472" w:type="dxa"/>
            <w:gridSpan w:val="2"/>
            <w:tcBorders>
              <w:bottom w:val="single" w:sz="8" w:space="0" w:color="FFFFFF"/>
            </w:tcBorders>
            <w:shd w:fill="0171B9" w:val="clear"/>
            <w:tcMar>
              <w:bottom w:w="28" w:type="dxa"/>
            </w:tcMar>
            <w:vAlign w:val="center"/>
          </w:tcPr>
          <w:p>
            <w:pPr>
              <w:pStyle w:val="TableContents"/>
              <w:bidi w:val="0"/>
              <w:spacing w:before="0" w:after="283"/>
              <w:jc w:val="right"/>
              <w:rPr>
                <w:b/>
                <w:color w:val="FFFFFF"/>
              </w:rPr>
            </w:pPr>
            <w:r>
              <w:rPr>
                <w:b/>
                <w:color w:val="FFFFFF"/>
              </w:rPr>
              <w:t>Change in</w:t>
              <w:br/>
              <w:t>Control and</w:t>
              <w:br/>
              <w:t>Termination($)</w:t>
            </w:r>
          </w:p>
        </w:tc>
        <w:tc>
          <w:tcPr>
            <w:tcW w:w="304"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337" w:type="dxa"/>
            <w:gridSpan w:val="2"/>
            <w:tcBorders>
              <w:bottom w:val="single" w:sz="8" w:space="0" w:color="FFFFFF"/>
            </w:tcBorders>
            <w:shd w:fill="0171B9" w:val="clear"/>
            <w:tcMar>
              <w:bottom w:w="28" w:type="dxa"/>
            </w:tcMar>
            <w:vAlign w:val="center"/>
          </w:tcPr>
          <w:p>
            <w:pPr>
              <w:pStyle w:val="TableContents"/>
              <w:bidi w:val="0"/>
              <w:spacing w:before="0" w:after="283"/>
              <w:jc w:val="right"/>
              <w:rPr>
                <w:b/>
                <w:color w:val="FFFFFF"/>
              </w:rPr>
            </w:pPr>
            <w:r>
              <w:rPr>
                <w:b/>
                <w:color w:val="FFFFFF"/>
              </w:rPr>
              <w:t>Retirement($)</w:t>
            </w:r>
          </w:p>
        </w:tc>
        <w:tc>
          <w:tcPr>
            <w:tcW w:w="304"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18" w:type="dxa"/>
            <w:gridSpan w:val="2"/>
            <w:tcBorders>
              <w:bottom w:val="single" w:sz="8" w:space="0" w:color="FFFFFF"/>
            </w:tcBorders>
            <w:shd w:fill="0171B9" w:val="clear"/>
            <w:tcMar>
              <w:bottom w:w="28" w:type="dxa"/>
            </w:tcMar>
            <w:vAlign w:val="center"/>
          </w:tcPr>
          <w:p>
            <w:pPr>
              <w:pStyle w:val="TableContents"/>
              <w:bidi w:val="0"/>
              <w:spacing w:before="0" w:after="283"/>
              <w:jc w:val="right"/>
              <w:rPr>
                <w:b/>
                <w:color w:val="FFFFFF"/>
              </w:rPr>
            </w:pPr>
            <w:r>
              <w:rPr>
                <w:b/>
                <w:color w:val="FFFFFF"/>
              </w:rPr>
              <w:t>Death or</w:t>
              <w:br/>
              <w:t>Disability($)</w:t>
            </w:r>
          </w:p>
        </w:tc>
        <w:tc>
          <w:tcPr>
            <w:tcW w:w="324"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r>
      <w:tr>
        <w:trPr/>
        <w:tc>
          <w:tcPr>
            <w:tcW w:w="3443" w:type="dxa"/>
            <w:tcBorders/>
            <w:shd w:fill="CCE2F1" w:val="clear"/>
            <w:vAlign w:val="center"/>
          </w:tcPr>
          <w:p>
            <w:pPr>
              <w:pStyle w:val="TableContents"/>
              <w:bidi w:val="0"/>
              <w:spacing w:before="0" w:after="283"/>
              <w:jc w:val="left"/>
              <w:rPr>
                <w:sz w:val="4"/>
                <w:szCs w:val="4"/>
              </w:rPr>
            </w:pPr>
            <w:r>
              <w:rPr>
                <w:sz w:val="4"/>
                <w:szCs w:val="4"/>
              </w:rPr>
            </w:r>
          </w:p>
        </w:tc>
        <w:tc>
          <w:tcPr>
            <w:tcW w:w="1443" w:type="dxa"/>
            <w:gridSpan w:val="4"/>
            <w:tcBorders/>
            <w:shd w:fill="CCE2F1" w:val="clear"/>
            <w:vAlign w:val="center"/>
          </w:tcPr>
          <w:p>
            <w:pPr>
              <w:pStyle w:val="TableContents"/>
              <w:bidi w:val="0"/>
              <w:spacing w:before="0" w:after="283"/>
              <w:jc w:val="left"/>
              <w:rPr>
                <w:sz w:val="4"/>
                <w:szCs w:val="4"/>
              </w:rPr>
            </w:pPr>
            <w:r>
              <w:rPr>
                <w:sz w:val="4"/>
                <w:szCs w:val="4"/>
              </w:rPr>
            </w:r>
          </w:p>
        </w:tc>
        <w:tc>
          <w:tcPr>
            <w:tcW w:w="1896" w:type="dxa"/>
            <w:gridSpan w:val="4"/>
            <w:tcBorders/>
            <w:shd w:fill="CCE2F1" w:val="clear"/>
            <w:vAlign w:val="center"/>
          </w:tcPr>
          <w:p>
            <w:pPr>
              <w:pStyle w:val="TableContents"/>
              <w:bidi w:val="0"/>
              <w:spacing w:before="0" w:after="283"/>
              <w:jc w:val="left"/>
              <w:rPr>
                <w:sz w:val="4"/>
                <w:szCs w:val="4"/>
              </w:rPr>
            </w:pPr>
            <w:r>
              <w:rPr>
                <w:sz w:val="4"/>
                <w:szCs w:val="4"/>
              </w:rPr>
            </w:r>
          </w:p>
        </w:tc>
        <w:tc>
          <w:tcPr>
            <w:tcW w:w="1761" w:type="dxa"/>
            <w:gridSpan w:val="4"/>
            <w:tcBorders/>
            <w:shd w:fill="CCE2F1" w:val="clear"/>
            <w:vAlign w:val="center"/>
          </w:tcPr>
          <w:p>
            <w:pPr>
              <w:pStyle w:val="TableContents"/>
              <w:bidi w:val="0"/>
              <w:spacing w:before="0" w:after="283"/>
              <w:jc w:val="left"/>
              <w:rPr>
                <w:sz w:val="4"/>
                <w:szCs w:val="4"/>
              </w:rPr>
            </w:pPr>
            <w:r>
              <w:rPr>
                <w:sz w:val="4"/>
                <w:szCs w:val="4"/>
              </w:rPr>
            </w:r>
          </w:p>
        </w:tc>
        <w:tc>
          <w:tcPr>
            <w:tcW w:w="1662"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3443" w:type="dxa"/>
            <w:tcBorders/>
            <w:shd w:fill="CCE2F1" w:val="clear"/>
            <w:vAlign w:val="center"/>
          </w:tcPr>
          <w:p>
            <w:pPr>
              <w:pStyle w:val="TableContents"/>
              <w:bidi w:val="0"/>
              <w:spacing w:before="0" w:after="0"/>
              <w:jc w:val="left"/>
              <w:rPr>
                <w:rFonts w:ascii="arial" w:hAnsi="arial"/>
                <w:sz w:val="18"/>
              </w:rPr>
            </w:pPr>
            <w:r>
              <w:rPr>
                <w:rFonts w:ascii="arial" w:hAnsi="arial"/>
                <w:sz w:val="18"/>
              </w:rPr>
              <w:t>Lump sum cash severance payment</w:t>
            </w:r>
          </w:p>
        </w:tc>
        <w:tc>
          <w:tcPr>
            <w:tcW w:w="60" w:type="dxa"/>
            <w:tcBorders/>
            <w:shd w:fill="CCE2F1" w:val="clear"/>
            <w:vAlign w:val="center"/>
          </w:tcPr>
          <w:p>
            <w:pPr>
              <w:pStyle w:val="TableContents"/>
              <w:bidi w:val="0"/>
              <w:spacing w:before="0" w:after="283"/>
              <w:jc w:val="left"/>
              <w:rPr/>
            </w:pPr>
            <w:r>
              <w:rPr/>
              <w:t> </w:t>
            </w:r>
          </w:p>
        </w:tc>
        <w:tc>
          <w:tcPr>
            <w:tcW w:w="61" w:type="dxa"/>
            <w:tcBorders/>
            <w:shd w:fill="CCE2F1" w:val="clear"/>
            <w:vAlign w:val="center"/>
          </w:tcPr>
          <w:p>
            <w:pPr>
              <w:pStyle w:val="TableContents"/>
              <w:bidi w:val="0"/>
              <w:spacing w:before="0" w:after="283"/>
              <w:jc w:val="left"/>
              <w:rPr/>
            </w:pPr>
            <w:r>
              <w:rPr/>
              <w:t> </w:t>
            </w:r>
          </w:p>
        </w:tc>
        <w:tc>
          <w:tcPr>
            <w:tcW w:w="1018" w:type="dxa"/>
            <w:tcBorders/>
            <w:shd w:fill="CCE2F1" w:val="clear"/>
            <w:vAlign w:val="center"/>
          </w:tcPr>
          <w:p>
            <w:pPr>
              <w:pStyle w:val="TableContents"/>
              <w:bidi w:val="0"/>
              <w:spacing w:before="0" w:after="283"/>
              <w:jc w:val="right"/>
              <w:rPr/>
            </w:pPr>
            <w:r>
              <w:rPr/>
              <w:t>0</w:t>
            </w:r>
          </w:p>
        </w:tc>
        <w:tc>
          <w:tcPr>
            <w:tcW w:w="304"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74" w:type="dxa"/>
            <w:tcBorders/>
            <w:shd w:fill="CCE2F1" w:val="clear"/>
            <w:vAlign w:val="center"/>
          </w:tcPr>
          <w:p>
            <w:pPr>
              <w:pStyle w:val="TableContents"/>
              <w:bidi w:val="0"/>
              <w:spacing w:before="0" w:after="283"/>
              <w:jc w:val="left"/>
              <w:rPr/>
            </w:pPr>
            <w:r>
              <w:rPr/>
              <w:t> </w:t>
            </w:r>
          </w:p>
        </w:tc>
        <w:tc>
          <w:tcPr>
            <w:tcW w:w="1398" w:type="dxa"/>
            <w:tcBorders/>
            <w:shd w:fill="CCE2F1" w:val="clear"/>
            <w:vAlign w:val="center"/>
          </w:tcPr>
          <w:p>
            <w:pPr>
              <w:pStyle w:val="TableContents"/>
              <w:bidi w:val="0"/>
              <w:spacing w:before="0" w:after="283"/>
              <w:jc w:val="right"/>
              <w:rPr/>
            </w:pPr>
            <w:r>
              <w:rPr/>
              <w:t>4,269,600</w:t>
            </w:r>
          </w:p>
        </w:tc>
        <w:tc>
          <w:tcPr>
            <w:tcW w:w="304"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8" w:type="dxa"/>
            <w:tcBorders/>
            <w:shd w:fill="CCE2F1" w:val="clear"/>
            <w:vAlign w:val="center"/>
          </w:tcPr>
          <w:p>
            <w:pPr>
              <w:pStyle w:val="TableContents"/>
              <w:bidi w:val="0"/>
              <w:spacing w:before="0" w:after="283"/>
              <w:jc w:val="left"/>
              <w:rPr/>
            </w:pPr>
            <w:r>
              <w:rPr/>
              <w:t> </w:t>
            </w:r>
          </w:p>
        </w:tc>
        <w:tc>
          <w:tcPr>
            <w:tcW w:w="1269" w:type="dxa"/>
            <w:tcBorders/>
            <w:shd w:fill="CCE2F1" w:val="clear"/>
            <w:vAlign w:val="center"/>
          </w:tcPr>
          <w:p>
            <w:pPr>
              <w:pStyle w:val="TableContents"/>
              <w:bidi w:val="0"/>
              <w:spacing w:before="0" w:after="283"/>
              <w:jc w:val="right"/>
              <w:rPr/>
            </w:pPr>
            <w:r>
              <w:rPr/>
              <w:t>0</w:t>
            </w:r>
          </w:p>
        </w:tc>
        <w:tc>
          <w:tcPr>
            <w:tcW w:w="304"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2" w:type="dxa"/>
            <w:tcBorders/>
            <w:shd w:fill="CCE2F1" w:val="clear"/>
            <w:vAlign w:val="center"/>
          </w:tcPr>
          <w:p>
            <w:pPr>
              <w:pStyle w:val="TableContents"/>
              <w:bidi w:val="0"/>
              <w:spacing w:before="0" w:after="283"/>
              <w:jc w:val="left"/>
              <w:rPr/>
            </w:pPr>
            <w:r>
              <w:rPr/>
              <w:t> </w:t>
            </w:r>
          </w:p>
        </w:tc>
        <w:tc>
          <w:tcPr>
            <w:tcW w:w="1156" w:type="dxa"/>
            <w:tcBorders/>
            <w:shd w:fill="CCE2F1" w:val="clear"/>
            <w:vAlign w:val="center"/>
          </w:tcPr>
          <w:p>
            <w:pPr>
              <w:pStyle w:val="TableContents"/>
              <w:bidi w:val="0"/>
              <w:spacing w:before="0" w:after="283"/>
              <w:jc w:val="right"/>
              <w:rPr/>
            </w:pPr>
            <w:r>
              <w:rPr/>
              <w:t>0</w:t>
            </w:r>
          </w:p>
        </w:tc>
        <w:tc>
          <w:tcPr>
            <w:tcW w:w="324" w:type="dxa"/>
            <w:tcBorders/>
            <w:shd w:fill="CCE2F1" w:val="clear"/>
            <w:vAlign w:val="center"/>
          </w:tcPr>
          <w:p>
            <w:pPr>
              <w:pStyle w:val="TableContents"/>
              <w:bidi w:val="0"/>
              <w:spacing w:before="0" w:after="283"/>
              <w:jc w:val="left"/>
              <w:rPr/>
            </w:pPr>
            <w:r>
              <w:rPr/>
              <w:t> </w:t>
            </w:r>
          </w:p>
        </w:tc>
      </w:tr>
      <w:tr>
        <w:trPr/>
        <w:tc>
          <w:tcPr>
            <w:tcW w:w="3443" w:type="dxa"/>
            <w:tcBorders/>
            <w:vAlign w:val="center"/>
          </w:tcPr>
          <w:p>
            <w:pPr>
              <w:pStyle w:val="TableContents"/>
              <w:bidi w:val="0"/>
              <w:spacing w:before="0" w:after="283"/>
              <w:jc w:val="left"/>
              <w:rPr>
                <w:sz w:val="4"/>
                <w:szCs w:val="4"/>
              </w:rPr>
            </w:pPr>
            <w:r>
              <w:rPr>
                <w:sz w:val="4"/>
                <w:szCs w:val="4"/>
              </w:rPr>
            </w:r>
          </w:p>
        </w:tc>
        <w:tc>
          <w:tcPr>
            <w:tcW w:w="1443" w:type="dxa"/>
            <w:gridSpan w:val="4"/>
            <w:tcBorders/>
            <w:vAlign w:val="center"/>
          </w:tcPr>
          <w:p>
            <w:pPr>
              <w:pStyle w:val="TableContents"/>
              <w:bidi w:val="0"/>
              <w:spacing w:before="0" w:after="283"/>
              <w:jc w:val="left"/>
              <w:rPr>
                <w:sz w:val="4"/>
                <w:szCs w:val="4"/>
              </w:rPr>
            </w:pPr>
            <w:r>
              <w:rPr>
                <w:sz w:val="4"/>
                <w:szCs w:val="4"/>
              </w:rPr>
            </w:r>
          </w:p>
        </w:tc>
        <w:tc>
          <w:tcPr>
            <w:tcW w:w="1896" w:type="dxa"/>
            <w:gridSpan w:val="4"/>
            <w:tcBorders/>
            <w:vAlign w:val="center"/>
          </w:tcPr>
          <w:p>
            <w:pPr>
              <w:pStyle w:val="TableContents"/>
              <w:bidi w:val="0"/>
              <w:spacing w:before="0" w:after="283"/>
              <w:jc w:val="left"/>
              <w:rPr>
                <w:sz w:val="4"/>
                <w:szCs w:val="4"/>
              </w:rPr>
            </w:pPr>
            <w:r>
              <w:rPr>
                <w:sz w:val="4"/>
                <w:szCs w:val="4"/>
              </w:rPr>
            </w:r>
          </w:p>
        </w:tc>
        <w:tc>
          <w:tcPr>
            <w:tcW w:w="1761" w:type="dxa"/>
            <w:gridSpan w:val="4"/>
            <w:tcBorders/>
            <w:vAlign w:val="center"/>
          </w:tcPr>
          <w:p>
            <w:pPr>
              <w:pStyle w:val="TableContents"/>
              <w:bidi w:val="0"/>
              <w:spacing w:before="0" w:after="283"/>
              <w:jc w:val="left"/>
              <w:rPr>
                <w:sz w:val="4"/>
                <w:szCs w:val="4"/>
              </w:rPr>
            </w:pPr>
            <w:r>
              <w:rPr>
                <w:sz w:val="4"/>
                <w:szCs w:val="4"/>
              </w:rPr>
            </w:r>
          </w:p>
        </w:tc>
        <w:tc>
          <w:tcPr>
            <w:tcW w:w="1662" w:type="dxa"/>
            <w:gridSpan w:val="4"/>
            <w:tcBorders/>
            <w:vAlign w:val="center"/>
          </w:tcPr>
          <w:p>
            <w:pPr>
              <w:pStyle w:val="TableContents"/>
              <w:bidi w:val="0"/>
              <w:spacing w:before="0" w:after="283"/>
              <w:jc w:val="left"/>
              <w:rPr>
                <w:sz w:val="4"/>
                <w:szCs w:val="4"/>
              </w:rPr>
            </w:pPr>
            <w:r>
              <w:rPr>
                <w:sz w:val="4"/>
                <w:szCs w:val="4"/>
              </w:rPr>
            </w:r>
          </w:p>
        </w:tc>
      </w:tr>
      <w:tr>
        <w:trPr/>
        <w:tc>
          <w:tcPr>
            <w:tcW w:w="3443" w:type="dxa"/>
            <w:tcBorders/>
            <w:vAlign w:val="center"/>
          </w:tcPr>
          <w:p>
            <w:pPr>
              <w:pStyle w:val="TableContents"/>
              <w:bidi w:val="0"/>
              <w:spacing w:before="0" w:after="0"/>
              <w:jc w:val="left"/>
              <w:rPr>
                <w:rFonts w:ascii="arial" w:hAnsi="arial"/>
                <w:sz w:val="18"/>
              </w:rPr>
            </w:pPr>
            <w:r>
              <w:rPr>
                <w:rFonts w:ascii="arial" w:hAnsi="arial"/>
                <w:sz w:val="18"/>
              </w:rPr>
              <w:t>Intrinsic value of accelerated unvested stock options</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pPr>
            <w:r>
              <w:rPr/>
              <w:t>0</w:t>
            </w:r>
          </w:p>
        </w:tc>
        <w:tc>
          <w:tcPr>
            <w:tcW w:w="30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398" w:type="dxa"/>
            <w:tcBorders/>
            <w:vAlign w:val="center"/>
          </w:tcPr>
          <w:p>
            <w:pPr>
              <w:pStyle w:val="TableContents"/>
              <w:bidi w:val="0"/>
              <w:spacing w:before="0" w:after="283"/>
              <w:jc w:val="right"/>
              <w:rPr/>
            </w:pPr>
            <w:r>
              <w:rPr/>
              <w:t>3,826,132</w:t>
            </w:r>
          </w:p>
        </w:tc>
        <w:tc>
          <w:tcPr>
            <w:tcW w:w="30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3,826,132</w:t>
            </w:r>
          </w:p>
        </w:tc>
        <w:tc>
          <w:tcPr>
            <w:tcW w:w="30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3,826,132</w:t>
            </w:r>
          </w:p>
        </w:tc>
        <w:tc>
          <w:tcPr>
            <w:tcW w:w="324" w:type="dxa"/>
            <w:tcBorders/>
            <w:vAlign w:val="center"/>
          </w:tcPr>
          <w:p>
            <w:pPr>
              <w:pStyle w:val="TableContents"/>
              <w:bidi w:val="0"/>
              <w:spacing w:before="0" w:after="283"/>
              <w:jc w:val="left"/>
              <w:rPr/>
            </w:pPr>
            <w:r>
              <w:rPr/>
              <w:t> </w:t>
            </w:r>
          </w:p>
        </w:tc>
      </w:tr>
      <w:tr>
        <w:trPr/>
        <w:tc>
          <w:tcPr>
            <w:tcW w:w="3443" w:type="dxa"/>
            <w:tcBorders/>
            <w:shd w:fill="CCE2F1" w:val="clear"/>
            <w:vAlign w:val="center"/>
          </w:tcPr>
          <w:p>
            <w:pPr>
              <w:pStyle w:val="TableContents"/>
              <w:bidi w:val="0"/>
              <w:spacing w:before="0" w:after="283"/>
              <w:jc w:val="left"/>
              <w:rPr>
                <w:sz w:val="4"/>
                <w:szCs w:val="4"/>
              </w:rPr>
            </w:pPr>
            <w:r>
              <w:rPr>
                <w:sz w:val="4"/>
                <w:szCs w:val="4"/>
              </w:rPr>
            </w:r>
          </w:p>
        </w:tc>
        <w:tc>
          <w:tcPr>
            <w:tcW w:w="1443" w:type="dxa"/>
            <w:gridSpan w:val="4"/>
            <w:tcBorders/>
            <w:shd w:fill="CCE2F1" w:val="clear"/>
            <w:vAlign w:val="center"/>
          </w:tcPr>
          <w:p>
            <w:pPr>
              <w:pStyle w:val="TableContents"/>
              <w:bidi w:val="0"/>
              <w:spacing w:before="0" w:after="283"/>
              <w:jc w:val="left"/>
              <w:rPr>
                <w:sz w:val="4"/>
                <w:szCs w:val="4"/>
              </w:rPr>
            </w:pPr>
            <w:r>
              <w:rPr>
                <w:sz w:val="4"/>
                <w:szCs w:val="4"/>
              </w:rPr>
            </w:r>
          </w:p>
        </w:tc>
        <w:tc>
          <w:tcPr>
            <w:tcW w:w="1896" w:type="dxa"/>
            <w:gridSpan w:val="4"/>
            <w:tcBorders/>
            <w:shd w:fill="CCE2F1" w:val="clear"/>
            <w:vAlign w:val="center"/>
          </w:tcPr>
          <w:p>
            <w:pPr>
              <w:pStyle w:val="TableContents"/>
              <w:bidi w:val="0"/>
              <w:spacing w:before="0" w:after="283"/>
              <w:jc w:val="left"/>
              <w:rPr>
                <w:sz w:val="4"/>
                <w:szCs w:val="4"/>
              </w:rPr>
            </w:pPr>
            <w:r>
              <w:rPr>
                <w:sz w:val="4"/>
                <w:szCs w:val="4"/>
              </w:rPr>
            </w:r>
          </w:p>
        </w:tc>
        <w:tc>
          <w:tcPr>
            <w:tcW w:w="1761" w:type="dxa"/>
            <w:gridSpan w:val="4"/>
            <w:tcBorders/>
            <w:shd w:fill="CCE2F1" w:val="clear"/>
            <w:vAlign w:val="center"/>
          </w:tcPr>
          <w:p>
            <w:pPr>
              <w:pStyle w:val="TableContents"/>
              <w:bidi w:val="0"/>
              <w:spacing w:before="0" w:after="283"/>
              <w:jc w:val="left"/>
              <w:rPr>
                <w:sz w:val="4"/>
                <w:szCs w:val="4"/>
              </w:rPr>
            </w:pPr>
            <w:r>
              <w:rPr>
                <w:sz w:val="4"/>
                <w:szCs w:val="4"/>
              </w:rPr>
            </w:r>
          </w:p>
        </w:tc>
        <w:tc>
          <w:tcPr>
            <w:tcW w:w="1662"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3443" w:type="dxa"/>
            <w:tcBorders/>
            <w:shd w:fill="CCE2F1" w:val="clear"/>
            <w:vAlign w:val="center"/>
          </w:tcPr>
          <w:p>
            <w:pPr>
              <w:pStyle w:val="TableContents"/>
              <w:bidi w:val="0"/>
              <w:spacing w:before="0" w:after="0"/>
              <w:jc w:val="left"/>
              <w:rPr>
                <w:rFonts w:ascii="arial" w:hAnsi="arial"/>
                <w:sz w:val="18"/>
              </w:rPr>
            </w:pPr>
            <w:r>
              <w:rPr>
                <w:rFonts w:ascii="arial" w:hAnsi="arial"/>
                <w:sz w:val="18"/>
              </w:rPr>
              <w:t>Intrinsic value of accelerated unvested RSU’s</w:t>
            </w:r>
          </w:p>
        </w:tc>
        <w:tc>
          <w:tcPr>
            <w:tcW w:w="60" w:type="dxa"/>
            <w:tcBorders/>
            <w:shd w:fill="CCE2F1" w:val="clear"/>
            <w:vAlign w:val="center"/>
          </w:tcPr>
          <w:p>
            <w:pPr>
              <w:pStyle w:val="TableContents"/>
              <w:bidi w:val="0"/>
              <w:spacing w:before="0" w:after="283"/>
              <w:jc w:val="left"/>
              <w:rPr/>
            </w:pPr>
            <w:r>
              <w:rPr/>
              <w:t> </w:t>
            </w:r>
          </w:p>
        </w:tc>
        <w:tc>
          <w:tcPr>
            <w:tcW w:w="61" w:type="dxa"/>
            <w:tcBorders/>
            <w:shd w:fill="CCE2F1" w:val="clear"/>
            <w:vAlign w:val="center"/>
          </w:tcPr>
          <w:p>
            <w:pPr>
              <w:pStyle w:val="TableContents"/>
              <w:bidi w:val="0"/>
              <w:spacing w:before="0" w:after="283"/>
              <w:jc w:val="left"/>
              <w:rPr/>
            </w:pPr>
            <w:r>
              <w:rPr/>
              <w:t> </w:t>
            </w:r>
          </w:p>
        </w:tc>
        <w:tc>
          <w:tcPr>
            <w:tcW w:w="1018" w:type="dxa"/>
            <w:tcBorders/>
            <w:shd w:fill="CCE2F1" w:val="clear"/>
            <w:vAlign w:val="center"/>
          </w:tcPr>
          <w:p>
            <w:pPr>
              <w:pStyle w:val="TableContents"/>
              <w:bidi w:val="0"/>
              <w:spacing w:before="0" w:after="283"/>
              <w:jc w:val="right"/>
              <w:rPr/>
            </w:pPr>
            <w:r>
              <w:rPr/>
              <w:t>0</w:t>
            </w:r>
          </w:p>
        </w:tc>
        <w:tc>
          <w:tcPr>
            <w:tcW w:w="304"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74" w:type="dxa"/>
            <w:tcBorders/>
            <w:shd w:fill="CCE2F1" w:val="clear"/>
            <w:vAlign w:val="center"/>
          </w:tcPr>
          <w:p>
            <w:pPr>
              <w:pStyle w:val="TableContents"/>
              <w:bidi w:val="0"/>
              <w:spacing w:before="0" w:after="283"/>
              <w:jc w:val="left"/>
              <w:rPr/>
            </w:pPr>
            <w:r>
              <w:rPr/>
              <w:t> </w:t>
            </w:r>
          </w:p>
        </w:tc>
        <w:tc>
          <w:tcPr>
            <w:tcW w:w="1398" w:type="dxa"/>
            <w:tcBorders/>
            <w:shd w:fill="CCE2F1" w:val="clear"/>
            <w:vAlign w:val="center"/>
          </w:tcPr>
          <w:p>
            <w:pPr>
              <w:pStyle w:val="TableContents"/>
              <w:bidi w:val="0"/>
              <w:spacing w:before="0" w:after="283"/>
              <w:jc w:val="right"/>
              <w:rPr/>
            </w:pPr>
            <w:r>
              <w:rPr/>
              <w:t>3,370,122</w:t>
            </w:r>
          </w:p>
        </w:tc>
        <w:tc>
          <w:tcPr>
            <w:tcW w:w="304"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8" w:type="dxa"/>
            <w:tcBorders/>
            <w:shd w:fill="CCE2F1" w:val="clear"/>
            <w:vAlign w:val="center"/>
          </w:tcPr>
          <w:p>
            <w:pPr>
              <w:pStyle w:val="TableContents"/>
              <w:bidi w:val="0"/>
              <w:spacing w:before="0" w:after="283"/>
              <w:jc w:val="left"/>
              <w:rPr/>
            </w:pPr>
            <w:r>
              <w:rPr/>
              <w:t> </w:t>
            </w:r>
          </w:p>
        </w:tc>
        <w:tc>
          <w:tcPr>
            <w:tcW w:w="1269" w:type="dxa"/>
            <w:tcBorders/>
            <w:shd w:fill="CCE2F1" w:val="clear"/>
            <w:vAlign w:val="center"/>
          </w:tcPr>
          <w:p>
            <w:pPr>
              <w:pStyle w:val="TableContents"/>
              <w:bidi w:val="0"/>
              <w:spacing w:before="0" w:after="283"/>
              <w:jc w:val="right"/>
              <w:rPr/>
            </w:pPr>
            <w:r>
              <w:rPr/>
              <w:t>3,370,122</w:t>
            </w:r>
          </w:p>
        </w:tc>
        <w:tc>
          <w:tcPr>
            <w:tcW w:w="304"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2" w:type="dxa"/>
            <w:tcBorders/>
            <w:shd w:fill="CCE2F1" w:val="clear"/>
            <w:vAlign w:val="center"/>
          </w:tcPr>
          <w:p>
            <w:pPr>
              <w:pStyle w:val="TableContents"/>
              <w:bidi w:val="0"/>
              <w:spacing w:before="0" w:after="283"/>
              <w:jc w:val="left"/>
              <w:rPr/>
            </w:pPr>
            <w:r>
              <w:rPr/>
              <w:t> </w:t>
            </w:r>
          </w:p>
        </w:tc>
        <w:tc>
          <w:tcPr>
            <w:tcW w:w="1156" w:type="dxa"/>
            <w:tcBorders/>
            <w:shd w:fill="CCE2F1" w:val="clear"/>
            <w:vAlign w:val="center"/>
          </w:tcPr>
          <w:p>
            <w:pPr>
              <w:pStyle w:val="TableContents"/>
              <w:bidi w:val="0"/>
              <w:spacing w:before="0" w:after="283"/>
              <w:jc w:val="right"/>
              <w:rPr/>
            </w:pPr>
            <w:r>
              <w:rPr/>
              <w:t>3,370,122</w:t>
            </w:r>
          </w:p>
        </w:tc>
        <w:tc>
          <w:tcPr>
            <w:tcW w:w="324" w:type="dxa"/>
            <w:tcBorders/>
            <w:shd w:fill="CCE2F1" w:val="clear"/>
            <w:vAlign w:val="center"/>
          </w:tcPr>
          <w:p>
            <w:pPr>
              <w:pStyle w:val="TableContents"/>
              <w:bidi w:val="0"/>
              <w:spacing w:before="0" w:after="283"/>
              <w:jc w:val="left"/>
              <w:rPr/>
            </w:pPr>
            <w:r>
              <w:rPr/>
              <w:t> </w:t>
            </w:r>
          </w:p>
        </w:tc>
      </w:tr>
      <w:tr>
        <w:trPr/>
        <w:tc>
          <w:tcPr>
            <w:tcW w:w="3443" w:type="dxa"/>
            <w:tcBorders/>
            <w:vAlign w:val="center"/>
          </w:tcPr>
          <w:p>
            <w:pPr>
              <w:pStyle w:val="TableContents"/>
              <w:bidi w:val="0"/>
              <w:spacing w:before="0" w:after="283"/>
              <w:jc w:val="left"/>
              <w:rPr>
                <w:sz w:val="4"/>
                <w:szCs w:val="4"/>
              </w:rPr>
            </w:pPr>
            <w:r>
              <w:rPr>
                <w:sz w:val="4"/>
                <w:szCs w:val="4"/>
              </w:rPr>
            </w:r>
          </w:p>
        </w:tc>
        <w:tc>
          <w:tcPr>
            <w:tcW w:w="1443" w:type="dxa"/>
            <w:gridSpan w:val="4"/>
            <w:tcBorders/>
            <w:vAlign w:val="center"/>
          </w:tcPr>
          <w:p>
            <w:pPr>
              <w:pStyle w:val="TableContents"/>
              <w:bidi w:val="0"/>
              <w:spacing w:before="0" w:after="283"/>
              <w:jc w:val="left"/>
              <w:rPr>
                <w:sz w:val="4"/>
                <w:szCs w:val="4"/>
              </w:rPr>
            </w:pPr>
            <w:r>
              <w:rPr>
                <w:sz w:val="4"/>
                <w:szCs w:val="4"/>
              </w:rPr>
            </w:r>
          </w:p>
        </w:tc>
        <w:tc>
          <w:tcPr>
            <w:tcW w:w="1896" w:type="dxa"/>
            <w:gridSpan w:val="4"/>
            <w:tcBorders/>
            <w:vAlign w:val="center"/>
          </w:tcPr>
          <w:p>
            <w:pPr>
              <w:pStyle w:val="TableContents"/>
              <w:bidi w:val="0"/>
              <w:spacing w:before="0" w:after="283"/>
              <w:jc w:val="left"/>
              <w:rPr>
                <w:sz w:val="4"/>
                <w:szCs w:val="4"/>
              </w:rPr>
            </w:pPr>
            <w:r>
              <w:rPr>
                <w:sz w:val="4"/>
                <w:szCs w:val="4"/>
              </w:rPr>
            </w:r>
          </w:p>
        </w:tc>
        <w:tc>
          <w:tcPr>
            <w:tcW w:w="1761" w:type="dxa"/>
            <w:gridSpan w:val="4"/>
            <w:tcBorders/>
            <w:vAlign w:val="center"/>
          </w:tcPr>
          <w:p>
            <w:pPr>
              <w:pStyle w:val="TableContents"/>
              <w:bidi w:val="0"/>
              <w:spacing w:before="0" w:after="283"/>
              <w:jc w:val="left"/>
              <w:rPr>
                <w:sz w:val="4"/>
                <w:szCs w:val="4"/>
              </w:rPr>
            </w:pPr>
            <w:r>
              <w:rPr>
                <w:sz w:val="4"/>
                <w:szCs w:val="4"/>
              </w:rPr>
            </w:r>
          </w:p>
        </w:tc>
        <w:tc>
          <w:tcPr>
            <w:tcW w:w="1662" w:type="dxa"/>
            <w:gridSpan w:val="4"/>
            <w:tcBorders/>
            <w:vAlign w:val="center"/>
          </w:tcPr>
          <w:p>
            <w:pPr>
              <w:pStyle w:val="TableContents"/>
              <w:bidi w:val="0"/>
              <w:spacing w:before="0" w:after="283"/>
              <w:jc w:val="left"/>
              <w:rPr>
                <w:sz w:val="4"/>
                <w:szCs w:val="4"/>
              </w:rPr>
            </w:pPr>
            <w:r>
              <w:rPr>
                <w:sz w:val="4"/>
                <w:szCs w:val="4"/>
              </w:rPr>
            </w:r>
          </w:p>
        </w:tc>
      </w:tr>
      <w:tr>
        <w:trPr/>
        <w:tc>
          <w:tcPr>
            <w:tcW w:w="3443" w:type="dxa"/>
            <w:tcBorders/>
            <w:vAlign w:val="center"/>
          </w:tcPr>
          <w:p>
            <w:pPr>
              <w:pStyle w:val="TableContents"/>
              <w:bidi w:val="0"/>
              <w:spacing w:before="0" w:after="0"/>
              <w:jc w:val="left"/>
              <w:rPr>
                <w:rFonts w:ascii="arial" w:hAnsi="arial"/>
                <w:sz w:val="18"/>
              </w:rPr>
            </w:pPr>
            <w:r>
              <w:rPr>
                <w:rFonts w:ascii="arial" w:hAnsi="arial"/>
                <w:sz w:val="18"/>
              </w:rPr>
              <w:t>Value of 2023-2025 performance units</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pPr>
            <w:r>
              <w:rPr/>
              <w:t>3,195,294</w:t>
            </w:r>
          </w:p>
        </w:tc>
        <w:tc>
          <w:tcPr>
            <w:tcW w:w="304" w:type="dxa"/>
            <w:tcBorders/>
            <w:vAlign w:val="center"/>
          </w:tcPr>
          <w:p>
            <w:pPr>
              <w:pStyle w:val="TableContents"/>
              <w:bidi w:val="0"/>
              <w:spacing w:before="0" w:after="283"/>
              <w:jc w:val="left"/>
              <w:rPr/>
            </w:pPr>
            <w:r>
              <w:rPr/>
              <w:t>(1)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398" w:type="dxa"/>
            <w:tcBorders/>
            <w:vAlign w:val="center"/>
          </w:tcPr>
          <w:p>
            <w:pPr>
              <w:pStyle w:val="TableContents"/>
              <w:bidi w:val="0"/>
              <w:spacing w:before="0" w:after="283"/>
              <w:jc w:val="right"/>
              <w:rPr/>
            </w:pPr>
            <w:r>
              <w:rPr/>
              <w:t>3,195,294</w:t>
            </w:r>
          </w:p>
        </w:tc>
        <w:tc>
          <w:tcPr>
            <w:tcW w:w="304" w:type="dxa"/>
            <w:tcBorders/>
            <w:vAlign w:val="center"/>
          </w:tcPr>
          <w:p>
            <w:pPr>
              <w:pStyle w:val="TableContents"/>
              <w:bidi w:val="0"/>
              <w:spacing w:before="0" w:after="283"/>
              <w:jc w:val="left"/>
              <w:rPr/>
            </w:pPr>
            <w:r>
              <w:rPr/>
              <w:t>(1) </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3,264,131</w:t>
            </w:r>
          </w:p>
        </w:tc>
        <w:tc>
          <w:tcPr>
            <w:tcW w:w="304" w:type="dxa"/>
            <w:tcBorders/>
            <w:vAlign w:val="center"/>
          </w:tcPr>
          <w:p>
            <w:pPr>
              <w:pStyle w:val="TableContents"/>
              <w:bidi w:val="0"/>
              <w:spacing w:before="0" w:after="283"/>
              <w:jc w:val="left"/>
              <w:rPr/>
            </w:pPr>
            <w:r>
              <w:rPr/>
              <w:t>(2)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3,264,131</w:t>
            </w:r>
          </w:p>
        </w:tc>
        <w:tc>
          <w:tcPr>
            <w:tcW w:w="324" w:type="dxa"/>
            <w:tcBorders/>
            <w:vAlign w:val="center"/>
          </w:tcPr>
          <w:p>
            <w:pPr>
              <w:pStyle w:val="TableContents"/>
              <w:bidi w:val="0"/>
              <w:spacing w:before="0" w:after="283"/>
              <w:jc w:val="left"/>
              <w:rPr/>
            </w:pPr>
            <w:r>
              <w:rPr/>
              <w:t>(2) </w:t>
            </w:r>
          </w:p>
        </w:tc>
      </w:tr>
      <w:tr>
        <w:trPr/>
        <w:tc>
          <w:tcPr>
            <w:tcW w:w="3443" w:type="dxa"/>
            <w:tcBorders/>
            <w:shd w:fill="CCE2F1" w:val="clear"/>
            <w:vAlign w:val="center"/>
          </w:tcPr>
          <w:p>
            <w:pPr>
              <w:pStyle w:val="TableContents"/>
              <w:bidi w:val="0"/>
              <w:spacing w:before="0" w:after="283"/>
              <w:jc w:val="left"/>
              <w:rPr>
                <w:sz w:val="4"/>
                <w:szCs w:val="4"/>
              </w:rPr>
            </w:pPr>
            <w:r>
              <w:rPr>
                <w:sz w:val="4"/>
                <w:szCs w:val="4"/>
              </w:rPr>
            </w:r>
          </w:p>
        </w:tc>
        <w:tc>
          <w:tcPr>
            <w:tcW w:w="1443" w:type="dxa"/>
            <w:gridSpan w:val="4"/>
            <w:tcBorders/>
            <w:shd w:fill="CCE2F1" w:val="clear"/>
            <w:vAlign w:val="center"/>
          </w:tcPr>
          <w:p>
            <w:pPr>
              <w:pStyle w:val="TableContents"/>
              <w:bidi w:val="0"/>
              <w:spacing w:before="0" w:after="283"/>
              <w:jc w:val="left"/>
              <w:rPr>
                <w:sz w:val="4"/>
                <w:szCs w:val="4"/>
              </w:rPr>
            </w:pPr>
            <w:r>
              <w:rPr>
                <w:sz w:val="4"/>
                <w:szCs w:val="4"/>
              </w:rPr>
            </w:r>
          </w:p>
        </w:tc>
        <w:tc>
          <w:tcPr>
            <w:tcW w:w="1896" w:type="dxa"/>
            <w:gridSpan w:val="4"/>
            <w:tcBorders/>
            <w:shd w:fill="CCE2F1" w:val="clear"/>
            <w:vAlign w:val="center"/>
          </w:tcPr>
          <w:p>
            <w:pPr>
              <w:pStyle w:val="TableContents"/>
              <w:bidi w:val="0"/>
              <w:spacing w:before="0" w:after="283"/>
              <w:jc w:val="left"/>
              <w:rPr>
                <w:sz w:val="4"/>
                <w:szCs w:val="4"/>
              </w:rPr>
            </w:pPr>
            <w:r>
              <w:rPr>
                <w:sz w:val="4"/>
                <w:szCs w:val="4"/>
              </w:rPr>
            </w:r>
          </w:p>
        </w:tc>
        <w:tc>
          <w:tcPr>
            <w:tcW w:w="1761" w:type="dxa"/>
            <w:gridSpan w:val="4"/>
            <w:tcBorders/>
            <w:shd w:fill="CCE2F1" w:val="clear"/>
            <w:vAlign w:val="center"/>
          </w:tcPr>
          <w:p>
            <w:pPr>
              <w:pStyle w:val="TableContents"/>
              <w:bidi w:val="0"/>
              <w:spacing w:before="0" w:after="283"/>
              <w:jc w:val="left"/>
              <w:rPr>
                <w:sz w:val="4"/>
                <w:szCs w:val="4"/>
              </w:rPr>
            </w:pPr>
            <w:r>
              <w:rPr>
                <w:sz w:val="4"/>
                <w:szCs w:val="4"/>
              </w:rPr>
            </w:r>
          </w:p>
        </w:tc>
        <w:tc>
          <w:tcPr>
            <w:tcW w:w="1662"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3443" w:type="dxa"/>
            <w:tcBorders/>
            <w:shd w:fill="CCE2F1" w:val="clear"/>
            <w:vAlign w:val="center"/>
          </w:tcPr>
          <w:p>
            <w:pPr>
              <w:pStyle w:val="TableContents"/>
              <w:bidi w:val="0"/>
              <w:spacing w:before="0" w:after="0"/>
              <w:jc w:val="left"/>
              <w:rPr>
                <w:rFonts w:ascii="arial" w:hAnsi="arial"/>
                <w:sz w:val="18"/>
              </w:rPr>
            </w:pPr>
            <w:r>
              <w:rPr>
                <w:rFonts w:ascii="arial" w:hAnsi="arial"/>
                <w:sz w:val="18"/>
              </w:rPr>
              <w:t>Value of 2022-2024 performance units</w:t>
            </w:r>
          </w:p>
        </w:tc>
        <w:tc>
          <w:tcPr>
            <w:tcW w:w="60" w:type="dxa"/>
            <w:tcBorders/>
            <w:shd w:fill="CCE2F1" w:val="clear"/>
            <w:vAlign w:val="center"/>
          </w:tcPr>
          <w:p>
            <w:pPr>
              <w:pStyle w:val="TableContents"/>
              <w:bidi w:val="0"/>
              <w:spacing w:before="0" w:after="283"/>
              <w:jc w:val="left"/>
              <w:rPr/>
            </w:pPr>
            <w:r>
              <w:rPr/>
              <w:t> </w:t>
            </w:r>
          </w:p>
        </w:tc>
        <w:tc>
          <w:tcPr>
            <w:tcW w:w="61" w:type="dxa"/>
            <w:tcBorders/>
            <w:shd w:fill="CCE2F1" w:val="clear"/>
            <w:vAlign w:val="center"/>
          </w:tcPr>
          <w:p>
            <w:pPr>
              <w:pStyle w:val="TableContents"/>
              <w:bidi w:val="0"/>
              <w:spacing w:before="0" w:after="283"/>
              <w:jc w:val="left"/>
              <w:rPr/>
            </w:pPr>
            <w:r>
              <w:rPr/>
              <w:t> </w:t>
            </w:r>
          </w:p>
        </w:tc>
        <w:tc>
          <w:tcPr>
            <w:tcW w:w="1018" w:type="dxa"/>
            <w:tcBorders/>
            <w:shd w:fill="CCE2F1" w:val="clear"/>
            <w:vAlign w:val="center"/>
          </w:tcPr>
          <w:p>
            <w:pPr>
              <w:pStyle w:val="TableContents"/>
              <w:bidi w:val="0"/>
              <w:spacing w:before="0" w:after="283"/>
              <w:jc w:val="right"/>
              <w:rPr/>
            </w:pPr>
            <w:r>
              <w:rPr/>
              <w:t>3,390,859</w:t>
            </w:r>
          </w:p>
        </w:tc>
        <w:tc>
          <w:tcPr>
            <w:tcW w:w="304" w:type="dxa"/>
            <w:tcBorders/>
            <w:shd w:fill="CCE2F1" w:val="clear"/>
            <w:vAlign w:val="center"/>
          </w:tcPr>
          <w:p>
            <w:pPr>
              <w:pStyle w:val="TableContents"/>
              <w:bidi w:val="0"/>
              <w:spacing w:before="0" w:after="283"/>
              <w:jc w:val="left"/>
              <w:rPr/>
            </w:pPr>
            <w:r>
              <w:rPr/>
              <w:t>(1) </w:t>
            </w:r>
          </w:p>
        </w:tc>
        <w:tc>
          <w:tcPr>
            <w:tcW w:w="120" w:type="dxa"/>
            <w:tcBorders/>
            <w:shd w:fill="CCE2F1" w:val="clear"/>
            <w:vAlign w:val="center"/>
          </w:tcPr>
          <w:p>
            <w:pPr>
              <w:pStyle w:val="TableContents"/>
              <w:bidi w:val="0"/>
              <w:spacing w:before="0" w:after="283"/>
              <w:jc w:val="left"/>
              <w:rPr/>
            </w:pPr>
            <w:r>
              <w:rPr/>
              <w:t>  </w:t>
            </w:r>
          </w:p>
        </w:tc>
        <w:tc>
          <w:tcPr>
            <w:tcW w:w="74" w:type="dxa"/>
            <w:tcBorders/>
            <w:shd w:fill="CCE2F1" w:val="clear"/>
            <w:vAlign w:val="center"/>
          </w:tcPr>
          <w:p>
            <w:pPr>
              <w:pStyle w:val="TableContents"/>
              <w:bidi w:val="0"/>
              <w:spacing w:before="0" w:after="283"/>
              <w:jc w:val="left"/>
              <w:rPr/>
            </w:pPr>
            <w:r>
              <w:rPr/>
              <w:t> </w:t>
            </w:r>
          </w:p>
        </w:tc>
        <w:tc>
          <w:tcPr>
            <w:tcW w:w="1398" w:type="dxa"/>
            <w:tcBorders/>
            <w:shd w:fill="CCE2F1" w:val="clear"/>
            <w:vAlign w:val="center"/>
          </w:tcPr>
          <w:p>
            <w:pPr>
              <w:pStyle w:val="TableContents"/>
              <w:bidi w:val="0"/>
              <w:spacing w:before="0" w:after="283"/>
              <w:jc w:val="right"/>
              <w:rPr/>
            </w:pPr>
            <w:r>
              <w:rPr/>
              <w:t>3,390,859</w:t>
            </w:r>
          </w:p>
        </w:tc>
        <w:tc>
          <w:tcPr>
            <w:tcW w:w="304" w:type="dxa"/>
            <w:tcBorders/>
            <w:shd w:fill="CCE2F1" w:val="clear"/>
            <w:vAlign w:val="center"/>
          </w:tcPr>
          <w:p>
            <w:pPr>
              <w:pStyle w:val="TableContents"/>
              <w:bidi w:val="0"/>
              <w:spacing w:before="0" w:after="283"/>
              <w:jc w:val="left"/>
              <w:rPr/>
            </w:pPr>
            <w:r>
              <w:rPr/>
              <w:t>(1) </w:t>
            </w:r>
          </w:p>
        </w:tc>
        <w:tc>
          <w:tcPr>
            <w:tcW w:w="120" w:type="dxa"/>
            <w:tcBorders/>
            <w:shd w:fill="CCE2F1" w:val="clear"/>
            <w:vAlign w:val="center"/>
          </w:tcPr>
          <w:p>
            <w:pPr>
              <w:pStyle w:val="TableContents"/>
              <w:bidi w:val="0"/>
              <w:spacing w:before="0" w:after="283"/>
              <w:jc w:val="left"/>
              <w:rPr/>
            </w:pPr>
            <w:r>
              <w:rPr/>
              <w:t>  </w:t>
            </w:r>
          </w:p>
        </w:tc>
        <w:tc>
          <w:tcPr>
            <w:tcW w:w="68" w:type="dxa"/>
            <w:tcBorders/>
            <w:shd w:fill="CCE2F1" w:val="clear"/>
            <w:vAlign w:val="center"/>
          </w:tcPr>
          <w:p>
            <w:pPr>
              <w:pStyle w:val="TableContents"/>
              <w:bidi w:val="0"/>
              <w:spacing w:before="0" w:after="283"/>
              <w:jc w:val="left"/>
              <w:rPr/>
            </w:pPr>
            <w:r>
              <w:rPr/>
              <w:t> </w:t>
            </w:r>
          </w:p>
        </w:tc>
        <w:tc>
          <w:tcPr>
            <w:tcW w:w="1269" w:type="dxa"/>
            <w:tcBorders/>
            <w:shd w:fill="CCE2F1" w:val="clear"/>
            <w:vAlign w:val="center"/>
          </w:tcPr>
          <w:p>
            <w:pPr>
              <w:pStyle w:val="TableContents"/>
              <w:bidi w:val="0"/>
              <w:spacing w:before="0" w:after="283"/>
              <w:jc w:val="right"/>
              <w:rPr/>
            </w:pPr>
            <w:r>
              <w:rPr/>
              <w:t>2,562,514</w:t>
            </w:r>
          </w:p>
        </w:tc>
        <w:tc>
          <w:tcPr>
            <w:tcW w:w="304" w:type="dxa"/>
            <w:tcBorders/>
            <w:shd w:fill="CCE2F1" w:val="clear"/>
            <w:vAlign w:val="center"/>
          </w:tcPr>
          <w:p>
            <w:pPr>
              <w:pStyle w:val="TableContents"/>
              <w:bidi w:val="0"/>
              <w:spacing w:before="0" w:after="283"/>
              <w:jc w:val="left"/>
              <w:rPr/>
            </w:pPr>
            <w:r>
              <w:rPr/>
              <w:t>(2) </w:t>
            </w:r>
          </w:p>
        </w:tc>
        <w:tc>
          <w:tcPr>
            <w:tcW w:w="120" w:type="dxa"/>
            <w:tcBorders/>
            <w:shd w:fill="CCE2F1" w:val="clear"/>
            <w:vAlign w:val="center"/>
          </w:tcPr>
          <w:p>
            <w:pPr>
              <w:pStyle w:val="TableContents"/>
              <w:bidi w:val="0"/>
              <w:spacing w:before="0" w:after="283"/>
              <w:jc w:val="left"/>
              <w:rPr/>
            </w:pPr>
            <w:r>
              <w:rPr/>
              <w:t>  </w:t>
            </w:r>
          </w:p>
        </w:tc>
        <w:tc>
          <w:tcPr>
            <w:tcW w:w="62" w:type="dxa"/>
            <w:tcBorders/>
            <w:shd w:fill="CCE2F1" w:val="clear"/>
            <w:vAlign w:val="center"/>
          </w:tcPr>
          <w:p>
            <w:pPr>
              <w:pStyle w:val="TableContents"/>
              <w:bidi w:val="0"/>
              <w:spacing w:before="0" w:after="283"/>
              <w:jc w:val="left"/>
              <w:rPr/>
            </w:pPr>
            <w:r>
              <w:rPr/>
              <w:t> </w:t>
            </w:r>
          </w:p>
        </w:tc>
        <w:tc>
          <w:tcPr>
            <w:tcW w:w="1156" w:type="dxa"/>
            <w:tcBorders/>
            <w:shd w:fill="CCE2F1" w:val="clear"/>
            <w:vAlign w:val="center"/>
          </w:tcPr>
          <w:p>
            <w:pPr>
              <w:pStyle w:val="TableContents"/>
              <w:bidi w:val="0"/>
              <w:spacing w:before="0" w:after="283"/>
              <w:jc w:val="right"/>
              <w:rPr/>
            </w:pPr>
            <w:r>
              <w:rPr/>
              <w:t>2,562,514</w:t>
            </w:r>
          </w:p>
        </w:tc>
        <w:tc>
          <w:tcPr>
            <w:tcW w:w="324" w:type="dxa"/>
            <w:tcBorders/>
            <w:shd w:fill="CCE2F1" w:val="clear"/>
            <w:vAlign w:val="center"/>
          </w:tcPr>
          <w:p>
            <w:pPr>
              <w:pStyle w:val="TableContents"/>
              <w:bidi w:val="0"/>
              <w:spacing w:before="0" w:after="283"/>
              <w:jc w:val="left"/>
              <w:rPr/>
            </w:pPr>
            <w:r>
              <w:rPr/>
              <w:t>(2) </w:t>
            </w:r>
          </w:p>
        </w:tc>
      </w:tr>
      <w:tr>
        <w:trPr/>
        <w:tc>
          <w:tcPr>
            <w:tcW w:w="3443" w:type="dxa"/>
            <w:tcBorders/>
            <w:vAlign w:val="center"/>
          </w:tcPr>
          <w:p>
            <w:pPr>
              <w:pStyle w:val="TableContents"/>
              <w:bidi w:val="0"/>
              <w:spacing w:before="0" w:after="283"/>
              <w:jc w:val="left"/>
              <w:rPr>
                <w:sz w:val="4"/>
                <w:szCs w:val="4"/>
              </w:rPr>
            </w:pPr>
            <w:r>
              <w:rPr>
                <w:sz w:val="4"/>
                <w:szCs w:val="4"/>
              </w:rPr>
            </w:r>
          </w:p>
        </w:tc>
        <w:tc>
          <w:tcPr>
            <w:tcW w:w="1443" w:type="dxa"/>
            <w:gridSpan w:val="4"/>
            <w:tcBorders/>
            <w:vAlign w:val="center"/>
          </w:tcPr>
          <w:p>
            <w:pPr>
              <w:pStyle w:val="TableContents"/>
              <w:bidi w:val="0"/>
              <w:spacing w:before="0" w:after="283"/>
              <w:jc w:val="left"/>
              <w:rPr>
                <w:sz w:val="4"/>
                <w:szCs w:val="4"/>
              </w:rPr>
            </w:pPr>
            <w:r>
              <w:rPr>
                <w:sz w:val="4"/>
                <w:szCs w:val="4"/>
              </w:rPr>
            </w:r>
          </w:p>
        </w:tc>
        <w:tc>
          <w:tcPr>
            <w:tcW w:w="1896" w:type="dxa"/>
            <w:gridSpan w:val="4"/>
            <w:tcBorders/>
            <w:vAlign w:val="center"/>
          </w:tcPr>
          <w:p>
            <w:pPr>
              <w:pStyle w:val="TableContents"/>
              <w:bidi w:val="0"/>
              <w:spacing w:before="0" w:after="283"/>
              <w:jc w:val="left"/>
              <w:rPr>
                <w:sz w:val="4"/>
                <w:szCs w:val="4"/>
              </w:rPr>
            </w:pPr>
            <w:r>
              <w:rPr>
                <w:sz w:val="4"/>
                <w:szCs w:val="4"/>
              </w:rPr>
            </w:r>
          </w:p>
        </w:tc>
        <w:tc>
          <w:tcPr>
            <w:tcW w:w="1761" w:type="dxa"/>
            <w:gridSpan w:val="4"/>
            <w:tcBorders/>
            <w:vAlign w:val="center"/>
          </w:tcPr>
          <w:p>
            <w:pPr>
              <w:pStyle w:val="TableContents"/>
              <w:bidi w:val="0"/>
              <w:spacing w:before="0" w:after="283"/>
              <w:jc w:val="left"/>
              <w:rPr>
                <w:sz w:val="4"/>
                <w:szCs w:val="4"/>
              </w:rPr>
            </w:pPr>
            <w:r>
              <w:rPr>
                <w:sz w:val="4"/>
                <w:szCs w:val="4"/>
              </w:rPr>
            </w:r>
          </w:p>
        </w:tc>
        <w:tc>
          <w:tcPr>
            <w:tcW w:w="1662" w:type="dxa"/>
            <w:gridSpan w:val="4"/>
            <w:tcBorders/>
            <w:vAlign w:val="center"/>
          </w:tcPr>
          <w:p>
            <w:pPr>
              <w:pStyle w:val="TableContents"/>
              <w:bidi w:val="0"/>
              <w:spacing w:before="0" w:after="283"/>
              <w:jc w:val="left"/>
              <w:rPr>
                <w:sz w:val="4"/>
                <w:szCs w:val="4"/>
              </w:rPr>
            </w:pPr>
            <w:r>
              <w:rPr>
                <w:sz w:val="4"/>
                <w:szCs w:val="4"/>
              </w:rPr>
            </w:r>
          </w:p>
        </w:tc>
      </w:tr>
      <w:tr>
        <w:trPr/>
        <w:tc>
          <w:tcPr>
            <w:tcW w:w="3443" w:type="dxa"/>
            <w:tcBorders/>
            <w:vAlign w:val="center"/>
          </w:tcPr>
          <w:p>
            <w:pPr>
              <w:pStyle w:val="TableContents"/>
              <w:bidi w:val="0"/>
              <w:spacing w:before="0" w:after="0"/>
              <w:jc w:val="left"/>
              <w:rPr>
                <w:rFonts w:ascii="arial" w:hAnsi="arial"/>
                <w:sz w:val="18"/>
              </w:rPr>
            </w:pPr>
            <w:r>
              <w:rPr>
                <w:rFonts w:ascii="arial" w:hAnsi="arial"/>
                <w:sz w:val="18"/>
              </w:rPr>
              <w:t>Continuing health care benefits for18 months(3)</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pPr>
            <w:r>
              <w:rPr/>
              <w:t>0</w:t>
            </w:r>
          </w:p>
        </w:tc>
        <w:tc>
          <w:tcPr>
            <w:tcW w:w="30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398" w:type="dxa"/>
            <w:tcBorders/>
            <w:vAlign w:val="center"/>
          </w:tcPr>
          <w:p>
            <w:pPr>
              <w:pStyle w:val="TableContents"/>
              <w:bidi w:val="0"/>
              <w:spacing w:before="0" w:after="283"/>
              <w:jc w:val="right"/>
              <w:rPr/>
            </w:pPr>
            <w:r>
              <w:rPr/>
              <w:t>51,473</w:t>
            </w:r>
          </w:p>
        </w:tc>
        <w:tc>
          <w:tcPr>
            <w:tcW w:w="30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0</w:t>
            </w:r>
          </w:p>
        </w:tc>
        <w:tc>
          <w:tcPr>
            <w:tcW w:w="30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0</w:t>
            </w:r>
          </w:p>
        </w:tc>
        <w:tc>
          <w:tcPr>
            <w:tcW w:w="324" w:type="dxa"/>
            <w:tcBorders/>
            <w:vAlign w:val="center"/>
          </w:tcPr>
          <w:p>
            <w:pPr>
              <w:pStyle w:val="TableContents"/>
              <w:bidi w:val="0"/>
              <w:spacing w:before="0" w:after="283"/>
              <w:jc w:val="left"/>
              <w:rPr/>
            </w:pPr>
            <w:r>
              <w:rPr/>
              <w:t> </w:t>
            </w:r>
          </w:p>
        </w:tc>
      </w:tr>
      <w:tr>
        <w:trPr/>
        <w:tc>
          <w:tcPr>
            <w:tcW w:w="3443" w:type="dxa"/>
            <w:tcBorders/>
            <w:shd w:fill="CCE2F1" w:val="clear"/>
            <w:vAlign w:val="center"/>
          </w:tcPr>
          <w:p>
            <w:pPr>
              <w:pStyle w:val="TableContents"/>
              <w:bidi w:val="0"/>
              <w:spacing w:before="0" w:after="283"/>
              <w:jc w:val="left"/>
              <w:rPr>
                <w:sz w:val="4"/>
                <w:szCs w:val="4"/>
              </w:rPr>
            </w:pPr>
            <w:r>
              <w:rPr>
                <w:sz w:val="4"/>
                <w:szCs w:val="4"/>
              </w:rPr>
            </w:r>
          </w:p>
        </w:tc>
        <w:tc>
          <w:tcPr>
            <w:tcW w:w="1443" w:type="dxa"/>
            <w:gridSpan w:val="4"/>
            <w:tcBorders/>
            <w:shd w:fill="CCE2F1" w:val="clear"/>
            <w:vAlign w:val="center"/>
          </w:tcPr>
          <w:p>
            <w:pPr>
              <w:pStyle w:val="TableContents"/>
              <w:bidi w:val="0"/>
              <w:spacing w:before="0" w:after="283"/>
              <w:jc w:val="left"/>
              <w:rPr>
                <w:sz w:val="4"/>
                <w:szCs w:val="4"/>
              </w:rPr>
            </w:pPr>
            <w:r>
              <w:rPr>
                <w:sz w:val="4"/>
                <w:szCs w:val="4"/>
              </w:rPr>
            </w:r>
          </w:p>
        </w:tc>
        <w:tc>
          <w:tcPr>
            <w:tcW w:w="1896" w:type="dxa"/>
            <w:gridSpan w:val="4"/>
            <w:tcBorders/>
            <w:shd w:fill="CCE2F1" w:val="clear"/>
            <w:vAlign w:val="center"/>
          </w:tcPr>
          <w:p>
            <w:pPr>
              <w:pStyle w:val="TableContents"/>
              <w:bidi w:val="0"/>
              <w:spacing w:before="0" w:after="283"/>
              <w:jc w:val="left"/>
              <w:rPr>
                <w:sz w:val="4"/>
                <w:szCs w:val="4"/>
              </w:rPr>
            </w:pPr>
            <w:r>
              <w:rPr>
                <w:sz w:val="4"/>
                <w:szCs w:val="4"/>
              </w:rPr>
            </w:r>
          </w:p>
        </w:tc>
        <w:tc>
          <w:tcPr>
            <w:tcW w:w="1761" w:type="dxa"/>
            <w:gridSpan w:val="4"/>
            <w:tcBorders/>
            <w:shd w:fill="CCE2F1" w:val="clear"/>
            <w:vAlign w:val="center"/>
          </w:tcPr>
          <w:p>
            <w:pPr>
              <w:pStyle w:val="TableContents"/>
              <w:bidi w:val="0"/>
              <w:spacing w:before="0" w:after="283"/>
              <w:jc w:val="left"/>
              <w:rPr>
                <w:sz w:val="4"/>
                <w:szCs w:val="4"/>
              </w:rPr>
            </w:pPr>
            <w:r>
              <w:rPr>
                <w:sz w:val="4"/>
                <w:szCs w:val="4"/>
              </w:rPr>
            </w:r>
          </w:p>
        </w:tc>
        <w:tc>
          <w:tcPr>
            <w:tcW w:w="1662"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3443" w:type="dxa"/>
            <w:tcBorders/>
            <w:shd w:fill="CCE2F1" w:val="clear"/>
            <w:vAlign w:val="center"/>
          </w:tcPr>
          <w:p>
            <w:pPr>
              <w:pStyle w:val="TableContents"/>
              <w:bidi w:val="0"/>
              <w:spacing w:before="0" w:after="0"/>
              <w:jc w:val="left"/>
              <w:rPr>
                <w:rFonts w:ascii="arial" w:hAnsi="arial"/>
                <w:sz w:val="18"/>
              </w:rPr>
            </w:pPr>
            <w:r>
              <w:rPr>
                <w:rFonts w:ascii="arial" w:hAnsi="arial"/>
                <w:sz w:val="18"/>
              </w:rPr>
              <w:t>Continuing retirement plan contributions for two years(4)</w:t>
            </w:r>
          </w:p>
        </w:tc>
        <w:tc>
          <w:tcPr>
            <w:tcW w:w="60" w:type="dxa"/>
            <w:tcBorders/>
            <w:shd w:fill="CCE2F1" w:val="clear"/>
            <w:vAlign w:val="center"/>
          </w:tcPr>
          <w:p>
            <w:pPr>
              <w:pStyle w:val="TableContents"/>
              <w:bidi w:val="0"/>
              <w:spacing w:before="0" w:after="283"/>
              <w:jc w:val="left"/>
              <w:rPr/>
            </w:pPr>
            <w:r>
              <w:rPr/>
              <w:t> </w:t>
            </w:r>
          </w:p>
        </w:tc>
        <w:tc>
          <w:tcPr>
            <w:tcW w:w="61" w:type="dxa"/>
            <w:tcBorders/>
            <w:shd w:fill="CCE2F1" w:val="clear"/>
            <w:vAlign w:val="center"/>
          </w:tcPr>
          <w:p>
            <w:pPr>
              <w:pStyle w:val="TableContents"/>
              <w:bidi w:val="0"/>
              <w:spacing w:before="0" w:after="283"/>
              <w:jc w:val="left"/>
              <w:rPr/>
            </w:pPr>
            <w:r>
              <w:rPr/>
              <w:t> </w:t>
            </w:r>
          </w:p>
        </w:tc>
        <w:tc>
          <w:tcPr>
            <w:tcW w:w="1018" w:type="dxa"/>
            <w:tcBorders/>
            <w:shd w:fill="CCE2F1" w:val="clear"/>
            <w:vAlign w:val="center"/>
          </w:tcPr>
          <w:p>
            <w:pPr>
              <w:pStyle w:val="TableContents"/>
              <w:bidi w:val="0"/>
              <w:spacing w:before="0" w:after="283"/>
              <w:jc w:val="right"/>
              <w:rPr/>
            </w:pPr>
            <w:r>
              <w:rPr/>
              <w:t>0</w:t>
            </w:r>
          </w:p>
        </w:tc>
        <w:tc>
          <w:tcPr>
            <w:tcW w:w="304"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74" w:type="dxa"/>
            <w:tcBorders/>
            <w:shd w:fill="CCE2F1" w:val="clear"/>
            <w:vAlign w:val="center"/>
          </w:tcPr>
          <w:p>
            <w:pPr>
              <w:pStyle w:val="TableContents"/>
              <w:bidi w:val="0"/>
              <w:spacing w:before="0" w:after="283"/>
              <w:jc w:val="left"/>
              <w:rPr/>
            </w:pPr>
            <w:r>
              <w:rPr/>
              <w:t> </w:t>
            </w:r>
          </w:p>
        </w:tc>
        <w:tc>
          <w:tcPr>
            <w:tcW w:w="1398" w:type="dxa"/>
            <w:tcBorders/>
            <w:shd w:fill="CCE2F1" w:val="clear"/>
            <w:vAlign w:val="center"/>
          </w:tcPr>
          <w:p>
            <w:pPr>
              <w:pStyle w:val="TableContents"/>
              <w:bidi w:val="0"/>
              <w:spacing w:before="0" w:after="283"/>
              <w:jc w:val="right"/>
              <w:rPr/>
            </w:pPr>
            <w:r>
              <w:rPr/>
              <w:t>431,960</w:t>
            </w:r>
          </w:p>
        </w:tc>
        <w:tc>
          <w:tcPr>
            <w:tcW w:w="304"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8" w:type="dxa"/>
            <w:tcBorders/>
            <w:shd w:fill="CCE2F1" w:val="clear"/>
            <w:vAlign w:val="center"/>
          </w:tcPr>
          <w:p>
            <w:pPr>
              <w:pStyle w:val="TableContents"/>
              <w:bidi w:val="0"/>
              <w:spacing w:before="0" w:after="283"/>
              <w:jc w:val="left"/>
              <w:rPr/>
            </w:pPr>
            <w:r>
              <w:rPr/>
              <w:t> </w:t>
            </w:r>
          </w:p>
        </w:tc>
        <w:tc>
          <w:tcPr>
            <w:tcW w:w="1269" w:type="dxa"/>
            <w:tcBorders/>
            <w:shd w:fill="CCE2F1" w:val="clear"/>
            <w:vAlign w:val="center"/>
          </w:tcPr>
          <w:p>
            <w:pPr>
              <w:pStyle w:val="TableContents"/>
              <w:bidi w:val="0"/>
              <w:spacing w:before="0" w:after="283"/>
              <w:jc w:val="right"/>
              <w:rPr/>
            </w:pPr>
            <w:r>
              <w:rPr/>
              <w:t>0</w:t>
            </w:r>
          </w:p>
        </w:tc>
        <w:tc>
          <w:tcPr>
            <w:tcW w:w="304"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2" w:type="dxa"/>
            <w:tcBorders/>
            <w:shd w:fill="CCE2F1" w:val="clear"/>
            <w:vAlign w:val="center"/>
          </w:tcPr>
          <w:p>
            <w:pPr>
              <w:pStyle w:val="TableContents"/>
              <w:bidi w:val="0"/>
              <w:spacing w:before="0" w:after="283"/>
              <w:jc w:val="left"/>
              <w:rPr/>
            </w:pPr>
            <w:r>
              <w:rPr/>
              <w:t> </w:t>
            </w:r>
          </w:p>
        </w:tc>
        <w:tc>
          <w:tcPr>
            <w:tcW w:w="1156" w:type="dxa"/>
            <w:tcBorders/>
            <w:shd w:fill="CCE2F1" w:val="clear"/>
            <w:vAlign w:val="center"/>
          </w:tcPr>
          <w:p>
            <w:pPr>
              <w:pStyle w:val="TableContents"/>
              <w:bidi w:val="0"/>
              <w:spacing w:before="0" w:after="283"/>
              <w:jc w:val="right"/>
              <w:rPr/>
            </w:pPr>
            <w:r>
              <w:rPr/>
              <w:t>0</w:t>
            </w:r>
          </w:p>
        </w:tc>
        <w:tc>
          <w:tcPr>
            <w:tcW w:w="324" w:type="dxa"/>
            <w:tcBorders/>
            <w:shd w:fill="CCE2F1" w:val="clear"/>
            <w:vAlign w:val="center"/>
          </w:tcPr>
          <w:p>
            <w:pPr>
              <w:pStyle w:val="TableContents"/>
              <w:bidi w:val="0"/>
              <w:spacing w:before="0" w:after="283"/>
              <w:jc w:val="left"/>
              <w:rPr/>
            </w:pPr>
            <w:r>
              <w:rPr/>
              <w:t> </w:t>
            </w:r>
          </w:p>
        </w:tc>
      </w:tr>
      <w:tr>
        <w:trPr/>
        <w:tc>
          <w:tcPr>
            <w:tcW w:w="3443" w:type="dxa"/>
            <w:tcBorders>
              <w:top w:val="single" w:sz="8" w:space="0" w:color="0171B9"/>
            </w:tcBorders>
            <w:tcMar>
              <w:top w:w="28" w:type="dxa"/>
            </w:tcMar>
            <w:vAlign w:val="center"/>
          </w:tcPr>
          <w:p>
            <w:pPr>
              <w:pStyle w:val="TableContents"/>
              <w:bidi w:val="0"/>
              <w:spacing w:before="0" w:after="283"/>
              <w:jc w:val="left"/>
              <w:rPr/>
            </w:pPr>
            <w:r>
              <w:rPr/>
              <w:t> </w:t>
            </w:r>
          </w:p>
        </w:tc>
        <w:tc>
          <w:tcPr>
            <w:tcW w:w="1443" w:type="dxa"/>
            <w:gridSpan w:val="4"/>
            <w:tcBorders>
              <w:top w:val="single" w:sz="8" w:space="0" w:color="0171B9"/>
            </w:tcBorders>
            <w:tcMar>
              <w:top w:w="28" w:type="dxa"/>
            </w:tcMar>
            <w:vAlign w:val="center"/>
          </w:tcPr>
          <w:p>
            <w:pPr>
              <w:pStyle w:val="TableContents"/>
              <w:bidi w:val="0"/>
              <w:spacing w:before="0" w:after="283"/>
              <w:jc w:val="left"/>
              <w:rPr/>
            </w:pPr>
            <w:r>
              <w:rPr/>
              <w:t> </w:t>
            </w:r>
          </w:p>
        </w:tc>
        <w:tc>
          <w:tcPr>
            <w:tcW w:w="1896" w:type="dxa"/>
            <w:gridSpan w:val="4"/>
            <w:tcBorders>
              <w:top w:val="single" w:sz="8" w:space="0" w:color="0171B9"/>
            </w:tcBorders>
            <w:tcMar>
              <w:top w:w="28" w:type="dxa"/>
            </w:tcMar>
            <w:vAlign w:val="center"/>
          </w:tcPr>
          <w:p>
            <w:pPr>
              <w:pStyle w:val="TableContents"/>
              <w:bidi w:val="0"/>
              <w:spacing w:before="0" w:after="283"/>
              <w:jc w:val="left"/>
              <w:rPr/>
            </w:pPr>
            <w:r>
              <w:rPr/>
              <w:t> </w:t>
            </w:r>
          </w:p>
        </w:tc>
        <w:tc>
          <w:tcPr>
            <w:tcW w:w="1761" w:type="dxa"/>
            <w:gridSpan w:val="4"/>
            <w:tcBorders>
              <w:top w:val="single" w:sz="8" w:space="0" w:color="0171B9"/>
            </w:tcBorders>
            <w:tcMar>
              <w:top w:w="28" w:type="dxa"/>
            </w:tcMar>
            <w:vAlign w:val="center"/>
          </w:tcPr>
          <w:p>
            <w:pPr>
              <w:pStyle w:val="TableContents"/>
              <w:bidi w:val="0"/>
              <w:spacing w:before="0" w:after="283"/>
              <w:jc w:val="left"/>
              <w:rPr/>
            </w:pPr>
            <w:r>
              <w:rPr/>
              <w:t> </w:t>
            </w:r>
          </w:p>
        </w:tc>
        <w:tc>
          <w:tcPr>
            <w:tcW w:w="1662" w:type="dxa"/>
            <w:gridSpan w:val="4"/>
            <w:tcBorders>
              <w:top w:val="single" w:sz="8" w:space="0" w:color="0171B9"/>
            </w:tcBorders>
            <w:tcMar>
              <w:top w:w="28" w:type="dxa"/>
            </w:tcMar>
            <w:vAlign w:val="center"/>
          </w:tcPr>
          <w:p>
            <w:pPr>
              <w:pStyle w:val="TableContents"/>
              <w:bidi w:val="0"/>
              <w:spacing w:before="0" w:after="283"/>
              <w:jc w:val="left"/>
              <w:rPr/>
            </w:pPr>
            <w:r>
              <w:rPr/>
              <w:t> </w:t>
            </w:r>
          </w:p>
        </w:tc>
      </w:tr>
      <w:tr>
        <w:trPr/>
        <w:tc>
          <w:tcPr>
            <w:tcW w:w="3443" w:type="dxa"/>
            <w:tcBorders>
              <w:bottom w:val="single" w:sz="8" w:space="0" w:color="0171B9"/>
            </w:tcBorders>
            <w:tcMar>
              <w:bottom w:w="28" w:type="dxa"/>
            </w:tcMar>
            <w:vAlign w:val="center"/>
          </w:tcPr>
          <w:p>
            <w:pPr>
              <w:pStyle w:val="TableContents"/>
              <w:bidi w:val="0"/>
              <w:spacing w:before="0" w:after="0"/>
              <w:jc w:val="left"/>
              <w:rPr>
                <w:rFonts w:ascii="arial" w:hAnsi="arial"/>
                <w:sz w:val="18"/>
              </w:rPr>
            </w:pPr>
            <w:r>
              <w:rPr>
                <w:rFonts w:ascii="arial" w:hAnsi="arial"/>
                <w:sz w:val="18"/>
              </w:rPr>
              <w:t>Total</w:t>
            </w:r>
          </w:p>
          <w:p>
            <w:pPr>
              <w:pStyle w:val="TableContents"/>
              <w:bidi w:val="0"/>
              <w:spacing w:before="0" w:after="20"/>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61" w:type="dxa"/>
            <w:tcBorders>
              <w:bottom w:val="single" w:sz="8" w:space="0" w:color="0171B9"/>
            </w:tcBorders>
            <w:tcMar>
              <w:bottom w:w="28" w:type="dxa"/>
            </w:tcMar>
            <w:vAlign w:val="center"/>
          </w:tcPr>
          <w:p>
            <w:pPr>
              <w:pStyle w:val="TableContents"/>
              <w:bidi w:val="0"/>
              <w:jc w:val="left"/>
              <w:rPr/>
            </w:pPr>
            <w:r>
              <w:rPr/>
              <w:t> </w:t>
            </w:r>
          </w:p>
          <w:p>
            <w:pPr>
              <w:pStyle w:val="TableContents"/>
              <w:bidi w:val="0"/>
              <w:spacing w:before="0" w:after="20"/>
              <w:jc w:val="left"/>
              <w:rPr/>
            </w:pPr>
            <w:r>
              <w:rPr/>
              <w:t> </w:t>
            </w:r>
          </w:p>
        </w:tc>
        <w:tc>
          <w:tcPr>
            <w:tcW w:w="1018" w:type="dxa"/>
            <w:tcBorders>
              <w:bottom w:val="single" w:sz="8" w:space="0" w:color="0171B9"/>
            </w:tcBorders>
            <w:tcMar>
              <w:bottom w:w="28" w:type="dxa"/>
            </w:tcMar>
            <w:vAlign w:val="center"/>
          </w:tcPr>
          <w:p>
            <w:pPr>
              <w:pStyle w:val="TableContents"/>
              <w:bidi w:val="0"/>
              <w:jc w:val="right"/>
              <w:rPr/>
            </w:pPr>
            <w:r>
              <w:rPr/>
              <w:t>6,586,153</w:t>
            </w:r>
          </w:p>
          <w:p>
            <w:pPr>
              <w:pStyle w:val="TableContents"/>
              <w:bidi w:val="0"/>
              <w:spacing w:before="0" w:after="20"/>
              <w:jc w:val="left"/>
              <w:rPr/>
            </w:pPr>
            <w:r>
              <w:rPr/>
              <w:t> </w:t>
            </w:r>
          </w:p>
        </w:tc>
        <w:tc>
          <w:tcPr>
            <w:tcW w:w="304" w:type="dxa"/>
            <w:tcBorders>
              <w:bottom w:val="single" w:sz="8" w:space="0" w:color="0171B9"/>
            </w:tcBorders>
            <w:tcMar>
              <w:bottom w:w="28" w:type="dxa"/>
            </w:tcMar>
            <w:vAlign w:val="center"/>
          </w:tcPr>
          <w:p>
            <w:pPr>
              <w:pStyle w:val="TableContents"/>
              <w:bidi w:val="0"/>
              <w:jc w:val="left"/>
              <w:rPr/>
            </w:pPr>
            <w:r>
              <w:rPr/>
              <w:t> </w:t>
            </w:r>
          </w:p>
          <w:p>
            <w:pPr>
              <w:pStyle w:val="TableContents"/>
              <w:bidi w:val="0"/>
              <w:spacing w:before="0" w:after="20"/>
              <w:jc w:val="left"/>
              <w:rPr/>
            </w:pPr>
            <w:r>
              <w:rPr/>
              <w:t> </w:t>
            </w:r>
          </w:p>
        </w:tc>
        <w:tc>
          <w:tcPr>
            <w:tcW w:w="120" w:type="dxa"/>
            <w:tcBorders>
              <w:bottom w:val="single" w:sz="8" w:space="0" w:color="0171B9"/>
            </w:tcBorders>
            <w:tcMar>
              <w:bottom w:w="28" w:type="dxa"/>
            </w:tcMar>
            <w:vAlign w:val="center"/>
          </w:tcPr>
          <w:p>
            <w:pPr>
              <w:pStyle w:val="TableContents"/>
              <w:bidi w:val="0"/>
              <w:spacing w:before="0" w:after="283"/>
              <w:jc w:val="left"/>
              <w:rPr/>
            </w:pPr>
            <w:r>
              <w:rPr/>
              <w:t>  </w:t>
            </w:r>
          </w:p>
        </w:tc>
        <w:tc>
          <w:tcPr>
            <w:tcW w:w="74" w:type="dxa"/>
            <w:tcBorders>
              <w:bottom w:val="single" w:sz="8" w:space="0" w:color="0171B9"/>
            </w:tcBorders>
            <w:tcMar>
              <w:bottom w:w="28" w:type="dxa"/>
            </w:tcMar>
            <w:vAlign w:val="center"/>
          </w:tcPr>
          <w:p>
            <w:pPr>
              <w:pStyle w:val="TableContents"/>
              <w:bidi w:val="0"/>
              <w:jc w:val="left"/>
              <w:rPr/>
            </w:pPr>
            <w:r>
              <w:rPr/>
              <w:t> </w:t>
            </w:r>
          </w:p>
          <w:p>
            <w:pPr>
              <w:pStyle w:val="TableContents"/>
              <w:bidi w:val="0"/>
              <w:spacing w:before="0" w:after="20"/>
              <w:jc w:val="left"/>
              <w:rPr/>
            </w:pPr>
            <w:r>
              <w:rPr/>
              <w:t> </w:t>
            </w:r>
          </w:p>
        </w:tc>
        <w:tc>
          <w:tcPr>
            <w:tcW w:w="1398" w:type="dxa"/>
            <w:tcBorders>
              <w:bottom w:val="single" w:sz="8" w:space="0" w:color="0171B9"/>
            </w:tcBorders>
            <w:tcMar>
              <w:bottom w:w="28" w:type="dxa"/>
            </w:tcMar>
            <w:vAlign w:val="center"/>
          </w:tcPr>
          <w:p>
            <w:pPr>
              <w:pStyle w:val="TableContents"/>
              <w:bidi w:val="0"/>
              <w:jc w:val="right"/>
              <w:rPr/>
            </w:pPr>
            <w:r>
              <w:rPr/>
              <w:t>18,535,440</w:t>
            </w:r>
          </w:p>
          <w:p>
            <w:pPr>
              <w:pStyle w:val="TableContents"/>
              <w:bidi w:val="0"/>
              <w:spacing w:before="0" w:after="20"/>
              <w:jc w:val="left"/>
              <w:rPr/>
            </w:pPr>
            <w:r>
              <w:rPr/>
              <w:t> </w:t>
            </w:r>
          </w:p>
        </w:tc>
        <w:tc>
          <w:tcPr>
            <w:tcW w:w="304" w:type="dxa"/>
            <w:tcBorders>
              <w:bottom w:val="single" w:sz="8" w:space="0" w:color="0171B9"/>
            </w:tcBorders>
            <w:tcMar>
              <w:bottom w:w="28" w:type="dxa"/>
            </w:tcMar>
            <w:vAlign w:val="center"/>
          </w:tcPr>
          <w:p>
            <w:pPr>
              <w:pStyle w:val="TableContents"/>
              <w:bidi w:val="0"/>
              <w:jc w:val="left"/>
              <w:rPr/>
            </w:pPr>
            <w:r>
              <w:rPr/>
              <w:t> </w:t>
            </w:r>
          </w:p>
          <w:p>
            <w:pPr>
              <w:pStyle w:val="TableContents"/>
              <w:bidi w:val="0"/>
              <w:spacing w:before="0" w:after="20"/>
              <w:jc w:val="left"/>
              <w:rPr/>
            </w:pPr>
            <w:r>
              <w:rPr/>
              <w:t> </w:t>
            </w:r>
          </w:p>
        </w:tc>
        <w:tc>
          <w:tcPr>
            <w:tcW w:w="120" w:type="dxa"/>
            <w:tcBorders>
              <w:bottom w:val="single" w:sz="8" w:space="0" w:color="0171B9"/>
            </w:tcBorders>
            <w:tcMar>
              <w:bottom w:w="28" w:type="dxa"/>
            </w:tcMar>
            <w:vAlign w:val="center"/>
          </w:tcPr>
          <w:p>
            <w:pPr>
              <w:pStyle w:val="TableContents"/>
              <w:bidi w:val="0"/>
              <w:spacing w:before="0" w:after="283"/>
              <w:jc w:val="left"/>
              <w:rPr/>
            </w:pPr>
            <w:r>
              <w:rPr/>
              <w:t>  </w:t>
            </w:r>
          </w:p>
        </w:tc>
        <w:tc>
          <w:tcPr>
            <w:tcW w:w="68" w:type="dxa"/>
            <w:tcBorders>
              <w:bottom w:val="single" w:sz="8" w:space="0" w:color="0171B9"/>
            </w:tcBorders>
            <w:tcMar>
              <w:bottom w:w="28" w:type="dxa"/>
            </w:tcMar>
            <w:vAlign w:val="center"/>
          </w:tcPr>
          <w:p>
            <w:pPr>
              <w:pStyle w:val="TableContents"/>
              <w:bidi w:val="0"/>
              <w:jc w:val="left"/>
              <w:rPr/>
            </w:pPr>
            <w:r>
              <w:rPr/>
              <w:t> </w:t>
            </w:r>
          </w:p>
          <w:p>
            <w:pPr>
              <w:pStyle w:val="TableContents"/>
              <w:bidi w:val="0"/>
              <w:spacing w:before="0" w:after="20"/>
              <w:jc w:val="left"/>
              <w:rPr/>
            </w:pPr>
            <w:r>
              <w:rPr/>
              <w:t> </w:t>
            </w:r>
          </w:p>
        </w:tc>
        <w:tc>
          <w:tcPr>
            <w:tcW w:w="1269" w:type="dxa"/>
            <w:tcBorders>
              <w:bottom w:val="single" w:sz="8" w:space="0" w:color="0171B9"/>
            </w:tcBorders>
            <w:tcMar>
              <w:bottom w:w="28" w:type="dxa"/>
            </w:tcMar>
            <w:vAlign w:val="center"/>
          </w:tcPr>
          <w:p>
            <w:pPr>
              <w:pStyle w:val="TableContents"/>
              <w:bidi w:val="0"/>
              <w:jc w:val="right"/>
              <w:rPr/>
            </w:pPr>
            <w:r>
              <w:rPr/>
              <w:t>13,022,899</w:t>
            </w:r>
          </w:p>
          <w:p>
            <w:pPr>
              <w:pStyle w:val="TableContents"/>
              <w:bidi w:val="0"/>
              <w:spacing w:before="0" w:after="20"/>
              <w:jc w:val="left"/>
              <w:rPr/>
            </w:pPr>
            <w:r>
              <w:rPr/>
              <w:t> </w:t>
            </w:r>
          </w:p>
        </w:tc>
        <w:tc>
          <w:tcPr>
            <w:tcW w:w="304" w:type="dxa"/>
            <w:tcBorders>
              <w:bottom w:val="single" w:sz="8" w:space="0" w:color="0171B9"/>
            </w:tcBorders>
            <w:tcMar>
              <w:bottom w:w="28" w:type="dxa"/>
            </w:tcMar>
            <w:vAlign w:val="center"/>
          </w:tcPr>
          <w:p>
            <w:pPr>
              <w:pStyle w:val="TableContents"/>
              <w:bidi w:val="0"/>
              <w:jc w:val="left"/>
              <w:rPr/>
            </w:pPr>
            <w:r>
              <w:rPr/>
              <w:t> </w:t>
            </w:r>
          </w:p>
          <w:p>
            <w:pPr>
              <w:pStyle w:val="TableContents"/>
              <w:bidi w:val="0"/>
              <w:spacing w:before="0" w:after="20"/>
              <w:jc w:val="left"/>
              <w:rPr/>
            </w:pPr>
            <w:r>
              <w:rPr/>
              <w:t> </w:t>
            </w:r>
          </w:p>
        </w:tc>
        <w:tc>
          <w:tcPr>
            <w:tcW w:w="120" w:type="dxa"/>
            <w:tcBorders>
              <w:bottom w:val="single" w:sz="8" w:space="0" w:color="0171B9"/>
            </w:tcBorders>
            <w:tcMar>
              <w:bottom w:w="28" w:type="dxa"/>
            </w:tcMar>
            <w:vAlign w:val="center"/>
          </w:tcPr>
          <w:p>
            <w:pPr>
              <w:pStyle w:val="TableContents"/>
              <w:bidi w:val="0"/>
              <w:spacing w:before="0" w:after="283"/>
              <w:jc w:val="left"/>
              <w:rPr/>
            </w:pPr>
            <w:r>
              <w:rPr/>
              <w:t>  </w:t>
            </w:r>
          </w:p>
        </w:tc>
        <w:tc>
          <w:tcPr>
            <w:tcW w:w="62" w:type="dxa"/>
            <w:tcBorders>
              <w:bottom w:val="single" w:sz="8" w:space="0" w:color="0171B9"/>
            </w:tcBorders>
            <w:tcMar>
              <w:bottom w:w="28" w:type="dxa"/>
            </w:tcMar>
            <w:vAlign w:val="center"/>
          </w:tcPr>
          <w:p>
            <w:pPr>
              <w:pStyle w:val="TableContents"/>
              <w:bidi w:val="0"/>
              <w:jc w:val="left"/>
              <w:rPr/>
            </w:pPr>
            <w:r>
              <w:rPr/>
              <w:t> </w:t>
            </w:r>
          </w:p>
          <w:p>
            <w:pPr>
              <w:pStyle w:val="TableContents"/>
              <w:bidi w:val="0"/>
              <w:spacing w:before="0" w:after="20"/>
              <w:jc w:val="left"/>
              <w:rPr/>
            </w:pPr>
            <w:r>
              <w:rPr/>
              <w:t> </w:t>
            </w:r>
          </w:p>
        </w:tc>
        <w:tc>
          <w:tcPr>
            <w:tcW w:w="1156" w:type="dxa"/>
            <w:tcBorders>
              <w:bottom w:val="single" w:sz="8" w:space="0" w:color="0171B9"/>
            </w:tcBorders>
            <w:tcMar>
              <w:bottom w:w="28" w:type="dxa"/>
            </w:tcMar>
            <w:vAlign w:val="center"/>
          </w:tcPr>
          <w:p>
            <w:pPr>
              <w:pStyle w:val="TableContents"/>
              <w:bidi w:val="0"/>
              <w:jc w:val="right"/>
              <w:rPr/>
            </w:pPr>
            <w:r>
              <w:rPr/>
              <w:t>13,022,899</w:t>
            </w:r>
          </w:p>
          <w:p>
            <w:pPr>
              <w:pStyle w:val="TableContents"/>
              <w:bidi w:val="0"/>
              <w:spacing w:before="0" w:after="20"/>
              <w:jc w:val="left"/>
              <w:rPr/>
            </w:pPr>
            <w:r>
              <w:rPr/>
              <w:t> </w:t>
            </w:r>
          </w:p>
        </w:tc>
        <w:tc>
          <w:tcPr>
            <w:tcW w:w="324" w:type="dxa"/>
            <w:tcBorders>
              <w:bottom w:val="single" w:sz="8" w:space="0" w:color="0171B9"/>
            </w:tcBorders>
            <w:tcMar>
              <w:bottom w:w="28" w:type="dxa"/>
            </w:tcMar>
            <w:vAlign w:val="center"/>
          </w:tcPr>
          <w:p>
            <w:pPr>
              <w:pStyle w:val="TableContents"/>
              <w:bidi w:val="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(1) </w:t>
            </w:r>
          </w:p>
        </w:tc>
        <w:tc>
          <w:tcPr>
            <w:tcW w:w="9954" w:type="dxa"/>
            <w:tcBorders/>
            <w:vAlign w:val="center"/>
          </w:tcPr>
          <w:p>
            <w:pPr>
              <w:pStyle w:val="TableContents"/>
              <w:bidi w:val="0"/>
              <w:spacing w:before="0" w:after="0"/>
              <w:jc w:val="both"/>
              <w:rPr>
                <w:rFonts w:ascii="arial" w:hAnsi="arial"/>
                <w:sz w:val="16"/>
              </w:rPr>
            </w:pPr>
            <w:r>
              <w:rPr>
                <w:rFonts w:ascii="arial" w:hAnsi="arial"/>
                <w:sz w:val="16"/>
              </w:rPr>
              <w:t xml:space="preserve">In the event of a change of control (with or without a qualifying termination) that occurs after the first six months of the 2023-2025 performance period, the number of performance units that would have been earned is the sum of the number of performance units granted and related dividend equivalents accrued through December 31, 2023, multiplied by a payout percentage of 130%, which employs the plan dictated target level of performance for the operating performance measures of 100% modified up by 30 percentage points by the TSR modifier, based on our TSR percentile rank relative to the TSRs of the companies in the Reference Group for the period from the May 2, 2023 grant date through September 30, 2023, the last business day of the last fiscal quarter before the change in control. </w:t>
            </w:r>
          </w:p>
        </w:tc>
      </w:tr>
    </w:tbl>
    <w:p>
      <w:pPr>
        <w:pStyle w:val="TextBody"/>
        <w:bidi w:val="0"/>
        <w:spacing w:before="0" w:after="0"/>
        <w:jc w:val="both"/>
        <w:rPr>
          <w:rFonts w:ascii="arial" w:hAnsi="arial"/>
          <w:sz w:val="16"/>
        </w:rPr>
      </w:pPr>
      <w:r>
        <w:rPr>
          <w:rFonts w:ascii="arial" w:hAnsi="arial"/>
          <w:sz w:val="16"/>
        </w:rPr>
        <w:t xml:space="preserve">In the event of a change of control occurring (with or without a qualifying termination) that occurs during the second year of the 2022-2024 performance period, the number of performance units that would have been earned is the sum of the number of performance units granted and related dividend equivalents accrued through December 31, 2023, multiplied by a payout percentage of 131.0%, which is the percentage based on the estimated outcomes of our operating performance measures achieved during the first year of the performance period of 109.7%, increased by the TSR modifier by 21.3 percentage points based on our TSR percentile rank relative to the TSRs of the companies in the Reference Group for the period from the May 2, 2022 grant date to September 30, 2023, the last business day of the last fiscal quarter before the change of control. </w:t>
      </w:r>
    </w:p>
    <w:p>
      <w:pPr>
        <w:pStyle w:val="TextBody"/>
        <w:bidi w:val="0"/>
        <w:spacing w:before="0" w:after="0"/>
        <w:jc w:val="both"/>
        <w:rPr>
          <w:rFonts w:ascii="arial" w:hAnsi="arial"/>
          <w:sz w:val="16"/>
        </w:rPr>
      </w:pPr>
      <w:r>
        <w:rPr>
          <w:rFonts w:ascii="arial" w:hAnsi="arial"/>
          <w:sz w:val="16"/>
        </w:rPr>
        <w:t xml:space="preserve">Our TSRs for purposes of determining the payout percentages of these awards would be based on the higher of: (i) the average closing price of our Common Stock for the last 20 trading days of the shortened performance period ended on September 30, 2023; and (ii) the value of consideration the acquirer paid for a share of our Common Stock in the change of control. For purposes of the payout values shown in the tables, the TSRs for our Common Stock were based on the respective actual TSRs over the respective averaging periods ending September 30, 2023, the last business day of the last fiscal quarter before the change in control. The resulting number of units that would have been so earned was multiplied by $288.02, the closing price of our Common Stock on December 31, 2023. </w:t>
      </w:r>
    </w:p>
    <w:p>
      <w:pPr>
        <w:pStyle w:val="TextBody"/>
        <w:bidi w:val="0"/>
        <w:spacing w:before="0" w:after="0"/>
        <w:jc w:val="both"/>
        <w:rPr>
          <w:rFonts w:ascii="arial" w:hAnsi="arial"/>
          <w:sz w:val="16"/>
        </w:rPr>
      </w:pPr>
      <w:r>
        <w:rPr>
          <w:rFonts w:ascii="arial" w:hAnsi="arial"/>
          <w:sz w:val="16"/>
        </w:rPr>
        <w:t>For information on the actual number of units to be earned for these performance unit grants, see “Elements of Compensation and Specific Compensation Decisions—</w:t>
      </w:r>
      <w:r>
        <w:rPr>
          <w:rFonts w:ascii="arial" w:hAnsi="arial"/>
          <w:i/>
          <w:sz w:val="16"/>
        </w:rPr>
        <w:t>Long-Term Incentive Equity Awards</w:t>
      </w:r>
      <w:r>
        <w:rPr>
          <w:rFonts w:ascii="arial" w:hAnsi="arial"/>
          <w:sz w:val="16"/>
        </w:rPr>
        <w:t xml:space="preserve">” in our Compensation Discussion and Analysis.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(2) </w:t>
            </w:r>
          </w:p>
        </w:tc>
        <w:tc>
          <w:tcPr>
            <w:tcW w:w="9933" w:type="dxa"/>
            <w:tcBorders/>
            <w:vAlign w:val="center"/>
          </w:tcPr>
          <w:p>
            <w:pPr>
              <w:pStyle w:val="TableContents"/>
              <w:bidi w:val="0"/>
              <w:spacing w:before="0" w:after="0"/>
              <w:jc w:val="both"/>
              <w:rPr>
                <w:rFonts w:ascii="arial" w:hAnsi="arial"/>
                <w:sz w:val="16"/>
              </w:rPr>
            </w:pPr>
            <w:r>
              <w:rPr>
                <w:rFonts w:ascii="arial" w:hAnsi="arial"/>
                <w:sz w:val="16"/>
              </w:rPr>
              <w:t xml:space="preserve">In the event death or disability occurs, the participant is entitled to the number of performance units that would have been earned by the NEO if he had remained employed for the entire performance period. For purposes of the payout values shown in the tables, the number of units that would have been earned was multiplied by $288.02, the closing price of our Common Stock on December 31, 2023. </w:t>
            </w:r>
          </w:p>
        </w:tc>
      </w:tr>
    </w:tbl>
    <w:p>
      <w:pPr>
        <w:pStyle w:val="TextBody"/>
        <w:bidi w:val="0"/>
        <w:spacing w:before="0" w:after="0"/>
        <w:jc w:val="both"/>
        <w:rPr>
          <w:rFonts w:ascii="arial" w:hAnsi="arial"/>
          <w:sz w:val="16"/>
        </w:rPr>
      </w:pPr>
      <w:r>
        <w:rPr>
          <w:rFonts w:ascii="arial" w:hAnsi="arial"/>
          <w:sz w:val="16"/>
        </w:rPr>
        <w:t xml:space="preserve">For the 2023-2025 performance period, the number of performance units that would have been earned has been estimated as the sum of the number of performance units granted and related dividend equivalents accrued through December 31, 2023, multiplied by the payout percentage of 132.8%. The payout percentage is based on the estimated outcomes as of December 31, 2023, of our operating performance measures to be achieved during the performance period of 102.8%, which was increased by the TSR modifier by 30 percentage points based on our TSR percentile rank relative to the TSRs of the companies in the Reference Group for the period from the May 2, 2023 grant date to December 31, 2023. </w:t>
      </w:r>
    </w:p>
    <w:p>
      <w:pPr>
        <w:pStyle w:val="TextBody"/>
        <w:bidi w:val="0"/>
        <w:spacing w:before="0" w:after="0"/>
        <w:jc w:val="both"/>
        <w:rPr>
          <w:rFonts w:ascii="arial" w:hAnsi="arial"/>
          <w:sz w:val="16"/>
        </w:rPr>
      </w:pPr>
      <w:r>
        <w:rPr>
          <w:rFonts w:ascii="arial" w:hAnsi="arial"/>
          <w:sz w:val="16"/>
        </w:rPr>
        <w:t xml:space="preserve">For the 2022-2024 performance period, the number of performance units that would have been earned has been estimated as the sum of the number of performance units granted and related dividend equivalents accrued through December 31, 2023, multiplied by the payout percentage of 99.0%. The payout percentage is based on the estimated outcomes as of December 31, 2023, of our operating performance measures to be achieved during the performance period of 77.8%, which was increased by the TSR modifier by 21.2 percentage points based on our TSR percentile rank relative to the TSRs of the companies in the Reference Group for the period from the May 2, 2022 grant date to December 31, 2023. </w:t>
      </w:r>
    </w:p>
    <w:p>
      <w:pPr>
        <w:pStyle w:val="TextBody"/>
        <w:bidi w:val="0"/>
        <w:spacing w:before="0" w:after="0"/>
        <w:jc w:val="both"/>
        <w:rPr>
          <w:rFonts w:ascii="arial" w:hAnsi="arial"/>
          <w:sz w:val="16"/>
        </w:rPr>
      </w:pPr>
      <w:r>
        <w:rPr>
          <w:rFonts w:ascii="arial" w:hAnsi="arial"/>
          <w:sz w:val="16"/>
        </w:rPr>
        <w:t>In the event of actual death or disability, payout of shares in satisfaction of amounts earned for grants for the 2023-2025 and 2022-2024 performance periods would not occur until after the end of the performance periods and would be based on actual performance through the end of the performance period. For more information, see “Elements of Compensation and Specific Compensation Decisions—</w:t>
      </w:r>
      <w:r>
        <w:rPr>
          <w:rFonts w:ascii="arial" w:hAnsi="arial"/>
          <w:i/>
          <w:sz w:val="16"/>
        </w:rPr>
        <w:t>Long-Term Incentive Equity Awards</w:t>
      </w:r>
      <w:r>
        <w:rPr>
          <w:rFonts w:ascii="arial" w:hAnsi="arial"/>
          <w:sz w:val="16"/>
        </w:rPr>
        <w:t xml:space="preserve">” in our Compensation Discussion and Analysis. </w:t>
      </w:r>
    </w:p>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98  </w:t>
      </w:r>
      <w:r>
        <w:rPr>
          <w:rFonts w:ascii="arial" w:hAnsi="arial"/>
          <w:b/>
          <w:color w:val="474747"/>
          <w:sz w:val="22"/>
        </w:rPr>
        <w:drawing>
          <wp:inline distT="0" distB="0" distL="0" distR="0">
            <wp:extent cx="64770" cy="15240"/>
            <wp:effectExtent l="0" t="0" r="0" b="0"/>
            <wp:docPr id="345"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161" descr=""/>
                    <pic:cNvPicPr>
                      <a:picLocks noChangeAspect="1" noChangeArrowheads="1"/>
                    </pic:cNvPicPr>
                  </pic:nvPicPr>
                  <pic:blipFill>
                    <a:blip r:embed="rId174"/>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419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371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1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371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Executive Compensation Tables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both"/>
        <w:rPr>
          <w:rFonts w:ascii="arial" w:hAnsi="arial"/>
          <w:sz w:val="16"/>
        </w:rPr>
      </w:pPr>
      <w:r>
        <w:rPr>
          <w:rFonts w:ascii="arial" w:hAnsi="arial"/>
          <w:sz w:val="16"/>
        </w:rPr>
        <w:t xml:space="preserve">As Mr. Bradway, Dr. Reese, and Mr. Santos were retirement-eligible as of December 31, 2023, the retirement payout amounts for performance units for the 2023-2025 and 2022-2024 performance periods were calculated in the same manner as the respective death and disability amounts.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(3) </w:t>
            </w:r>
          </w:p>
        </w:tc>
        <w:tc>
          <w:tcPr>
            <w:tcW w:w="9930" w:type="dxa"/>
            <w:tcBorders/>
            <w:vAlign w:val="center"/>
          </w:tcPr>
          <w:p>
            <w:pPr>
              <w:pStyle w:val="TableContents"/>
              <w:bidi w:val="0"/>
              <w:spacing w:before="0" w:after="0"/>
              <w:jc w:val="both"/>
              <w:rPr>
                <w:rFonts w:ascii="arial" w:hAnsi="arial"/>
                <w:sz w:val="16"/>
              </w:rPr>
            </w:pPr>
            <w:r>
              <w:rPr>
                <w:rFonts w:ascii="arial" w:hAnsi="arial"/>
                <w:sz w:val="16"/>
              </w:rPr>
              <w:t xml:space="preserve">Reflects the estimated cost of medical, dental, and vision insurance coverage based on rates charged to our staff members for post-employment coverage provided in accordance with COBRA for the first 18 months following termination adjusted for the last six months of this period by a 5% inflation factor for medical coverage and a 3% inflation factor for dental coverage.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(4) </w:t>
            </w:r>
          </w:p>
        </w:tc>
        <w:tc>
          <w:tcPr>
            <w:tcW w:w="9936" w:type="dxa"/>
            <w:tcBorders/>
            <w:vAlign w:val="center"/>
          </w:tcPr>
          <w:p>
            <w:pPr>
              <w:pStyle w:val="TableContents"/>
              <w:bidi w:val="0"/>
              <w:spacing w:before="0" w:after="0"/>
              <w:jc w:val="both"/>
              <w:rPr>
                <w:rFonts w:ascii="arial" w:hAnsi="arial"/>
                <w:sz w:val="16"/>
              </w:rPr>
            </w:pPr>
            <w:r>
              <w:rPr>
                <w:rFonts w:ascii="arial" w:hAnsi="arial"/>
                <w:sz w:val="16"/>
              </w:rPr>
              <w:t xml:space="preserve">Reflects the value of retirement plan contributions for two years calculated as two times the sum of: (i) $2,500; and (ii) the product of: (a) 10%; and (b) the sum of the NEO’s annual base salary as of December 31, 2023, and the NEO’s targeted annual cash incentive award for 2023 (which equals the NEO’s annual base salary as of December 31, 2023, multiplied by the NEO’s target annual cash incentive award percentage for 2023). </w:t>
            </w:r>
          </w:p>
        </w:tc>
      </w:tr>
    </w:tbl>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346"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162" descr=""/>
                    <pic:cNvPicPr>
                      <a:picLocks noChangeAspect="1" noChangeArrowheads="1"/>
                    </pic:cNvPicPr>
                  </pic:nvPicPr>
                  <pic:blipFill>
                    <a:blip r:embed="rId175"/>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99</w:t>
      </w:r>
      <w:r>
        <w:rPr>
          <w:rFonts w:ascii="arial" w:hAnsi="arial"/>
          <w:b/>
          <w:sz w:val="22"/>
        </w:rPr>
        <w:t xml:space="preserve"> </w:t>
      </w:r>
      <w:r>
        <w:br w:type="page"/>
      </w:r>
    </w:p>
    <w:p>
      <w:pPr>
        <w:pStyle w:val="HorizontalLine"/>
        <w:bidi w:val="0"/>
        <w:jc w:val="left"/>
        <w:rPr/>
      </w:pPr>
      <w:r>
        <w:rPr/>
      </w:r>
    </w:p>
    <w:tbl>
      <w:tblPr>
        <w:tblW w:w="333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285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spacing w:val="0"/>
              </w:rPr>
            </w:pPr>
            <w:r>
              <w:rPr>
                <w:color w:val="FFFFFF"/>
                <w:spacing w:val="0"/>
              </w:rPr>
              <w:t> </w:t>
            </w:r>
          </w:p>
          <w:p>
            <w:pPr>
              <w:pStyle w:val="TableContents"/>
              <w:bidi w:val="0"/>
              <w:spacing w:before="0" w:after="20"/>
              <w:jc w:val="left"/>
              <w:rPr/>
            </w:pPr>
            <w:r>
              <w:rPr/>
              <w:t> </w:t>
            </w:r>
          </w:p>
        </w:tc>
        <w:tc>
          <w:tcPr>
            <w:tcW w:w="285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pacing w:val="0"/>
                <w:sz w:val="24"/>
              </w:rPr>
            </w:pPr>
            <w:r>
              <w:rPr>
                <w:rFonts w:ascii="arial" w:hAnsi="arial"/>
                <w:b/>
                <w:color w:val="FFFFFF"/>
                <w:spacing w:val="0"/>
                <w:sz w:val="24"/>
              </w:rPr>
              <w:t>Pay Versus Performance</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spacing w:val="0"/>
              </w:rPr>
            </w:pPr>
            <w:r>
              <w:rPr>
                <w:color w:val="FFFFFF"/>
                <w:spacing w:val="0"/>
              </w:rPr>
              <w:t> </w:t>
            </w:r>
          </w:p>
          <w:p>
            <w:pPr>
              <w:pStyle w:val="TableContents"/>
              <w:bidi w:val="0"/>
              <w:spacing w:before="0" w:after="20"/>
              <w:jc w:val="left"/>
              <w:rPr/>
            </w:pPr>
            <w:r>
              <w:rPr/>
              <w:t> </w:t>
            </w:r>
          </w:p>
        </w:tc>
      </w:tr>
    </w:tbl>
    <w:p>
      <w:pPr>
        <w:pStyle w:val="TextBody"/>
        <w:bidi w:val="0"/>
        <w:spacing w:before="0" w:after="0"/>
        <w:jc w:val="left"/>
        <w:rPr>
          <w:shd w:fill="FFFFFF" w:val="clear"/>
        </w:rPr>
      </w:pPr>
      <w:r>
        <w:rPr>
          <w:shd w:fill="FFFFFF" w:val="clear"/>
        </w:rPr>
        <w:t> </w:t>
      </w:r>
    </w:p>
    <w:p>
      <w:pPr>
        <w:pStyle w:val="TextBody"/>
        <w:bidi w:val="0"/>
        <w:spacing w:before="0" w:after="0"/>
        <w:jc w:val="left"/>
        <w:rPr>
          <w:shd w:fill="FFFFFF" w:val="clear"/>
        </w:rPr>
      </w:pPr>
      <w:r>
        <w:rPr>
          <w:shd w:fill="FFFFFF" w:val="clear"/>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color w:val="0171B9"/>
          <w:spacing w:val="0"/>
          <w:sz w:val="44"/>
        </w:rPr>
      </w:pPr>
      <w:r>
        <w:rPr>
          <w:rFonts w:ascii="arial" w:hAnsi="arial"/>
          <w:b/>
          <w:color w:val="0171B9"/>
          <w:spacing w:val="0"/>
          <w:sz w:val="44"/>
        </w:rPr>
        <w:t xml:space="preserve">Pay Versus Performance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40"/>
        <w:jc w:val="left"/>
        <w:rPr>
          <w:bdr w:val="single" w:sz="2" w:space="1" w:color="666666"/>
          <w:shd w:fill="FFFFFF" w:val="clear"/>
        </w:rPr>
      </w:pPr>
      <w:r>
        <w:rPr>
          <w:bdr w:val="single" w:sz="2" w:space="1" w:color="666666"/>
          <w:shd w:fill="FFFFFF" w:val="clear"/>
        </w:rPr>
        <w:t> </w:t>
      </w:r>
    </w:p>
    <w:p>
      <w:pPr>
        <w:pStyle w:val="TextBody"/>
        <w:bidi w:val="0"/>
        <w:spacing w:before="0" w:after="0"/>
        <w:jc w:val="left"/>
        <w:rPr>
          <w:shd w:fill="FFFFFF" w:val="clear"/>
        </w:rPr>
      </w:pPr>
      <w:r>
        <w:rPr>
          <w:shd w:fill="FFFFFF" w:val="clear"/>
        </w:rPr>
        <w:t> </w:t>
      </w:r>
    </w:p>
    <w:p>
      <w:pPr>
        <w:pStyle w:val="TextBody"/>
        <w:bidi w:val="0"/>
        <w:spacing w:before="0" w:after="0"/>
        <w:jc w:val="left"/>
        <w:rPr>
          <w:shd w:fill="FFFFFF" w:val="clear"/>
        </w:rPr>
      </w:pPr>
      <w:r>
        <w:rPr>
          <w:shd w:fill="FFFFFF" w:val="clear"/>
        </w:rPr>
        <w:t> </w:t>
      </w:r>
      <w:r>
        <mc:AlternateContent>
          <mc:Choice Requires="wps">
            <w:drawing>
              <wp:anchor behindDoc="0" distT="0" distB="0" distL="0" distR="0" simplePos="0" locked="0" layoutInCell="1" allowOverlap="1" relativeHeight="410">
                <wp:simplePos x="0" y="0"/>
                <wp:positionH relativeFrom="column">
                  <wp:align>left</wp:align>
                </wp:positionH>
                <wp:positionV relativeFrom="line">
                  <wp:posOffset>635</wp:posOffset>
                </wp:positionV>
                <wp:extent cx="3110230" cy="1107440"/>
                <wp:effectExtent l="0" t="0" r="0" b="0"/>
                <wp:wrapSquare wrapText="right"/>
                <wp:docPr id="347" name="Frame173"/>
                <a:graphic xmlns:a="http://schemas.openxmlformats.org/drawingml/2006/main">
                  <a:graphicData uri="http://schemas.microsoft.com/office/word/2010/wordprocessingShape">
                    <wps:wsp>
                      <wps:cNvSpPr txBox="1"/>
                      <wps:spPr>
                        <a:xfrm>
                          <a:off x="0" y="0"/>
                          <a:ext cx="3110230" cy="110744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As required, below is disclosure of the compensation of the Company’s Named Executive Officers, or NEOs, for the last four fiscal years calculated in accordance with Item 402(v) of Regulation S-K. Item 402(v) requires disclosure of “compensation actually paid” based on calculations that report changes in the fair value of equity awards granted in prior years, granted during the fiscal year, and vesting during the fiscal year, but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87.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As required, below is disclosure of the compensation of the Company’s Named Executive Officers, or NEOs, for the last four fiscal years calculated in accordance with Item 402(v) of Regulation S-K. Item 402(v) requires disclosure of “compensation actually paid” based on calculations that report changes in the fair value of equity awards granted in prior years, granted during the fiscal year, and vesting during the fiscal year, but </w:t>
                      </w:r>
                    </w:p>
                  </w:txbxContent>
                </v:textbox>
                <w10:wrap type="square" side="right"/>
              </v:rect>
            </w:pict>
          </mc:Fallback>
        </mc:AlternateContent>
      </w:r>
      <w:r>
        <mc:AlternateContent>
          <mc:Choice Requires="wps">
            <w:drawing>
              <wp:anchor behindDoc="0" distT="0" distB="0" distL="0" distR="0" simplePos="0" locked="0" layoutInCell="1" allowOverlap="1" relativeHeight="411">
                <wp:simplePos x="0" y="0"/>
                <wp:positionH relativeFrom="column">
                  <wp:align>left</wp:align>
                </wp:positionH>
                <wp:positionV relativeFrom="line">
                  <wp:posOffset>635</wp:posOffset>
                </wp:positionV>
                <wp:extent cx="3175000" cy="1045210"/>
                <wp:effectExtent l="0" t="0" r="0" b="0"/>
                <wp:wrapSquare wrapText="right"/>
                <wp:docPr id="348" name="Frame174"/>
                <a:graphic xmlns:a="http://schemas.openxmlformats.org/drawingml/2006/main">
                  <a:graphicData uri="http://schemas.microsoft.com/office/word/2010/wordprocessingShape">
                    <wps:wsp>
                      <wps:cNvSpPr txBox="1"/>
                      <wps:spPr>
                        <a:xfrm>
                          <a:off x="0" y="0"/>
                          <a:ext cx="3175000" cy="104521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that do not reflect the actual amount of compensation earned or received by any of the NEOs during the fiscal year. </w:t>
                            </w:r>
                          </w:p>
                          <w:p>
                            <w:pPr>
                              <w:pStyle w:val="TextBody"/>
                              <w:bidi w:val="0"/>
                              <w:spacing w:before="120" w:after="0"/>
                              <w:jc w:val="both"/>
                              <w:rPr>
                                <w:rFonts w:ascii="arial" w:hAnsi="arial"/>
                                <w:sz w:val="19"/>
                              </w:rPr>
                            </w:pPr>
                            <w:r>
                              <w:rPr>
                                <w:rFonts w:ascii="arial" w:hAnsi="arial"/>
                                <w:sz w:val="19"/>
                              </w:rPr>
                              <w:t xml:space="preserve">For information about our compensation philosophy and how we align executive compensation with our performance, please see our Compensation Discussion and Analysis.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82.3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that do not reflect the actual amount of compensation earned or received by any of the NEOs during the fiscal year. </w:t>
                      </w:r>
                    </w:p>
                    <w:p>
                      <w:pPr>
                        <w:pStyle w:val="TextBody"/>
                        <w:bidi w:val="0"/>
                        <w:spacing w:before="120" w:after="0"/>
                        <w:jc w:val="both"/>
                        <w:rPr>
                          <w:rFonts w:ascii="arial" w:hAnsi="arial"/>
                          <w:sz w:val="19"/>
                        </w:rPr>
                      </w:pPr>
                      <w:r>
                        <w:rPr>
                          <w:rFonts w:ascii="arial" w:hAnsi="arial"/>
                          <w:sz w:val="19"/>
                        </w:rPr>
                        <w:t xml:space="preserve">For information about our compensation philosophy and how we align executive compensation with our performance, please see our Compensation Discussion and Analysis. </w:t>
                      </w:r>
                    </w:p>
                  </w:txbxContent>
                </v:textbox>
                <w10:wrap type="square" side="right"/>
              </v:rect>
            </w:pict>
          </mc:Fallback>
        </mc:AlternateContent>
      </w:r>
    </w:p>
    <w:tbl>
      <w:tblPr>
        <w:tblW w:w="10440" w:type="dxa"/>
        <w:jc w:val="left"/>
        <w:tblInd w:w="0" w:type="dxa"/>
        <w:tblLayout w:type="fixed"/>
        <w:tblCellMar>
          <w:top w:w="0" w:type="dxa"/>
          <w:left w:w="0" w:type="dxa"/>
          <w:bottom w:w="0" w:type="dxa"/>
          <w:right w:w="0" w:type="dxa"/>
        </w:tblCellMar>
      </w:tblPr>
      <w:tblGrid>
        <w:gridCol w:w="455"/>
        <w:gridCol w:w="60"/>
        <w:gridCol w:w="65"/>
        <w:gridCol w:w="1200"/>
        <w:gridCol w:w="60"/>
        <w:gridCol w:w="60"/>
        <w:gridCol w:w="70"/>
        <w:gridCol w:w="1285"/>
        <w:gridCol w:w="60"/>
        <w:gridCol w:w="60"/>
        <w:gridCol w:w="72"/>
        <w:gridCol w:w="1193"/>
        <w:gridCol w:w="60"/>
        <w:gridCol w:w="60"/>
        <w:gridCol w:w="70"/>
        <w:gridCol w:w="1285"/>
        <w:gridCol w:w="60"/>
        <w:gridCol w:w="60"/>
        <w:gridCol w:w="101"/>
        <w:gridCol w:w="999"/>
        <w:gridCol w:w="60"/>
        <w:gridCol w:w="60"/>
        <w:gridCol w:w="101"/>
        <w:gridCol w:w="969"/>
        <w:gridCol w:w="60"/>
        <w:gridCol w:w="60"/>
        <w:gridCol w:w="62"/>
        <w:gridCol w:w="588"/>
        <w:gridCol w:w="60"/>
        <w:gridCol w:w="60"/>
        <w:gridCol w:w="91"/>
        <w:gridCol w:w="859"/>
        <w:gridCol w:w="75"/>
      </w:tblGrid>
      <w:tr>
        <w:trPr/>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5" w:type="dxa"/>
            <w:vMerge w:val="restart"/>
            <w:tcBorders/>
            <w:shd w:fill="0171B9" w:val="clear"/>
            <w:vAlign w:val="center"/>
          </w:tcPr>
          <w:p>
            <w:pPr>
              <w:pStyle w:val="TableContents"/>
              <w:bidi w:val="0"/>
              <w:spacing w:before="0" w:after="20"/>
              <w:jc w:val="center"/>
              <w:rPr>
                <w:rFonts w:ascii="arial" w:hAnsi="arial"/>
                <w:b/>
                <w:color w:val="FFFFFF"/>
                <w:sz w:val="18"/>
              </w:rPr>
            </w:pPr>
            <w:r>
              <w:rPr>
                <w:rFonts w:ascii="arial" w:hAnsi="arial"/>
                <w:b/>
                <w:color w:val="FFFFFF"/>
                <w:sz w:val="18"/>
              </w:rPr>
              <w:t>Year</w:t>
            </w:r>
          </w:p>
        </w:tc>
        <w:tc>
          <w:tcPr>
            <w:tcW w:w="60" w:type="dxa"/>
            <w:tcBorders/>
            <w:shd w:fill="0171B9" w:val="clear"/>
            <w:vAlign w:val="center"/>
          </w:tcPr>
          <w:p>
            <w:pPr>
              <w:pStyle w:val="TableContents"/>
              <w:bidi w:val="0"/>
              <w:spacing w:before="0" w:after="283"/>
              <w:jc w:val="left"/>
              <w:rPr/>
            </w:pPr>
            <w:r>
              <w:rPr/>
              <w:t> </w:t>
            </w:r>
          </w:p>
        </w:tc>
        <w:tc>
          <w:tcPr>
            <w:tcW w:w="1265" w:type="dxa"/>
            <w:gridSpan w:val="2"/>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1355" w:type="dxa"/>
            <w:gridSpan w:val="2"/>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1265" w:type="dxa"/>
            <w:gridSpan w:val="2"/>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1355" w:type="dxa"/>
            <w:gridSpan w:val="2"/>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2290" w:type="dxa"/>
            <w:gridSpan w:val="6"/>
            <w:tcBorders>
              <w:bottom w:val="single" w:sz="8" w:space="0" w:color="FFFFFF"/>
            </w:tcBorders>
            <w:shd w:fill="0171B9" w:val="clear"/>
            <w:tcMar>
              <w:bottom w:w="60" w:type="dxa"/>
            </w:tcMar>
            <w:vAlign w:val="center"/>
          </w:tcPr>
          <w:p>
            <w:pPr>
              <w:pStyle w:val="TableContents"/>
              <w:bidi w:val="0"/>
              <w:spacing w:before="0" w:after="0"/>
              <w:jc w:val="center"/>
              <w:rPr>
                <w:b/>
                <w:color w:val="FFFFFF"/>
              </w:rPr>
            </w:pPr>
            <w:r>
              <w:rPr>
                <w:b/>
                <w:color w:val="FFFFFF"/>
              </w:rPr>
              <w:t>Value of Initial Fixed $100</w:t>
              <w:br/>
              <w:t>Investment Based on:</w:t>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650" w:type="dxa"/>
            <w:gridSpan w:val="2"/>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950" w:type="dxa"/>
            <w:gridSpan w:val="2"/>
            <w:tcBorders/>
            <w:shd w:fill="0171B9" w:val="clear"/>
            <w:vAlign w:val="center"/>
          </w:tcPr>
          <w:p>
            <w:pPr>
              <w:pStyle w:val="TableContents"/>
              <w:bidi w:val="0"/>
              <w:spacing w:before="0" w:after="283"/>
              <w:jc w:val="left"/>
              <w:rPr/>
            </w:pPr>
            <w:r>
              <w:rPr/>
              <w:t> </w:t>
            </w:r>
          </w:p>
        </w:tc>
        <w:tc>
          <w:tcPr>
            <w:tcW w:w="75" w:type="dxa"/>
            <w:tcBorders/>
            <w:shd w:fill="0171B9" w:val="clear"/>
            <w:vAlign w:val="center"/>
          </w:tcPr>
          <w:p>
            <w:pPr>
              <w:pStyle w:val="TableContents"/>
              <w:bidi w:val="0"/>
              <w:spacing w:before="0" w:after="283"/>
              <w:jc w:val="left"/>
              <w:rPr/>
            </w:pPr>
            <w:r>
              <w:rPr/>
              <w:t> </w:t>
            </w:r>
          </w:p>
        </w:tc>
      </w:tr>
      <w:tr>
        <w:trPr/>
        <w:tc>
          <w:tcPr>
            <w:tcW w:w="455" w:type="dxa"/>
            <w:vMerge w:val="continue"/>
            <w:tcBorders/>
            <w:shd w:fill="0171B9" w:val="clear"/>
            <w:vAlign w:val="center"/>
          </w:tcPr>
          <w:p>
            <w:pPr>
              <w:pStyle w:val="Normal"/>
              <w:bidi w:val="0"/>
              <w:jc w:val="left"/>
              <w:rPr/>
            </w:pPr>
            <w:r>
              <w:rPr/>
            </w:r>
          </w:p>
        </w:tc>
        <w:tc>
          <w:tcPr>
            <w:tcW w:w="60" w:type="dxa"/>
            <w:tcBorders/>
            <w:shd w:fill="0171B9" w:val="clear"/>
            <w:vAlign w:val="center"/>
          </w:tcPr>
          <w:p>
            <w:pPr>
              <w:pStyle w:val="TableContents"/>
              <w:bidi w:val="0"/>
              <w:spacing w:before="0" w:after="283"/>
              <w:jc w:val="left"/>
              <w:rPr/>
            </w:pPr>
            <w:r>
              <w:rPr/>
              <w:t> </w:t>
            </w:r>
          </w:p>
        </w:tc>
        <w:tc>
          <w:tcPr>
            <w:tcW w:w="1265" w:type="dxa"/>
            <w:gridSpan w:val="2"/>
            <w:tcBorders/>
            <w:shd w:fill="0171B9" w:val="clear"/>
            <w:vAlign w:val="center"/>
          </w:tcPr>
          <w:p>
            <w:pPr>
              <w:pStyle w:val="TableContents"/>
              <w:bidi w:val="0"/>
              <w:spacing w:before="0" w:after="0"/>
              <w:jc w:val="right"/>
              <w:rPr>
                <w:rFonts w:ascii="arial" w:hAnsi="arial"/>
                <w:b/>
                <w:color w:val="FFFFFF"/>
                <w:sz w:val="18"/>
              </w:rPr>
            </w:pPr>
            <w:r>
              <w:rPr>
                <w:rFonts w:ascii="arial" w:hAnsi="arial"/>
                <w:b/>
                <w:color w:val="FFFFFF"/>
                <w:sz w:val="18"/>
              </w:rPr>
              <w:t>Summary</w:t>
            </w:r>
          </w:p>
          <w:p>
            <w:pPr>
              <w:pStyle w:val="TableContents"/>
              <w:bidi w:val="0"/>
              <w:spacing w:before="0" w:after="0"/>
              <w:jc w:val="right"/>
              <w:rPr>
                <w:rFonts w:ascii="arial" w:hAnsi="arial"/>
                <w:b/>
                <w:color w:val="FFFFFF"/>
                <w:sz w:val="18"/>
              </w:rPr>
            </w:pPr>
            <w:r>
              <w:rPr>
                <w:rFonts w:ascii="arial" w:hAnsi="arial"/>
                <w:b/>
                <w:color w:val="FFFFFF"/>
                <w:sz w:val="18"/>
              </w:rPr>
              <w:t>Compensation</w:t>
            </w:r>
          </w:p>
          <w:p>
            <w:pPr>
              <w:pStyle w:val="TableContents"/>
              <w:bidi w:val="0"/>
              <w:spacing w:before="0" w:after="0"/>
              <w:jc w:val="right"/>
              <w:rPr>
                <w:rFonts w:ascii="arial" w:hAnsi="arial"/>
                <w:b/>
                <w:color w:val="FFFFFF"/>
                <w:sz w:val="18"/>
              </w:rPr>
            </w:pPr>
            <w:r>
              <w:rPr>
                <w:rFonts w:ascii="arial" w:hAnsi="arial"/>
                <w:b/>
                <w:color w:val="FFFFFF"/>
                <w:sz w:val="18"/>
              </w:rPr>
              <w:t>Table Total for</w:t>
            </w:r>
          </w:p>
          <w:p>
            <w:pPr>
              <w:pStyle w:val="TableContents"/>
              <w:bidi w:val="0"/>
              <w:spacing w:before="0" w:after="20"/>
              <w:jc w:val="right"/>
              <w:rPr>
                <w:rFonts w:ascii="arial" w:hAnsi="arial"/>
                <w:b/>
                <w:color w:val="FFFFFF"/>
                <w:sz w:val="18"/>
              </w:rPr>
            </w:pPr>
            <w:r>
              <w:rPr>
                <w:rFonts w:ascii="arial" w:hAnsi="arial"/>
                <w:b/>
                <w:color w:val="FFFFFF"/>
                <w:sz w:val="18"/>
              </w:rPr>
              <w:t>CEO($)</w:t>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1355" w:type="dxa"/>
            <w:gridSpan w:val="2"/>
            <w:tcBorders/>
            <w:shd w:fill="0171B9" w:val="clear"/>
            <w:vAlign w:val="center"/>
          </w:tcPr>
          <w:p>
            <w:pPr>
              <w:pStyle w:val="TableContents"/>
              <w:bidi w:val="0"/>
              <w:spacing w:before="0" w:after="0"/>
              <w:jc w:val="right"/>
              <w:rPr>
                <w:rFonts w:ascii="arial" w:hAnsi="arial"/>
                <w:b/>
                <w:color w:val="FFFFFF"/>
                <w:sz w:val="18"/>
              </w:rPr>
            </w:pPr>
            <w:r>
              <w:rPr>
                <w:rFonts w:ascii="arial" w:hAnsi="arial"/>
                <w:b/>
                <w:color w:val="FFFFFF"/>
                <w:sz w:val="18"/>
              </w:rPr>
              <w:t>Compensation</w:t>
            </w:r>
          </w:p>
          <w:p>
            <w:pPr>
              <w:pStyle w:val="TableContents"/>
              <w:bidi w:val="0"/>
              <w:spacing w:before="0" w:after="0"/>
              <w:jc w:val="right"/>
              <w:rPr>
                <w:rFonts w:ascii="arial" w:hAnsi="arial"/>
                <w:b/>
                <w:color w:val="FFFFFF"/>
                <w:sz w:val="18"/>
              </w:rPr>
            </w:pPr>
            <w:r>
              <w:rPr>
                <w:rFonts w:ascii="arial" w:hAnsi="arial"/>
                <w:b/>
                <w:color w:val="FFFFFF"/>
                <w:sz w:val="18"/>
              </w:rPr>
              <w:t>Actually Paid to</w:t>
            </w:r>
          </w:p>
          <w:p>
            <w:pPr>
              <w:pStyle w:val="TableContents"/>
              <w:bidi w:val="0"/>
              <w:spacing w:before="0" w:after="20"/>
              <w:jc w:val="right"/>
              <w:rPr>
                <w:rFonts w:ascii="arial" w:hAnsi="arial"/>
                <w:b/>
                <w:color w:val="FFFFFF"/>
                <w:sz w:val="18"/>
              </w:rPr>
            </w:pPr>
            <w:r>
              <w:rPr>
                <w:rFonts w:ascii="arial" w:hAnsi="arial"/>
                <w:b/>
                <w:color w:val="FFFFFF"/>
                <w:sz w:val="18"/>
              </w:rPr>
              <w:t>CEO($)</w:t>
            </w:r>
          </w:p>
          <w:p>
            <w:pPr>
              <w:pStyle w:val="TableContents"/>
              <w:bidi w:val="0"/>
              <w:spacing w:before="0" w:after="20"/>
              <w:jc w:val="right"/>
              <w:rPr>
                <w:rFonts w:ascii="arial" w:hAnsi="arial"/>
                <w:b/>
                <w:color w:val="FFFFFF"/>
                <w:sz w:val="11"/>
              </w:rPr>
            </w:pPr>
            <w:r>
              <w:rPr>
                <w:rFonts w:ascii="arial" w:hAnsi="arial"/>
                <w:b/>
                <w:color w:val="FFFFFF"/>
                <w:sz w:val="11"/>
              </w:rPr>
              <w:t>(1)(2)</w:t>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1265" w:type="dxa"/>
            <w:gridSpan w:val="2"/>
            <w:tcBorders/>
            <w:shd w:fill="0171B9" w:val="clear"/>
            <w:vAlign w:val="center"/>
          </w:tcPr>
          <w:p>
            <w:pPr>
              <w:pStyle w:val="TableContents"/>
              <w:bidi w:val="0"/>
              <w:spacing w:before="0" w:after="0"/>
              <w:jc w:val="right"/>
              <w:rPr>
                <w:rFonts w:ascii="arial" w:hAnsi="arial"/>
                <w:b/>
                <w:color w:val="FFFFFF"/>
                <w:sz w:val="18"/>
              </w:rPr>
            </w:pPr>
            <w:r>
              <w:rPr>
                <w:rFonts w:ascii="arial" w:hAnsi="arial"/>
                <w:b/>
                <w:color w:val="FFFFFF"/>
                <w:sz w:val="18"/>
              </w:rPr>
              <w:t>Average</w:t>
              <w:br/>
              <w:t>Summary</w:t>
            </w:r>
          </w:p>
          <w:p>
            <w:pPr>
              <w:pStyle w:val="TableContents"/>
              <w:bidi w:val="0"/>
              <w:spacing w:before="0" w:after="0"/>
              <w:jc w:val="right"/>
              <w:rPr>
                <w:rFonts w:ascii="arial" w:hAnsi="arial"/>
                <w:b/>
                <w:color w:val="FFFFFF"/>
                <w:sz w:val="18"/>
              </w:rPr>
            </w:pPr>
            <w:r>
              <w:rPr>
                <w:rFonts w:ascii="arial" w:hAnsi="arial"/>
                <w:b/>
                <w:color w:val="FFFFFF"/>
                <w:sz w:val="18"/>
              </w:rPr>
              <w:t>Compensation</w:t>
            </w:r>
          </w:p>
          <w:p>
            <w:pPr>
              <w:pStyle w:val="TableContents"/>
              <w:bidi w:val="0"/>
              <w:spacing w:before="0" w:after="0"/>
              <w:jc w:val="right"/>
              <w:rPr>
                <w:rFonts w:ascii="arial" w:hAnsi="arial"/>
                <w:b/>
                <w:color w:val="FFFFFF"/>
                <w:sz w:val="18"/>
              </w:rPr>
            </w:pPr>
            <w:r>
              <w:rPr>
                <w:rFonts w:ascii="arial" w:hAnsi="arial"/>
                <w:b/>
                <w:color w:val="FFFFFF"/>
                <w:sz w:val="18"/>
              </w:rPr>
              <w:t>Table Total for</w:t>
            </w:r>
          </w:p>
          <w:p>
            <w:pPr>
              <w:pStyle w:val="TableContents"/>
              <w:bidi w:val="0"/>
              <w:spacing w:before="0" w:after="0"/>
              <w:jc w:val="right"/>
              <w:rPr>
                <w:rFonts w:ascii="arial" w:hAnsi="arial"/>
                <w:b/>
                <w:color w:val="FFFFFF"/>
                <w:sz w:val="18"/>
              </w:rPr>
            </w:pPr>
            <w:r>
              <w:rPr>
                <w:rFonts w:ascii="arial" w:hAnsi="arial"/>
                <w:b/>
                <w:color w:val="FFFFFF"/>
                <w:sz w:val="18"/>
              </w:rPr>
              <w:t>non-CEO</w:t>
            </w:r>
          </w:p>
          <w:p>
            <w:pPr>
              <w:pStyle w:val="TableContents"/>
              <w:bidi w:val="0"/>
              <w:spacing w:before="0" w:after="0"/>
              <w:jc w:val="right"/>
              <w:rPr>
                <w:rFonts w:ascii="arial" w:hAnsi="arial"/>
                <w:b/>
                <w:color w:val="FFFFFF"/>
                <w:sz w:val="18"/>
              </w:rPr>
            </w:pPr>
            <w:r>
              <w:rPr>
                <w:rFonts w:ascii="arial" w:hAnsi="arial"/>
                <w:b/>
                <w:color w:val="FFFFFF"/>
                <w:sz w:val="18"/>
              </w:rPr>
              <w:br/>
              <w:t>Named</w:t>
            </w:r>
          </w:p>
          <w:p>
            <w:pPr>
              <w:pStyle w:val="TableContents"/>
              <w:bidi w:val="0"/>
              <w:spacing w:before="0" w:after="0"/>
              <w:jc w:val="right"/>
              <w:rPr>
                <w:rFonts w:ascii="arial" w:hAnsi="arial"/>
                <w:b/>
                <w:color w:val="FFFFFF"/>
                <w:sz w:val="18"/>
              </w:rPr>
            </w:pPr>
            <w:r>
              <w:rPr>
                <w:rFonts w:ascii="arial" w:hAnsi="arial"/>
                <w:b/>
                <w:color w:val="FFFFFF"/>
                <w:sz w:val="18"/>
              </w:rPr>
              <w:t>Executive</w:t>
            </w:r>
          </w:p>
          <w:p>
            <w:pPr>
              <w:pStyle w:val="TableContents"/>
              <w:bidi w:val="0"/>
              <w:spacing w:before="0" w:after="20"/>
              <w:jc w:val="right"/>
              <w:rPr>
                <w:rFonts w:ascii="arial" w:hAnsi="arial"/>
                <w:b/>
                <w:color w:val="FFFFFF"/>
                <w:sz w:val="18"/>
              </w:rPr>
            </w:pPr>
            <w:r>
              <w:rPr>
                <w:rFonts w:ascii="arial" w:hAnsi="arial"/>
                <w:b/>
                <w:color w:val="FFFFFF"/>
                <w:sz w:val="18"/>
              </w:rPr>
              <w:t>Officers($)</w:t>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1355" w:type="dxa"/>
            <w:gridSpan w:val="2"/>
            <w:tcBorders/>
            <w:shd w:fill="0171B9" w:val="clear"/>
            <w:vAlign w:val="center"/>
          </w:tcPr>
          <w:p>
            <w:pPr>
              <w:pStyle w:val="TableContents"/>
              <w:bidi w:val="0"/>
              <w:spacing w:before="0" w:after="0"/>
              <w:jc w:val="right"/>
              <w:rPr>
                <w:rFonts w:ascii="arial" w:hAnsi="arial"/>
                <w:b/>
                <w:color w:val="FFFFFF"/>
                <w:sz w:val="18"/>
              </w:rPr>
            </w:pPr>
            <w:r>
              <w:rPr>
                <w:rFonts w:ascii="arial" w:hAnsi="arial"/>
                <w:b/>
                <w:color w:val="FFFFFF"/>
                <w:sz w:val="18"/>
              </w:rPr>
              <w:t>Average</w:t>
            </w:r>
          </w:p>
          <w:p>
            <w:pPr>
              <w:pStyle w:val="TableContents"/>
              <w:bidi w:val="0"/>
              <w:spacing w:before="0" w:after="0"/>
              <w:jc w:val="right"/>
              <w:rPr>
                <w:rFonts w:ascii="arial" w:hAnsi="arial"/>
                <w:b/>
                <w:color w:val="FFFFFF"/>
                <w:sz w:val="18"/>
              </w:rPr>
            </w:pPr>
            <w:r>
              <w:rPr>
                <w:rFonts w:ascii="arial" w:hAnsi="arial"/>
                <w:b/>
                <w:color w:val="FFFFFF"/>
                <w:sz w:val="18"/>
              </w:rPr>
              <w:t>Compensation</w:t>
            </w:r>
          </w:p>
          <w:p>
            <w:pPr>
              <w:pStyle w:val="TableContents"/>
              <w:bidi w:val="0"/>
              <w:spacing w:before="0" w:after="0"/>
              <w:jc w:val="right"/>
              <w:rPr>
                <w:rFonts w:ascii="arial" w:hAnsi="arial"/>
                <w:b/>
                <w:color w:val="FFFFFF"/>
                <w:sz w:val="18"/>
              </w:rPr>
            </w:pPr>
            <w:r>
              <w:rPr>
                <w:rFonts w:ascii="arial" w:hAnsi="arial"/>
                <w:b/>
                <w:color w:val="FFFFFF"/>
                <w:sz w:val="18"/>
              </w:rPr>
              <w:t>Actually Paid to</w:t>
              <w:br/>
              <w:t>Non-CEO</w:t>
              <w:br/>
              <w:t>Named</w:t>
              <w:br/>
              <w:t>Executive</w:t>
            </w:r>
          </w:p>
          <w:p>
            <w:pPr>
              <w:pStyle w:val="TableContents"/>
              <w:bidi w:val="0"/>
              <w:spacing w:before="0" w:after="20"/>
              <w:jc w:val="right"/>
              <w:rPr>
                <w:rFonts w:ascii="arial" w:hAnsi="arial"/>
                <w:b/>
                <w:color w:val="FFFFFF"/>
                <w:sz w:val="18"/>
              </w:rPr>
            </w:pPr>
            <w:r>
              <w:rPr>
                <w:rFonts w:ascii="arial" w:hAnsi="arial"/>
                <w:b/>
                <w:color w:val="FFFFFF"/>
                <w:sz w:val="18"/>
              </w:rPr>
              <w:t>Officers</w:t>
            </w:r>
          </w:p>
          <w:p>
            <w:pPr>
              <w:pStyle w:val="TableContents"/>
              <w:bidi w:val="0"/>
              <w:spacing w:before="0" w:after="20"/>
              <w:jc w:val="right"/>
              <w:rPr>
                <w:rFonts w:ascii="arial" w:hAnsi="arial"/>
                <w:b/>
                <w:color w:val="FFFFFF"/>
                <w:sz w:val="11"/>
              </w:rPr>
            </w:pPr>
            <w:r>
              <w:rPr>
                <w:rFonts w:ascii="arial" w:hAnsi="arial"/>
                <w:b/>
                <w:color w:val="FFFFFF"/>
                <w:sz w:val="11"/>
              </w:rPr>
              <w:t>(1)(2)</w:t>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1100" w:type="dxa"/>
            <w:gridSpan w:val="2"/>
            <w:tcBorders/>
            <w:shd w:fill="0171B9" w:val="clear"/>
            <w:vAlign w:val="center"/>
          </w:tcPr>
          <w:p>
            <w:pPr>
              <w:pStyle w:val="TableContents"/>
              <w:bidi w:val="0"/>
              <w:spacing w:before="0" w:after="0"/>
              <w:jc w:val="right"/>
              <w:rPr>
                <w:rFonts w:ascii="arial" w:hAnsi="arial"/>
                <w:b/>
                <w:color w:val="FFFFFF"/>
                <w:sz w:val="18"/>
              </w:rPr>
            </w:pPr>
            <w:r>
              <w:rPr>
                <w:rFonts w:ascii="arial" w:hAnsi="arial"/>
                <w:b/>
                <w:color w:val="FFFFFF"/>
                <w:sz w:val="18"/>
              </w:rPr>
              <w:t>Amgen Total</w:t>
            </w:r>
          </w:p>
          <w:p>
            <w:pPr>
              <w:pStyle w:val="TableContents"/>
              <w:bidi w:val="0"/>
              <w:spacing w:before="0" w:after="0"/>
              <w:jc w:val="right"/>
              <w:rPr>
                <w:rFonts w:ascii="arial" w:hAnsi="arial"/>
                <w:b/>
                <w:color w:val="FFFFFF"/>
                <w:sz w:val="18"/>
              </w:rPr>
            </w:pPr>
            <w:r>
              <w:rPr>
                <w:rFonts w:ascii="arial" w:hAnsi="arial"/>
                <w:b/>
                <w:color w:val="FFFFFF"/>
                <w:sz w:val="18"/>
              </w:rPr>
              <w:t>Shareholder</w:t>
            </w:r>
          </w:p>
          <w:p>
            <w:pPr>
              <w:pStyle w:val="TableContents"/>
              <w:bidi w:val="0"/>
              <w:spacing w:before="0" w:after="20"/>
              <w:jc w:val="right"/>
              <w:rPr>
                <w:rFonts w:ascii="arial" w:hAnsi="arial"/>
                <w:b/>
                <w:color w:val="FFFFFF"/>
                <w:sz w:val="18"/>
              </w:rPr>
            </w:pPr>
            <w:r>
              <w:rPr>
                <w:rFonts w:ascii="arial" w:hAnsi="arial"/>
                <w:b/>
                <w:color w:val="FFFFFF"/>
                <w:sz w:val="18"/>
              </w:rPr>
              <w:t>Return($)</w:t>
            </w:r>
          </w:p>
          <w:p>
            <w:pPr>
              <w:pStyle w:val="TableContents"/>
              <w:bidi w:val="0"/>
              <w:spacing w:before="0" w:after="20"/>
              <w:jc w:val="right"/>
              <w:rPr>
                <w:rFonts w:ascii="arial" w:hAnsi="arial"/>
                <w:b/>
                <w:color w:val="FFFFFF"/>
                <w:sz w:val="11"/>
              </w:rPr>
            </w:pPr>
            <w:r>
              <w:rPr>
                <w:rFonts w:ascii="arial" w:hAnsi="arial"/>
                <w:b/>
                <w:color w:val="FFFFFF"/>
                <w:sz w:val="11"/>
              </w:rPr>
              <w:t>(3)</w:t>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1070" w:type="dxa"/>
            <w:gridSpan w:val="2"/>
            <w:tcBorders/>
            <w:shd w:fill="0171B9" w:val="clear"/>
            <w:vAlign w:val="center"/>
          </w:tcPr>
          <w:p>
            <w:pPr>
              <w:pStyle w:val="TableContents"/>
              <w:bidi w:val="0"/>
              <w:spacing w:before="0" w:after="0"/>
              <w:jc w:val="right"/>
              <w:rPr>
                <w:rFonts w:ascii="arial" w:hAnsi="arial"/>
                <w:b/>
                <w:color w:val="FFFFFF"/>
                <w:sz w:val="18"/>
              </w:rPr>
            </w:pPr>
            <w:r>
              <w:rPr>
                <w:rFonts w:ascii="arial" w:hAnsi="arial"/>
                <w:b/>
                <w:color w:val="FFFFFF"/>
                <w:sz w:val="18"/>
              </w:rPr>
              <w:t>Peer Group</w:t>
              <w:br/>
              <w:t>Total</w:t>
            </w:r>
          </w:p>
          <w:p>
            <w:pPr>
              <w:pStyle w:val="TableContents"/>
              <w:bidi w:val="0"/>
              <w:spacing w:before="0" w:after="0"/>
              <w:jc w:val="right"/>
              <w:rPr>
                <w:rFonts w:ascii="arial" w:hAnsi="arial"/>
                <w:b/>
                <w:color w:val="FFFFFF"/>
                <w:sz w:val="18"/>
              </w:rPr>
            </w:pPr>
            <w:r>
              <w:rPr>
                <w:rFonts w:ascii="arial" w:hAnsi="arial"/>
                <w:b/>
                <w:color w:val="FFFFFF"/>
                <w:sz w:val="18"/>
              </w:rPr>
              <w:t>Shareholder</w:t>
            </w:r>
          </w:p>
          <w:p>
            <w:pPr>
              <w:pStyle w:val="TableContents"/>
              <w:bidi w:val="0"/>
              <w:spacing w:before="0" w:after="20"/>
              <w:jc w:val="right"/>
              <w:rPr>
                <w:rFonts w:ascii="arial" w:hAnsi="arial"/>
                <w:b/>
                <w:color w:val="FFFFFF"/>
                <w:sz w:val="18"/>
              </w:rPr>
            </w:pPr>
            <w:r>
              <w:rPr>
                <w:rFonts w:ascii="arial" w:hAnsi="arial"/>
                <w:b/>
                <w:color w:val="FFFFFF"/>
                <w:sz w:val="18"/>
              </w:rPr>
              <w:t>Return($)</w:t>
            </w:r>
          </w:p>
          <w:p>
            <w:pPr>
              <w:pStyle w:val="TableContents"/>
              <w:bidi w:val="0"/>
              <w:spacing w:before="0" w:after="20"/>
              <w:jc w:val="right"/>
              <w:rPr>
                <w:rFonts w:ascii="arial" w:hAnsi="arial"/>
                <w:b/>
                <w:color w:val="FFFFFF"/>
                <w:sz w:val="11"/>
              </w:rPr>
            </w:pPr>
            <w:r>
              <w:rPr>
                <w:rFonts w:ascii="arial" w:hAnsi="arial"/>
                <w:b/>
                <w:color w:val="FFFFFF"/>
                <w:sz w:val="11"/>
              </w:rPr>
              <w:t>(3)(4)</w:t>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650" w:type="dxa"/>
            <w:gridSpan w:val="2"/>
            <w:tcBorders/>
            <w:shd w:fill="0171B9" w:val="clear"/>
            <w:vAlign w:val="center"/>
          </w:tcPr>
          <w:p>
            <w:pPr>
              <w:pStyle w:val="TableContents"/>
              <w:bidi w:val="0"/>
              <w:spacing w:before="0" w:after="0"/>
              <w:jc w:val="right"/>
              <w:rPr>
                <w:rFonts w:ascii="arial" w:hAnsi="arial"/>
                <w:b/>
                <w:color w:val="FFFFFF"/>
                <w:sz w:val="18"/>
              </w:rPr>
            </w:pPr>
            <w:r>
              <w:rPr>
                <w:rFonts w:ascii="arial" w:hAnsi="arial"/>
                <w:b/>
                <w:color w:val="FFFFFF"/>
                <w:sz w:val="18"/>
              </w:rPr>
              <w:t>Net</w:t>
              <w:br/>
              <w:t>Income</w:t>
            </w:r>
          </w:p>
          <w:p>
            <w:pPr>
              <w:pStyle w:val="TableContents"/>
              <w:bidi w:val="0"/>
              <w:spacing w:before="0" w:after="20"/>
              <w:jc w:val="right"/>
              <w:rPr>
                <w:rFonts w:ascii="arial" w:hAnsi="arial"/>
                <w:b/>
                <w:color w:val="FFFFFF"/>
                <w:sz w:val="18"/>
              </w:rPr>
            </w:pPr>
            <w:r>
              <w:rPr>
                <w:rFonts w:ascii="arial" w:hAnsi="arial"/>
                <w:b/>
                <w:color w:val="FFFFFF"/>
                <w:sz w:val="18"/>
              </w:rPr>
              <w:t>($M)</w:t>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950" w:type="dxa"/>
            <w:gridSpan w:val="2"/>
            <w:tcBorders/>
            <w:shd w:fill="0171B9" w:val="clear"/>
            <w:vAlign w:val="center"/>
          </w:tcPr>
          <w:p>
            <w:pPr>
              <w:pStyle w:val="TableContents"/>
              <w:bidi w:val="0"/>
              <w:spacing w:before="0" w:after="0"/>
              <w:jc w:val="right"/>
              <w:rPr>
                <w:rFonts w:ascii="arial" w:hAnsi="arial"/>
                <w:b/>
                <w:color w:val="FFFFFF"/>
                <w:sz w:val="18"/>
              </w:rPr>
            </w:pPr>
            <w:r>
              <w:rPr>
                <w:rFonts w:ascii="arial" w:hAnsi="arial"/>
                <w:b/>
                <w:color w:val="FFFFFF"/>
                <w:sz w:val="18"/>
              </w:rPr>
              <w:t>Non-GAAP</w:t>
            </w:r>
          </w:p>
          <w:p>
            <w:pPr>
              <w:pStyle w:val="TableContents"/>
              <w:bidi w:val="0"/>
              <w:spacing w:before="0" w:after="20"/>
              <w:jc w:val="right"/>
              <w:rPr>
                <w:rFonts w:ascii="arial" w:hAnsi="arial"/>
                <w:b/>
                <w:color w:val="FFFFFF"/>
                <w:sz w:val="18"/>
              </w:rPr>
            </w:pPr>
            <w:r>
              <w:rPr>
                <w:rFonts w:ascii="arial" w:hAnsi="arial"/>
                <w:b/>
                <w:color w:val="FFFFFF"/>
                <w:sz w:val="18"/>
              </w:rPr>
              <w:t>EPS($)</w:t>
            </w:r>
          </w:p>
          <w:p>
            <w:pPr>
              <w:pStyle w:val="TableContents"/>
              <w:bidi w:val="0"/>
              <w:spacing w:before="0" w:after="20"/>
              <w:jc w:val="right"/>
              <w:rPr>
                <w:rFonts w:ascii="arial" w:hAnsi="arial"/>
                <w:b/>
                <w:color w:val="FFFFFF"/>
                <w:sz w:val="11"/>
              </w:rPr>
            </w:pPr>
            <w:r>
              <w:rPr>
                <w:rFonts w:ascii="arial" w:hAnsi="arial"/>
                <w:b/>
                <w:color w:val="FFFFFF"/>
                <w:sz w:val="11"/>
              </w:rPr>
              <w:t>(5)</w:t>
            </w:r>
          </w:p>
        </w:tc>
        <w:tc>
          <w:tcPr>
            <w:tcW w:w="75" w:type="dxa"/>
            <w:tcBorders/>
            <w:shd w:fill="0171B9" w:val="clear"/>
            <w:vAlign w:val="center"/>
          </w:tcPr>
          <w:p>
            <w:pPr>
              <w:pStyle w:val="TableContents"/>
              <w:bidi w:val="0"/>
              <w:spacing w:before="0" w:after="283"/>
              <w:jc w:val="left"/>
              <w:rPr/>
            </w:pPr>
            <w:r>
              <w:rPr/>
              <w:t> </w:t>
            </w:r>
          </w:p>
        </w:tc>
      </w:tr>
      <w:tr>
        <w:trPr/>
        <w:tc>
          <w:tcPr>
            <w:tcW w:w="455" w:type="dxa"/>
            <w:tcBorders/>
            <w:shd w:fill="CCE2F1" w:val="clear"/>
            <w:vAlign w:val="center"/>
          </w:tcPr>
          <w:p>
            <w:pPr>
              <w:pStyle w:val="TableContents"/>
              <w:bidi w:val="0"/>
              <w:spacing w:before="0" w:after="283"/>
              <w:jc w:val="left"/>
              <w:rPr>
                <w:sz w:val="4"/>
                <w:szCs w:val="4"/>
              </w:rPr>
            </w:pPr>
            <w:r>
              <w:rPr>
                <w:sz w:val="4"/>
                <w:szCs w:val="4"/>
              </w:rPr>
            </w:r>
          </w:p>
        </w:tc>
        <w:tc>
          <w:tcPr>
            <w:tcW w:w="1385" w:type="dxa"/>
            <w:gridSpan w:val="4"/>
            <w:tcBorders/>
            <w:shd w:fill="CCE2F1" w:val="clear"/>
            <w:vAlign w:val="center"/>
          </w:tcPr>
          <w:p>
            <w:pPr>
              <w:pStyle w:val="TableContents"/>
              <w:bidi w:val="0"/>
              <w:spacing w:before="0" w:after="283"/>
              <w:jc w:val="left"/>
              <w:rPr>
                <w:sz w:val="4"/>
                <w:szCs w:val="4"/>
              </w:rPr>
            </w:pPr>
            <w:r>
              <w:rPr>
                <w:sz w:val="4"/>
                <w:szCs w:val="4"/>
              </w:rPr>
            </w:r>
          </w:p>
        </w:tc>
        <w:tc>
          <w:tcPr>
            <w:tcW w:w="1475" w:type="dxa"/>
            <w:gridSpan w:val="4"/>
            <w:tcBorders/>
            <w:shd w:fill="CCE2F1" w:val="clear"/>
            <w:vAlign w:val="center"/>
          </w:tcPr>
          <w:p>
            <w:pPr>
              <w:pStyle w:val="TableContents"/>
              <w:bidi w:val="0"/>
              <w:spacing w:before="0" w:after="283"/>
              <w:jc w:val="left"/>
              <w:rPr>
                <w:sz w:val="4"/>
                <w:szCs w:val="4"/>
              </w:rPr>
            </w:pPr>
            <w:r>
              <w:rPr>
                <w:sz w:val="4"/>
                <w:szCs w:val="4"/>
              </w:rPr>
            </w:r>
          </w:p>
        </w:tc>
        <w:tc>
          <w:tcPr>
            <w:tcW w:w="1385" w:type="dxa"/>
            <w:gridSpan w:val="4"/>
            <w:tcBorders/>
            <w:shd w:fill="CCE2F1" w:val="clear"/>
            <w:vAlign w:val="center"/>
          </w:tcPr>
          <w:p>
            <w:pPr>
              <w:pStyle w:val="TableContents"/>
              <w:bidi w:val="0"/>
              <w:spacing w:before="0" w:after="283"/>
              <w:jc w:val="left"/>
              <w:rPr>
                <w:sz w:val="4"/>
                <w:szCs w:val="4"/>
              </w:rPr>
            </w:pPr>
            <w:r>
              <w:rPr>
                <w:sz w:val="4"/>
                <w:szCs w:val="4"/>
              </w:rPr>
            </w:r>
          </w:p>
        </w:tc>
        <w:tc>
          <w:tcPr>
            <w:tcW w:w="1475" w:type="dxa"/>
            <w:gridSpan w:val="4"/>
            <w:tcBorders/>
            <w:shd w:fill="CCE2F1" w:val="clear"/>
            <w:vAlign w:val="center"/>
          </w:tcPr>
          <w:p>
            <w:pPr>
              <w:pStyle w:val="TableContents"/>
              <w:bidi w:val="0"/>
              <w:spacing w:before="0" w:after="283"/>
              <w:jc w:val="left"/>
              <w:rPr>
                <w:sz w:val="4"/>
                <w:szCs w:val="4"/>
              </w:rPr>
            </w:pPr>
            <w:r>
              <w:rPr>
                <w:sz w:val="4"/>
                <w:szCs w:val="4"/>
              </w:rPr>
            </w:r>
          </w:p>
        </w:tc>
        <w:tc>
          <w:tcPr>
            <w:tcW w:w="1220" w:type="dxa"/>
            <w:gridSpan w:val="4"/>
            <w:tcBorders/>
            <w:shd w:fill="CCE2F1" w:val="clear"/>
            <w:vAlign w:val="center"/>
          </w:tcPr>
          <w:p>
            <w:pPr>
              <w:pStyle w:val="TableContents"/>
              <w:bidi w:val="0"/>
              <w:spacing w:before="0" w:after="283"/>
              <w:jc w:val="left"/>
              <w:rPr>
                <w:sz w:val="4"/>
                <w:szCs w:val="4"/>
              </w:rPr>
            </w:pPr>
            <w:r>
              <w:rPr>
                <w:sz w:val="4"/>
                <w:szCs w:val="4"/>
              </w:rPr>
            </w:r>
          </w:p>
        </w:tc>
        <w:tc>
          <w:tcPr>
            <w:tcW w:w="1190" w:type="dxa"/>
            <w:gridSpan w:val="4"/>
            <w:tcBorders/>
            <w:shd w:fill="CCE2F1" w:val="clear"/>
            <w:vAlign w:val="center"/>
          </w:tcPr>
          <w:p>
            <w:pPr>
              <w:pStyle w:val="TableContents"/>
              <w:bidi w:val="0"/>
              <w:spacing w:before="0" w:after="283"/>
              <w:jc w:val="left"/>
              <w:rPr>
                <w:sz w:val="4"/>
                <w:szCs w:val="4"/>
              </w:rPr>
            </w:pPr>
            <w:r>
              <w:rPr>
                <w:sz w:val="4"/>
                <w:szCs w:val="4"/>
              </w:rPr>
            </w:r>
          </w:p>
        </w:tc>
        <w:tc>
          <w:tcPr>
            <w:tcW w:w="770" w:type="dxa"/>
            <w:gridSpan w:val="4"/>
            <w:tcBorders/>
            <w:shd w:fill="CCE2F1" w:val="clear"/>
            <w:vAlign w:val="center"/>
          </w:tcPr>
          <w:p>
            <w:pPr>
              <w:pStyle w:val="TableContents"/>
              <w:bidi w:val="0"/>
              <w:spacing w:before="0" w:after="283"/>
              <w:jc w:val="left"/>
              <w:rPr>
                <w:sz w:val="4"/>
                <w:szCs w:val="4"/>
              </w:rPr>
            </w:pPr>
            <w:r>
              <w:rPr>
                <w:sz w:val="4"/>
                <w:szCs w:val="4"/>
              </w:rPr>
            </w:r>
          </w:p>
        </w:tc>
        <w:tc>
          <w:tcPr>
            <w:tcW w:w="1085"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455" w:type="dxa"/>
            <w:tcBorders/>
            <w:shd w:fill="CCE2F1" w:val="clear"/>
            <w:vAlign w:val="center"/>
          </w:tcPr>
          <w:p>
            <w:pPr>
              <w:pStyle w:val="TableContents"/>
              <w:bidi w:val="0"/>
              <w:spacing w:before="0" w:after="0"/>
              <w:jc w:val="center"/>
              <w:rPr>
                <w:rFonts w:ascii="arial" w:hAnsi="arial"/>
                <w:sz w:val="18"/>
              </w:rPr>
            </w:pPr>
            <w:r>
              <w:rPr>
                <w:rFonts w:ascii="arial" w:hAnsi="arial"/>
                <w:sz w:val="18"/>
              </w:rPr>
              <w:t>2023</w:t>
            </w:r>
          </w:p>
        </w:tc>
        <w:tc>
          <w:tcPr>
            <w:tcW w:w="60" w:type="dxa"/>
            <w:tcBorders/>
            <w:shd w:fill="CCE2F1" w:val="clear"/>
            <w:vAlign w:val="center"/>
          </w:tcPr>
          <w:p>
            <w:pPr>
              <w:pStyle w:val="TableContents"/>
              <w:bidi w:val="0"/>
              <w:spacing w:before="0" w:after="283"/>
              <w:jc w:val="left"/>
              <w:rPr/>
            </w:pPr>
            <w:r>
              <w:rPr/>
              <w:t> </w:t>
            </w:r>
          </w:p>
        </w:tc>
        <w:tc>
          <w:tcPr>
            <w:tcW w:w="65" w:type="dxa"/>
            <w:tcBorders/>
            <w:shd w:fill="CCE2F1" w:val="clear"/>
            <w:vAlign w:val="center"/>
          </w:tcPr>
          <w:p>
            <w:pPr>
              <w:pStyle w:val="TableContents"/>
              <w:bidi w:val="0"/>
              <w:spacing w:before="0" w:after="283"/>
              <w:jc w:val="left"/>
              <w:rPr/>
            </w:pPr>
            <w:r>
              <w:rPr/>
              <w:t> </w:t>
            </w:r>
          </w:p>
        </w:tc>
        <w:tc>
          <w:tcPr>
            <w:tcW w:w="1200" w:type="dxa"/>
            <w:tcBorders/>
            <w:shd w:fill="CCE2F1" w:val="clear"/>
            <w:vAlign w:val="center"/>
          </w:tcPr>
          <w:p>
            <w:pPr>
              <w:pStyle w:val="TableContents"/>
              <w:bidi w:val="0"/>
              <w:spacing w:before="0" w:after="283"/>
              <w:jc w:val="right"/>
              <w:rPr/>
            </w:pPr>
            <w:r>
              <w:rPr/>
              <w:t>22,643,650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0" w:type="dxa"/>
            <w:tcBorders/>
            <w:shd w:fill="CCE2F1" w:val="clear"/>
            <w:vAlign w:val="center"/>
          </w:tcPr>
          <w:p>
            <w:pPr>
              <w:pStyle w:val="TableContents"/>
              <w:bidi w:val="0"/>
              <w:spacing w:before="0" w:after="283"/>
              <w:jc w:val="left"/>
              <w:rPr/>
            </w:pPr>
            <w:r>
              <w:rPr/>
              <w:t> </w:t>
            </w:r>
          </w:p>
        </w:tc>
        <w:tc>
          <w:tcPr>
            <w:tcW w:w="1285" w:type="dxa"/>
            <w:tcBorders/>
            <w:shd w:fill="CCE2F1" w:val="clear"/>
            <w:vAlign w:val="center"/>
          </w:tcPr>
          <w:p>
            <w:pPr>
              <w:pStyle w:val="TableContents"/>
              <w:bidi w:val="0"/>
              <w:spacing w:before="0" w:after="283"/>
              <w:jc w:val="right"/>
              <w:rPr/>
            </w:pPr>
            <w:r>
              <w:rPr/>
              <w:t>29,105,407</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2" w:type="dxa"/>
            <w:tcBorders/>
            <w:shd w:fill="CCE2F1" w:val="clear"/>
            <w:vAlign w:val="center"/>
          </w:tcPr>
          <w:p>
            <w:pPr>
              <w:pStyle w:val="TableContents"/>
              <w:bidi w:val="0"/>
              <w:spacing w:before="0" w:after="283"/>
              <w:jc w:val="left"/>
              <w:rPr/>
            </w:pPr>
            <w:r>
              <w:rPr/>
              <w:t> </w:t>
            </w:r>
          </w:p>
        </w:tc>
        <w:tc>
          <w:tcPr>
            <w:tcW w:w="1193" w:type="dxa"/>
            <w:tcBorders/>
            <w:shd w:fill="CCE2F1" w:val="clear"/>
            <w:vAlign w:val="center"/>
          </w:tcPr>
          <w:p>
            <w:pPr>
              <w:pStyle w:val="TableContents"/>
              <w:bidi w:val="0"/>
              <w:spacing w:before="0" w:after="283"/>
              <w:jc w:val="right"/>
              <w:rPr/>
            </w:pPr>
            <w:r>
              <w:rPr/>
              <w:t>7,730,150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0" w:type="dxa"/>
            <w:tcBorders/>
            <w:shd w:fill="CCE2F1" w:val="clear"/>
            <w:vAlign w:val="center"/>
          </w:tcPr>
          <w:p>
            <w:pPr>
              <w:pStyle w:val="TableContents"/>
              <w:bidi w:val="0"/>
              <w:spacing w:before="0" w:after="283"/>
              <w:jc w:val="left"/>
              <w:rPr/>
            </w:pPr>
            <w:r>
              <w:rPr/>
              <w:t> </w:t>
            </w:r>
          </w:p>
        </w:tc>
        <w:tc>
          <w:tcPr>
            <w:tcW w:w="1285" w:type="dxa"/>
            <w:tcBorders/>
            <w:shd w:fill="CCE2F1" w:val="clear"/>
            <w:vAlign w:val="center"/>
          </w:tcPr>
          <w:p>
            <w:pPr>
              <w:pStyle w:val="TableContents"/>
              <w:bidi w:val="0"/>
              <w:spacing w:before="0" w:after="283"/>
              <w:jc w:val="right"/>
              <w:rPr/>
            </w:pPr>
            <w:r>
              <w:rPr/>
              <w:t>9,701,292</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1" w:type="dxa"/>
            <w:tcBorders/>
            <w:shd w:fill="CCE2F1" w:val="clear"/>
            <w:vAlign w:val="center"/>
          </w:tcPr>
          <w:p>
            <w:pPr>
              <w:pStyle w:val="TableContents"/>
              <w:bidi w:val="0"/>
              <w:spacing w:before="0" w:after="283"/>
              <w:jc w:val="left"/>
              <w:rPr/>
            </w:pPr>
            <w:r>
              <w:rPr/>
              <w:t> </w:t>
            </w:r>
          </w:p>
        </w:tc>
        <w:tc>
          <w:tcPr>
            <w:tcW w:w="999" w:type="dxa"/>
            <w:tcBorders/>
            <w:shd w:fill="CCE2F1" w:val="clear"/>
            <w:vAlign w:val="center"/>
          </w:tcPr>
          <w:p>
            <w:pPr>
              <w:pStyle w:val="TableContents"/>
              <w:bidi w:val="0"/>
              <w:spacing w:before="0" w:after="283"/>
              <w:jc w:val="right"/>
              <w:rPr/>
            </w:pPr>
            <w:r>
              <w:rPr/>
              <w:t>135.10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1" w:type="dxa"/>
            <w:tcBorders/>
            <w:shd w:fill="CCE2F1" w:val="clear"/>
            <w:vAlign w:val="center"/>
          </w:tcPr>
          <w:p>
            <w:pPr>
              <w:pStyle w:val="TableContents"/>
              <w:bidi w:val="0"/>
              <w:spacing w:before="0" w:after="283"/>
              <w:jc w:val="left"/>
              <w:rPr/>
            </w:pPr>
            <w:r>
              <w:rPr/>
              <w:t> </w:t>
            </w:r>
          </w:p>
        </w:tc>
        <w:tc>
          <w:tcPr>
            <w:tcW w:w="969" w:type="dxa"/>
            <w:tcBorders/>
            <w:shd w:fill="CCE2F1" w:val="clear"/>
            <w:vAlign w:val="center"/>
          </w:tcPr>
          <w:p>
            <w:pPr>
              <w:pStyle w:val="TableContents"/>
              <w:bidi w:val="0"/>
              <w:spacing w:before="0" w:after="283"/>
              <w:jc w:val="right"/>
              <w:rPr/>
            </w:pPr>
            <w:r>
              <w:rPr/>
              <w:t>140.78</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62" w:type="dxa"/>
            <w:tcBorders/>
            <w:shd w:fill="CCE2F1" w:val="clear"/>
            <w:vAlign w:val="center"/>
          </w:tcPr>
          <w:p>
            <w:pPr>
              <w:pStyle w:val="TableContents"/>
              <w:bidi w:val="0"/>
              <w:spacing w:before="0" w:after="283"/>
              <w:jc w:val="left"/>
              <w:rPr/>
            </w:pPr>
            <w:r>
              <w:rPr/>
              <w:t> </w:t>
            </w:r>
          </w:p>
        </w:tc>
        <w:tc>
          <w:tcPr>
            <w:tcW w:w="588" w:type="dxa"/>
            <w:tcBorders/>
            <w:shd w:fill="CCE2F1" w:val="clear"/>
            <w:vAlign w:val="center"/>
          </w:tcPr>
          <w:p>
            <w:pPr>
              <w:pStyle w:val="TableContents"/>
              <w:bidi w:val="0"/>
              <w:spacing w:before="0" w:after="283"/>
              <w:jc w:val="right"/>
              <w:rPr/>
            </w:pPr>
            <w:r>
              <w:rPr/>
              <w:t>6,717</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91" w:type="dxa"/>
            <w:tcBorders/>
            <w:shd w:fill="CCE2F1" w:val="clear"/>
            <w:vAlign w:val="center"/>
          </w:tcPr>
          <w:p>
            <w:pPr>
              <w:pStyle w:val="TableContents"/>
              <w:bidi w:val="0"/>
              <w:spacing w:before="0" w:after="283"/>
              <w:jc w:val="left"/>
              <w:rPr/>
            </w:pPr>
            <w:r>
              <w:rPr/>
              <w:t> </w:t>
            </w:r>
          </w:p>
        </w:tc>
        <w:tc>
          <w:tcPr>
            <w:tcW w:w="859" w:type="dxa"/>
            <w:tcBorders/>
            <w:shd w:fill="CCE2F1" w:val="clear"/>
            <w:vAlign w:val="center"/>
          </w:tcPr>
          <w:p>
            <w:pPr>
              <w:pStyle w:val="TableContents"/>
              <w:bidi w:val="0"/>
              <w:spacing w:before="0" w:after="283"/>
              <w:jc w:val="right"/>
              <w:rPr/>
            </w:pPr>
            <w:r>
              <w:rPr/>
              <w:t>18.65</w:t>
            </w:r>
          </w:p>
        </w:tc>
        <w:tc>
          <w:tcPr>
            <w:tcW w:w="75" w:type="dxa"/>
            <w:tcBorders/>
            <w:shd w:fill="CCE2F1" w:val="clear"/>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c>
          <w:tcPr>
            <w:tcW w:w="1085" w:type="dxa"/>
            <w:gridSpan w:val="4"/>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0"/>
              <w:jc w:val="center"/>
              <w:rPr>
                <w:rFonts w:ascii="arial" w:hAnsi="arial"/>
                <w:sz w:val="18"/>
              </w:rPr>
            </w:pPr>
            <w:r>
              <w:rPr>
                <w:rFonts w:ascii="arial" w:hAnsi="arial"/>
                <w:sz w:val="18"/>
              </w:rPr>
              <w:t>2022</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200" w:type="dxa"/>
            <w:tcBorders/>
            <w:vAlign w:val="center"/>
          </w:tcPr>
          <w:p>
            <w:pPr>
              <w:pStyle w:val="TableContents"/>
              <w:bidi w:val="0"/>
              <w:spacing w:before="0" w:after="283"/>
              <w:jc w:val="right"/>
              <w:rPr/>
            </w:pPr>
            <w:r>
              <w:rPr/>
              <w:t>21,399,733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right"/>
              <w:rPr/>
            </w:pPr>
            <w:r>
              <w:rPr/>
              <w:t>41,655,553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7,211,427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right"/>
              <w:rPr/>
            </w:pPr>
            <w:r>
              <w:rPr/>
              <w:t>12,777,767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999" w:type="dxa"/>
            <w:tcBorders/>
            <w:vAlign w:val="center"/>
          </w:tcPr>
          <w:p>
            <w:pPr>
              <w:pStyle w:val="TableContents"/>
              <w:bidi w:val="0"/>
              <w:spacing w:before="0" w:after="283"/>
              <w:jc w:val="right"/>
              <w:rPr/>
            </w:pPr>
            <w:r>
              <w:rPr/>
              <w:t>119.07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right"/>
              <w:rPr/>
            </w:pPr>
            <w:r>
              <w:rPr/>
              <w:t>140.14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588" w:type="dxa"/>
            <w:tcBorders/>
            <w:vAlign w:val="center"/>
          </w:tcPr>
          <w:p>
            <w:pPr>
              <w:pStyle w:val="TableContents"/>
              <w:bidi w:val="0"/>
              <w:spacing w:before="0" w:after="283"/>
              <w:jc w:val="right"/>
              <w:rPr/>
            </w:pPr>
            <w:r>
              <w:rPr/>
              <w:t>6,552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17.69</w:t>
            </w:r>
          </w:p>
        </w:tc>
        <w:tc>
          <w:tcPr>
            <w:tcW w:w="75" w:type="dxa"/>
            <w:tcBorders/>
            <w:vAlign w:val="center"/>
          </w:tcPr>
          <w:p>
            <w:pPr>
              <w:pStyle w:val="TableContents"/>
              <w:bidi w:val="0"/>
              <w:spacing w:before="0" w:after="283"/>
              <w:jc w:val="left"/>
              <w:rPr/>
            </w:pPr>
            <w:r>
              <w:rPr/>
              <w:t> </w:t>
            </w:r>
          </w:p>
        </w:tc>
      </w:tr>
      <w:tr>
        <w:trPr/>
        <w:tc>
          <w:tcPr>
            <w:tcW w:w="455" w:type="dxa"/>
            <w:tcBorders/>
            <w:shd w:fill="CCE2F1" w:val="clear"/>
            <w:vAlign w:val="center"/>
          </w:tcPr>
          <w:p>
            <w:pPr>
              <w:pStyle w:val="TableContents"/>
              <w:bidi w:val="0"/>
              <w:spacing w:before="0" w:after="283"/>
              <w:jc w:val="left"/>
              <w:rPr>
                <w:sz w:val="4"/>
                <w:szCs w:val="4"/>
              </w:rPr>
            </w:pPr>
            <w:r>
              <w:rPr>
                <w:sz w:val="4"/>
                <w:szCs w:val="4"/>
              </w:rPr>
            </w:r>
          </w:p>
        </w:tc>
        <w:tc>
          <w:tcPr>
            <w:tcW w:w="1385" w:type="dxa"/>
            <w:gridSpan w:val="4"/>
            <w:tcBorders/>
            <w:shd w:fill="CCE2F1" w:val="clear"/>
            <w:vAlign w:val="center"/>
          </w:tcPr>
          <w:p>
            <w:pPr>
              <w:pStyle w:val="TableContents"/>
              <w:bidi w:val="0"/>
              <w:spacing w:before="0" w:after="283"/>
              <w:jc w:val="left"/>
              <w:rPr>
                <w:sz w:val="4"/>
                <w:szCs w:val="4"/>
              </w:rPr>
            </w:pPr>
            <w:r>
              <w:rPr>
                <w:sz w:val="4"/>
                <w:szCs w:val="4"/>
              </w:rPr>
            </w:r>
          </w:p>
        </w:tc>
        <w:tc>
          <w:tcPr>
            <w:tcW w:w="1475" w:type="dxa"/>
            <w:gridSpan w:val="4"/>
            <w:tcBorders/>
            <w:shd w:fill="CCE2F1" w:val="clear"/>
            <w:vAlign w:val="center"/>
          </w:tcPr>
          <w:p>
            <w:pPr>
              <w:pStyle w:val="TableContents"/>
              <w:bidi w:val="0"/>
              <w:spacing w:before="0" w:after="283"/>
              <w:jc w:val="left"/>
              <w:rPr>
                <w:sz w:val="4"/>
                <w:szCs w:val="4"/>
              </w:rPr>
            </w:pPr>
            <w:r>
              <w:rPr>
                <w:sz w:val="4"/>
                <w:szCs w:val="4"/>
              </w:rPr>
            </w:r>
          </w:p>
        </w:tc>
        <w:tc>
          <w:tcPr>
            <w:tcW w:w="1385" w:type="dxa"/>
            <w:gridSpan w:val="4"/>
            <w:tcBorders/>
            <w:shd w:fill="CCE2F1" w:val="clear"/>
            <w:vAlign w:val="center"/>
          </w:tcPr>
          <w:p>
            <w:pPr>
              <w:pStyle w:val="TableContents"/>
              <w:bidi w:val="0"/>
              <w:spacing w:before="0" w:after="283"/>
              <w:jc w:val="left"/>
              <w:rPr>
                <w:sz w:val="4"/>
                <w:szCs w:val="4"/>
              </w:rPr>
            </w:pPr>
            <w:r>
              <w:rPr>
                <w:sz w:val="4"/>
                <w:szCs w:val="4"/>
              </w:rPr>
            </w:r>
          </w:p>
        </w:tc>
        <w:tc>
          <w:tcPr>
            <w:tcW w:w="1475" w:type="dxa"/>
            <w:gridSpan w:val="4"/>
            <w:tcBorders/>
            <w:shd w:fill="CCE2F1" w:val="clear"/>
            <w:vAlign w:val="center"/>
          </w:tcPr>
          <w:p>
            <w:pPr>
              <w:pStyle w:val="TableContents"/>
              <w:bidi w:val="0"/>
              <w:spacing w:before="0" w:after="283"/>
              <w:jc w:val="left"/>
              <w:rPr>
                <w:sz w:val="4"/>
                <w:szCs w:val="4"/>
              </w:rPr>
            </w:pPr>
            <w:r>
              <w:rPr>
                <w:sz w:val="4"/>
                <w:szCs w:val="4"/>
              </w:rPr>
            </w:r>
          </w:p>
        </w:tc>
        <w:tc>
          <w:tcPr>
            <w:tcW w:w="1220" w:type="dxa"/>
            <w:gridSpan w:val="4"/>
            <w:tcBorders/>
            <w:shd w:fill="CCE2F1" w:val="clear"/>
            <w:vAlign w:val="center"/>
          </w:tcPr>
          <w:p>
            <w:pPr>
              <w:pStyle w:val="TableContents"/>
              <w:bidi w:val="0"/>
              <w:spacing w:before="0" w:after="283"/>
              <w:jc w:val="left"/>
              <w:rPr>
                <w:sz w:val="4"/>
                <w:szCs w:val="4"/>
              </w:rPr>
            </w:pPr>
            <w:r>
              <w:rPr>
                <w:sz w:val="4"/>
                <w:szCs w:val="4"/>
              </w:rPr>
            </w:r>
          </w:p>
        </w:tc>
        <w:tc>
          <w:tcPr>
            <w:tcW w:w="1190" w:type="dxa"/>
            <w:gridSpan w:val="4"/>
            <w:tcBorders/>
            <w:shd w:fill="CCE2F1" w:val="clear"/>
            <w:vAlign w:val="center"/>
          </w:tcPr>
          <w:p>
            <w:pPr>
              <w:pStyle w:val="TableContents"/>
              <w:bidi w:val="0"/>
              <w:spacing w:before="0" w:after="283"/>
              <w:jc w:val="left"/>
              <w:rPr>
                <w:sz w:val="4"/>
                <w:szCs w:val="4"/>
              </w:rPr>
            </w:pPr>
            <w:r>
              <w:rPr>
                <w:sz w:val="4"/>
                <w:szCs w:val="4"/>
              </w:rPr>
            </w:r>
          </w:p>
        </w:tc>
        <w:tc>
          <w:tcPr>
            <w:tcW w:w="770" w:type="dxa"/>
            <w:gridSpan w:val="4"/>
            <w:tcBorders/>
            <w:shd w:fill="CCE2F1" w:val="clear"/>
            <w:vAlign w:val="center"/>
          </w:tcPr>
          <w:p>
            <w:pPr>
              <w:pStyle w:val="TableContents"/>
              <w:bidi w:val="0"/>
              <w:spacing w:before="0" w:after="283"/>
              <w:jc w:val="left"/>
              <w:rPr>
                <w:sz w:val="4"/>
                <w:szCs w:val="4"/>
              </w:rPr>
            </w:pPr>
            <w:r>
              <w:rPr>
                <w:sz w:val="4"/>
                <w:szCs w:val="4"/>
              </w:rPr>
            </w:r>
          </w:p>
        </w:tc>
        <w:tc>
          <w:tcPr>
            <w:tcW w:w="1085"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455" w:type="dxa"/>
            <w:tcBorders/>
            <w:shd w:fill="CCE2F1" w:val="clear"/>
            <w:vAlign w:val="center"/>
          </w:tcPr>
          <w:p>
            <w:pPr>
              <w:pStyle w:val="TableContents"/>
              <w:bidi w:val="0"/>
              <w:spacing w:before="0" w:after="0"/>
              <w:jc w:val="center"/>
              <w:rPr>
                <w:rFonts w:ascii="arial" w:hAnsi="arial"/>
                <w:sz w:val="18"/>
              </w:rPr>
            </w:pPr>
            <w:r>
              <w:rPr>
                <w:rFonts w:ascii="arial" w:hAnsi="arial"/>
                <w:sz w:val="18"/>
              </w:rPr>
              <w:t>2021</w:t>
            </w:r>
          </w:p>
        </w:tc>
        <w:tc>
          <w:tcPr>
            <w:tcW w:w="60" w:type="dxa"/>
            <w:tcBorders/>
            <w:shd w:fill="CCE2F1" w:val="clear"/>
            <w:vAlign w:val="center"/>
          </w:tcPr>
          <w:p>
            <w:pPr>
              <w:pStyle w:val="TableContents"/>
              <w:bidi w:val="0"/>
              <w:spacing w:before="0" w:after="283"/>
              <w:jc w:val="left"/>
              <w:rPr/>
            </w:pPr>
            <w:r>
              <w:rPr/>
              <w:t> </w:t>
            </w:r>
          </w:p>
        </w:tc>
        <w:tc>
          <w:tcPr>
            <w:tcW w:w="65" w:type="dxa"/>
            <w:tcBorders/>
            <w:shd w:fill="CCE2F1" w:val="clear"/>
            <w:vAlign w:val="center"/>
          </w:tcPr>
          <w:p>
            <w:pPr>
              <w:pStyle w:val="TableContents"/>
              <w:bidi w:val="0"/>
              <w:spacing w:before="0" w:after="283"/>
              <w:jc w:val="left"/>
              <w:rPr/>
            </w:pPr>
            <w:r>
              <w:rPr/>
              <w:t> </w:t>
            </w:r>
          </w:p>
        </w:tc>
        <w:tc>
          <w:tcPr>
            <w:tcW w:w="1200" w:type="dxa"/>
            <w:tcBorders/>
            <w:shd w:fill="CCE2F1" w:val="clear"/>
            <w:vAlign w:val="center"/>
          </w:tcPr>
          <w:p>
            <w:pPr>
              <w:pStyle w:val="TableContents"/>
              <w:bidi w:val="0"/>
              <w:spacing w:before="0" w:after="283"/>
              <w:jc w:val="right"/>
              <w:rPr/>
            </w:pPr>
            <w:r>
              <w:rPr/>
              <w:t>21,721,154</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0" w:type="dxa"/>
            <w:tcBorders/>
            <w:shd w:fill="CCE2F1" w:val="clear"/>
            <w:vAlign w:val="center"/>
          </w:tcPr>
          <w:p>
            <w:pPr>
              <w:pStyle w:val="TableContents"/>
              <w:bidi w:val="0"/>
              <w:spacing w:before="0" w:after="283"/>
              <w:jc w:val="left"/>
              <w:rPr/>
            </w:pPr>
            <w:r>
              <w:rPr/>
              <w:t> </w:t>
            </w:r>
          </w:p>
        </w:tc>
        <w:tc>
          <w:tcPr>
            <w:tcW w:w="1285" w:type="dxa"/>
            <w:tcBorders/>
            <w:shd w:fill="CCE2F1" w:val="clear"/>
            <w:vAlign w:val="center"/>
          </w:tcPr>
          <w:p>
            <w:pPr>
              <w:pStyle w:val="TableContents"/>
              <w:bidi w:val="0"/>
              <w:spacing w:before="0" w:after="283"/>
              <w:jc w:val="right"/>
              <w:rPr/>
            </w:pPr>
            <w:r>
              <w:rPr/>
              <w:t>17,040,728</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2" w:type="dxa"/>
            <w:tcBorders/>
            <w:shd w:fill="CCE2F1" w:val="clear"/>
            <w:vAlign w:val="center"/>
          </w:tcPr>
          <w:p>
            <w:pPr>
              <w:pStyle w:val="TableContents"/>
              <w:bidi w:val="0"/>
              <w:spacing w:before="0" w:after="283"/>
              <w:jc w:val="left"/>
              <w:rPr/>
            </w:pPr>
            <w:r>
              <w:rPr/>
              <w:t> </w:t>
            </w:r>
          </w:p>
        </w:tc>
        <w:tc>
          <w:tcPr>
            <w:tcW w:w="1193" w:type="dxa"/>
            <w:tcBorders/>
            <w:shd w:fill="CCE2F1" w:val="clear"/>
            <w:vAlign w:val="center"/>
          </w:tcPr>
          <w:p>
            <w:pPr>
              <w:pStyle w:val="TableContents"/>
              <w:bidi w:val="0"/>
              <w:spacing w:before="0" w:after="283"/>
              <w:jc w:val="right"/>
              <w:rPr/>
            </w:pPr>
            <w:r>
              <w:rPr/>
              <w:t>7,358,134</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0" w:type="dxa"/>
            <w:tcBorders/>
            <w:shd w:fill="CCE2F1" w:val="clear"/>
            <w:vAlign w:val="center"/>
          </w:tcPr>
          <w:p>
            <w:pPr>
              <w:pStyle w:val="TableContents"/>
              <w:bidi w:val="0"/>
              <w:spacing w:before="0" w:after="283"/>
              <w:jc w:val="left"/>
              <w:rPr/>
            </w:pPr>
            <w:r>
              <w:rPr/>
              <w:t> </w:t>
            </w:r>
          </w:p>
        </w:tc>
        <w:tc>
          <w:tcPr>
            <w:tcW w:w="1285" w:type="dxa"/>
            <w:tcBorders/>
            <w:shd w:fill="CCE2F1" w:val="clear"/>
            <w:vAlign w:val="center"/>
          </w:tcPr>
          <w:p>
            <w:pPr>
              <w:pStyle w:val="TableContents"/>
              <w:bidi w:val="0"/>
              <w:spacing w:before="0" w:after="283"/>
              <w:jc w:val="right"/>
              <w:rPr/>
            </w:pPr>
            <w:r>
              <w:rPr/>
              <w:t>5,869,521</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1" w:type="dxa"/>
            <w:tcBorders/>
            <w:shd w:fill="CCE2F1" w:val="clear"/>
            <w:vAlign w:val="center"/>
          </w:tcPr>
          <w:p>
            <w:pPr>
              <w:pStyle w:val="TableContents"/>
              <w:bidi w:val="0"/>
              <w:spacing w:before="0" w:after="283"/>
              <w:jc w:val="left"/>
              <w:rPr/>
            </w:pPr>
            <w:r>
              <w:rPr/>
              <w:t> </w:t>
            </w:r>
          </w:p>
        </w:tc>
        <w:tc>
          <w:tcPr>
            <w:tcW w:w="999" w:type="dxa"/>
            <w:tcBorders/>
            <w:shd w:fill="CCE2F1" w:val="clear"/>
            <w:vAlign w:val="center"/>
          </w:tcPr>
          <w:p>
            <w:pPr>
              <w:pStyle w:val="TableContents"/>
              <w:bidi w:val="0"/>
              <w:spacing w:before="0" w:after="283"/>
              <w:jc w:val="right"/>
              <w:rPr/>
            </w:pPr>
            <w:r>
              <w:rPr/>
              <w:t>98.87</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01" w:type="dxa"/>
            <w:tcBorders/>
            <w:shd w:fill="CCE2F1" w:val="clear"/>
            <w:vAlign w:val="center"/>
          </w:tcPr>
          <w:p>
            <w:pPr>
              <w:pStyle w:val="TableContents"/>
              <w:bidi w:val="0"/>
              <w:spacing w:before="0" w:after="283"/>
              <w:jc w:val="left"/>
              <w:rPr/>
            </w:pPr>
            <w:r>
              <w:rPr/>
              <w:t> </w:t>
            </w:r>
          </w:p>
        </w:tc>
        <w:tc>
          <w:tcPr>
            <w:tcW w:w="969" w:type="dxa"/>
            <w:tcBorders/>
            <w:shd w:fill="CCE2F1" w:val="clear"/>
            <w:vAlign w:val="center"/>
          </w:tcPr>
          <w:p>
            <w:pPr>
              <w:pStyle w:val="TableContents"/>
              <w:bidi w:val="0"/>
              <w:spacing w:before="0" w:after="283"/>
              <w:jc w:val="right"/>
              <w:rPr/>
            </w:pPr>
            <w:r>
              <w:rPr/>
              <w:t>126.48</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62" w:type="dxa"/>
            <w:tcBorders/>
            <w:shd w:fill="CCE2F1" w:val="clear"/>
            <w:vAlign w:val="center"/>
          </w:tcPr>
          <w:p>
            <w:pPr>
              <w:pStyle w:val="TableContents"/>
              <w:bidi w:val="0"/>
              <w:spacing w:before="0" w:after="283"/>
              <w:jc w:val="left"/>
              <w:rPr/>
            </w:pPr>
            <w:r>
              <w:rPr/>
              <w:t> </w:t>
            </w:r>
          </w:p>
        </w:tc>
        <w:tc>
          <w:tcPr>
            <w:tcW w:w="588" w:type="dxa"/>
            <w:tcBorders/>
            <w:shd w:fill="CCE2F1" w:val="clear"/>
            <w:vAlign w:val="center"/>
          </w:tcPr>
          <w:p>
            <w:pPr>
              <w:pStyle w:val="TableContents"/>
              <w:bidi w:val="0"/>
              <w:spacing w:before="0" w:after="283"/>
              <w:jc w:val="right"/>
              <w:rPr/>
            </w:pPr>
            <w:r>
              <w:rPr/>
              <w:t>5,893</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91" w:type="dxa"/>
            <w:tcBorders/>
            <w:shd w:fill="CCE2F1" w:val="clear"/>
            <w:vAlign w:val="center"/>
          </w:tcPr>
          <w:p>
            <w:pPr>
              <w:pStyle w:val="TableContents"/>
              <w:bidi w:val="0"/>
              <w:spacing w:before="0" w:after="283"/>
              <w:jc w:val="left"/>
              <w:rPr/>
            </w:pPr>
            <w:r>
              <w:rPr/>
              <w:t> </w:t>
            </w:r>
          </w:p>
        </w:tc>
        <w:tc>
          <w:tcPr>
            <w:tcW w:w="859" w:type="dxa"/>
            <w:tcBorders/>
            <w:shd w:fill="CCE2F1" w:val="clear"/>
            <w:vAlign w:val="center"/>
          </w:tcPr>
          <w:p>
            <w:pPr>
              <w:pStyle w:val="TableContents"/>
              <w:bidi w:val="0"/>
              <w:spacing w:before="0" w:after="283"/>
              <w:jc w:val="right"/>
              <w:rPr/>
            </w:pPr>
            <w:r>
              <w:rPr/>
              <w:t>17.10</w:t>
            </w:r>
          </w:p>
        </w:tc>
        <w:tc>
          <w:tcPr>
            <w:tcW w:w="75" w:type="dxa"/>
            <w:tcBorders/>
            <w:shd w:fill="CCE2F1" w:val="clear"/>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c>
          <w:tcPr>
            <w:tcW w:w="1085" w:type="dxa"/>
            <w:gridSpan w:val="4"/>
            <w:tcBorders/>
            <w:vAlign w:val="center"/>
          </w:tcPr>
          <w:p>
            <w:pPr>
              <w:pStyle w:val="TableContents"/>
              <w:bidi w:val="0"/>
              <w:spacing w:before="0" w:after="283"/>
              <w:jc w:val="left"/>
              <w:rPr>
                <w:sz w:val="4"/>
                <w:szCs w:val="4"/>
              </w:rPr>
            </w:pPr>
            <w:r>
              <w:rPr>
                <w:sz w:val="4"/>
                <w:szCs w:val="4"/>
              </w:rPr>
            </w:r>
          </w:p>
        </w:tc>
      </w:tr>
      <w:tr>
        <w:trPr/>
        <w:tc>
          <w:tcPr>
            <w:tcW w:w="455" w:type="dxa"/>
            <w:tcBorders>
              <w:bottom w:val="single" w:sz="8" w:space="0" w:color="0171B9"/>
            </w:tcBorders>
            <w:tcMar>
              <w:bottom w:w="80" w:type="dxa"/>
            </w:tcMar>
            <w:vAlign w:val="center"/>
          </w:tcPr>
          <w:p>
            <w:pPr>
              <w:pStyle w:val="TableContents"/>
              <w:bidi w:val="0"/>
              <w:spacing w:before="0" w:after="0"/>
              <w:jc w:val="center"/>
              <w:rPr>
                <w:rFonts w:ascii="arial" w:hAnsi="arial"/>
                <w:sz w:val="18"/>
              </w:rPr>
            </w:pPr>
            <w:r>
              <w:rPr>
                <w:rFonts w:ascii="arial" w:hAnsi="arial"/>
                <w:sz w:val="18"/>
              </w:rPr>
              <w:t>2020</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65" w:type="dxa"/>
            <w:tcBorders>
              <w:bottom w:val="single" w:sz="8" w:space="0" w:color="0171B9"/>
            </w:tcBorders>
            <w:tcMar>
              <w:bottom w:w="80" w:type="dxa"/>
            </w:tcMar>
            <w:vAlign w:val="center"/>
          </w:tcPr>
          <w:p>
            <w:pPr>
              <w:pStyle w:val="TableContents"/>
              <w:bidi w:val="0"/>
              <w:spacing w:before="0" w:after="283"/>
              <w:jc w:val="left"/>
              <w:rPr/>
            </w:pPr>
            <w:r>
              <w:rPr/>
              <w:t> </w:t>
            </w:r>
          </w:p>
        </w:tc>
        <w:tc>
          <w:tcPr>
            <w:tcW w:w="1200" w:type="dxa"/>
            <w:tcBorders>
              <w:bottom w:val="single" w:sz="8" w:space="0" w:color="0171B9"/>
            </w:tcBorders>
            <w:tcMar>
              <w:bottom w:w="80" w:type="dxa"/>
            </w:tcMar>
            <w:vAlign w:val="center"/>
          </w:tcPr>
          <w:p>
            <w:pPr>
              <w:pStyle w:val="TableContents"/>
              <w:bidi w:val="0"/>
              <w:spacing w:before="0" w:after="283"/>
              <w:jc w:val="right"/>
              <w:rPr/>
            </w:pPr>
            <w:r>
              <w:rPr/>
              <w:t>20,131,408</w:t>
            </w:r>
          </w:p>
        </w:tc>
        <w:tc>
          <w:tcPr>
            <w:tcW w:w="60" w:type="dxa"/>
            <w:tcBorders>
              <w:bottom w:val="single" w:sz="8" w:space="0" w:color="0171B9"/>
            </w:tcBorders>
            <w:tcMar>
              <w:bottom w:w="80"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70" w:type="dxa"/>
            <w:tcBorders>
              <w:bottom w:val="single" w:sz="8" w:space="0" w:color="0171B9"/>
            </w:tcBorders>
            <w:tcMar>
              <w:bottom w:w="80" w:type="dxa"/>
            </w:tcMar>
            <w:vAlign w:val="center"/>
          </w:tcPr>
          <w:p>
            <w:pPr>
              <w:pStyle w:val="TableContents"/>
              <w:bidi w:val="0"/>
              <w:spacing w:before="0" w:after="283"/>
              <w:jc w:val="left"/>
              <w:rPr/>
            </w:pPr>
            <w:r>
              <w:rPr/>
              <w:t> </w:t>
            </w:r>
          </w:p>
        </w:tc>
        <w:tc>
          <w:tcPr>
            <w:tcW w:w="1285" w:type="dxa"/>
            <w:tcBorders>
              <w:bottom w:val="single" w:sz="8" w:space="0" w:color="0171B9"/>
            </w:tcBorders>
            <w:tcMar>
              <w:bottom w:w="80" w:type="dxa"/>
            </w:tcMar>
            <w:vAlign w:val="center"/>
          </w:tcPr>
          <w:p>
            <w:pPr>
              <w:pStyle w:val="TableContents"/>
              <w:bidi w:val="0"/>
              <w:spacing w:before="0" w:after="283"/>
              <w:jc w:val="right"/>
              <w:rPr/>
            </w:pPr>
            <w:r>
              <w:rPr/>
              <w:t>14,724,312</w:t>
            </w:r>
          </w:p>
        </w:tc>
        <w:tc>
          <w:tcPr>
            <w:tcW w:w="60" w:type="dxa"/>
            <w:tcBorders>
              <w:bottom w:val="single" w:sz="8" w:space="0" w:color="0171B9"/>
            </w:tcBorders>
            <w:tcMar>
              <w:bottom w:w="80"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72" w:type="dxa"/>
            <w:tcBorders>
              <w:bottom w:val="single" w:sz="8" w:space="0" w:color="0171B9"/>
            </w:tcBorders>
            <w:tcMar>
              <w:bottom w:w="80" w:type="dxa"/>
            </w:tcMar>
            <w:vAlign w:val="center"/>
          </w:tcPr>
          <w:p>
            <w:pPr>
              <w:pStyle w:val="TableContents"/>
              <w:bidi w:val="0"/>
              <w:spacing w:before="0" w:after="283"/>
              <w:jc w:val="left"/>
              <w:rPr/>
            </w:pPr>
            <w:r>
              <w:rPr/>
              <w:t> </w:t>
            </w:r>
          </w:p>
        </w:tc>
        <w:tc>
          <w:tcPr>
            <w:tcW w:w="1193" w:type="dxa"/>
            <w:tcBorders>
              <w:bottom w:val="single" w:sz="8" w:space="0" w:color="0171B9"/>
            </w:tcBorders>
            <w:tcMar>
              <w:bottom w:w="80" w:type="dxa"/>
            </w:tcMar>
            <w:vAlign w:val="center"/>
          </w:tcPr>
          <w:p>
            <w:pPr>
              <w:pStyle w:val="TableContents"/>
              <w:bidi w:val="0"/>
              <w:spacing w:before="0" w:after="283"/>
              <w:jc w:val="right"/>
              <w:rPr/>
            </w:pPr>
            <w:r>
              <w:rPr/>
              <w:t>6,736,942</w:t>
            </w:r>
          </w:p>
        </w:tc>
        <w:tc>
          <w:tcPr>
            <w:tcW w:w="60" w:type="dxa"/>
            <w:tcBorders>
              <w:bottom w:val="single" w:sz="8" w:space="0" w:color="0171B9"/>
            </w:tcBorders>
            <w:tcMar>
              <w:bottom w:w="80"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70" w:type="dxa"/>
            <w:tcBorders>
              <w:bottom w:val="single" w:sz="8" w:space="0" w:color="0171B9"/>
            </w:tcBorders>
            <w:tcMar>
              <w:bottom w:w="80" w:type="dxa"/>
            </w:tcMar>
            <w:vAlign w:val="center"/>
          </w:tcPr>
          <w:p>
            <w:pPr>
              <w:pStyle w:val="TableContents"/>
              <w:bidi w:val="0"/>
              <w:spacing w:before="0" w:after="283"/>
              <w:jc w:val="left"/>
              <w:rPr/>
            </w:pPr>
            <w:r>
              <w:rPr/>
              <w:t> </w:t>
            </w:r>
          </w:p>
        </w:tc>
        <w:tc>
          <w:tcPr>
            <w:tcW w:w="1285" w:type="dxa"/>
            <w:tcBorders>
              <w:bottom w:val="single" w:sz="8" w:space="0" w:color="0171B9"/>
            </w:tcBorders>
            <w:tcMar>
              <w:bottom w:w="80" w:type="dxa"/>
            </w:tcMar>
            <w:vAlign w:val="center"/>
          </w:tcPr>
          <w:p>
            <w:pPr>
              <w:pStyle w:val="TableContents"/>
              <w:bidi w:val="0"/>
              <w:spacing w:before="0" w:after="283"/>
              <w:jc w:val="right"/>
              <w:rPr/>
            </w:pPr>
            <w:r>
              <w:rPr/>
              <w:t>5,571,375</w:t>
            </w:r>
          </w:p>
        </w:tc>
        <w:tc>
          <w:tcPr>
            <w:tcW w:w="60" w:type="dxa"/>
            <w:tcBorders>
              <w:bottom w:val="single" w:sz="8" w:space="0" w:color="0171B9"/>
            </w:tcBorders>
            <w:tcMar>
              <w:bottom w:w="80"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101" w:type="dxa"/>
            <w:tcBorders>
              <w:bottom w:val="single" w:sz="8" w:space="0" w:color="0171B9"/>
            </w:tcBorders>
            <w:tcMar>
              <w:bottom w:w="80" w:type="dxa"/>
            </w:tcMar>
            <w:vAlign w:val="center"/>
          </w:tcPr>
          <w:p>
            <w:pPr>
              <w:pStyle w:val="TableContents"/>
              <w:bidi w:val="0"/>
              <w:spacing w:before="0" w:after="283"/>
              <w:jc w:val="left"/>
              <w:rPr/>
            </w:pPr>
            <w:r>
              <w:rPr/>
              <w:t> </w:t>
            </w:r>
          </w:p>
        </w:tc>
        <w:tc>
          <w:tcPr>
            <w:tcW w:w="999" w:type="dxa"/>
            <w:tcBorders>
              <w:bottom w:val="single" w:sz="8" w:space="0" w:color="0171B9"/>
            </w:tcBorders>
            <w:tcMar>
              <w:bottom w:w="80" w:type="dxa"/>
            </w:tcMar>
            <w:vAlign w:val="center"/>
          </w:tcPr>
          <w:p>
            <w:pPr>
              <w:pStyle w:val="TableContents"/>
              <w:bidi w:val="0"/>
              <w:spacing w:before="0" w:after="283"/>
              <w:jc w:val="right"/>
              <w:rPr/>
            </w:pPr>
            <w:r>
              <w:rPr/>
              <w:t>98.01</w:t>
            </w:r>
          </w:p>
        </w:tc>
        <w:tc>
          <w:tcPr>
            <w:tcW w:w="60" w:type="dxa"/>
            <w:tcBorders>
              <w:bottom w:val="single" w:sz="8" w:space="0" w:color="0171B9"/>
            </w:tcBorders>
            <w:tcMar>
              <w:bottom w:w="80"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101" w:type="dxa"/>
            <w:tcBorders>
              <w:bottom w:val="single" w:sz="8" w:space="0" w:color="0171B9"/>
            </w:tcBorders>
            <w:tcMar>
              <w:bottom w:w="80" w:type="dxa"/>
            </w:tcMar>
            <w:vAlign w:val="center"/>
          </w:tcPr>
          <w:p>
            <w:pPr>
              <w:pStyle w:val="TableContents"/>
              <w:bidi w:val="0"/>
              <w:spacing w:before="0" w:after="283"/>
              <w:jc w:val="left"/>
              <w:rPr/>
            </w:pPr>
            <w:r>
              <w:rPr/>
              <w:t> </w:t>
            </w:r>
          </w:p>
        </w:tc>
        <w:tc>
          <w:tcPr>
            <w:tcW w:w="969" w:type="dxa"/>
            <w:tcBorders>
              <w:bottom w:val="single" w:sz="8" w:space="0" w:color="0171B9"/>
            </w:tcBorders>
            <w:tcMar>
              <w:bottom w:w="80" w:type="dxa"/>
            </w:tcMar>
            <w:vAlign w:val="center"/>
          </w:tcPr>
          <w:p>
            <w:pPr>
              <w:pStyle w:val="TableContents"/>
              <w:bidi w:val="0"/>
              <w:spacing w:before="0" w:after="283"/>
              <w:jc w:val="right"/>
              <w:rPr/>
            </w:pPr>
            <w:r>
              <w:rPr/>
              <w:t>102.57</w:t>
            </w:r>
          </w:p>
        </w:tc>
        <w:tc>
          <w:tcPr>
            <w:tcW w:w="60" w:type="dxa"/>
            <w:tcBorders>
              <w:bottom w:val="single" w:sz="8" w:space="0" w:color="0171B9"/>
            </w:tcBorders>
            <w:tcMar>
              <w:bottom w:w="80"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62" w:type="dxa"/>
            <w:tcBorders>
              <w:bottom w:val="single" w:sz="8" w:space="0" w:color="0171B9"/>
            </w:tcBorders>
            <w:tcMar>
              <w:bottom w:w="80" w:type="dxa"/>
            </w:tcMar>
            <w:vAlign w:val="center"/>
          </w:tcPr>
          <w:p>
            <w:pPr>
              <w:pStyle w:val="TableContents"/>
              <w:bidi w:val="0"/>
              <w:spacing w:before="0" w:after="283"/>
              <w:jc w:val="left"/>
              <w:rPr/>
            </w:pPr>
            <w:r>
              <w:rPr/>
              <w:t> </w:t>
            </w:r>
          </w:p>
        </w:tc>
        <w:tc>
          <w:tcPr>
            <w:tcW w:w="588" w:type="dxa"/>
            <w:tcBorders>
              <w:bottom w:val="single" w:sz="8" w:space="0" w:color="0171B9"/>
            </w:tcBorders>
            <w:tcMar>
              <w:bottom w:w="80" w:type="dxa"/>
            </w:tcMar>
            <w:vAlign w:val="center"/>
          </w:tcPr>
          <w:p>
            <w:pPr>
              <w:pStyle w:val="TableContents"/>
              <w:bidi w:val="0"/>
              <w:spacing w:before="0" w:after="283"/>
              <w:jc w:val="right"/>
              <w:rPr/>
            </w:pPr>
            <w:r>
              <w:rPr/>
              <w:t>7,264</w:t>
            </w:r>
          </w:p>
        </w:tc>
        <w:tc>
          <w:tcPr>
            <w:tcW w:w="60" w:type="dxa"/>
            <w:tcBorders>
              <w:bottom w:val="single" w:sz="8" w:space="0" w:color="0171B9"/>
            </w:tcBorders>
            <w:tcMar>
              <w:bottom w:w="80"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91" w:type="dxa"/>
            <w:tcBorders>
              <w:bottom w:val="single" w:sz="8" w:space="0" w:color="0171B9"/>
            </w:tcBorders>
            <w:tcMar>
              <w:bottom w:w="80" w:type="dxa"/>
            </w:tcMar>
            <w:vAlign w:val="center"/>
          </w:tcPr>
          <w:p>
            <w:pPr>
              <w:pStyle w:val="TableContents"/>
              <w:bidi w:val="0"/>
              <w:spacing w:before="0" w:after="283"/>
              <w:jc w:val="left"/>
              <w:rPr/>
            </w:pPr>
            <w:r>
              <w:rPr/>
              <w:t> </w:t>
            </w:r>
          </w:p>
        </w:tc>
        <w:tc>
          <w:tcPr>
            <w:tcW w:w="859" w:type="dxa"/>
            <w:tcBorders>
              <w:bottom w:val="single" w:sz="8" w:space="0" w:color="0171B9"/>
            </w:tcBorders>
            <w:tcMar>
              <w:bottom w:w="80" w:type="dxa"/>
            </w:tcMar>
            <w:vAlign w:val="center"/>
          </w:tcPr>
          <w:p>
            <w:pPr>
              <w:pStyle w:val="TableContents"/>
              <w:bidi w:val="0"/>
              <w:spacing w:before="0" w:after="283"/>
              <w:jc w:val="right"/>
              <w:rPr/>
            </w:pPr>
            <w:r>
              <w:rPr/>
              <w:t>16.60</w:t>
            </w:r>
          </w:p>
        </w:tc>
        <w:tc>
          <w:tcPr>
            <w:tcW w:w="75" w:type="dxa"/>
            <w:tcBorders>
              <w:bottom w:val="single" w:sz="8" w:space="0" w:color="0171B9"/>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117"/>
        <w:gridCol w:w="10088"/>
      </w:tblGrid>
      <w:tr>
        <w:trPr/>
        <w:tc>
          <w:tcPr>
            <w:tcW w:w="117" w:type="dxa"/>
            <w:tcBorders/>
            <w:vAlign w:val="center"/>
          </w:tcPr>
          <w:p>
            <w:pPr>
              <w:pStyle w:val="TableContents"/>
              <w:bidi w:val="0"/>
              <w:spacing w:before="0" w:after="0"/>
              <w:jc w:val="left"/>
              <w:rPr>
                <w:sz w:val="9"/>
              </w:rPr>
            </w:pPr>
            <w:r>
              <w:rPr>
                <w:sz w:val="9"/>
              </w:rPr>
              <w:t>(1)</w:t>
            </w:r>
          </w:p>
          <w:p>
            <w:pPr>
              <w:pStyle w:val="TableContents"/>
              <w:bidi w:val="0"/>
              <w:spacing w:before="0" w:after="0"/>
              <w:jc w:val="left"/>
              <w:rPr/>
            </w:pPr>
            <w:r>
              <w:rPr/>
              <w:t> </w:t>
            </w:r>
          </w:p>
        </w:tc>
        <w:tc>
          <w:tcPr>
            <w:tcW w:w="10088" w:type="dxa"/>
            <w:tcBorders/>
            <w:vAlign w:val="center"/>
          </w:tcPr>
          <w:p>
            <w:pPr>
              <w:pStyle w:val="TableContents"/>
              <w:bidi w:val="0"/>
              <w:spacing w:before="0" w:after="0"/>
              <w:jc w:val="both"/>
              <w:rPr>
                <w:rFonts w:ascii="arial" w:hAnsi="arial"/>
                <w:sz w:val="16"/>
              </w:rPr>
            </w:pPr>
            <w:r>
              <w:rPr>
                <w:rFonts w:ascii="arial" w:hAnsi="arial"/>
                <w:sz w:val="16"/>
              </w:rPr>
              <w:t xml:space="preserve">As the valuation methods for “compensation actually paid” required by the SEC differ from those required in the Summary Compensation Table (“SCT”), the table below provides a reconciliation of SCT amounts to the Compensation Actually Paid (“CAP”) amounts in the Pay Versus Performance table for Mr. Bradway and the average SCT and CAP amounts for our other NEOs for each of the last four fiscal years. The other non-CEO NEOs for each of 2023, 2022, 2021, and 2020 include Messrs. Gordon, Griffith, and Santos and Dr. Reese. </w:t>
            </w:r>
          </w:p>
        </w:tc>
      </w:tr>
    </w:tbl>
    <w:p>
      <w:pPr>
        <w:pStyle w:val="TextBody"/>
        <w:bidi w:val="0"/>
        <w:spacing w:before="240" w:after="0"/>
        <w:jc w:val="center"/>
        <w:rPr>
          <w:rFonts w:ascii="arial" w:hAnsi="arial"/>
          <w:b/>
          <w:sz w:val="22"/>
          <w:shd w:fill="FFFFFF" w:val="clear"/>
        </w:rPr>
      </w:pPr>
      <w:r>
        <w:rPr>
          <w:rFonts w:ascii="arial" w:hAnsi="arial"/>
          <w:b/>
          <w:sz w:val="22"/>
          <w:shd w:fill="FFFFFF" w:val="clear"/>
        </w:rPr>
        <w:t xml:space="preserve">Summary Compensation Table to Compensation Actually Paid Reconciliation Table </w:t>
      </w:r>
    </w:p>
    <w:p>
      <w:pPr>
        <w:pStyle w:val="TextBody"/>
        <w:bidi w:val="0"/>
        <w:spacing w:before="0" w:after="0"/>
        <w:jc w:val="left"/>
        <w:rPr>
          <w:shd w:fill="FFFFFF" w:val="clear"/>
        </w:rPr>
      </w:pPr>
      <w:r>
        <w:rPr>
          <w:shd w:fill="FFFFFF" w:val="clear"/>
        </w:rPr>
        <w:t> </w:t>
      </w:r>
    </w:p>
    <w:tbl>
      <w:tblPr>
        <w:tblW w:w="13525" w:type="dxa"/>
        <w:jc w:val="left"/>
        <w:tblInd w:w="0" w:type="dxa"/>
        <w:tblLayout w:type="fixed"/>
        <w:tblCellMar>
          <w:top w:w="0" w:type="dxa"/>
          <w:left w:w="0" w:type="dxa"/>
          <w:bottom w:w="0" w:type="dxa"/>
          <w:right w:w="0" w:type="dxa"/>
        </w:tblCellMar>
      </w:tblPr>
      <w:tblGrid>
        <w:gridCol w:w="755"/>
        <w:gridCol w:w="60"/>
        <w:gridCol w:w="60"/>
        <w:gridCol w:w="500"/>
        <w:gridCol w:w="60"/>
        <w:gridCol w:w="60"/>
        <w:gridCol w:w="77"/>
        <w:gridCol w:w="1413"/>
        <w:gridCol w:w="60"/>
        <w:gridCol w:w="60"/>
        <w:gridCol w:w="77"/>
        <w:gridCol w:w="1413"/>
        <w:gridCol w:w="60"/>
        <w:gridCol w:w="60"/>
        <w:gridCol w:w="85"/>
        <w:gridCol w:w="1405"/>
        <w:gridCol w:w="60"/>
        <w:gridCol w:w="60"/>
        <w:gridCol w:w="81"/>
        <w:gridCol w:w="1499"/>
        <w:gridCol w:w="60"/>
        <w:gridCol w:w="60"/>
        <w:gridCol w:w="90"/>
        <w:gridCol w:w="1655"/>
        <w:gridCol w:w="155"/>
        <w:gridCol w:w="60"/>
        <w:gridCol w:w="94"/>
        <w:gridCol w:w="1666"/>
        <w:gridCol w:w="155"/>
        <w:gridCol w:w="60"/>
        <w:gridCol w:w="77"/>
        <w:gridCol w:w="1413"/>
        <w:gridCol w:w="75"/>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55"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560" w:type="dxa"/>
            <w:gridSpan w:val="2"/>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1490" w:type="dxa"/>
            <w:gridSpan w:val="2"/>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8640" w:type="dxa"/>
            <w:gridSpan w:val="18"/>
            <w:tcBorders>
              <w:bottom w:val="single" w:sz="8" w:space="0" w:color="FFFFFF"/>
            </w:tcBorders>
            <w:shd w:fill="0171B9" w:val="clear"/>
            <w:tcMar>
              <w:bottom w:w="28" w:type="dxa"/>
            </w:tcMar>
            <w:vAlign w:val="center"/>
          </w:tcPr>
          <w:p>
            <w:pPr>
              <w:pStyle w:val="TableContents"/>
              <w:bidi w:val="0"/>
              <w:spacing w:before="0" w:after="0"/>
              <w:jc w:val="center"/>
              <w:rPr>
                <w:b/>
                <w:color w:val="FFFFFF"/>
                <w:spacing w:val="0"/>
              </w:rPr>
            </w:pPr>
            <w:r>
              <w:rPr>
                <w:b/>
                <w:color w:val="FFFFFF"/>
                <w:spacing w:val="0"/>
              </w:rPr>
              <w:t>Required Adjustments to Summary Compensation Table Totals to Determine</w:t>
              <w:br/>
              <w:t>“Compensation Actually Paid”</w:t>
            </w:r>
          </w:p>
        </w:tc>
        <w:tc>
          <w:tcPr>
            <w:tcW w:w="155"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1490" w:type="dxa"/>
            <w:gridSpan w:val="2"/>
            <w:tcBorders/>
            <w:shd w:fill="0171B9" w:val="clear"/>
            <w:vAlign w:val="center"/>
          </w:tcPr>
          <w:p>
            <w:pPr>
              <w:pStyle w:val="TableContents"/>
              <w:bidi w:val="0"/>
              <w:spacing w:before="0" w:after="283"/>
              <w:jc w:val="left"/>
              <w:rPr/>
            </w:pPr>
            <w:r>
              <w:rPr/>
              <w:t> </w:t>
            </w:r>
          </w:p>
        </w:tc>
        <w:tc>
          <w:tcPr>
            <w:tcW w:w="75" w:type="dxa"/>
            <w:tcBorders/>
            <w:shd w:fill="0171B9" w:val="clear"/>
            <w:vAlign w:val="center"/>
          </w:tcPr>
          <w:p>
            <w:pPr>
              <w:pStyle w:val="TableContents"/>
              <w:bidi w:val="0"/>
              <w:spacing w:before="0" w:after="283"/>
              <w:jc w:val="left"/>
              <w:rPr/>
            </w:pPr>
            <w:r>
              <w:rPr/>
              <w:t> </w:t>
            </w:r>
          </w:p>
        </w:tc>
      </w:tr>
      <w:tr>
        <w:trPr/>
        <w:tc>
          <w:tcPr>
            <w:tcW w:w="755" w:type="dxa"/>
            <w:tcBorders/>
            <w:shd w:fill="0171B9" w:val="clear"/>
            <w:vAlign w:val="center"/>
          </w:tcPr>
          <w:p>
            <w:pPr>
              <w:pStyle w:val="TableContents"/>
              <w:bidi w:val="0"/>
              <w:spacing w:before="0" w:after="283"/>
              <w:jc w:val="left"/>
              <w:rPr/>
            </w:pPr>
            <w:r>
              <w:rPr/>
              <w:t> </w:t>
            </w:r>
          </w:p>
        </w:tc>
        <w:tc>
          <w:tcPr>
            <w:tcW w:w="60" w:type="dxa"/>
            <w:tcBorders>
              <w:bottom w:val="single" w:sz="8" w:space="0" w:color="E5F0F8"/>
            </w:tcBorders>
            <w:shd w:fill="0171B9" w:val="clear"/>
            <w:tcMar>
              <w:bottom w:w="28" w:type="dxa"/>
            </w:tcMar>
            <w:vAlign w:val="center"/>
          </w:tcPr>
          <w:p>
            <w:pPr>
              <w:pStyle w:val="TableContents"/>
              <w:bidi w:val="0"/>
              <w:spacing w:before="0" w:after="283"/>
              <w:jc w:val="left"/>
              <w:rPr/>
            </w:pPr>
            <w:r>
              <w:rPr/>
              <w:t> </w:t>
            </w:r>
          </w:p>
        </w:tc>
        <w:tc>
          <w:tcPr>
            <w:tcW w:w="560" w:type="dxa"/>
            <w:gridSpan w:val="2"/>
            <w:tcBorders>
              <w:bottom w:val="single" w:sz="8" w:space="0" w:color="E5F0F8"/>
            </w:tcBorders>
            <w:shd w:fill="0171B9" w:val="clear"/>
            <w:tcMar>
              <w:bottom w:w="28" w:type="dxa"/>
            </w:tcMar>
            <w:vAlign w:val="center"/>
          </w:tcPr>
          <w:p>
            <w:pPr>
              <w:pStyle w:val="TableContents"/>
              <w:bidi w:val="0"/>
              <w:spacing w:before="0" w:after="0"/>
              <w:jc w:val="center"/>
              <w:rPr>
                <w:b/>
                <w:color w:val="FFFFFF"/>
                <w:spacing w:val="0"/>
              </w:rPr>
            </w:pPr>
            <w:r>
              <w:rPr>
                <w:b/>
                <w:color w:val="FFFFFF"/>
                <w:spacing w:val="0"/>
              </w:rPr>
              <w:t>Year</w:t>
            </w:r>
          </w:p>
        </w:tc>
        <w:tc>
          <w:tcPr>
            <w:tcW w:w="60" w:type="dxa"/>
            <w:tcBorders>
              <w:bottom w:val="single" w:sz="8" w:space="0" w:color="E5F0F8"/>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E5F0F8"/>
            </w:tcBorders>
            <w:shd w:fill="0171B9" w:val="clear"/>
            <w:tcMar>
              <w:bottom w:w="28" w:type="dxa"/>
            </w:tcMar>
            <w:vAlign w:val="center"/>
          </w:tcPr>
          <w:p>
            <w:pPr>
              <w:pStyle w:val="TableContents"/>
              <w:bidi w:val="0"/>
              <w:spacing w:before="0" w:after="283"/>
              <w:jc w:val="left"/>
              <w:rPr/>
            </w:pPr>
            <w:r>
              <w:rPr/>
              <w:t> </w:t>
            </w:r>
          </w:p>
        </w:tc>
        <w:tc>
          <w:tcPr>
            <w:tcW w:w="1490" w:type="dxa"/>
            <w:gridSpan w:val="2"/>
            <w:tcBorders>
              <w:bottom w:val="single" w:sz="8" w:space="0" w:color="E5F0F8"/>
            </w:tcBorders>
            <w:shd w:fill="0171B9" w:val="clear"/>
            <w:tcMar>
              <w:bottom w:w="28" w:type="dxa"/>
            </w:tcMar>
            <w:vAlign w:val="center"/>
          </w:tcPr>
          <w:p>
            <w:pPr>
              <w:pStyle w:val="TableContents"/>
              <w:bidi w:val="0"/>
              <w:spacing w:before="0" w:after="0"/>
              <w:jc w:val="right"/>
              <w:rPr>
                <w:b/>
                <w:color w:val="FFFFFF"/>
                <w:spacing w:val="0"/>
              </w:rPr>
            </w:pPr>
            <w:r>
              <w:rPr>
                <w:b/>
                <w:color w:val="FFFFFF"/>
                <w:spacing w:val="0"/>
              </w:rPr>
              <w:t>Summary</w:t>
              <w:br/>
              <w:t>Compensation</w:t>
              <w:br/>
              <w:t>Table Total($)</w:t>
            </w:r>
          </w:p>
        </w:tc>
        <w:tc>
          <w:tcPr>
            <w:tcW w:w="60" w:type="dxa"/>
            <w:tcBorders>
              <w:bottom w:val="single" w:sz="8" w:space="0" w:color="E5F0F8"/>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E5F0F8"/>
            </w:tcBorders>
            <w:shd w:fill="0171B9" w:val="clear"/>
            <w:tcMar>
              <w:bottom w:w="28" w:type="dxa"/>
            </w:tcMar>
            <w:vAlign w:val="center"/>
          </w:tcPr>
          <w:p>
            <w:pPr>
              <w:pStyle w:val="TableContents"/>
              <w:bidi w:val="0"/>
              <w:spacing w:before="0" w:after="283"/>
              <w:jc w:val="left"/>
              <w:rPr/>
            </w:pPr>
            <w:r>
              <w:rPr/>
              <w:t> </w:t>
            </w:r>
          </w:p>
        </w:tc>
        <w:tc>
          <w:tcPr>
            <w:tcW w:w="1490" w:type="dxa"/>
            <w:gridSpan w:val="2"/>
            <w:tcBorders>
              <w:bottom w:val="single" w:sz="8" w:space="0" w:color="E5F0F8"/>
            </w:tcBorders>
            <w:shd w:fill="0171B9" w:val="clear"/>
            <w:tcMar>
              <w:bottom w:w="28" w:type="dxa"/>
            </w:tcMar>
            <w:vAlign w:val="center"/>
          </w:tcPr>
          <w:p>
            <w:pPr>
              <w:pStyle w:val="TableContents"/>
              <w:bidi w:val="0"/>
              <w:spacing w:before="0" w:after="0"/>
              <w:jc w:val="right"/>
              <w:rPr>
                <w:b/>
                <w:color w:val="FFFFFF"/>
                <w:spacing w:val="0"/>
              </w:rPr>
            </w:pPr>
            <w:r>
              <w:rPr>
                <w:b/>
                <w:color w:val="FFFFFF"/>
                <w:spacing w:val="0"/>
              </w:rPr>
              <w:t>Summary</w:t>
              <w:br/>
              <w:t>Compensation</w:t>
              <w:br/>
              <w:t>Table Value</w:t>
              <w:br/>
              <w:t>of Stock</w:t>
              <w:br/>
              <w:t>Awards($)</w:t>
            </w:r>
          </w:p>
        </w:tc>
        <w:tc>
          <w:tcPr>
            <w:tcW w:w="60" w:type="dxa"/>
            <w:tcBorders>
              <w:bottom w:val="single" w:sz="8" w:space="0" w:color="E5F0F8"/>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E5F0F8"/>
            </w:tcBorders>
            <w:shd w:fill="0171B9" w:val="clear"/>
            <w:tcMar>
              <w:bottom w:w="28" w:type="dxa"/>
            </w:tcMar>
            <w:vAlign w:val="center"/>
          </w:tcPr>
          <w:p>
            <w:pPr>
              <w:pStyle w:val="TableContents"/>
              <w:bidi w:val="0"/>
              <w:spacing w:before="0" w:after="283"/>
              <w:jc w:val="left"/>
              <w:rPr/>
            </w:pPr>
            <w:r>
              <w:rPr/>
              <w:t> </w:t>
            </w:r>
          </w:p>
        </w:tc>
        <w:tc>
          <w:tcPr>
            <w:tcW w:w="1490" w:type="dxa"/>
            <w:gridSpan w:val="2"/>
            <w:tcBorders>
              <w:bottom w:val="single" w:sz="8" w:space="0" w:color="E5F0F8"/>
            </w:tcBorders>
            <w:shd w:fill="0171B9" w:val="clear"/>
            <w:tcMar>
              <w:bottom w:w="28" w:type="dxa"/>
            </w:tcMar>
            <w:vAlign w:val="center"/>
          </w:tcPr>
          <w:p>
            <w:pPr>
              <w:pStyle w:val="TableContents"/>
              <w:bidi w:val="0"/>
              <w:spacing w:before="0" w:after="0"/>
              <w:jc w:val="right"/>
              <w:rPr>
                <w:b/>
                <w:color w:val="FFFFFF"/>
                <w:spacing w:val="0"/>
              </w:rPr>
            </w:pPr>
            <w:r>
              <w:rPr>
                <w:b/>
                <w:color w:val="FFFFFF"/>
                <w:spacing w:val="0"/>
              </w:rPr>
              <w:t>Summary</w:t>
              <w:br/>
              <w:t>Compensation</w:t>
              <w:br/>
              <w:t>Table</w:t>
              <w:br/>
              <w:t>Value of</w:t>
              <w:br/>
              <w:t>Option</w:t>
              <w:br/>
              <w:t>Awards($)</w:t>
            </w:r>
          </w:p>
        </w:tc>
        <w:tc>
          <w:tcPr>
            <w:tcW w:w="60" w:type="dxa"/>
            <w:tcBorders>
              <w:bottom w:val="single" w:sz="8" w:space="0" w:color="E5F0F8"/>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E5F0F8"/>
            </w:tcBorders>
            <w:shd w:fill="0171B9" w:val="clear"/>
            <w:tcMar>
              <w:bottom w:w="28" w:type="dxa"/>
            </w:tcMar>
            <w:vAlign w:val="center"/>
          </w:tcPr>
          <w:p>
            <w:pPr>
              <w:pStyle w:val="TableContents"/>
              <w:bidi w:val="0"/>
              <w:spacing w:before="0" w:after="283"/>
              <w:jc w:val="left"/>
              <w:rPr/>
            </w:pPr>
            <w:r>
              <w:rPr/>
              <w:t> </w:t>
            </w:r>
          </w:p>
        </w:tc>
        <w:tc>
          <w:tcPr>
            <w:tcW w:w="1580" w:type="dxa"/>
            <w:gridSpan w:val="2"/>
            <w:tcBorders>
              <w:bottom w:val="single" w:sz="8" w:space="0" w:color="E5F0F8"/>
            </w:tcBorders>
            <w:shd w:fill="0171B9" w:val="clear"/>
            <w:tcMar>
              <w:bottom w:w="28" w:type="dxa"/>
            </w:tcMar>
            <w:vAlign w:val="center"/>
          </w:tcPr>
          <w:p>
            <w:pPr>
              <w:pStyle w:val="TableContents"/>
              <w:bidi w:val="0"/>
              <w:spacing w:before="0" w:after="0"/>
              <w:jc w:val="right"/>
              <w:rPr>
                <w:b/>
                <w:color w:val="FFFFFF"/>
                <w:spacing w:val="0"/>
              </w:rPr>
            </w:pPr>
            <w:r>
              <w:rPr>
                <w:b/>
                <w:color w:val="FFFFFF"/>
                <w:spacing w:val="0"/>
              </w:rPr>
              <w:t>Fair Value as</w:t>
              <w:br/>
              <w:t>of Year End of</w:t>
              <w:br/>
              <w:t>Equity Awards</w:t>
              <w:br/>
              <w:t>Granted</w:t>
              <w:br/>
              <w:t>During the</w:t>
              <w:br/>
              <w:t>Year($)</w:t>
            </w:r>
          </w:p>
        </w:tc>
        <w:tc>
          <w:tcPr>
            <w:tcW w:w="60" w:type="dxa"/>
            <w:tcBorders>
              <w:bottom w:val="single" w:sz="8" w:space="0" w:color="E5F0F8"/>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E5F0F8"/>
            </w:tcBorders>
            <w:shd w:fill="0171B9" w:val="clear"/>
            <w:tcMar>
              <w:bottom w:w="28" w:type="dxa"/>
            </w:tcMar>
            <w:vAlign w:val="center"/>
          </w:tcPr>
          <w:p>
            <w:pPr>
              <w:pStyle w:val="TableContents"/>
              <w:bidi w:val="0"/>
              <w:spacing w:before="0" w:after="283"/>
              <w:jc w:val="left"/>
              <w:rPr/>
            </w:pPr>
            <w:r>
              <w:rPr/>
              <w:t> </w:t>
            </w:r>
          </w:p>
        </w:tc>
        <w:tc>
          <w:tcPr>
            <w:tcW w:w="1745" w:type="dxa"/>
            <w:gridSpan w:val="2"/>
            <w:tcBorders>
              <w:bottom w:val="single" w:sz="8" w:space="0" w:color="E5F0F8"/>
            </w:tcBorders>
            <w:shd w:fill="0171B9" w:val="clear"/>
            <w:tcMar>
              <w:bottom w:w="28" w:type="dxa"/>
            </w:tcMar>
            <w:vAlign w:val="center"/>
          </w:tcPr>
          <w:p>
            <w:pPr>
              <w:pStyle w:val="TableContents"/>
              <w:bidi w:val="0"/>
              <w:spacing w:before="0" w:after="0"/>
              <w:jc w:val="right"/>
              <w:rPr>
                <w:b/>
                <w:color w:val="FFFFFF"/>
                <w:spacing w:val="0"/>
              </w:rPr>
            </w:pPr>
            <w:r>
              <w:rPr>
                <w:b/>
                <w:color w:val="FFFFFF"/>
                <w:spacing w:val="0"/>
              </w:rPr>
              <w:t>Year-Over-Year</w:t>
            </w:r>
          </w:p>
          <w:p>
            <w:pPr>
              <w:pStyle w:val="TableContents"/>
              <w:bidi w:val="0"/>
              <w:spacing w:before="0" w:after="0"/>
              <w:jc w:val="right"/>
              <w:rPr>
                <w:b/>
                <w:color w:val="FFFFFF"/>
                <w:spacing w:val="0"/>
              </w:rPr>
            </w:pPr>
            <w:r>
              <w:rPr>
                <w:b/>
                <w:color w:val="FFFFFF"/>
                <w:spacing w:val="0"/>
              </w:rPr>
              <w:br/>
              <w:t>Increase</w:t>
              <w:br/>
              <w:t>(Decrease) in</w:t>
              <w:br/>
              <w:t>Fair Value as of</w:t>
              <w:br/>
              <w:t>Year End of</w:t>
              <w:br/>
              <w:t>Unvested</w:t>
              <w:br/>
              <w:t>Awards Granted</w:t>
              <w:br/>
              <w:t>in Prior Years($)</w:t>
            </w:r>
          </w:p>
        </w:tc>
        <w:tc>
          <w:tcPr>
            <w:tcW w:w="155" w:type="dxa"/>
            <w:tcBorders>
              <w:bottom w:val="single" w:sz="8" w:space="0" w:color="E5F0F8"/>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E5F0F8"/>
            </w:tcBorders>
            <w:shd w:fill="0171B9" w:val="clear"/>
            <w:tcMar>
              <w:bottom w:w="28" w:type="dxa"/>
            </w:tcMar>
            <w:vAlign w:val="center"/>
          </w:tcPr>
          <w:p>
            <w:pPr>
              <w:pStyle w:val="TableContents"/>
              <w:bidi w:val="0"/>
              <w:spacing w:before="0" w:after="283"/>
              <w:jc w:val="left"/>
              <w:rPr/>
            </w:pPr>
            <w:r>
              <w:rPr/>
              <w:t> </w:t>
            </w:r>
          </w:p>
        </w:tc>
        <w:tc>
          <w:tcPr>
            <w:tcW w:w="1760" w:type="dxa"/>
            <w:gridSpan w:val="2"/>
            <w:tcBorders>
              <w:bottom w:val="single" w:sz="8" w:space="0" w:color="E5F0F8"/>
            </w:tcBorders>
            <w:shd w:fill="0171B9" w:val="clear"/>
            <w:tcMar>
              <w:bottom w:w="28" w:type="dxa"/>
            </w:tcMar>
            <w:vAlign w:val="center"/>
          </w:tcPr>
          <w:p>
            <w:pPr>
              <w:pStyle w:val="TableContents"/>
              <w:bidi w:val="0"/>
              <w:spacing w:before="0" w:after="0"/>
              <w:jc w:val="right"/>
              <w:rPr>
                <w:b/>
                <w:color w:val="FFFFFF"/>
                <w:spacing w:val="0"/>
              </w:rPr>
            </w:pPr>
            <w:r>
              <w:rPr>
                <w:b/>
                <w:color w:val="FFFFFF"/>
                <w:spacing w:val="0"/>
              </w:rPr>
              <w:t>Increase</w:t>
              <w:br/>
              <w:t>(Decrease)</w:t>
              <w:br/>
              <w:t>From Prior Year</w:t>
              <w:br/>
              <w:t>End in Fair</w:t>
              <w:br/>
              <w:t>Value of</w:t>
              <w:br/>
              <w:t>Awards That</w:t>
              <w:br/>
              <w:t>Vested During</w:t>
              <w:br/>
              <w:t>the Year($)</w:t>
            </w:r>
          </w:p>
        </w:tc>
        <w:tc>
          <w:tcPr>
            <w:tcW w:w="155" w:type="dxa"/>
            <w:tcBorders>
              <w:bottom w:val="single" w:sz="8" w:space="0" w:color="E5F0F8"/>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E5F0F8"/>
            </w:tcBorders>
            <w:shd w:fill="0171B9" w:val="clear"/>
            <w:tcMar>
              <w:bottom w:w="28" w:type="dxa"/>
            </w:tcMar>
            <w:vAlign w:val="center"/>
          </w:tcPr>
          <w:p>
            <w:pPr>
              <w:pStyle w:val="TableContents"/>
              <w:bidi w:val="0"/>
              <w:spacing w:before="0" w:after="283"/>
              <w:jc w:val="left"/>
              <w:rPr/>
            </w:pPr>
            <w:r>
              <w:rPr/>
              <w:t> </w:t>
            </w:r>
          </w:p>
        </w:tc>
        <w:tc>
          <w:tcPr>
            <w:tcW w:w="1490" w:type="dxa"/>
            <w:gridSpan w:val="2"/>
            <w:tcBorders>
              <w:bottom w:val="single" w:sz="8" w:space="0" w:color="E5F0F8"/>
            </w:tcBorders>
            <w:shd w:fill="0171B9" w:val="clear"/>
            <w:tcMar>
              <w:bottom w:w="28" w:type="dxa"/>
            </w:tcMar>
            <w:vAlign w:val="center"/>
          </w:tcPr>
          <w:p>
            <w:pPr>
              <w:pStyle w:val="TableContents"/>
              <w:bidi w:val="0"/>
              <w:spacing w:before="0" w:after="0"/>
              <w:jc w:val="right"/>
              <w:rPr>
                <w:b/>
                <w:color w:val="FFFFFF"/>
                <w:spacing w:val="0"/>
              </w:rPr>
            </w:pPr>
            <w:r>
              <w:rPr>
                <w:b/>
                <w:color w:val="FFFFFF"/>
                <w:spacing w:val="0"/>
              </w:rPr>
              <w:t>Compensation Actually</w:t>
              <w:br/>
              <w:t>Paid($)</w:t>
            </w:r>
          </w:p>
        </w:tc>
        <w:tc>
          <w:tcPr>
            <w:tcW w:w="75" w:type="dxa"/>
            <w:tcBorders>
              <w:bottom w:val="single" w:sz="8" w:space="0" w:color="E5F0F8"/>
            </w:tcBorders>
            <w:shd w:fill="0171B9" w:val="clear"/>
            <w:tcMar>
              <w:bottom w:w="28" w:type="dxa"/>
            </w:tcMar>
            <w:vAlign w:val="center"/>
          </w:tcPr>
          <w:p>
            <w:pPr>
              <w:pStyle w:val="TableContents"/>
              <w:bidi w:val="0"/>
              <w:spacing w:before="0" w:after="283"/>
              <w:jc w:val="left"/>
              <w:rPr/>
            </w:pPr>
            <w:r>
              <w:rPr/>
              <w:t> </w:t>
            </w:r>
          </w:p>
        </w:tc>
      </w:tr>
      <w:tr>
        <w:trPr/>
        <w:tc>
          <w:tcPr>
            <w:tcW w:w="755" w:type="dxa"/>
            <w:tcBorders/>
            <w:shd w:fill="0171B9" w:val="clear"/>
            <w:vAlign w:val="center"/>
          </w:tcPr>
          <w:p>
            <w:pPr>
              <w:pStyle w:val="TableContents"/>
              <w:bidi w:val="0"/>
              <w:spacing w:before="0" w:after="283"/>
              <w:jc w:val="left"/>
              <w:rPr>
                <w:sz w:val="4"/>
                <w:szCs w:val="4"/>
              </w:rPr>
            </w:pPr>
            <w:r>
              <w:rPr>
                <w:sz w:val="4"/>
                <w:szCs w:val="4"/>
              </w:rPr>
            </w:r>
          </w:p>
        </w:tc>
        <w:tc>
          <w:tcPr>
            <w:tcW w:w="680" w:type="dxa"/>
            <w:gridSpan w:val="4"/>
            <w:tcBorders/>
            <w:shd w:fill="0171B9" w:val="clear"/>
            <w:vAlign w:val="center"/>
          </w:tcPr>
          <w:p>
            <w:pPr>
              <w:pStyle w:val="TableContents"/>
              <w:bidi w:val="0"/>
              <w:spacing w:before="0" w:after="283"/>
              <w:jc w:val="left"/>
              <w:rPr>
                <w:sz w:val="4"/>
                <w:szCs w:val="4"/>
              </w:rPr>
            </w:pPr>
            <w:r>
              <w:rPr>
                <w:sz w:val="4"/>
                <w:szCs w:val="4"/>
              </w:rPr>
            </w:r>
          </w:p>
        </w:tc>
        <w:tc>
          <w:tcPr>
            <w:tcW w:w="1610" w:type="dxa"/>
            <w:gridSpan w:val="4"/>
            <w:tcBorders/>
            <w:shd w:fill="0171B9" w:val="clear"/>
            <w:vAlign w:val="center"/>
          </w:tcPr>
          <w:p>
            <w:pPr>
              <w:pStyle w:val="TableContents"/>
              <w:bidi w:val="0"/>
              <w:spacing w:before="0" w:after="283"/>
              <w:jc w:val="left"/>
              <w:rPr>
                <w:sz w:val="4"/>
                <w:szCs w:val="4"/>
              </w:rPr>
            </w:pPr>
            <w:r>
              <w:rPr>
                <w:sz w:val="4"/>
                <w:szCs w:val="4"/>
              </w:rPr>
            </w:r>
          </w:p>
        </w:tc>
        <w:tc>
          <w:tcPr>
            <w:tcW w:w="1610" w:type="dxa"/>
            <w:gridSpan w:val="4"/>
            <w:tcBorders/>
            <w:shd w:fill="0171B9" w:val="clear"/>
            <w:vAlign w:val="center"/>
          </w:tcPr>
          <w:p>
            <w:pPr>
              <w:pStyle w:val="TableContents"/>
              <w:bidi w:val="0"/>
              <w:spacing w:before="0" w:after="283"/>
              <w:jc w:val="left"/>
              <w:rPr>
                <w:sz w:val="4"/>
                <w:szCs w:val="4"/>
              </w:rPr>
            </w:pPr>
            <w:r>
              <w:rPr>
                <w:sz w:val="4"/>
                <w:szCs w:val="4"/>
              </w:rPr>
            </w:r>
          </w:p>
        </w:tc>
        <w:tc>
          <w:tcPr>
            <w:tcW w:w="1610" w:type="dxa"/>
            <w:gridSpan w:val="4"/>
            <w:tcBorders/>
            <w:shd w:fill="0171B9" w:val="clear"/>
            <w:vAlign w:val="center"/>
          </w:tcPr>
          <w:p>
            <w:pPr>
              <w:pStyle w:val="TableContents"/>
              <w:bidi w:val="0"/>
              <w:spacing w:before="0" w:after="283"/>
              <w:jc w:val="left"/>
              <w:rPr>
                <w:sz w:val="4"/>
                <w:szCs w:val="4"/>
              </w:rPr>
            </w:pPr>
            <w:r>
              <w:rPr>
                <w:sz w:val="4"/>
                <w:szCs w:val="4"/>
              </w:rPr>
            </w:r>
          </w:p>
        </w:tc>
        <w:tc>
          <w:tcPr>
            <w:tcW w:w="1700" w:type="dxa"/>
            <w:gridSpan w:val="4"/>
            <w:tcBorders/>
            <w:shd w:fill="0171B9" w:val="clear"/>
            <w:vAlign w:val="center"/>
          </w:tcPr>
          <w:p>
            <w:pPr>
              <w:pStyle w:val="TableContents"/>
              <w:bidi w:val="0"/>
              <w:spacing w:before="0" w:after="283"/>
              <w:jc w:val="left"/>
              <w:rPr>
                <w:sz w:val="4"/>
                <w:szCs w:val="4"/>
              </w:rPr>
            </w:pPr>
            <w:r>
              <w:rPr>
                <w:sz w:val="4"/>
                <w:szCs w:val="4"/>
              </w:rPr>
            </w:r>
          </w:p>
        </w:tc>
        <w:tc>
          <w:tcPr>
            <w:tcW w:w="1960" w:type="dxa"/>
            <w:gridSpan w:val="4"/>
            <w:tcBorders/>
            <w:shd w:fill="0171B9" w:val="clear"/>
            <w:vAlign w:val="center"/>
          </w:tcPr>
          <w:p>
            <w:pPr>
              <w:pStyle w:val="TableContents"/>
              <w:bidi w:val="0"/>
              <w:spacing w:before="0" w:after="283"/>
              <w:jc w:val="left"/>
              <w:rPr>
                <w:sz w:val="4"/>
                <w:szCs w:val="4"/>
              </w:rPr>
            </w:pPr>
            <w:r>
              <w:rPr>
                <w:sz w:val="4"/>
                <w:szCs w:val="4"/>
              </w:rPr>
            </w:r>
          </w:p>
        </w:tc>
        <w:tc>
          <w:tcPr>
            <w:tcW w:w="1975" w:type="dxa"/>
            <w:gridSpan w:val="4"/>
            <w:tcBorders/>
            <w:shd w:fill="0171B9" w:val="clear"/>
            <w:vAlign w:val="center"/>
          </w:tcPr>
          <w:p>
            <w:pPr>
              <w:pStyle w:val="TableContents"/>
              <w:bidi w:val="0"/>
              <w:spacing w:before="0" w:after="283"/>
              <w:jc w:val="left"/>
              <w:rPr>
                <w:sz w:val="4"/>
                <w:szCs w:val="4"/>
              </w:rPr>
            </w:pPr>
            <w:r>
              <w:rPr>
                <w:sz w:val="4"/>
                <w:szCs w:val="4"/>
              </w:rPr>
            </w:r>
          </w:p>
        </w:tc>
        <w:tc>
          <w:tcPr>
            <w:tcW w:w="1625" w:type="dxa"/>
            <w:gridSpan w:val="4"/>
            <w:tcBorders/>
            <w:shd w:fill="0171B9" w:val="clear"/>
            <w:vAlign w:val="center"/>
          </w:tcPr>
          <w:p>
            <w:pPr>
              <w:pStyle w:val="TableContents"/>
              <w:bidi w:val="0"/>
              <w:spacing w:before="0" w:after="283"/>
              <w:jc w:val="left"/>
              <w:rPr>
                <w:sz w:val="4"/>
                <w:szCs w:val="4"/>
              </w:rPr>
            </w:pPr>
            <w:r>
              <w:rPr>
                <w:sz w:val="4"/>
                <w:szCs w:val="4"/>
              </w:rPr>
            </w:r>
          </w:p>
        </w:tc>
      </w:tr>
      <w:tr>
        <w:trPr/>
        <w:tc>
          <w:tcPr>
            <w:tcW w:w="755"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560" w:type="dxa"/>
            <w:gridSpan w:val="2"/>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1490" w:type="dxa"/>
            <w:gridSpan w:val="2"/>
            <w:tcBorders/>
            <w:shd w:fill="0171B9" w:val="clear"/>
            <w:vAlign w:val="center"/>
          </w:tcPr>
          <w:p>
            <w:pPr>
              <w:pStyle w:val="TableContents"/>
              <w:bidi w:val="0"/>
              <w:spacing w:before="0" w:after="0"/>
              <w:jc w:val="center"/>
              <w:rPr>
                <w:b/>
                <w:color w:val="FFFFFF"/>
                <w:spacing w:val="0"/>
              </w:rPr>
            </w:pPr>
            <w:r>
              <w:rPr>
                <w:b/>
                <w:color w:val="FFFFFF"/>
                <w:spacing w:val="0"/>
              </w:rPr>
              <w:t>(a)</w:t>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1490" w:type="dxa"/>
            <w:gridSpan w:val="2"/>
            <w:tcBorders/>
            <w:shd w:fill="0171B9" w:val="clear"/>
            <w:vAlign w:val="center"/>
          </w:tcPr>
          <w:p>
            <w:pPr>
              <w:pStyle w:val="TableContents"/>
              <w:bidi w:val="0"/>
              <w:spacing w:before="0" w:after="0"/>
              <w:jc w:val="center"/>
              <w:rPr>
                <w:b/>
                <w:color w:val="FFFFFF"/>
                <w:spacing w:val="0"/>
              </w:rPr>
            </w:pPr>
            <w:r>
              <w:rPr>
                <w:b/>
                <w:color w:val="FFFFFF"/>
                <w:spacing w:val="0"/>
              </w:rPr>
              <w:t>(b)</w:t>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1490" w:type="dxa"/>
            <w:gridSpan w:val="2"/>
            <w:tcBorders/>
            <w:shd w:fill="0171B9" w:val="clear"/>
            <w:vAlign w:val="center"/>
          </w:tcPr>
          <w:p>
            <w:pPr>
              <w:pStyle w:val="TableContents"/>
              <w:bidi w:val="0"/>
              <w:spacing w:before="0" w:after="0"/>
              <w:jc w:val="center"/>
              <w:rPr>
                <w:b/>
                <w:color w:val="FFFFFF"/>
                <w:spacing w:val="0"/>
              </w:rPr>
            </w:pPr>
            <w:r>
              <w:rPr>
                <w:b/>
                <w:color w:val="FFFFFF"/>
                <w:spacing w:val="0"/>
              </w:rPr>
              <w:t>(c)</w:t>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1580" w:type="dxa"/>
            <w:gridSpan w:val="2"/>
            <w:tcBorders/>
            <w:shd w:fill="0171B9" w:val="clear"/>
            <w:vAlign w:val="center"/>
          </w:tcPr>
          <w:p>
            <w:pPr>
              <w:pStyle w:val="TableContents"/>
              <w:bidi w:val="0"/>
              <w:spacing w:before="0" w:after="0"/>
              <w:jc w:val="center"/>
              <w:rPr>
                <w:b/>
                <w:color w:val="FFFFFF"/>
                <w:spacing w:val="0"/>
              </w:rPr>
            </w:pPr>
            <w:r>
              <w:rPr>
                <w:b/>
                <w:color w:val="FFFFFF"/>
                <w:spacing w:val="0"/>
              </w:rPr>
              <w:t>(d)</w:t>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1745" w:type="dxa"/>
            <w:gridSpan w:val="2"/>
            <w:tcBorders/>
            <w:shd w:fill="0171B9" w:val="clear"/>
            <w:vAlign w:val="center"/>
          </w:tcPr>
          <w:p>
            <w:pPr>
              <w:pStyle w:val="TableContents"/>
              <w:bidi w:val="0"/>
              <w:spacing w:before="0" w:after="0"/>
              <w:jc w:val="center"/>
              <w:rPr>
                <w:b/>
                <w:color w:val="FFFFFF"/>
                <w:spacing w:val="0"/>
              </w:rPr>
            </w:pPr>
            <w:r>
              <w:rPr>
                <w:b/>
                <w:color w:val="FFFFFF"/>
                <w:spacing w:val="0"/>
              </w:rPr>
              <w:t>(e)</w:t>
            </w:r>
          </w:p>
        </w:tc>
        <w:tc>
          <w:tcPr>
            <w:tcW w:w="155"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1760" w:type="dxa"/>
            <w:gridSpan w:val="2"/>
            <w:tcBorders/>
            <w:shd w:fill="0171B9" w:val="clear"/>
            <w:vAlign w:val="center"/>
          </w:tcPr>
          <w:p>
            <w:pPr>
              <w:pStyle w:val="TableContents"/>
              <w:bidi w:val="0"/>
              <w:spacing w:before="0" w:after="0"/>
              <w:jc w:val="center"/>
              <w:rPr>
                <w:b/>
                <w:color w:val="FFFFFF"/>
                <w:spacing w:val="0"/>
              </w:rPr>
            </w:pPr>
            <w:r>
              <w:rPr>
                <w:b/>
                <w:color w:val="FFFFFF"/>
                <w:spacing w:val="0"/>
              </w:rPr>
              <w:t>(f)</w:t>
            </w:r>
          </w:p>
        </w:tc>
        <w:tc>
          <w:tcPr>
            <w:tcW w:w="155"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283"/>
              <w:jc w:val="left"/>
              <w:rPr/>
            </w:pPr>
            <w:r>
              <w:rPr/>
              <w:t> </w:t>
            </w:r>
          </w:p>
        </w:tc>
        <w:tc>
          <w:tcPr>
            <w:tcW w:w="1490" w:type="dxa"/>
            <w:gridSpan w:val="2"/>
            <w:tcBorders/>
            <w:shd w:fill="0171B9" w:val="clear"/>
            <w:vAlign w:val="center"/>
          </w:tcPr>
          <w:p>
            <w:pPr>
              <w:pStyle w:val="TableContents"/>
              <w:bidi w:val="0"/>
              <w:spacing w:before="0" w:after="0"/>
              <w:jc w:val="center"/>
              <w:rPr>
                <w:b/>
                <w:color w:val="FFFFFF"/>
                <w:spacing w:val="0"/>
              </w:rPr>
            </w:pPr>
            <w:r>
              <w:rPr>
                <w:b/>
                <w:color w:val="FFFFFF"/>
                <w:spacing w:val="0"/>
              </w:rPr>
              <w:t>(g)=(a)-(b)-(c)+(d)+(e)+(f)</w:t>
            </w:r>
          </w:p>
        </w:tc>
        <w:tc>
          <w:tcPr>
            <w:tcW w:w="75" w:type="dxa"/>
            <w:tcBorders/>
            <w:shd w:fill="0171B9" w:val="clear"/>
            <w:vAlign w:val="center"/>
          </w:tcPr>
          <w:p>
            <w:pPr>
              <w:pStyle w:val="TableContents"/>
              <w:bidi w:val="0"/>
              <w:spacing w:before="0" w:after="283"/>
              <w:jc w:val="left"/>
              <w:rPr/>
            </w:pPr>
            <w:r>
              <w:rPr/>
              <w:t> </w:t>
            </w:r>
          </w:p>
        </w:tc>
      </w:tr>
      <w:tr>
        <w:trPr/>
        <w:tc>
          <w:tcPr>
            <w:tcW w:w="755" w:type="dxa"/>
            <w:vMerge w:val="restart"/>
            <w:tcBorders/>
            <w:shd w:fill="CCE2F1" w:val="clear"/>
            <w:vAlign w:val="center"/>
          </w:tcPr>
          <w:p>
            <w:pPr>
              <w:pStyle w:val="TableContents"/>
              <w:bidi w:val="0"/>
              <w:spacing w:before="0" w:after="0"/>
              <w:jc w:val="left"/>
              <w:rPr>
                <w:rFonts w:ascii="arial" w:hAnsi="arial"/>
                <w:sz w:val="18"/>
              </w:rPr>
            </w:pPr>
            <w:r>
              <w:rPr>
                <w:rFonts w:ascii="arial" w:hAnsi="arial"/>
                <w:sz w:val="18"/>
              </w:rPr>
              <w:t>Robert A. Bradway</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500" w:type="dxa"/>
            <w:tcBorders/>
            <w:shd w:fill="CCE2F1" w:val="clear"/>
            <w:vAlign w:val="center"/>
          </w:tcPr>
          <w:p>
            <w:pPr>
              <w:pStyle w:val="TableContents"/>
              <w:bidi w:val="0"/>
              <w:spacing w:before="0" w:after="283"/>
              <w:jc w:val="right"/>
              <w:rPr/>
            </w:pPr>
            <w:r>
              <w:rPr/>
              <w:t>2023</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7" w:type="dxa"/>
            <w:tcBorders/>
            <w:shd w:fill="CCE2F1" w:val="clear"/>
            <w:vAlign w:val="center"/>
          </w:tcPr>
          <w:p>
            <w:pPr>
              <w:pStyle w:val="TableContents"/>
              <w:bidi w:val="0"/>
              <w:spacing w:before="0" w:after="283"/>
              <w:jc w:val="left"/>
              <w:rPr/>
            </w:pPr>
            <w:r>
              <w:rPr/>
              <w:t> </w:t>
            </w:r>
          </w:p>
        </w:tc>
        <w:tc>
          <w:tcPr>
            <w:tcW w:w="1413" w:type="dxa"/>
            <w:tcBorders/>
            <w:shd w:fill="CCE2F1" w:val="clear"/>
            <w:vAlign w:val="center"/>
          </w:tcPr>
          <w:p>
            <w:pPr>
              <w:pStyle w:val="TableContents"/>
              <w:bidi w:val="0"/>
              <w:spacing w:before="0" w:after="283"/>
              <w:jc w:val="right"/>
              <w:rPr/>
            </w:pPr>
            <w:r>
              <w:rPr/>
              <w:t>22,643,650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7" w:type="dxa"/>
            <w:tcBorders/>
            <w:shd w:fill="CCE2F1" w:val="clear"/>
            <w:vAlign w:val="center"/>
          </w:tcPr>
          <w:p>
            <w:pPr>
              <w:pStyle w:val="TableContents"/>
              <w:bidi w:val="0"/>
              <w:spacing w:before="0" w:after="283"/>
              <w:jc w:val="left"/>
              <w:rPr/>
            </w:pPr>
            <w:r>
              <w:rPr/>
              <w:t> </w:t>
            </w:r>
          </w:p>
        </w:tc>
        <w:tc>
          <w:tcPr>
            <w:tcW w:w="1413" w:type="dxa"/>
            <w:tcBorders/>
            <w:shd w:fill="CCE2F1" w:val="clear"/>
            <w:vAlign w:val="center"/>
          </w:tcPr>
          <w:p>
            <w:pPr>
              <w:pStyle w:val="TableContents"/>
              <w:bidi w:val="0"/>
              <w:spacing w:before="0" w:after="283"/>
              <w:jc w:val="right"/>
              <w:rPr/>
            </w:pPr>
            <w:r>
              <w:rPr/>
              <w:t>11,138,503</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85" w:type="dxa"/>
            <w:tcBorders/>
            <w:shd w:fill="CCE2F1" w:val="clear"/>
            <w:vAlign w:val="center"/>
          </w:tcPr>
          <w:p>
            <w:pPr>
              <w:pStyle w:val="TableContents"/>
              <w:bidi w:val="0"/>
              <w:spacing w:before="0" w:after="283"/>
              <w:jc w:val="left"/>
              <w:rPr/>
            </w:pPr>
            <w:r>
              <w:rPr/>
              <w:t> </w:t>
            </w:r>
          </w:p>
        </w:tc>
        <w:tc>
          <w:tcPr>
            <w:tcW w:w="1405" w:type="dxa"/>
            <w:tcBorders/>
            <w:shd w:fill="CCE2F1" w:val="clear"/>
            <w:vAlign w:val="center"/>
          </w:tcPr>
          <w:p>
            <w:pPr>
              <w:pStyle w:val="TableContents"/>
              <w:bidi w:val="0"/>
              <w:spacing w:before="0" w:after="283"/>
              <w:jc w:val="right"/>
              <w:rPr/>
            </w:pPr>
            <w:r>
              <w:rPr/>
              <w:t>4,773,714</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81" w:type="dxa"/>
            <w:tcBorders/>
            <w:shd w:fill="CCE2F1" w:val="clear"/>
            <w:vAlign w:val="center"/>
          </w:tcPr>
          <w:p>
            <w:pPr>
              <w:pStyle w:val="TableContents"/>
              <w:bidi w:val="0"/>
              <w:spacing w:before="0" w:after="283"/>
              <w:jc w:val="left"/>
              <w:rPr/>
            </w:pPr>
            <w:r>
              <w:rPr/>
              <w:t> </w:t>
            </w:r>
          </w:p>
        </w:tc>
        <w:tc>
          <w:tcPr>
            <w:tcW w:w="1499" w:type="dxa"/>
            <w:tcBorders/>
            <w:shd w:fill="CCE2F1" w:val="clear"/>
            <w:vAlign w:val="center"/>
          </w:tcPr>
          <w:p>
            <w:pPr>
              <w:pStyle w:val="TableContents"/>
              <w:bidi w:val="0"/>
              <w:spacing w:before="0" w:after="283"/>
              <w:jc w:val="right"/>
              <w:rPr/>
            </w:pPr>
            <w:r>
              <w:rPr/>
              <w:t>23,595,558</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90" w:type="dxa"/>
            <w:tcBorders/>
            <w:shd w:fill="CCE2F1" w:val="clear"/>
            <w:vAlign w:val="center"/>
          </w:tcPr>
          <w:p>
            <w:pPr>
              <w:pStyle w:val="TableContents"/>
              <w:bidi w:val="0"/>
              <w:spacing w:before="0" w:after="283"/>
              <w:jc w:val="left"/>
              <w:rPr/>
            </w:pPr>
            <w:r>
              <w:rPr/>
              <w:t> </w:t>
            </w:r>
          </w:p>
        </w:tc>
        <w:tc>
          <w:tcPr>
            <w:tcW w:w="1655" w:type="dxa"/>
            <w:tcBorders/>
            <w:shd w:fill="CCE2F1" w:val="clear"/>
            <w:vAlign w:val="center"/>
          </w:tcPr>
          <w:p>
            <w:pPr>
              <w:pStyle w:val="TableContents"/>
              <w:bidi w:val="0"/>
              <w:spacing w:before="0" w:after="283"/>
              <w:jc w:val="right"/>
              <w:rPr/>
            </w:pPr>
            <w:r>
              <w:rPr/>
              <w:t>1,094,746</w:t>
            </w:r>
          </w:p>
        </w:tc>
        <w:tc>
          <w:tcPr>
            <w:tcW w:w="155"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94" w:type="dxa"/>
            <w:tcBorders/>
            <w:shd w:fill="CCE2F1" w:val="clear"/>
            <w:vAlign w:val="center"/>
          </w:tcPr>
          <w:p>
            <w:pPr>
              <w:pStyle w:val="TableContents"/>
              <w:bidi w:val="0"/>
              <w:spacing w:before="0" w:after="283"/>
              <w:jc w:val="left"/>
              <w:rPr/>
            </w:pPr>
            <w:r>
              <w:rPr/>
              <w:t> </w:t>
            </w:r>
          </w:p>
        </w:tc>
        <w:tc>
          <w:tcPr>
            <w:tcW w:w="1666" w:type="dxa"/>
            <w:tcBorders/>
            <w:shd w:fill="CCE2F1" w:val="clear"/>
            <w:vAlign w:val="center"/>
          </w:tcPr>
          <w:p>
            <w:pPr>
              <w:pStyle w:val="TableContents"/>
              <w:bidi w:val="0"/>
              <w:spacing w:before="0" w:after="283"/>
              <w:jc w:val="right"/>
              <w:rPr/>
            </w:pPr>
            <w:r>
              <w:rPr/>
              <w:t>(2,316,330</w:t>
            </w:r>
          </w:p>
        </w:tc>
        <w:tc>
          <w:tcPr>
            <w:tcW w:w="155"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7" w:type="dxa"/>
            <w:tcBorders/>
            <w:shd w:fill="CCE2F1" w:val="clear"/>
            <w:vAlign w:val="center"/>
          </w:tcPr>
          <w:p>
            <w:pPr>
              <w:pStyle w:val="TableContents"/>
              <w:bidi w:val="0"/>
              <w:spacing w:before="0" w:after="283"/>
              <w:jc w:val="left"/>
              <w:rPr/>
            </w:pPr>
            <w:r>
              <w:rPr/>
              <w:t> </w:t>
            </w:r>
          </w:p>
        </w:tc>
        <w:tc>
          <w:tcPr>
            <w:tcW w:w="1413" w:type="dxa"/>
            <w:tcBorders/>
            <w:shd w:fill="CCE2F1" w:val="clear"/>
            <w:vAlign w:val="center"/>
          </w:tcPr>
          <w:p>
            <w:pPr>
              <w:pStyle w:val="TableContents"/>
              <w:bidi w:val="0"/>
              <w:spacing w:before="0" w:after="283"/>
              <w:jc w:val="right"/>
              <w:rPr/>
            </w:pPr>
            <w:r>
              <w:rPr/>
              <w:t>29,105,407</w:t>
            </w:r>
          </w:p>
        </w:tc>
        <w:tc>
          <w:tcPr>
            <w:tcW w:w="75" w:type="dxa"/>
            <w:tcBorders/>
            <w:shd w:fill="CCE2F1" w:val="clear"/>
            <w:vAlign w:val="center"/>
          </w:tcPr>
          <w:p>
            <w:pPr>
              <w:pStyle w:val="TableContents"/>
              <w:bidi w:val="0"/>
              <w:spacing w:before="0" w:after="283"/>
              <w:jc w:val="left"/>
              <w:rPr/>
            </w:pPr>
            <w:r>
              <w:rPr/>
              <w:t> </w:t>
            </w:r>
          </w:p>
        </w:tc>
      </w:tr>
      <w:tr>
        <w:trPr/>
        <w:tc>
          <w:tcPr>
            <w:tcW w:w="755" w:type="dxa"/>
            <w:vMerge w:val="continue"/>
            <w:tcBorders/>
            <w:shd w:fill="CCE2F1" w:val="clear"/>
            <w:vAlign w:val="center"/>
          </w:tcPr>
          <w:p>
            <w:pPr>
              <w:pStyle w:val="Normal"/>
              <w:bidi w:val="0"/>
              <w:jc w:val="left"/>
              <w:rPr/>
            </w:pPr>
            <w:r>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500" w:type="dxa"/>
            <w:tcBorders/>
            <w:shd w:fill="CCE2F1" w:val="clear"/>
            <w:vAlign w:val="center"/>
          </w:tcPr>
          <w:p>
            <w:pPr>
              <w:pStyle w:val="TableContents"/>
              <w:bidi w:val="0"/>
              <w:spacing w:before="0" w:after="283"/>
              <w:jc w:val="right"/>
              <w:rPr/>
            </w:pPr>
            <w:r>
              <w:rPr/>
              <w:t>2022</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7" w:type="dxa"/>
            <w:tcBorders/>
            <w:shd w:fill="CCE2F1" w:val="clear"/>
            <w:vAlign w:val="center"/>
          </w:tcPr>
          <w:p>
            <w:pPr>
              <w:pStyle w:val="TableContents"/>
              <w:bidi w:val="0"/>
              <w:spacing w:before="0" w:after="283"/>
              <w:jc w:val="left"/>
              <w:rPr/>
            </w:pPr>
            <w:r>
              <w:rPr/>
              <w:t> </w:t>
            </w:r>
          </w:p>
        </w:tc>
        <w:tc>
          <w:tcPr>
            <w:tcW w:w="1413" w:type="dxa"/>
            <w:tcBorders/>
            <w:shd w:fill="CCE2F1" w:val="clear"/>
            <w:vAlign w:val="center"/>
          </w:tcPr>
          <w:p>
            <w:pPr>
              <w:pStyle w:val="TableContents"/>
              <w:bidi w:val="0"/>
              <w:spacing w:before="0" w:after="283"/>
              <w:jc w:val="right"/>
              <w:rPr/>
            </w:pPr>
            <w:r>
              <w:rPr/>
              <w:t>21,399,733</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7" w:type="dxa"/>
            <w:tcBorders/>
            <w:shd w:fill="CCE2F1" w:val="clear"/>
            <w:vAlign w:val="center"/>
          </w:tcPr>
          <w:p>
            <w:pPr>
              <w:pStyle w:val="TableContents"/>
              <w:bidi w:val="0"/>
              <w:spacing w:before="0" w:after="283"/>
              <w:jc w:val="left"/>
              <w:rPr/>
            </w:pPr>
            <w:r>
              <w:rPr/>
              <w:t> </w:t>
            </w:r>
          </w:p>
        </w:tc>
        <w:tc>
          <w:tcPr>
            <w:tcW w:w="1413" w:type="dxa"/>
            <w:tcBorders/>
            <w:shd w:fill="CCE2F1" w:val="clear"/>
            <w:vAlign w:val="center"/>
          </w:tcPr>
          <w:p>
            <w:pPr>
              <w:pStyle w:val="TableContents"/>
              <w:bidi w:val="0"/>
              <w:spacing w:before="0" w:after="283"/>
              <w:jc w:val="right"/>
              <w:rPr/>
            </w:pPr>
            <w:r>
              <w:rPr/>
              <w:t>11,138,544</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85" w:type="dxa"/>
            <w:tcBorders/>
            <w:shd w:fill="CCE2F1" w:val="clear"/>
            <w:vAlign w:val="center"/>
          </w:tcPr>
          <w:p>
            <w:pPr>
              <w:pStyle w:val="TableContents"/>
              <w:bidi w:val="0"/>
              <w:spacing w:before="0" w:after="283"/>
              <w:jc w:val="left"/>
              <w:rPr/>
            </w:pPr>
            <w:r>
              <w:rPr/>
              <w:t> </w:t>
            </w:r>
          </w:p>
        </w:tc>
        <w:tc>
          <w:tcPr>
            <w:tcW w:w="1405" w:type="dxa"/>
            <w:tcBorders/>
            <w:shd w:fill="CCE2F1" w:val="clear"/>
            <w:vAlign w:val="center"/>
          </w:tcPr>
          <w:p>
            <w:pPr>
              <w:pStyle w:val="TableContents"/>
              <w:bidi w:val="0"/>
              <w:spacing w:before="0" w:after="283"/>
              <w:jc w:val="right"/>
              <w:rPr/>
            </w:pPr>
            <w:r>
              <w:rPr/>
              <w:t>4,773,714</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81" w:type="dxa"/>
            <w:tcBorders/>
            <w:shd w:fill="CCE2F1" w:val="clear"/>
            <w:vAlign w:val="center"/>
          </w:tcPr>
          <w:p>
            <w:pPr>
              <w:pStyle w:val="TableContents"/>
              <w:bidi w:val="0"/>
              <w:spacing w:before="0" w:after="283"/>
              <w:jc w:val="left"/>
              <w:rPr/>
            </w:pPr>
            <w:r>
              <w:rPr/>
              <w:t> </w:t>
            </w:r>
          </w:p>
        </w:tc>
        <w:tc>
          <w:tcPr>
            <w:tcW w:w="1499" w:type="dxa"/>
            <w:tcBorders/>
            <w:shd w:fill="CCE2F1" w:val="clear"/>
            <w:vAlign w:val="center"/>
          </w:tcPr>
          <w:p>
            <w:pPr>
              <w:pStyle w:val="TableContents"/>
              <w:bidi w:val="0"/>
              <w:spacing w:before="0" w:after="283"/>
              <w:jc w:val="right"/>
              <w:rPr/>
            </w:pPr>
            <w:r>
              <w:rPr/>
              <w:t>20,800,961</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90" w:type="dxa"/>
            <w:tcBorders/>
            <w:shd w:fill="CCE2F1" w:val="clear"/>
            <w:vAlign w:val="center"/>
          </w:tcPr>
          <w:p>
            <w:pPr>
              <w:pStyle w:val="TableContents"/>
              <w:bidi w:val="0"/>
              <w:spacing w:before="0" w:after="283"/>
              <w:jc w:val="left"/>
              <w:rPr/>
            </w:pPr>
            <w:r>
              <w:rPr/>
              <w:t> </w:t>
            </w:r>
          </w:p>
        </w:tc>
        <w:tc>
          <w:tcPr>
            <w:tcW w:w="1655" w:type="dxa"/>
            <w:tcBorders/>
            <w:shd w:fill="CCE2F1" w:val="clear"/>
            <w:vAlign w:val="center"/>
          </w:tcPr>
          <w:p>
            <w:pPr>
              <w:pStyle w:val="TableContents"/>
              <w:bidi w:val="0"/>
              <w:spacing w:before="0" w:after="283"/>
              <w:jc w:val="right"/>
              <w:rPr/>
            </w:pPr>
            <w:r>
              <w:rPr/>
              <w:t>11,751,273</w:t>
            </w:r>
          </w:p>
        </w:tc>
        <w:tc>
          <w:tcPr>
            <w:tcW w:w="155"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94" w:type="dxa"/>
            <w:tcBorders/>
            <w:shd w:fill="CCE2F1" w:val="clear"/>
            <w:vAlign w:val="center"/>
          </w:tcPr>
          <w:p>
            <w:pPr>
              <w:pStyle w:val="TableContents"/>
              <w:bidi w:val="0"/>
              <w:spacing w:before="0" w:after="283"/>
              <w:jc w:val="left"/>
              <w:rPr/>
            </w:pPr>
            <w:r>
              <w:rPr/>
              <w:t> </w:t>
            </w:r>
          </w:p>
        </w:tc>
        <w:tc>
          <w:tcPr>
            <w:tcW w:w="1666" w:type="dxa"/>
            <w:tcBorders/>
            <w:shd w:fill="CCE2F1" w:val="clear"/>
            <w:vAlign w:val="center"/>
          </w:tcPr>
          <w:p>
            <w:pPr>
              <w:pStyle w:val="TableContents"/>
              <w:bidi w:val="0"/>
              <w:spacing w:before="0" w:after="283"/>
              <w:jc w:val="right"/>
              <w:rPr/>
            </w:pPr>
            <w:r>
              <w:rPr/>
              <w:t>3,615,844</w:t>
            </w:r>
          </w:p>
        </w:tc>
        <w:tc>
          <w:tcPr>
            <w:tcW w:w="155"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7" w:type="dxa"/>
            <w:tcBorders/>
            <w:shd w:fill="CCE2F1" w:val="clear"/>
            <w:vAlign w:val="center"/>
          </w:tcPr>
          <w:p>
            <w:pPr>
              <w:pStyle w:val="TableContents"/>
              <w:bidi w:val="0"/>
              <w:spacing w:before="0" w:after="283"/>
              <w:jc w:val="left"/>
              <w:rPr/>
            </w:pPr>
            <w:r>
              <w:rPr/>
              <w:t> </w:t>
            </w:r>
          </w:p>
        </w:tc>
        <w:tc>
          <w:tcPr>
            <w:tcW w:w="1413" w:type="dxa"/>
            <w:tcBorders/>
            <w:shd w:fill="CCE2F1" w:val="clear"/>
            <w:vAlign w:val="center"/>
          </w:tcPr>
          <w:p>
            <w:pPr>
              <w:pStyle w:val="TableContents"/>
              <w:bidi w:val="0"/>
              <w:spacing w:before="0" w:after="283"/>
              <w:jc w:val="right"/>
              <w:rPr/>
            </w:pPr>
            <w:r>
              <w:rPr/>
              <w:t>41,655,553</w:t>
            </w:r>
          </w:p>
        </w:tc>
        <w:tc>
          <w:tcPr>
            <w:tcW w:w="75" w:type="dxa"/>
            <w:tcBorders/>
            <w:shd w:fill="CCE2F1" w:val="clear"/>
            <w:vAlign w:val="center"/>
          </w:tcPr>
          <w:p>
            <w:pPr>
              <w:pStyle w:val="TableContents"/>
              <w:bidi w:val="0"/>
              <w:spacing w:before="0" w:after="283"/>
              <w:jc w:val="left"/>
              <w:rPr/>
            </w:pPr>
            <w:r>
              <w:rPr/>
              <w:t> </w:t>
            </w:r>
          </w:p>
        </w:tc>
      </w:tr>
      <w:tr>
        <w:trPr/>
        <w:tc>
          <w:tcPr>
            <w:tcW w:w="755" w:type="dxa"/>
            <w:vMerge w:val="continue"/>
            <w:tcBorders/>
            <w:shd w:fill="CCE2F1" w:val="clear"/>
            <w:vAlign w:val="center"/>
          </w:tcPr>
          <w:p>
            <w:pPr>
              <w:pStyle w:val="Normal"/>
              <w:bidi w:val="0"/>
              <w:jc w:val="left"/>
              <w:rPr/>
            </w:pPr>
            <w:r>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500" w:type="dxa"/>
            <w:tcBorders/>
            <w:shd w:fill="CCE2F1" w:val="clear"/>
            <w:vAlign w:val="center"/>
          </w:tcPr>
          <w:p>
            <w:pPr>
              <w:pStyle w:val="TableContents"/>
              <w:bidi w:val="0"/>
              <w:spacing w:before="0" w:after="283"/>
              <w:jc w:val="right"/>
              <w:rPr/>
            </w:pPr>
            <w:r>
              <w:rPr/>
              <w:t>2021</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7" w:type="dxa"/>
            <w:tcBorders/>
            <w:shd w:fill="CCE2F1" w:val="clear"/>
            <w:vAlign w:val="center"/>
          </w:tcPr>
          <w:p>
            <w:pPr>
              <w:pStyle w:val="TableContents"/>
              <w:bidi w:val="0"/>
              <w:spacing w:before="0" w:after="283"/>
              <w:jc w:val="left"/>
              <w:rPr/>
            </w:pPr>
            <w:r>
              <w:rPr/>
              <w:t> </w:t>
            </w:r>
          </w:p>
        </w:tc>
        <w:tc>
          <w:tcPr>
            <w:tcW w:w="1413" w:type="dxa"/>
            <w:tcBorders/>
            <w:shd w:fill="CCE2F1" w:val="clear"/>
            <w:vAlign w:val="center"/>
          </w:tcPr>
          <w:p>
            <w:pPr>
              <w:pStyle w:val="TableContents"/>
              <w:bidi w:val="0"/>
              <w:spacing w:before="0" w:after="283"/>
              <w:jc w:val="right"/>
              <w:rPr/>
            </w:pPr>
            <w:r>
              <w:rPr/>
              <w:t>21,721,154</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7" w:type="dxa"/>
            <w:tcBorders/>
            <w:shd w:fill="CCE2F1" w:val="clear"/>
            <w:vAlign w:val="center"/>
          </w:tcPr>
          <w:p>
            <w:pPr>
              <w:pStyle w:val="TableContents"/>
              <w:bidi w:val="0"/>
              <w:spacing w:before="0" w:after="283"/>
              <w:jc w:val="left"/>
              <w:rPr/>
            </w:pPr>
            <w:r>
              <w:rPr/>
              <w:t> </w:t>
            </w:r>
          </w:p>
        </w:tc>
        <w:tc>
          <w:tcPr>
            <w:tcW w:w="1413" w:type="dxa"/>
            <w:tcBorders/>
            <w:shd w:fill="CCE2F1" w:val="clear"/>
            <w:vAlign w:val="center"/>
          </w:tcPr>
          <w:p>
            <w:pPr>
              <w:pStyle w:val="TableContents"/>
              <w:bidi w:val="0"/>
              <w:spacing w:before="0" w:after="283"/>
              <w:jc w:val="right"/>
              <w:rPr/>
            </w:pPr>
            <w:r>
              <w:rPr/>
              <w:t>11,138,622</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85" w:type="dxa"/>
            <w:tcBorders/>
            <w:shd w:fill="CCE2F1" w:val="clear"/>
            <w:vAlign w:val="center"/>
          </w:tcPr>
          <w:p>
            <w:pPr>
              <w:pStyle w:val="TableContents"/>
              <w:bidi w:val="0"/>
              <w:spacing w:before="0" w:after="283"/>
              <w:jc w:val="left"/>
              <w:rPr/>
            </w:pPr>
            <w:r>
              <w:rPr/>
              <w:t> </w:t>
            </w:r>
          </w:p>
        </w:tc>
        <w:tc>
          <w:tcPr>
            <w:tcW w:w="1405" w:type="dxa"/>
            <w:tcBorders/>
            <w:shd w:fill="CCE2F1" w:val="clear"/>
            <w:vAlign w:val="center"/>
          </w:tcPr>
          <w:p>
            <w:pPr>
              <w:pStyle w:val="TableContents"/>
              <w:bidi w:val="0"/>
              <w:spacing w:before="0" w:after="283"/>
              <w:jc w:val="right"/>
              <w:rPr/>
            </w:pPr>
            <w:r>
              <w:rPr/>
              <w:t>4,773,710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81" w:type="dxa"/>
            <w:tcBorders/>
            <w:shd w:fill="CCE2F1" w:val="clear"/>
            <w:vAlign w:val="center"/>
          </w:tcPr>
          <w:p>
            <w:pPr>
              <w:pStyle w:val="TableContents"/>
              <w:bidi w:val="0"/>
              <w:spacing w:before="0" w:after="283"/>
              <w:jc w:val="left"/>
              <w:rPr/>
            </w:pPr>
            <w:r>
              <w:rPr/>
              <w:t> </w:t>
            </w:r>
          </w:p>
        </w:tc>
        <w:tc>
          <w:tcPr>
            <w:tcW w:w="1499" w:type="dxa"/>
            <w:tcBorders/>
            <w:shd w:fill="CCE2F1" w:val="clear"/>
            <w:vAlign w:val="center"/>
          </w:tcPr>
          <w:p>
            <w:pPr>
              <w:pStyle w:val="TableContents"/>
              <w:bidi w:val="0"/>
              <w:spacing w:before="0" w:after="283"/>
              <w:jc w:val="right"/>
              <w:rPr/>
            </w:pPr>
            <w:r>
              <w:rPr/>
              <w:t>13,805,997</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90" w:type="dxa"/>
            <w:tcBorders/>
            <w:shd w:fill="CCE2F1" w:val="clear"/>
            <w:vAlign w:val="center"/>
          </w:tcPr>
          <w:p>
            <w:pPr>
              <w:pStyle w:val="TableContents"/>
              <w:bidi w:val="0"/>
              <w:spacing w:before="0" w:after="283"/>
              <w:jc w:val="left"/>
              <w:rPr/>
            </w:pPr>
            <w:r>
              <w:rPr/>
              <w:t> </w:t>
            </w:r>
          </w:p>
        </w:tc>
        <w:tc>
          <w:tcPr>
            <w:tcW w:w="1655" w:type="dxa"/>
            <w:tcBorders/>
            <w:shd w:fill="CCE2F1" w:val="clear"/>
            <w:vAlign w:val="center"/>
          </w:tcPr>
          <w:p>
            <w:pPr>
              <w:pStyle w:val="TableContents"/>
              <w:bidi w:val="0"/>
              <w:spacing w:before="0" w:after="283"/>
              <w:jc w:val="right"/>
              <w:rPr/>
            </w:pPr>
            <w:r>
              <w:rPr/>
              <w:t>(2,572,161</w:t>
            </w:r>
          </w:p>
        </w:tc>
        <w:tc>
          <w:tcPr>
            <w:tcW w:w="155"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94" w:type="dxa"/>
            <w:tcBorders/>
            <w:shd w:fill="CCE2F1" w:val="clear"/>
            <w:vAlign w:val="center"/>
          </w:tcPr>
          <w:p>
            <w:pPr>
              <w:pStyle w:val="TableContents"/>
              <w:bidi w:val="0"/>
              <w:spacing w:before="0" w:after="283"/>
              <w:jc w:val="left"/>
              <w:rPr/>
            </w:pPr>
            <w:r>
              <w:rPr/>
              <w:t> </w:t>
            </w:r>
          </w:p>
        </w:tc>
        <w:tc>
          <w:tcPr>
            <w:tcW w:w="1666" w:type="dxa"/>
            <w:tcBorders/>
            <w:shd w:fill="CCE2F1" w:val="clear"/>
            <w:vAlign w:val="center"/>
          </w:tcPr>
          <w:p>
            <w:pPr>
              <w:pStyle w:val="TableContents"/>
              <w:bidi w:val="0"/>
              <w:spacing w:before="0" w:after="283"/>
              <w:jc w:val="right"/>
              <w:rPr/>
            </w:pPr>
            <w:r>
              <w:rPr/>
              <w:t>(1,930</w:t>
            </w:r>
          </w:p>
        </w:tc>
        <w:tc>
          <w:tcPr>
            <w:tcW w:w="155"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7" w:type="dxa"/>
            <w:tcBorders/>
            <w:shd w:fill="CCE2F1" w:val="clear"/>
            <w:vAlign w:val="center"/>
          </w:tcPr>
          <w:p>
            <w:pPr>
              <w:pStyle w:val="TableContents"/>
              <w:bidi w:val="0"/>
              <w:spacing w:before="0" w:after="283"/>
              <w:jc w:val="left"/>
              <w:rPr/>
            </w:pPr>
            <w:r>
              <w:rPr/>
              <w:t> </w:t>
            </w:r>
          </w:p>
        </w:tc>
        <w:tc>
          <w:tcPr>
            <w:tcW w:w="1413" w:type="dxa"/>
            <w:tcBorders/>
            <w:shd w:fill="CCE2F1" w:val="clear"/>
            <w:vAlign w:val="center"/>
          </w:tcPr>
          <w:p>
            <w:pPr>
              <w:pStyle w:val="TableContents"/>
              <w:bidi w:val="0"/>
              <w:spacing w:before="0" w:after="283"/>
              <w:jc w:val="right"/>
              <w:rPr/>
            </w:pPr>
            <w:r>
              <w:rPr/>
              <w:t>17,040,728</w:t>
            </w:r>
          </w:p>
        </w:tc>
        <w:tc>
          <w:tcPr>
            <w:tcW w:w="75" w:type="dxa"/>
            <w:tcBorders/>
            <w:shd w:fill="CCE2F1" w:val="clear"/>
            <w:vAlign w:val="center"/>
          </w:tcPr>
          <w:p>
            <w:pPr>
              <w:pStyle w:val="TableContents"/>
              <w:bidi w:val="0"/>
              <w:spacing w:before="0" w:after="283"/>
              <w:jc w:val="left"/>
              <w:rPr/>
            </w:pPr>
            <w:r>
              <w:rPr/>
              <w:t> </w:t>
            </w:r>
          </w:p>
        </w:tc>
      </w:tr>
      <w:tr>
        <w:trPr/>
        <w:tc>
          <w:tcPr>
            <w:tcW w:w="75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500" w:type="dxa"/>
            <w:tcBorders/>
            <w:shd w:fill="CCE2F1" w:val="clear"/>
            <w:vAlign w:val="center"/>
          </w:tcPr>
          <w:p>
            <w:pPr>
              <w:pStyle w:val="TableContents"/>
              <w:bidi w:val="0"/>
              <w:spacing w:before="0" w:after="283"/>
              <w:jc w:val="right"/>
              <w:rPr/>
            </w:pPr>
            <w:r>
              <w:rPr/>
              <w:t>2020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7" w:type="dxa"/>
            <w:tcBorders/>
            <w:shd w:fill="CCE2F1" w:val="clear"/>
            <w:vAlign w:val="center"/>
          </w:tcPr>
          <w:p>
            <w:pPr>
              <w:pStyle w:val="TableContents"/>
              <w:bidi w:val="0"/>
              <w:spacing w:before="0" w:after="283"/>
              <w:jc w:val="left"/>
              <w:rPr/>
            </w:pPr>
            <w:r>
              <w:rPr/>
              <w:t> </w:t>
            </w:r>
          </w:p>
        </w:tc>
        <w:tc>
          <w:tcPr>
            <w:tcW w:w="1413" w:type="dxa"/>
            <w:tcBorders/>
            <w:shd w:fill="CCE2F1" w:val="clear"/>
            <w:vAlign w:val="center"/>
          </w:tcPr>
          <w:p>
            <w:pPr>
              <w:pStyle w:val="TableContents"/>
              <w:bidi w:val="0"/>
              <w:spacing w:before="0" w:after="283"/>
              <w:jc w:val="right"/>
              <w:rPr/>
            </w:pPr>
            <w:r>
              <w:rPr/>
              <w:t>20,131,408</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7" w:type="dxa"/>
            <w:tcBorders/>
            <w:shd w:fill="CCE2F1" w:val="clear"/>
            <w:vAlign w:val="center"/>
          </w:tcPr>
          <w:p>
            <w:pPr>
              <w:pStyle w:val="TableContents"/>
              <w:bidi w:val="0"/>
              <w:spacing w:before="0" w:after="283"/>
              <w:jc w:val="left"/>
              <w:rPr/>
            </w:pPr>
            <w:r>
              <w:rPr/>
              <w:t> </w:t>
            </w:r>
          </w:p>
        </w:tc>
        <w:tc>
          <w:tcPr>
            <w:tcW w:w="1413" w:type="dxa"/>
            <w:tcBorders/>
            <w:shd w:fill="CCE2F1" w:val="clear"/>
            <w:vAlign w:val="center"/>
          </w:tcPr>
          <w:p>
            <w:pPr>
              <w:pStyle w:val="TableContents"/>
              <w:bidi w:val="0"/>
              <w:spacing w:before="0" w:after="283"/>
              <w:jc w:val="right"/>
              <w:rPr/>
            </w:pPr>
            <w:r>
              <w:rPr/>
              <w:t>10,079,676</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85" w:type="dxa"/>
            <w:tcBorders/>
            <w:shd w:fill="CCE2F1" w:val="clear"/>
            <w:vAlign w:val="center"/>
          </w:tcPr>
          <w:p>
            <w:pPr>
              <w:pStyle w:val="TableContents"/>
              <w:bidi w:val="0"/>
              <w:spacing w:before="0" w:after="283"/>
              <w:jc w:val="left"/>
              <w:rPr/>
            </w:pPr>
            <w:r>
              <w:rPr/>
              <w:t> </w:t>
            </w:r>
          </w:p>
        </w:tc>
        <w:tc>
          <w:tcPr>
            <w:tcW w:w="1405" w:type="dxa"/>
            <w:tcBorders/>
            <w:shd w:fill="CCE2F1" w:val="clear"/>
            <w:vAlign w:val="center"/>
          </w:tcPr>
          <w:p>
            <w:pPr>
              <w:pStyle w:val="TableContents"/>
              <w:bidi w:val="0"/>
              <w:spacing w:before="0" w:after="283"/>
              <w:jc w:val="right"/>
              <w:rPr/>
            </w:pPr>
            <w:r>
              <w:rPr/>
              <w:t>4,319,993</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81" w:type="dxa"/>
            <w:tcBorders/>
            <w:shd w:fill="CCE2F1" w:val="clear"/>
            <w:vAlign w:val="center"/>
          </w:tcPr>
          <w:p>
            <w:pPr>
              <w:pStyle w:val="TableContents"/>
              <w:bidi w:val="0"/>
              <w:spacing w:before="0" w:after="283"/>
              <w:jc w:val="left"/>
              <w:rPr/>
            </w:pPr>
            <w:r>
              <w:rPr/>
              <w:t> </w:t>
            </w:r>
          </w:p>
        </w:tc>
        <w:tc>
          <w:tcPr>
            <w:tcW w:w="1499" w:type="dxa"/>
            <w:tcBorders/>
            <w:shd w:fill="CCE2F1" w:val="clear"/>
            <w:vAlign w:val="center"/>
          </w:tcPr>
          <w:p>
            <w:pPr>
              <w:pStyle w:val="TableContents"/>
              <w:bidi w:val="0"/>
              <w:spacing w:before="0" w:after="283"/>
              <w:jc w:val="right"/>
              <w:rPr/>
            </w:pPr>
            <w:r>
              <w:rPr/>
              <w:t>13,341,787</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90" w:type="dxa"/>
            <w:tcBorders/>
            <w:shd w:fill="CCE2F1" w:val="clear"/>
            <w:vAlign w:val="center"/>
          </w:tcPr>
          <w:p>
            <w:pPr>
              <w:pStyle w:val="TableContents"/>
              <w:bidi w:val="0"/>
              <w:spacing w:before="0" w:after="283"/>
              <w:jc w:val="left"/>
              <w:rPr/>
            </w:pPr>
            <w:r>
              <w:rPr/>
              <w:t> </w:t>
            </w:r>
          </w:p>
        </w:tc>
        <w:tc>
          <w:tcPr>
            <w:tcW w:w="1655" w:type="dxa"/>
            <w:tcBorders/>
            <w:shd w:fill="CCE2F1" w:val="clear"/>
            <w:vAlign w:val="center"/>
          </w:tcPr>
          <w:p>
            <w:pPr>
              <w:pStyle w:val="TableContents"/>
              <w:bidi w:val="0"/>
              <w:spacing w:before="0" w:after="283"/>
              <w:jc w:val="right"/>
              <w:rPr/>
            </w:pPr>
            <w:r>
              <w:rPr/>
              <w:t>(3,546,758</w:t>
            </w:r>
          </w:p>
        </w:tc>
        <w:tc>
          <w:tcPr>
            <w:tcW w:w="155"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94" w:type="dxa"/>
            <w:tcBorders/>
            <w:shd w:fill="CCE2F1" w:val="clear"/>
            <w:vAlign w:val="center"/>
          </w:tcPr>
          <w:p>
            <w:pPr>
              <w:pStyle w:val="TableContents"/>
              <w:bidi w:val="0"/>
              <w:spacing w:before="0" w:after="283"/>
              <w:jc w:val="left"/>
              <w:rPr/>
            </w:pPr>
            <w:r>
              <w:rPr/>
              <w:t> </w:t>
            </w:r>
          </w:p>
        </w:tc>
        <w:tc>
          <w:tcPr>
            <w:tcW w:w="1666" w:type="dxa"/>
            <w:tcBorders/>
            <w:shd w:fill="CCE2F1" w:val="clear"/>
            <w:vAlign w:val="center"/>
          </w:tcPr>
          <w:p>
            <w:pPr>
              <w:pStyle w:val="TableContents"/>
              <w:bidi w:val="0"/>
              <w:spacing w:before="0" w:after="283"/>
              <w:jc w:val="right"/>
              <w:rPr/>
            </w:pPr>
            <w:r>
              <w:rPr/>
              <w:t>(802,456</w:t>
            </w:r>
          </w:p>
        </w:tc>
        <w:tc>
          <w:tcPr>
            <w:tcW w:w="155"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77" w:type="dxa"/>
            <w:tcBorders/>
            <w:shd w:fill="CCE2F1" w:val="clear"/>
            <w:vAlign w:val="center"/>
          </w:tcPr>
          <w:p>
            <w:pPr>
              <w:pStyle w:val="TableContents"/>
              <w:bidi w:val="0"/>
              <w:spacing w:before="0" w:after="283"/>
              <w:jc w:val="left"/>
              <w:rPr/>
            </w:pPr>
            <w:r>
              <w:rPr/>
              <w:t> </w:t>
            </w:r>
          </w:p>
        </w:tc>
        <w:tc>
          <w:tcPr>
            <w:tcW w:w="1413" w:type="dxa"/>
            <w:tcBorders/>
            <w:shd w:fill="CCE2F1" w:val="clear"/>
            <w:vAlign w:val="center"/>
          </w:tcPr>
          <w:p>
            <w:pPr>
              <w:pStyle w:val="TableContents"/>
              <w:bidi w:val="0"/>
              <w:spacing w:before="0" w:after="283"/>
              <w:jc w:val="right"/>
              <w:rPr/>
            </w:pPr>
            <w:r>
              <w:rPr/>
              <w:t>14,724,312</w:t>
            </w:r>
          </w:p>
        </w:tc>
        <w:tc>
          <w:tcPr>
            <w:tcW w:w="75" w:type="dxa"/>
            <w:tcBorders/>
            <w:shd w:fill="CCE2F1" w:val="clear"/>
            <w:vAlign w:val="center"/>
          </w:tcPr>
          <w:p>
            <w:pPr>
              <w:pStyle w:val="TableContents"/>
              <w:bidi w:val="0"/>
              <w:spacing w:before="0" w:after="283"/>
              <w:jc w:val="left"/>
              <w:rPr/>
            </w:pPr>
            <w:r>
              <w:rPr/>
              <w:t> </w:t>
            </w:r>
          </w:p>
        </w:tc>
      </w:tr>
      <w:tr>
        <w:trPr/>
        <w:tc>
          <w:tcPr>
            <w:tcW w:w="755" w:type="dxa"/>
            <w:vMerge w:val="restart"/>
            <w:tcBorders>
              <w:bottom w:val="single" w:sz="8" w:space="0" w:color="0171B9"/>
            </w:tcBorders>
            <w:tcMar>
              <w:bottom w:w="28" w:type="dxa"/>
            </w:tcMar>
            <w:vAlign w:val="center"/>
          </w:tcPr>
          <w:p>
            <w:pPr>
              <w:pStyle w:val="TableContents"/>
              <w:bidi w:val="0"/>
              <w:spacing w:before="0" w:after="0"/>
              <w:jc w:val="left"/>
              <w:rPr>
                <w:rFonts w:ascii="arial" w:hAnsi="arial"/>
                <w:sz w:val="18"/>
              </w:rPr>
            </w:pPr>
            <w:r>
              <w:rPr>
                <w:rFonts w:ascii="arial" w:hAnsi="arial"/>
                <w:sz w:val="18"/>
              </w:rPr>
              <w:t>Average of Other NEOs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7,730,150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3,184,835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1,364,981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499" w:type="dxa"/>
            <w:tcBorders/>
            <w:vAlign w:val="center"/>
          </w:tcPr>
          <w:p>
            <w:pPr>
              <w:pStyle w:val="TableContents"/>
              <w:bidi w:val="0"/>
              <w:spacing w:before="0" w:after="283"/>
              <w:jc w:val="right"/>
              <w:rPr/>
            </w:pPr>
            <w:r>
              <w:rPr/>
              <w:t>6,746,746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right"/>
              <w:rPr/>
            </w:pPr>
            <w:r>
              <w:rPr/>
              <w:t>294,430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666" w:type="dxa"/>
            <w:tcBorders/>
            <w:vAlign w:val="center"/>
          </w:tcPr>
          <w:p>
            <w:pPr>
              <w:pStyle w:val="TableContents"/>
              <w:bidi w:val="0"/>
              <w:spacing w:before="0" w:after="283"/>
              <w:jc w:val="right"/>
              <w:rPr/>
            </w:pPr>
            <w:r>
              <w:rPr/>
              <w:t>(520,218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9,701,292</w:t>
            </w:r>
          </w:p>
        </w:tc>
        <w:tc>
          <w:tcPr>
            <w:tcW w:w="75" w:type="dxa"/>
            <w:tcBorders/>
            <w:vAlign w:val="center"/>
          </w:tcPr>
          <w:p>
            <w:pPr>
              <w:pStyle w:val="TableContents"/>
              <w:bidi w:val="0"/>
              <w:spacing w:before="0" w:after="283"/>
              <w:jc w:val="left"/>
              <w:rPr/>
            </w:pPr>
            <w:r>
              <w:rPr/>
              <w:t> </w:t>
            </w:r>
          </w:p>
        </w:tc>
      </w:tr>
      <w:tr>
        <w:trPr/>
        <w:tc>
          <w:tcPr>
            <w:tcW w:w="755" w:type="dxa"/>
            <w:vMerge w:val="continue"/>
            <w:tcBorders>
              <w:bottom w:val="single" w:sz="8" w:space="0" w:color="0171B9"/>
            </w:tcBorders>
            <w:tcMar>
              <w:bottom w:w="28"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7,211,427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3,184,719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1,364,984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499" w:type="dxa"/>
            <w:tcBorders/>
            <w:vAlign w:val="center"/>
          </w:tcPr>
          <w:p>
            <w:pPr>
              <w:pStyle w:val="TableContents"/>
              <w:bidi w:val="0"/>
              <w:spacing w:before="0" w:after="283"/>
              <w:jc w:val="right"/>
              <w:rPr/>
            </w:pPr>
            <w:r>
              <w:rPr/>
              <w:t>5,947,522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right"/>
              <w:rPr/>
            </w:pPr>
            <w:r>
              <w:rPr/>
              <w:t>3,219,024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666" w:type="dxa"/>
            <w:tcBorders/>
            <w:vAlign w:val="center"/>
          </w:tcPr>
          <w:p>
            <w:pPr>
              <w:pStyle w:val="TableContents"/>
              <w:bidi w:val="0"/>
              <w:spacing w:before="0" w:after="283"/>
              <w:jc w:val="right"/>
              <w:rPr/>
            </w:pPr>
            <w:r>
              <w:rPr/>
              <w:t>949,497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12,777,767</w:t>
            </w:r>
          </w:p>
        </w:tc>
        <w:tc>
          <w:tcPr>
            <w:tcW w:w="75" w:type="dxa"/>
            <w:tcBorders/>
            <w:vAlign w:val="center"/>
          </w:tcPr>
          <w:p>
            <w:pPr>
              <w:pStyle w:val="TableContents"/>
              <w:bidi w:val="0"/>
              <w:spacing w:before="0" w:after="283"/>
              <w:jc w:val="left"/>
              <w:rPr/>
            </w:pPr>
            <w:r>
              <w:rPr/>
              <w:t> </w:t>
            </w:r>
          </w:p>
        </w:tc>
      </w:tr>
      <w:tr>
        <w:trPr/>
        <w:tc>
          <w:tcPr>
            <w:tcW w:w="755" w:type="dxa"/>
            <w:vMerge w:val="continue"/>
            <w:tcBorders>
              <w:bottom w:val="single" w:sz="8" w:space="0" w:color="0171B9"/>
            </w:tcBorders>
            <w:tcMar>
              <w:bottom w:w="28"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7,358,134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3,246,014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pPr>
            <w:r>
              <w:rPr/>
              <w:t>1,391,226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499" w:type="dxa"/>
            <w:tcBorders/>
            <w:vAlign w:val="center"/>
          </w:tcPr>
          <w:p>
            <w:pPr>
              <w:pStyle w:val="TableContents"/>
              <w:bidi w:val="0"/>
              <w:spacing w:before="0" w:after="283"/>
              <w:jc w:val="right"/>
              <w:rPr/>
            </w:pPr>
            <w:r>
              <w:rPr/>
              <w:t>4,023,392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right"/>
              <w:rPr/>
            </w:pPr>
            <w:r>
              <w:rPr/>
              <w:t>(640,566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666" w:type="dxa"/>
            <w:tcBorders/>
            <w:vAlign w:val="center"/>
          </w:tcPr>
          <w:p>
            <w:pPr>
              <w:pStyle w:val="TableContents"/>
              <w:bidi w:val="0"/>
              <w:spacing w:before="0" w:after="283"/>
              <w:jc w:val="right"/>
              <w:rPr/>
            </w:pPr>
            <w:r>
              <w:rPr/>
              <w:t>(234,199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413" w:type="dxa"/>
            <w:tcBorders/>
            <w:vAlign w:val="center"/>
          </w:tcPr>
          <w:p>
            <w:pPr>
              <w:pStyle w:val="TableContents"/>
              <w:bidi w:val="0"/>
              <w:spacing w:before="0" w:after="283"/>
              <w:jc w:val="right"/>
              <w:rPr/>
            </w:pPr>
            <w:r>
              <w:rPr/>
              <w:t>5,869,521</w:t>
            </w:r>
          </w:p>
        </w:tc>
        <w:tc>
          <w:tcPr>
            <w:tcW w:w="75" w:type="dxa"/>
            <w:tcBorders/>
            <w:vAlign w:val="center"/>
          </w:tcPr>
          <w:p>
            <w:pPr>
              <w:pStyle w:val="TableContents"/>
              <w:bidi w:val="0"/>
              <w:spacing w:before="0" w:after="283"/>
              <w:jc w:val="left"/>
              <w:rPr/>
            </w:pPr>
            <w:r>
              <w:rPr/>
              <w:t> </w:t>
            </w:r>
          </w:p>
        </w:tc>
      </w:tr>
      <w:tr>
        <w:trPr/>
        <w:tc>
          <w:tcPr>
            <w:tcW w:w="755" w:type="dxa"/>
            <w:vMerge w:val="continue"/>
            <w:tcBorders>
              <w:bottom w:val="single" w:sz="8" w:space="0" w:color="0171B9"/>
            </w:tcBorders>
            <w:tcMar>
              <w:bottom w:w="28" w:type="dxa"/>
            </w:tcMar>
            <w:vAlign w:val="center"/>
          </w:tcPr>
          <w:p>
            <w:pPr>
              <w:pStyle w:val="Normal"/>
              <w:bidi w:val="0"/>
              <w:jc w:val="left"/>
              <w:rPr/>
            </w:pPr>
            <w:r>
              <w:rPr/>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500" w:type="dxa"/>
            <w:tcBorders>
              <w:bottom w:val="single" w:sz="8" w:space="0" w:color="0171B9"/>
            </w:tcBorders>
            <w:tcMar>
              <w:bottom w:w="28" w:type="dxa"/>
            </w:tcMar>
            <w:vAlign w:val="center"/>
          </w:tcPr>
          <w:p>
            <w:pPr>
              <w:pStyle w:val="TableContents"/>
              <w:bidi w:val="0"/>
              <w:spacing w:before="0" w:after="283"/>
              <w:jc w:val="right"/>
              <w:rPr/>
            </w:pPr>
            <w:r>
              <w:rPr/>
              <w:t>2020</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77" w:type="dxa"/>
            <w:tcBorders>
              <w:bottom w:val="single" w:sz="8" w:space="0" w:color="0171B9"/>
            </w:tcBorders>
            <w:tcMar>
              <w:bottom w:w="28" w:type="dxa"/>
            </w:tcMar>
            <w:vAlign w:val="center"/>
          </w:tcPr>
          <w:p>
            <w:pPr>
              <w:pStyle w:val="TableContents"/>
              <w:bidi w:val="0"/>
              <w:spacing w:before="0" w:after="283"/>
              <w:jc w:val="left"/>
              <w:rPr/>
            </w:pPr>
            <w:r>
              <w:rPr/>
              <w:t> </w:t>
            </w:r>
          </w:p>
        </w:tc>
        <w:tc>
          <w:tcPr>
            <w:tcW w:w="1413" w:type="dxa"/>
            <w:tcBorders>
              <w:bottom w:val="single" w:sz="8" w:space="0" w:color="0171B9"/>
            </w:tcBorders>
            <w:tcMar>
              <w:bottom w:w="28" w:type="dxa"/>
            </w:tcMar>
            <w:vAlign w:val="center"/>
          </w:tcPr>
          <w:p>
            <w:pPr>
              <w:pStyle w:val="TableContents"/>
              <w:bidi w:val="0"/>
              <w:spacing w:before="0" w:after="283"/>
              <w:jc w:val="right"/>
              <w:rPr/>
            </w:pPr>
            <w:r>
              <w:rPr/>
              <w:t>6,736,942</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77" w:type="dxa"/>
            <w:tcBorders>
              <w:bottom w:val="single" w:sz="8" w:space="0" w:color="0171B9"/>
            </w:tcBorders>
            <w:tcMar>
              <w:bottom w:w="28" w:type="dxa"/>
            </w:tcMar>
            <w:vAlign w:val="center"/>
          </w:tcPr>
          <w:p>
            <w:pPr>
              <w:pStyle w:val="TableContents"/>
              <w:bidi w:val="0"/>
              <w:spacing w:before="0" w:after="283"/>
              <w:jc w:val="left"/>
              <w:rPr/>
            </w:pPr>
            <w:r>
              <w:rPr/>
              <w:t> </w:t>
            </w:r>
          </w:p>
        </w:tc>
        <w:tc>
          <w:tcPr>
            <w:tcW w:w="1413" w:type="dxa"/>
            <w:tcBorders>
              <w:bottom w:val="single" w:sz="8" w:space="0" w:color="0171B9"/>
            </w:tcBorders>
            <w:tcMar>
              <w:bottom w:w="28" w:type="dxa"/>
            </w:tcMar>
            <w:vAlign w:val="center"/>
          </w:tcPr>
          <w:p>
            <w:pPr>
              <w:pStyle w:val="TableContents"/>
              <w:bidi w:val="0"/>
              <w:spacing w:before="0" w:after="283"/>
              <w:jc w:val="right"/>
              <w:rPr/>
            </w:pPr>
            <w:r>
              <w:rPr/>
              <w:t>2,834,702</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85" w:type="dxa"/>
            <w:tcBorders>
              <w:bottom w:val="single" w:sz="8" w:space="0" w:color="0171B9"/>
            </w:tcBorders>
            <w:tcMar>
              <w:bottom w:w="28" w:type="dxa"/>
            </w:tcMar>
            <w:vAlign w:val="center"/>
          </w:tcPr>
          <w:p>
            <w:pPr>
              <w:pStyle w:val="TableContents"/>
              <w:bidi w:val="0"/>
              <w:spacing w:before="0" w:after="283"/>
              <w:jc w:val="left"/>
              <w:rPr/>
            </w:pPr>
            <w:r>
              <w:rPr/>
              <w:t> </w:t>
            </w:r>
          </w:p>
        </w:tc>
        <w:tc>
          <w:tcPr>
            <w:tcW w:w="1405" w:type="dxa"/>
            <w:tcBorders>
              <w:bottom w:val="single" w:sz="8" w:space="0" w:color="0171B9"/>
            </w:tcBorders>
            <w:tcMar>
              <w:bottom w:w="28" w:type="dxa"/>
            </w:tcMar>
            <w:vAlign w:val="center"/>
          </w:tcPr>
          <w:p>
            <w:pPr>
              <w:pStyle w:val="TableContents"/>
              <w:bidi w:val="0"/>
              <w:spacing w:before="0" w:after="283"/>
              <w:jc w:val="right"/>
              <w:rPr/>
            </w:pPr>
            <w:r>
              <w:rPr/>
              <w:t>1,214,968</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81" w:type="dxa"/>
            <w:tcBorders>
              <w:bottom w:val="single" w:sz="8" w:space="0" w:color="0171B9"/>
            </w:tcBorders>
            <w:tcMar>
              <w:bottom w:w="28" w:type="dxa"/>
            </w:tcMar>
            <w:vAlign w:val="center"/>
          </w:tcPr>
          <w:p>
            <w:pPr>
              <w:pStyle w:val="TableContents"/>
              <w:bidi w:val="0"/>
              <w:spacing w:before="0" w:after="283"/>
              <w:jc w:val="left"/>
              <w:rPr/>
            </w:pPr>
            <w:r>
              <w:rPr/>
              <w:t> </w:t>
            </w:r>
          </w:p>
        </w:tc>
        <w:tc>
          <w:tcPr>
            <w:tcW w:w="1499" w:type="dxa"/>
            <w:tcBorders>
              <w:bottom w:val="single" w:sz="8" w:space="0" w:color="0171B9"/>
            </w:tcBorders>
            <w:tcMar>
              <w:bottom w:w="28" w:type="dxa"/>
            </w:tcMar>
            <w:vAlign w:val="center"/>
          </w:tcPr>
          <w:p>
            <w:pPr>
              <w:pStyle w:val="TableContents"/>
              <w:bidi w:val="0"/>
              <w:spacing w:before="0" w:after="283"/>
              <w:jc w:val="right"/>
              <w:rPr/>
            </w:pPr>
            <w:r>
              <w:rPr/>
              <w:t>3,752,153</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90" w:type="dxa"/>
            <w:tcBorders>
              <w:bottom w:val="single" w:sz="8" w:space="0" w:color="0171B9"/>
            </w:tcBorders>
            <w:tcMar>
              <w:bottom w:w="28" w:type="dxa"/>
            </w:tcMar>
            <w:vAlign w:val="center"/>
          </w:tcPr>
          <w:p>
            <w:pPr>
              <w:pStyle w:val="TableContents"/>
              <w:bidi w:val="0"/>
              <w:spacing w:before="0" w:after="283"/>
              <w:jc w:val="left"/>
              <w:rPr/>
            </w:pPr>
            <w:r>
              <w:rPr/>
              <w:t> </w:t>
            </w:r>
          </w:p>
        </w:tc>
        <w:tc>
          <w:tcPr>
            <w:tcW w:w="1655" w:type="dxa"/>
            <w:tcBorders>
              <w:bottom w:val="single" w:sz="8" w:space="0" w:color="0171B9"/>
            </w:tcBorders>
            <w:tcMar>
              <w:bottom w:w="28" w:type="dxa"/>
            </w:tcMar>
            <w:vAlign w:val="center"/>
          </w:tcPr>
          <w:p>
            <w:pPr>
              <w:pStyle w:val="TableContents"/>
              <w:bidi w:val="0"/>
              <w:spacing w:before="0" w:after="283"/>
              <w:jc w:val="right"/>
              <w:rPr/>
            </w:pPr>
            <w:r>
              <w:rPr/>
              <w:t>(650,362</w:t>
            </w:r>
          </w:p>
        </w:tc>
        <w:tc>
          <w:tcPr>
            <w:tcW w:w="155" w:type="dxa"/>
            <w:tcBorders>
              <w:bottom w:val="single" w:sz="8" w:space="0" w:color="0171B9"/>
            </w:tcBorders>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94" w:type="dxa"/>
            <w:tcBorders>
              <w:bottom w:val="single" w:sz="8" w:space="0" w:color="0171B9"/>
            </w:tcBorders>
            <w:tcMar>
              <w:bottom w:w="28" w:type="dxa"/>
            </w:tcMar>
            <w:vAlign w:val="center"/>
          </w:tcPr>
          <w:p>
            <w:pPr>
              <w:pStyle w:val="TableContents"/>
              <w:bidi w:val="0"/>
              <w:spacing w:before="0" w:after="283"/>
              <w:jc w:val="left"/>
              <w:rPr/>
            </w:pPr>
            <w:r>
              <w:rPr/>
              <w:t> </w:t>
            </w:r>
          </w:p>
        </w:tc>
        <w:tc>
          <w:tcPr>
            <w:tcW w:w="1666" w:type="dxa"/>
            <w:tcBorders>
              <w:bottom w:val="single" w:sz="8" w:space="0" w:color="0171B9"/>
            </w:tcBorders>
            <w:tcMar>
              <w:bottom w:w="28" w:type="dxa"/>
            </w:tcMar>
            <w:vAlign w:val="center"/>
          </w:tcPr>
          <w:p>
            <w:pPr>
              <w:pStyle w:val="TableContents"/>
              <w:bidi w:val="0"/>
              <w:spacing w:before="0" w:after="283"/>
              <w:jc w:val="right"/>
              <w:rPr/>
            </w:pPr>
            <w:r>
              <w:rPr/>
              <w:t>(217,688</w:t>
            </w:r>
          </w:p>
        </w:tc>
        <w:tc>
          <w:tcPr>
            <w:tcW w:w="155" w:type="dxa"/>
            <w:tcBorders>
              <w:bottom w:val="single" w:sz="8" w:space="0" w:color="0171B9"/>
            </w:tcBorders>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77" w:type="dxa"/>
            <w:tcBorders>
              <w:bottom w:val="single" w:sz="8" w:space="0" w:color="0171B9"/>
            </w:tcBorders>
            <w:tcMar>
              <w:bottom w:w="28" w:type="dxa"/>
            </w:tcMar>
            <w:vAlign w:val="center"/>
          </w:tcPr>
          <w:p>
            <w:pPr>
              <w:pStyle w:val="TableContents"/>
              <w:bidi w:val="0"/>
              <w:spacing w:before="0" w:after="283"/>
              <w:jc w:val="left"/>
              <w:rPr/>
            </w:pPr>
            <w:r>
              <w:rPr/>
              <w:t> </w:t>
            </w:r>
          </w:p>
        </w:tc>
        <w:tc>
          <w:tcPr>
            <w:tcW w:w="1413" w:type="dxa"/>
            <w:tcBorders>
              <w:bottom w:val="single" w:sz="8" w:space="0" w:color="0171B9"/>
            </w:tcBorders>
            <w:tcMar>
              <w:bottom w:w="28" w:type="dxa"/>
            </w:tcMar>
            <w:vAlign w:val="center"/>
          </w:tcPr>
          <w:p>
            <w:pPr>
              <w:pStyle w:val="TableContents"/>
              <w:bidi w:val="0"/>
              <w:spacing w:before="0" w:after="283"/>
              <w:jc w:val="right"/>
              <w:rPr/>
            </w:pPr>
            <w:r>
              <w:rPr/>
              <w:t>5,571,375</w:t>
            </w:r>
          </w:p>
        </w:tc>
        <w:tc>
          <w:tcPr>
            <w:tcW w:w="75" w:type="dxa"/>
            <w:tcBorders>
              <w:bottom w:val="single" w:sz="8" w:space="0" w:color="0171B9"/>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116"/>
        <w:gridCol w:w="10089"/>
      </w:tblGrid>
      <w:tr>
        <w:trPr/>
        <w:tc>
          <w:tcPr>
            <w:tcW w:w="116" w:type="dxa"/>
            <w:tcBorders/>
            <w:vAlign w:val="center"/>
          </w:tcPr>
          <w:p>
            <w:pPr>
              <w:pStyle w:val="TableContents"/>
              <w:bidi w:val="0"/>
              <w:spacing w:before="0" w:after="0"/>
              <w:jc w:val="left"/>
              <w:rPr>
                <w:sz w:val="9"/>
              </w:rPr>
            </w:pPr>
            <w:r>
              <w:rPr>
                <w:sz w:val="9"/>
              </w:rPr>
              <w:t>(2)</w:t>
            </w:r>
          </w:p>
          <w:p>
            <w:pPr>
              <w:pStyle w:val="TableContents"/>
              <w:bidi w:val="0"/>
              <w:spacing w:before="0" w:after="0"/>
              <w:jc w:val="left"/>
              <w:rPr/>
            </w:pPr>
            <w:r>
              <w:rPr/>
              <w:t> </w:t>
            </w:r>
          </w:p>
        </w:tc>
        <w:tc>
          <w:tcPr>
            <w:tcW w:w="10089" w:type="dxa"/>
            <w:tcBorders/>
            <w:vAlign w:val="center"/>
          </w:tcPr>
          <w:p>
            <w:pPr>
              <w:pStyle w:val="TableContents"/>
              <w:bidi w:val="0"/>
              <w:spacing w:before="0" w:after="0"/>
              <w:jc w:val="both"/>
              <w:rPr>
                <w:rFonts w:ascii="arial" w:hAnsi="arial"/>
                <w:sz w:val="16"/>
              </w:rPr>
            </w:pPr>
            <w:r>
              <w:rPr>
                <w:rFonts w:ascii="arial" w:hAnsi="arial"/>
                <w:sz w:val="16"/>
              </w:rPr>
              <w:t xml:space="preserve">Stock option fair values are calculated at each measurement date using a Black-Scholes valuation model, consistent with the approach used to value the awards at the grant date. Stock option fair values as of each measurement date were determined using updated assumptions (the closing stock price of our Common Stock as of the measurement date, risk-free interest rate, expected life, expected volatility of the price of our Common Stock, and expected dividend yield) and changes in fair value are primarily driven by increases or decreases in the price of the Company’s Common Stock as of each measurement date. </w:t>
            </w:r>
          </w:p>
        </w:tc>
      </w:tr>
    </w:tbl>
    <w:p>
      <w:pPr>
        <w:pStyle w:val="TextBody"/>
        <w:bidi w:val="0"/>
        <w:spacing w:before="0" w:after="0"/>
        <w:jc w:val="left"/>
        <w:rPr>
          <w:shd w:fill="FFFFFF" w:val="clear"/>
        </w:rPr>
      </w:pPr>
      <w:r>
        <w:rPr>
          <w:shd w:fill="FFFFFF" w:val="clear"/>
        </w:rPr>
        <w:t> </w:t>
      </w:r>
    </w:p>
    <w:p>
      <w:pPr>
        <w:pStyle w:val="TextBody"/>
        <w:bidi w:val="0"/>
        <w:spacing w:before="0" w:after="0"/>
        <w:jc w:val="left"/>
        <w:rPr>
          <w:rFonts w:ascii="arial" w:hAnsi="arial"/>
          <w:b/>
          <w:color w:val="474747"/>
          <w:spacing w:val="0"/>
          <w:sz w:val="22"/>
          <w:shd w:fill="FFFFFF" w:val="clear"/>
        </w:rPr>
      </w:pPr>
      <w:r>
        <w:rPr>
          <w:rFonts w:ascii="arial" w:hAnsi="arial"/>
          <w:b/>
          <w:color w:val="474747"/>
          <w:spacing w:val="0"/>
          <w:sz w:val="22"/>
          <w:shd w:fill="FFFFFF" w:val="clear"/>
        </w:rPr>
        <w:t xml:space="preserve">100  </w:t>
      </w:r>
      <w:r>
        <w:rPr>
          <w:rFonts w:ascii="arial" w:hAnsi="arial"/>
          <w:b/>
          <w:color w:val="474747"/>
          <w:spacing w:val="0"/>
          <w:sz w:val="22"/>
          <w:shd w:fill="FFFFFF" w:val="clear"/>
        </w:rPr>
        <w:drawing>
          <wp:inline distT="0" distB="0" distL="0" distR="0">
            <wp:extent cx="64770" cy="15240"/>
            <wp:effectExtent l="0" t="0" r="0" b="0"/>
            <wp:docPr id="349"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163" descr=""/>
                    <pic:cNvPicPr>
                      <a:picLocks noChangeAspect="1" noChangeArrowheads="1"/>
                    </pic:cNvPicPr>
                  </pic:nvPicPr>
                  <pic:blipFill>
                    <a:blip r:embed="rId176"/>
                    <a:stretch>
                      <a:fillRect/>
                    </a:stretch>
                  </pic:blipFill>
                  <pic:spPr bwMode="auto">
                    <a:xfrm>
                      <a:off x="0" y="0"/>
                      <a:ext cx="64770" cy="15240"/>
                    </a:xfrm>
                    <a:prstGeom prst="rect">
                      <a:avLst/>
                    </a:prstGeom>
                  </pic:spPr>
                </pic:pic>
              </a:graphicData>
            </a:graphic>
          </wp:inline>
        </w:drawing>
      </w:r>
      <w:r>
        <w:rPr>
          <w:rFonts w:ascii="arial" w:hAnsi="arial"/>
          <w:b/>
          <w:color w:val="474747"/>
          <w:spacing w:val="0"/>
          <w:sz w:val="22"/>
          <w:shd w:fill="FFFFFF" w:val="clear"/>
        </w:rPr>
        <w:t xml:space="preserve"> </w:t>
      </w:r>
    </w:p>
    <w:p>
      <w:pPr>
        <w:pStyle w:val="TextBody"/>
        <w:bidi w:val="0"/>
        <w:spacing w:before="0" w:after="0"/>
        <w:jc w:val="left"/>
        <w:rPr>
          <w:caps w:val="false"/>
          <w:smallCaps w:val="false"/>
          <w:color w:val="474747"/>
          <w:spacing w:val="0"/>
          <w:shd w:fill="FFFFFF" w:val="clear"/>
        </w:rPr>
      </w:pPr>
      <w:r>
        <w:rPr>
          <w:caps w:val="false"/>
          <w:smallCaps w:val="false"/>
          <w:color w:val="474747"/>
          <w:spacing w:val="0"/>
          <w:shd w:fill="FFFFFF" w:val="clear"/>
        </w:rPr>
        <w:t> </w:t>
      </w:r>
    </w:p>
    <w:p>
      <w:pPr>
        <w:pStyle w:val="TextBody"/>
        <w:bidi w:val="0"/>
        <w:spacing w:before="0" w:after="0"/>
        <w:jc w:val="left"/>
        <w:rPr>
          <w:rFonts w:ascii="SYMBOL" w:hAnsi="SYMBOL"/>
          <w:color w:val="666666"/>
          <w:spacing w:val="0"/>
          <w:sz w:val="28"/>
          <w:shd w:fill="FFFFFF" w:val="clear"/>
        </w:rPr>
      </w:pPr>
      <w:r>
        <w:rPr>
          <w:rFonts w:ascii="SYMBOL" w:hAnsi="SYMBOL"/>
          <w:color w:val="666666"/>
          <w:spacing w:val="0"/>
          <w:sz w:val="28"/>
          <w:shd w:fill="FFFFFF" w:val="clear"/>
        </w:rPr>
        <w:t>ï</w:t>
      </w:r>
    </w:p>
    <w:p>
      <w:pPr>
        <w:pStyle w:val="TextBody"/>
        <w:bidi w:val="0"/>
        <w:spacing w:before="0" w:after="0"/>
        <w:jc w:val="left"/>
        <w:rPr>
          <w:caps w:val="false"/>
          <w:smallCaps w:val="false"/>
          <w:color w:val="474747"/>
          <w:spacing w:val="0"/>
          <w:shd w:fill="FFFFFF" w:val="clear"/>
        </w:rPr>
      </w:pPr>
      <w:r>
        <w:rPr>
          <w:caps w:val="false"/>
          <w:smallCaps w:val="false"/>
          <w:color w:val="474747"/>
          <w:spacing w:val="0"/>
          <w:shd w:fill="FFFFFF" w:val="clear"/>
        </w:rPr>
        <w:t> </w:t>
      </w:r>
      <w:r>
        <w:rPr>
          <w:rFonts w:ascii="arial" w:hAnsi="arial"/>
          <w:i/>
          <w:caps w:val="false"/>
          <w:smallCaps w:val="false"/>
          <w:color w:val="474747"/>
          <w:spacing w:val="0"/>
          <w:sz w:val="22"/>
          <w:shd w:fill="FFFFFF" w:val="clear"/>
        </w:rPr>
        <w:t>2024 Proxy Statement</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tbl>
      <w:tblPr>
        <w:tblW w:w="333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285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spacing w:val="0"/>
              </w:rPr>
            </w:pPr>
            <w:r>
              <w:rPr>
                <w:color w:val="FFFFFF"/>
                <w:spacing w:val="0"/>
              </w:rPr>
              <w:t> </w:t>
            </w:r>
          </w:p>
          <w:p>
            <w:pPr>
              <w:pStyle w:val="TableContents"/>
              <w:bidi w:val="0"/>
              <w:spacing w:before="0" w:after="20"/>
              <w:jc w:val="left"/>
              <w:rPr/>
            </w:pPr>
            <w:r>
              <w:rPr/>
              <w:t> </w:t>
            </w:r>
          </w:p>
        </w:tc>
        <w:tc>
          <w:tcPr>
            <w:tcW w:w="285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pacing w:val="0"/>
                <w:sz w:val="24"/>
              </w:rPr>
            </w:pPr>
            <w:r>
              <w:rPr>
                <w:rFonts w:ascii="arial" w:hAnsi="arial"/>
                <w:b/>
                <w:color w:val="FFFFFF"/>
                <w:spacing w:val="0"/>
                <w:sz w:val="24"/>
              </w:rPr>
              <w:t>Pay Versus Performance</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spacing w:val="0"/>
              </w:rPr>
            </w:pPr>
            <w:r>
              <w:rPr>
                <w:color w:val="FFFFFF"/>
                <w:spacing w:val="0"/>
              </w:rPr>
              <w:t> </w:t>
            </w:r>
          </w:p>
          <w:p>
            <w:pPr>
              <w:pStyle w:val="TableContents"/>
              <w:bidi w:val="0"/>
              <w:spacing w:before="0" w:after="20"/>
              <w:jc w:val="left"/>
              <w:rPr/>
            </w:pPr>
            <w:r>
              <w:rPr/>
              <w:t> </w:t>
            </w:r>
          </w:p>
        </w:tc>
      </w:tr>
    </w:tbl>
    <w:p>
      <w:pPr>
        <w:pStyle w:val="TextBody"/>
        <w:bidi w:val="0"/>
        <w:spacing w:before="0" w:after="0"/>
        <w:jc w:val="left"/>
        <w:rPr>
          <w:shd w:fill="FFFFFF" w:val="clear"/>
        </w:rPr>
      </w:pPr>
      <w:r>
        <w:rPr>
          <w:shd w:fill="FFFFFF" w:val="clear"/>
        </w:rPr>
        <w:t>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arial" w:hAnsi="arial"/>
                <w:sz w:val="16"/>
              </w:rPr>
            </w:pPr>
            <w:r>
              <w:rPr>
                <w:rFonts w:ascii="arial" w:hAnsi="arial"/>
                <w:sz w:val="16"/>
              </w:rPr>
              <w:t xml:space="preserve">Performance unit fair values are calculated using a payout simulation model, consistent with the approach used to value the awards at the grant date. Performance unit fair values as of each measurement date were determined using updated assumptions (risk-free interest rate, volatility of the price of our Common Stock, the closing price of our Common Stock on the measurement date, volatilities of the prices of the stocks of the Reference Group (as defined in footnote 3 to the “Grant of Plan-Based Awards” table in our Executive Compensation Tables), and the correlations of returns of our Common Stock and the stocks of the Reference Group to simulate total shareholder returns and their resulting impact on the payout percentages based on the contractual terms of the performance units) and changes in fair value are primarily driven by increases or decreases in the price of the Company’s Common Stock as of each measurement date.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120"/>
        <w:gridCol w:w="10085"/>
      </w:tblGrid>
      <w:tr>
        <w:trPr/>
        <w:tc>
          <w:tcPr>
            <w:tcW w:w="120" w:type="dxa"/>
            <w:tcBorders/>
            <w:vAlign w:val="center"/>
          </w:tcPr>
          <w:p>
            <w:pPr>
              <w:pStyle w:val="TableContents"/>
              <w:bidi w:val="0"/>
              <w:spacing w:before="0" w:after="0"/>
              <w:jc w:val="left"/>
              <w:rPr>
                <w:sz w:val="9"/>
              </w:rPr>
            </w:pPr>
            <w:r>
              <w:rPr>
                <w:sz w:val="9"/>
              </w:rPr>
              <w:t>(3)</w:t>
            </w:r>
          </w:p>
          <w:p>
            <w:pPr>
              <w:pStyle w:val="TableContents"/>
              <w:bidi w:val="0"/>
              <w:spacing w:before="0" w:after="0"/>
              <w:jc w:val="left"/>
              <w:rPr/>
            </w:pPr>
            <w:r>
              <w:rPr/>
              <w:t> </w:t>
            </w:r>
          </w:p>
        </w:tc>
        <w:tc>
          <w:tcPr>
            <w:tcW w:w="10085" w:type="dxa"/>
            <w:tcBorders/>
            <w:vAlign w:val="center"/>
          </w:tcPr>
          <w:p>
            <w:pPr>
              <w:pStyle w:val="TableContents"/>
              <w:bidi w:val="0"/>
              <w:spacing w:before="0" w:after="0"/>
              <w:jc w:val="both"/>
              <w:rPr>
                <w:rFonts w:ascii="arial" w:hAnsi="arial"/>
                <w:sz w:val="16"/>
              </w:rPr>
            </w:pPr>
            <w:r>
              <w:rPr>
                <w:rFonts w:ascii="arial" w:hAnsi="arial"/>
                <w:sz w:val="16"/>
              </w:rPr>
              <w:t xml:space="preserve">Pursuant to the SEC rules, total shareholder return, or TSR, reflects an initial investment of $100 on December 31, 2019. All values assume reinvestment of the pretax value of dividends, are calculated as of December 31 of each year, and are weighted according to the respective issuers’ stock market capitalization at the beginning of each period for which a return is indicated.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114"/>
        <w:gridCol w:w="10091"/>
      </w:tblGrid>
      <w:tr>
        <w:trPr/>
        <w:tc>
          <w:tcPr>
            <w:tcW w:w="114" w:type="dxa"/>
            <w:tcBorders/>
            <w:vAlign w:val="center"/>
          </w:tcPr>
          <w:p>
            <w:pPr>
              <w:pStyle w:val="TableContents"/>
              <w:bidi w:val="0"/>
              <w:spacing w:before="0" w:after="0"/>
              <w:jc w:val="left"/>
              <w:rPr>
                <w:sz w:val="9"/>
              </w:rPr>
            </w:pPr>
            <w:r>
              <w:rPr>
                <w:sz w:val="9"/>
              </w:rPr>
              <w:t>(4)</w:t>
            </w:r>
          </w:p>
          <w:p>
            <w:pPr>
              <w:pStyle w:val="TableContents"/>
              <w:bidi w:val="0"/>
              <w:spacing w:before="0" w:after="0"/>
              <w:jc w:val="left"/>
              <w:rPr/>
            </w:pPr>
            <w:r>
              <w:rPr/>
              <w:t> </w:t>
            </w:r>
          </w:p>
        </w:tc>
        <w:tc>
          <w:tcPr>
            <w:tcW w:w="10091" w:type="dxa"/>
            <w:tcBorders/>
            <w:vAlign w:val="center"/>
          </w:tcPr>
          <w:p>
            <w:pPr>
              <w:pStyle w:val="TableContents"/>
              <w:bidi w:val="0"/>
              <w:spacing w:before="0" w:after="0"/>
              <w:jc w:val="both"/>
              <w:rPr>
                <w:rFonts w:ascii="arial" w:hAnsi="arial"/>
                <w:sz w:val="16"/>
              </w:rPr>
            </w:pPr>
            <w:r>
              <w:rPr>
                <w:rFonts w:ascii="arial" w:hAnsi="arial"/>
                <w:sz w:val="16"/>
              </w:rPr>
              <w:t xml:space="preserve">The peer group for each listed fiscal year consists of the companies listed as our executive compensation benchmarking peer group in the Compensation Discussion and Analysis specific for that year. For 2020, the companies included: Allergan plc (until July 2020); Abbvie, Inc.; AstraZeneca plc; Biogen Inc.; Bristol Myers Squibb Company; Celgene Corporation (until July 2020); Eli Lilly and Company; Gilead Sciences, Inc.; GlaxoSmithKline plc.; Johnson &amp; Johnson; Merck &amp; Co., Inc.; Novartis AG; Pfizer Inc.; Regeneron Pharmaceuticals, Inc.; Roche Holding AG; and Sanofi S.A. For 2021, 2022, and 2023, the peer group included: Abbvie, Inc.; AstraZeneca plc; Biogen Inc.; Bristol Myers Squibb Company; Eli Lilly and Company; Gilead Sciences, Inc.; GlaxoSmithKline plc.; Johnson &amp; Johnson; Merck &amp; Co., Inc.; Novartis AG; Pfizer Inc.; Regeneron Pharmaceuticals, Inc.; Roche Holding AG; and Sanofi S.A.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135"/>
        <w:gridCol w:w="10070"/>
      </w:tblGrid>
      <w:tr>
        <w:trPr/>
        <w:tc>
          <w:tcPr>
            <w:tcW w:w="135" w:type="dxa"/>
            <w:tcBorders/>
            <w:vAlign w:val="center"/>
          </w:tcPr>
          <w:p>
            <w:pPr>
              <w:pStyle w:val="TableContents"/>
              <w:bidi w:val="0"/>
              <w:spacing w:before="0" w:after="0"/>
              <w:jc w:val="left"/>
              <w:rPr>
                <w:sz w:val="9"/>
              </w:rPr>
            </w:pPr>
            <w:r>
              <w:rPr>
                <w:sz w:val="9"/>
              </w:rPr>
              <w:t>(5)</w:t>
            </w:r>
          </w:p>
          <w:p>
            <w:pPr>
              <w:pStyle w:val="TableContents"/>
              <w:bidi w:val="0"/>
              <w:spacing w:before="0" w:after="0"/>
              <w:jc w:val="left"/>
              <w:rPr/>
            </w:pPr>
            <w:r>
              <w:rPr/>
              <w:t> </w:t>
            </w:r>
          </w:p>
        </w:tc>
        <w:tc>
          <w:tcPr>
            <w:tcW w:w="10070" w:type="dxa"/>
            <w:tcBorders/>
            <w:vAlign w:val="center"/>
          </w:tcPr>
          <w:p>
            <w:pPr>
              <w:pStyle w:val="TableContents"/>
              <w:bidi w:val="0"/>
              <w:spacing w:before="0" w:after="0"/>
              <w:jc w:val="both"/>
              <w:rPr>
                <w:rFonts w:ascii="arial" w:hAnsi="arial"/>
                <w:sz w:val="16"/>
              </w:rPr>
            </w:pPr>
            <w:r>
              <w:rPr>
                <w:rFonts w:ascii="arial" w:hAnsi="arial"/>
                <w:sz w:val="16"/>
              </w:rPr>
              <w:t xml:space="preserve">Non-Generally Accepted Accounting Principles, or non-GAAP, earnings per share for purposes of the Company selected measure is reported and reconciled in </w:t>
            </w:r>
          </w:p>
          <w:p>
            <w:pPr>
              <w:pStyle w:val="TableContents"/>
              <w:bidi w:val="0"/>
              <w:spacing w:before="0" w:after="0"/>
              <w:jc w:val="both"/>
              <w:rPr>
                <w:rFonts w:ascii="arial" w:hAnsi="arial"/>
                <w:b/>
                <w:spacing w:val="0"/>
                <w:sz w:val="16"/>
              </w:rPr>
            </w:pPr>
            <w:r>
              <w:rPr>
                <w:rFonts w:ascii="arial" w:hAnsi="arial"/>
                <w:b/>
                <w:spacing w:val="0"/>
                <w:sz w:val="16"/>
              </w:rPr>
              <w:t>Appendix B</w:t>
            </w:r>
          </w:p>
          <w:p>
            <w:pPr>
              <w:pStyle w:val="TableContents"/>
              <w:bidi w:val="0"/>
              <w:spacing w:before="0" w:after="0"/>
              <w:jc w:val="both"/>
              <w:rPr>
                <w:rFonts w:ascii="arial" w:hAnsi="arial"/>
                <w:sz w:val="16"/>
              </w:rPr>
            </w:pPr>
            <w:r>
              <w:rPr>
                <w:rFonts w:ascii="arial" w:hAnsi="arial"/>
                <w:sz w:val="16"/>
              </w:rPr>
              <w:t xml:space="preserve">. For 2020, non-GAAP earnings per share is reported and reconciled in Appendix B to our 2023 proxy statement filed with the SEC on April 6, 2023. </w:t>
            </w:r>
          </w:p>
        </w:tc>
      </w:tr>
    </w:tbl>
    <w:p>
      <w:pPr>
        <w:pStyle w:val="TextBody"/>
        <w:bidi w:val="0"/>
        <w:spacing w:before="120" w:after="0"/>
        <w:jc w:val="both"/>
        <w:rPr>
          <w:rFonts w:ascii="arial" w:hAnsi="arial"/>
          <w:sz w:val="19"/>
          <w:shd w:fill="FFFFFF" w:val="clear"/>
        </w:rPr>
      </w:pPr>
      <w:r>
        <w:rPr>
          <w:rFonts w:ascii="arial" w:hAnsi="arial"/>
          <w:sz w:val="19"/>
          <w:shd w:fill="FFFFFF" w:val="clear"/>
        </w:rPr>
        <w:t xml:space="preserve">As the valuation methods for “compensation actually paid” required by the SEC differ from those required in the Summary Compensation Table (SCT), the graph below depicts a reconciliation of SCT amounts to the Compensation Actually Paid (CAP) amount in the Pay Versus Performance table for Mr. Bradway for fiscal 2023 derived from the Summary Compensation Table to the Compensation Actually Paid Reconciliation Table above. </w:t>
      </w:r>
    </w:p>
    <w:p>
      <w:pPr>
        <w:pStyle w:val="TextBody"/>
        <w:bidi w:val="0"/>
        <w:spacing w:before="0" w:after="0"/>
        <w:jc w:val="left"/>
        <w:rPr>
          <w:shd w:fill="FFFFFF" w:val="clear"/>
        </w:rPr>
      </w:pPr>
      <w:r>
        <w:rPr>
          <w:shd w:fill="FFFFFF" w:val="clear"/>
        </w:rPr>
        <w:t> </w:t>
      </w:r>
    </w:p>
    <w:p>
      <w:pPr>
        <w:pStyle w:val="TextBody"/>
        <w:bidi w:val="0"/>
        <w:spacing w:before="0" w:after="0"/>
        <w:jc w:val="center"/>
        <w:rPr>
          <w:shd w:fill="FFFFFF" w:val="clear"/>
        </w:rPr>
      </w:pPr>
      <w:r>
        <w:rPr>
          <w:shd w:fill="FFFFFF" w:val="clear"/>
        </w:rPr>
        <w:drawing>
          <wp:inline distT="0" distB="0" distL="0" distR="0">
            <wp:extent cx="7810500" cy="3124200"/>
            <wp:effectExtent l="0" t="0" r="0" b="0"/>
            <wp:docPr id="350"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164" descr=""/>
                    <pic:cNvPicPr>
                      <a:picLocks noChangeAspect="1" noChangeArrowheads="1"/>
                    </pic:cNvPicPr>
                  </pic:nvPicPr>
                  <pic:blipFill>
                    <a:blip r:embed="rId177"/>
                    <a:stretch>
                      <a:fillRect/>
                    </a:stretch>
                  </pic:blipFill>
                  <pic:spPr bwMode="auto">
                    <a:xfrm>
                      <a:off x="0" y="0"/>
                      <a:ext cx="7810500" cy="3124200"/>
                    </a:xfrm>
                    <a:prstGeom prst="rect">
                      <a:avLst/>
                    </a:prstGeom>
                  </pic:spPr>
                </pic:pic>
              </a:graphicData>
            </a:graphic>
          </wp:inline>
        </w:drawing>
      </w:r>
      <w:r>
        <w:rPr>
          <w:shd w:fill="FFFFFF" w:val="clear"/>
        </w:rPr>
        <w:t xml:space="preserve"> </w:t>
      </w:r>
    </w:p>
    <w:p>
      <w:pPr>
        <w:pStyle w:val="TextBody"/>
        <w:bidi w:val="0"/>
        <w:spacing w:before="240" w:after="0"/>
        <w:jc w:val="left"/>
        <w:rPr>
          <w:rFonts w:ascii="arial" w:hAnsi="arial"/>
          <w:b/>
          <w:color w:val="0171B9"/>
          <w:spacing w:val="0"/>
          <w:sz w:val="22"/>
          <w:shd w:fill="FFFFFF" w:val="clear"/>
        </w:rPr>
      </w:pPr>
      <w:r>
        <w:rPr>
          <w:rFonts w:ascii="arial" w:hAnsi="arial"/>
          <w:b/>
          <w:color w:val="0171B9"/>
          <w:spacing w:val="0"/>
          <w:sz w:val="22"/>
          <w:shd w:fill="FFFFFF" w:val="clear"/>
        </w:rPr>
        <w:t xml:space="preserve">2023 Performance Measures </w:t>
      </w:r>
    </w:p>
    <w:p>
      <w:pPr>
        <w:pStyle w:val="TextBody"/>
        <w:bidi w:val="0"/>
        <w:spacing w:before="240" w:after="0"/>
        <w:jc w:val="both"/>
        <w:rPr>
          <w:rFonts w:ascii="arial" w:hAnsi="arial"/>
          <w:sz w:val="19"/>
          <w:shd w:fill="FFFFFF" w:val="clear"/>
        </w:rPr>
      </w:pPr>
      <w:r>
        <w:rPr>
          <w:rFonts w:ascii="arial" w:hAnsi="arial"/>
          <w:sz w:val="19"/>
          <w:shd w:fill="FFFFFF" w:val="clear"/>
        </w:rPr>
        <w:t xml:space="preserve">Pursuant to Item 402(v) of Regulation S-K, the Compensation Committee identified the following financial and non-financial performance measures used in our long-term and annual incentive programs as representing the most important performance measures used to link “compensation actually paid” in 2023 to the Company’s performance. </w:t>
      </w:r>
    </w:p>
    <w:p>
      <w:pPr>
        <w:pStyle w:val="TextBody"/>
        <w:bidi w:val="0"/>
        <w:spacing w:before="0" w:after="0"/>
        <w:jc w:val="left"/>
        <w:rPr>
          <w:shd w:fill="FFFFFF" w:val="clear"/>
        </w:rPr>
      </w:pPr>
      <w:r>
        <w:rPr>
          <w:shd w:fill="FFFFFF" w:val="clear"/>
        </w:rPr>
        <w:t> </w:t>
      </w:r>
    </w:p>
    <w:tbl>
      <w:tblPr>
        <w:tblW w:w="9775" w:type="dxa"/>
        <w:jc w:val="left"/>
        <w:tblInd w:w="0" w:type="dxa"/>
        <w:tblLayout w:type="fixed"/>
        <w:tblCellMar>
          <w:top w:w="0" w:type="dxa"/>
          <w:left w:w="0" w:type="dxa"/>
          <w:bottom w:w="0" w:type="dxa"/>
          <w:right w:w="0" w:type="dxa"/>
        </w:tblCellMar>
      </w:tblPr>
      <w:tblGrid>
        <w:gridCol w:w="5540"/>
        <w:gridCol w:w="120"/>
        <w:gridCol w:w="4115"/>
      </w:tblGrid>
      <w:tr>
        <w:trPr/>
        <w:tc>
          <w:tcPr>
            <w:tcW w:w="55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15" w:type="dxa"/>
            <w:tcBorders/>
            <w:vAlign w:val="center"/>
          </w:tcPr>
          <w:p>
            <w:pPr>
              <w:pStyle w:val="TableContents"/>
              <w:bidi w:val="0"/>
              <w:spacing w:before="0" w:after="283"/>
              <w:jc w:val="left"/>
              <w:rPr>
                <w:sz w:val="4"/>
                <w:szCs w:val="4"/>
              </w:rPr>
            </w:pPr>
            <w:r>
              <w:rPr>
                <w:sz w:val="4"/>
                <w:szCs w:val="4"/>
              </w:rPr>
            </w:r>
          </w:p>
        </w:tc>
      </w:tr>
      <w:tr>
        <w:trPr/>
        <w:tc>
          <w:tcPr>
            <w:tcW w:w="5540" w:type="dxa"/>
            <w:tcBorders>
              <w:top w:val="single" w:sz="6" w:space="0" w:color="0171B9"/>
              <w:left w:val="single" w:sz="6" w:space="0" w:color="0171B9"/>
              <w:bottom w:val="single" w:sz="6" w:space="0" w:color="0171B9"/>
            </w:tcBorders>
            <w:shd w:fill="CCE2F1" w:val="clear"/>
            <w:tcMar>
              <w:top w:w="28" w:type="dxa"/>
              <w:left w:w="160" w:type="dxa"/>
              <w:bottom w:w="28" w:type="dxa"/>
            </w:tcMar>
            <w:vAlign w:val="center"/>
          </w:tcPr>
          <w:p>
            <w:pPr>
              <w:pStyle w:val="TableContents"/>
              <w:bidi w:val="0"/>
              <w:spacing w:before="0" w:after="0"/>
              <w:jc w:val="both"/>
              <w:rPr>
                <w:color w:val="0171B9"/>
              </w:rPr>
            </w:pPr>
            <w:r>
              <w:rPr>
                <w:color w:val="0171B9"/>
              </w:rPr>
              <w:t>•</w:t>
            </w:r>
          </w:p>
          <w:p>
            <w:pPr>
              <w:pStyle w:val="TableContents"/>
              <w:bidi w:val="0"/>
              <w:spacing w:before="0" w:after="0"/>
              <w:jc w:val="both"/>
              <w:rPr/>
            </w:pPr>
            <w:r>
              <w:rPr/>
              <w:t>   </w:t>
            </w:r>
            <w:r>
              <w:rPr>
                <w:rFonts w:ascii="arial" w:hAnsi="arial"/>
                <w:sz w:val="19"/>
              </w:rPr>
              <w:t>Non-GAAP earnings per share (EPS)</w:t>
            </w:r>
          </w:p>
          <w:p>
            <w:pPr>
              <w:pStyle w:val="TableContents"/>
              <w:bidi w:val="0"/>
              <w:spacing w:before="0" w:after="0"/>
              <w:jc w:val="both"/>
              <w:rPr>
                <w:color w:val="0171B9"/>
              </w:rPr>
            </w:pPr>
            <w:r>
              <w:rPr>
                <w:color w:val="0171B9"/>
              </w:rPr>
              <w:t>•</w:t>
            </w:r>
          </w:p>
          <w:p>
            <w:pPr>
              <w:pStyle w:val="TableContents"/>
              <w:bidi w:val="0"/>
              <w:spacing w:before="0" w:after="0"/>
              <w:jc w:val="both"/>
              <w:rPr/>
            </w:pPr>
            <w:r>
              <w:rPr/>
              <w:t>   </w:t>
            </w:r>
            <w:r>
              <w:rPr>
                <w:rFonts w:ascii="arial" w:hAnsi="arial"/>
                <w:sz w:val="19"/>
              </w:rPr>
              <w:t>Non-GAAP return on invested capital (ROIC)</w:t>
            </w:r>
          </w:p>
          <w:p>
            <w:pPr>
              <w:pStyle w:val="TableContents"/>
              <w:bidi w:val="0"/>
              <w:spacing w:before="0" w:after="0"/>
              <w:jc w:val="both"/>
              <w:rPr>
                <w:color w:val="0171B9"/>
              </w:rPr>
            </w:pPr>
            <w:r>
              <w:rPr>
                <w:color w:val="0171B9"/>
              </w:rPr>
              <w:t>•</w:t>
            </w:r>
          </w:p>
          <w:p>
            <w:pPr>
              <w:pStyle w:val="TableContents"/>
              <w:bidi w:val="0"/>
              <w:spacing w:before="0" w:after="0"/>
              <w:jc w:val="both"/>
              <w:rPr/>
            </w:pPr>
            <w:r>
              <w:rPr/>
              <w:t>   </w:t>
            </w:r>
            <w:r>
              <w:rPr>
                <w:rFonts w:ascii="arial" w:hAnsi="arial"/>
                <w:sz w:val="19"/>
              </w:rPr>
              <w:t>Total shareholder return (TSR) relative to that of the S&amp;P 500</w:t>
            </w:r>
          </w:p>
          <w:p>
            <w:pPr>
              <w:pStyle w:val="TableContents"/>
              <w:bidi w:val="0"/>
              <w:spacing w:before="0" w:after="20"/>
              <w:jc w:val="both"/>
              <w:rPr>
                <w:color w:val="0171B9"/>
              </w:rPr>
            </w:pPr>
            <w:r>
              <w:rPr>
                <w:color w:val="0171B9"/>
              </w:rPr>
              <w:t>•</w:t>
            </w:r>
          </w:p>
          <w:p>
            <w:pPr>
              <w:pStyle w:val="TableContents"/>
              <w:bidi w:val="0"/>
              <w:spacing w:before="0" w:after="20"/>
              <w:jc w:val="both"/>
              <w:rPr/>
            </w:pPr>
            <w:r>
              <w:rPr/>
              <w:t>   </w:t>
            </w:r>
            <w:r>
              <w:rPr>
                <w:rFonts w:ascii="arial" w:hAnsi="arial"/>
                <w:sz w:val="19"/>
              </w:rPr>
              <w:t>Revenues</w:t>
            </w:r>
          </w:p>
        </w:tc>
        <w:tc>
          <w:tcPr>
            <w:tcW w:w="120" w:type="dxa"/>
            <w:tcBorders>
              <w:top w:val="single" w:sz="6" w:space="0" w:color="0171B9"/>
              <w:bottom w:val="single" w:sz="6" w:space="0" w:color="0171B9"/>
            </w:tcBorders>
            <w:shd w:fill="CCE2F1" w:val="clear"/>
            <w:tcMar>
              <w:top w:w="28" w:type="dxa"/>
              <w:bottom w:w="28" w:type="dxa"/>
            </w:tcMar>
            <w:vAlign w:val="center"/>
          </w:tcPr>
          <w:p>
            <w:pPr>
              <w:pStyle w:val="TableContents"/>
              <w:bidi w:val="0"/>
              <w:spacing w:before="0" w:after="283"/>
              <w:jc w:val="left"/>
              <w:rPr/>
            </w:pPr>
            <w:r>
              <w:rPr/>
              <w:t>  </w:t>
            </w:r>
          </w:p>
        </w:tc>
        <w:tc>
          <w:tcPr>
            <w:tcW w:w="4115" w:type="dxa"/>
            <w:tcBorders>
              <w:top w:val="single" w:sz="6" w:space="0" w:color="0171B9"/>
              <w:bottom w:val="single" w:sz="6" w:space="0" w:color="0171B9"/>
              <w:right w:val="single" w:sz="6" w:space="0" w:color="0171B9"/>
            </w:tcBorders>
            <w:shd w:fill="CCE2F1" w:val="clear"/>
            <w:tcMar>
              <w:top w:w="28" w:type="dxa"/>
              <w:bottom w:w="28" w:type="dxa"/>
              <w:right w:w="40" w:type="dxa"/>
            </w:tcMar>
            <w:vAlign w:val="center"/>
          </w:tcPr>
          <w:p>
            <w:pPr>
              <w:pStyle w:val="TableContents"/>
              <w:bidi w:val="0"/>
              <w:spacing w:before="0" w:after="0"/>
              <w:jc w:val="both"/>
              <w:rPr>
                <w:color w:val="0171B9"/>
              </w:rPr>
            </w:pPr>
            <w:r>
              <w:rPr>
                <w:color w:val="0171B9"/>
              </w:rPr>
              <w:t>•</w:t>
            </w:r>
          </w:p>
          <w:p>
            <w:pPr>
              <w:pStyle w:val="TableContents"/>
              <w:bidi w:val="0"/>
              <w:spacing w:before="0" w:after="0"/>
              <w:jc w:val="both"/>
              <w:rPr/>
            </w:pPr>
            <w:r>
              <w:rPr/>
              <w:t>   </w:t>
            </w:r>
            <w:r>
              <w:rPr>
                <w:rFonts w:ascii="arial" w:hAnsi="arial"/>
                <w:sz w:val="19"/>
              </w:rPr>
              <w:t>Non-GAAP net income</w:t>
            </w:r>
          </w:p>
          <w:p>
            <w:pPr>
              <w:pStyle w:val="TableContents"/>
              <w:bidi w:val="0"/>
              <w:spacing w:before="0" w:after="0"/>
              <w:jc w:val="both"/>
              <w:rPr>
                <w:color w:val="0171B9"/>
              </w:rPr>
            </w:pPr>
            <w:r>
              <w:rPr>
                <w:color w:val="0171B9"/>
              </w:rPr>
              <w:t>•</w:t>
            </w:r>
          </w:p>
          <w:p>
            <w:pPr>
              <w:pStyle w:val="TableContents"/>
              <w:bidi w:val="0"/>
              <w:spacing w:before="0" w:after="0"/>
              <w:jc w:val="both"/>
              <w:rPr/>
            </w:pPr>
            <w:r>
              <w:rPr/>
              <w:t>   </w:t>
            </w:r>
            <w:r>
              <w:rPr>
                <w:rFonts w:ascii="arial" w:hAnsi="arial"/>
                <w:sz w:val="19"/>
              </w:rPr>
              <w:t>Pipeline, clinical study, and regulatory goals</w:t>
            </w:r>
          </w:p>
          <w:p>
            <w:pPr>
              <w:pStyle w:val="TableContents"/>
              <w:bidi w:val="0"/>
              <w:spacing w:before="0" w:after="20"/>
              <w:jc w:val="both"/>
              <w:rPr>
                <w:color w:val="0171B9"/>
              </w:rPr>
            </w:pPr>
            <w:r>
              <w:rPr>
                <w:color w:val="0171B9"/>
              </w:rPr>
              <w:t>•</w:t>
            </w:r>
          </w:p>
          <w:p>
            <w:pPr>
              <w:pStyle w:val="TableContents"/>
              <w:bidi w:val="0"/>
              <w:spacing w:before="0" w:after="20"/>
              <w:jc w:val="both"/>
              <w:rPr/>
            </w:pPr>
            <w:r>
              <w:rPr/>
              <w:t>   </w:t>
            </w:r>
            <w:r>
              <w:rPr>
                <w:rFonts w:ascii="arial" w:hAnsi="arial"/>
                <w:sz w:val="19"/>
              </w:rPr>
              <w:t>Environmental, social, and governance goals</w:t>
            </w:r>
          </w:p>
        </w:tc>
      </w:tr>
    </w:tbl>
    <w:p>
      <w:pPr>
        <w:pStyle w:val="TextBody"/>
        <w:bidi w:val="0"/>
        <w:spacing w:before="240" w:after="0"/>
        <w:jc w:val="both"/>
        <w:rPr>
          <w:rFonts w:ascii="arial" w:hAnsi="arial"/>
          <w:sz w:val="19"/>
          <w:shd w:fill="FFFFFF" w:val="clear"/>
        </w:rPr>
      </w:pPr>
      <w:r>
        <w:rPr>
          <w:rFonts w:ascii="arial" w:hAnsi="arial"/>
          <w:sz w:val="19"/>
          <w:shd w:fill="FFFFFF" w:val="clear"/>
        </w:rPr>
        <w:t xml:space="preserve">For a description of these measures and their application to our compensation programs for 2023, please see our Compensation Discussion and Analysis. </w:t>
      </w:r>
    </w:p>
    <w:p>
      <w:pPr>
        <w:pStyle w:val="TextBody"/>
        <w:bidi w:val="0"/>
        <w:spacing w:before="0" w:after="0"/>
        <w:jc w:val="left"/>
        <w:rPr>
          <w:shd w:fill="FFFFFF" w:val="clear"/>
        </w:rPr>
      </w:pPr>
      <w:r>
        <w:rPr>
          <w:shd w:fill="FFFFFF" w:val="clear"/>
        </w:rPr>
        <w:t> </w:t>
      </w:r>
    </w:p>
    <w:p>
      <w:pPr>
        <w:pStyle w:val="TextBody"/>
        <w:bidi w:val="0"/>
        <w:spacing w:before="0" w:after="0"/>
        <w:jc w:val="right"/>
        <w:rPr>
          <w:spacing w:val="0"/>
          <w:shd w:fill="FFFFFF" w:val="clear"/>
        </w:rPr>
      </w:pPr>
      <w:r>
        <w:rPr>
          <w:spacing w:val="0"/>
          <w:shd w:fill="FFFFFF" w:val="clear"/>
        </w:rPr>
        <w:drawing>
          <wp:inline distT="0" distB="0" distL="0" distR="0">
            <wp:extent cx="64770" cy="15240"/>
            <wp:effectExtent l="0" t="0" r="0" b="0"/>
            <wp:docPr id="351"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165" descr=""/>
                    <pic:cNvPicPr>
                      <a:picLocks noChangeAspect="1" noChangeArrowheads="1"/>
                    </pic:cNvPicPr>
                  </pic:nvPicPr>
                  <pic:blipFill>
                    <a:blip r:embed="rId178"/>
                    <a:stretch>
                      <a:fillRect/>
                    </a:stretch>
                  </pic:blipFill>
                  <pic:spPr bwMode="auto">
                    <a:xfrm>
                      <a:off x="0" y="0"/>
                      <a:ext cx="64770" cy="15240"/>
                    </a:xfrm>
                    <a:prstGeom prst="rect">
                      <a:avLst/>
                    </a:prstGeom>
                  </pic:spPr>
                </pic:pic>
              </a:graphicData>
            </a:graphic>
          </wp:inline>
        </w:drawing>
      </w:r>
      <w:r>
        <w:rPr>
          <w:spacing w:val="0"/>
          <w:shd w:fill="FFFFFF" w:val="clear"/>
        </w:rPr>
        <w:t xml:space="preserve"> </w:t>
      </w:r>
    </w:p>
    <w:p>
      <w:pPr>
        <w:pStyle w:val="TextBody"/>
        <w:bidi w:val="0"/>
        <w:spacing w:before="0" w:after="0"/>
        <w:jc w:val="right"/>
        <w:rPr>
          <w:caps w:val="false"/>
          <w:smallCaps w:val="false"/>
          <w:color w:val="474747"/>
          <w:spacing w:val="0"/>
          <w:shd w:fill="FFFFFF" w:val="clear"/>
        </w:rPr>
      </w:pPr>
      <w:r>
        <w:rPr>
          <w:caps w:val="false"/>
          <w:smallCaps w:val="false"/>
          <w:color w:val="474747"/>
          <w:spacing w:val="0"/>
          <w:shd w:fill="FFFFFF" w:val="clear"/>
        </w:rPr>
        <w:t> </w:t>
      </w:r>
    </w:p>
    <w:p>
      <w:pPr>
        <w:pStyle w:val="TextBody"/>
        <w:bidi w:val="0"/>
        <w:spacing w:before="0" w:after="0"/>
        <w:jc w:val="right"/>
        <w:rPr>
          <w:rFonts w:ascii="SYMBOL" w:hAnsi="SYMBOL"/>
          <w:color w:val="666666"/>
          <w:spacing w:val="0"/>
          <w:sz w:val="28"/>
          <w:shd w:fill="FFFFFF" w:val="clear"/>
        </w:rPr>
      </w:pPr>
      <w:r>
        <w:rPr>
          <w:rFonts w:ascii="SYMBOL" w:hAnsi="SYMBOL"/>
          <w:color w:val="666666"/>
          <w:spacing w:val="0"/>
          <w:sz w:val="28"/>
          <w:shd w:fill="FFFFFF" w:val="clear"/>
        </w:rPr>
        <w:t>ï</w:t>
      </w:r>
    </w:p>
    <w:p>
      <w:pPr>
        <w:pStyle w:val="TextBody"/>
        <w:bidi w:val="0"/>
        <w:spacing w:before="0" w:after="0"/>
        <w:jc w:val="right"/>
        <w:rPr>
          <w:caps w:val="false"/>
          <w:smallCaps w:val="false"/>
          <w:color w:val="474747"/>
          <w:spacing w:val="0"/>
          <w:shd w:fill="FFFFFF" w:val="clear"/>
        </w:rPr>
      </w:pPr>
      <w:r>
        <w:rPr>
          <w:caps w:val="false"/>
          <w:smallCaps w:val="false"/>
          <w:color w:val="474747"/>
          <w:spacing w:val="0"/>
          <w:shd w:fill="FFFFFF" w:val="clear"/>
        </w:rPr>
        <w:t> </w:t>
      </w:r>
      <w:r>
        <w:rPr>
          <w:rFonts w:ascii="arial" w:hAnsi="arial"/>
          <w:i/>
          <w:caps w:val="false"/>
          <w:smallCaps w:val="false"/>
          <w:color w:val="474747"/>
          <w:spacing w:val="0"/>
          <w:sz w:val="22"/>
          <w:shd w:fill="FFFFFF" w:val="clear"/>
        </w:rPr>
        <w:t>2024 Proxy Statement</w:t>
      </w:r>
    </w:p>
    <w:p>
      <w:pPr>
        <w:pStyle w:val="TextBody"/>
        <w:bidi w:val="0"/>
        <w:spacing w:before="0" w:after="0"/>
        <w:jc w:val="right"/>
        <w:rPr>
          <w:spacing w:val="0"/>
          <w:shd w:fill="FFFFFF" w:val="clear"/>
        </w:rPr>
      </w:pPr>
      <w:r>
        <w:rPr>
          <w:spacing w:val="0"/>
          <w:shd w:fill="FFFFFF" w:val="clear"/>
        </w:rPr>
        <w:t> </w:t>
      </w:r>
    </w:p>
    <w:p>
      <w:pPr>
        <w:pStyle w:val="TextBody"/>
        <w:bidi w:val="0"/>
        <w:spacing w:before="0" w:after="0"/>
        <w:jc w:val="right"/>
        <w:rPr>
          <w:rFonts w:ascii="arial" w:hAnsi="arial"/>
          <w:b/>
          <w:color w:val="474747"/>
          <w:spacing w:val="0"/>
          <w:sz w:val="22"/>
          <w:shd w:fill="FFFFFF" w:val="clear"/>
        </w:rPr>
      </w:pPr>
      <w:r>
        <w:rPr>
          <w:rFonts w:ascii="arial" w:hAnsi="arial"/>
          <w:b/>
          <w:color w:val="474747"/>
          <w:spacing w:val="0"/>
          <w:sz w:val="22"/>
          <w:shd w:fill="FFFFFF" w:val="clear"/>
        </w:rPr>
        <w:t>101</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tbl>
      <w:tblPr>
        <w:tblW w:w="333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285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spacing w:val="0"/>
              </w:rPr>
            </w:pPr>
            <w:r>
              <w:rPr>
                <w:color w:val="FFFFFF"/>
                <w:spacing w:val="0"/>
              </w:rPr>
              <w:t> </w:t>
            </w:r>
          </w:p>
          <w:p>
            <w:pPr>
              <w:pStyle w:val="TableContents"/>
              <w:bidi w:val="0"/>
              <w:spacing w:before="0" w:after="20"/>
              <w:jc w:val="left"/>
              <w:rPr/>
            </w:pPr>
            <w:r>
              <w:rPr/>
              <w:t> </w:t>
            </w:r>
          </w:p>
        </w:tc>
        <w:tc>
          <w:tcPr>
            <w:tcW w:w="285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pacing w:val="0"/>
                <w:sz w:val="24"/>
              </w:rPr>
            </w:pPr>
            <w:r>
              <w:rPr>
                <w:rFonts w:ascii="arial" w:hAnsi="arial"/>
                <w:b/>
                <w:color w:val="FFFFFF"/>
                <w:spacing w:val="0"/>
                <w:sz w:val="24"/>
              </w:rPr>
              <w:t>Pay Versus Performance</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spacing w:val="0"/>
              </w:rPr>
            </w:pPr>
            <w:r>
              <w:rPr>
                <w:color w:val="FFFFFF"/>
                <w:spacing w:val="0"/>
              </w:rPr>
              <w:t> </w:t>
            </w:r>
          </w:p>
          <w:p>
            <w:pPr>
              <w:pStyle w:val="TableContents"/>
              <w:bidi w:val="0"/>
              <w:spacing w:before="0" w:after="20"/>
              <w:jc w:val="left"/>
              <w:rPr/>
            </w:pPr>
            <w:r>
              <w:rPr/>
              <w:t> </w:t>
            </w:r>
          </w:p>
        </w:tc>
      </w:tr>
    </w:tbl>
    <w:p>
      <w:pPr>
        <w:pStyle w:val="TextBody"/>
        <w:bidi w:val="0"/>
        <w:spacing w:before="0" w:after="0"/>
        <w:jc w:val="left"/>
        <w:rPr>
          <w:shd w:fill="FFFFFF" w:val="clear"/>
        </w:rPr>
      </w:pPr>
      <w:r>
        <w:rPr>
          <w:shd w:fill="FFFFFF" w:val="clear"/>
        </w:rPr>
        <w:t>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arial" w:hAnsi="arial"/>
          <w:b/>
          <w:color w:val="0171B9"/>
          <w:spacing w:val="0"/>
          <w:sz w:val="22"/>
          <w:shd w:fill="FFFFFF" w:val="clear"/>
        </w:rPr>
      </w:pPr>
      <w:r>
        <w:rPr>
          <w:rFonts w:ascii="arial" w:hAnsi="arial"/>
          <w:b/>
          <w:color w:val="0171B9"/>
          <w:spacing w:val="0"/>
          <w:sz w:val="22"/>
          <w:shd w:fill="FFFFFF" w:val="clear"/>
        </w:rPr>
        <w:t>Compensation Actually Paid and Performance Measures</w:t>
      </w:r>
    </w:p>
    <w:p>
      <w:pPr>
        <w:pStyle w:val="TextBody"/>
        <w:bidi w:val="0"/>
        <w:spacing w:before="120" w:after="0"/>
        <w:jc w:val="both"/>
        <w:rPr>
          <w:rFonts w:ascii="arial" w:hAnsi="arial"/>
          <w:sz w:val="19"/>
          <w:shd w:fill="FFFFFF" w:val="clear"/>
        </w:rPr>
      </w:pPr>
      <w:r>
        <w:rPr>
          <w:rFonts w:ascii="arial" w:hAnsi="arial"/>
          <w:sz w:val="19"/>
          <w:shd w:fill="FFFFFF" w:val="clear"/>
        </w:rPr>
        <w:t xml:space="preserve">The following charts depict, as required by Item 402(v), the “compensation actually paid” for our CEO and the other NEOs versus: (1) our </w:t>
      </w:r>
    </w:p>
    <w:p>
      <w:pPr>
        <w:pStyle w:val="TextBody"/>
        <w:bidi w:val="0"/>
        <w:spacing w:before="120" w:after="0"/>
        <w:jc w:val="both"/>
        <w:rPr>
          <w:rFonts w:ascii="arial" w:hAnsi="arial"/>
          <w:sz w:val="19"/>
          <w:shd w:fill="FFFFFF" w:val="clear"/>
        </w:rPr>
      </w:pPr>
      <w:r>
        <w:rPr>
          <w:rFonts w:ascii="arial" w:hAnsi="arial"/>
          <w:sz w:val="19"/>
          <w:shd w:fill="FFFFFF" w:val="clear"/>
        </w:rPr>
        <w:t xml:space="preserve">TSR </w:t>
      </w:r>
    </w:p>
    <w:p>
      <w:pPr>
        <w:pStyle w:val="TextBody"/>
        <w:bidi w:val="0"/>
        <w:spacing w:before="120" w:after="0"/>
        <w:jc w:val="both"/>
        <w:rPr>
          <w:rFonts w:ascii="arial" w:hAnsi="arial"/>
          <w:sz w:val="19"/>
          <w:shd w:fill="FFFFFF" w:val="clear"/>
        </w:rPr>
      </w:pPr>
      <w:r>
        <w:rPr>
          <w:rFonts w:ascii="arial" w:hAnsi="arial"/>
          <w:sz w:val="19"/>
          <w:shd w:fill="FFFFFF" w:val="clear"/>
        </w:rPr>
        <w:t>and that of our executive compensation peer group; (2) GAAP net income; and (3) non-GAAP EPS.</w:t>
      </w:r>
    </w:p>
    <w:p>
      <w:pPr>
        <w:pStyle w:val="TextBody"/>
        <w:bidi w:val="0"/>
        <w:spacing w:before="120" w:after="0"/>
        <w:jc w:val="both"/>
        <w:rPr>
          <w:rFonts w:ascii="arial" w:hAnsi="arial"/>
          <w:sz w:val="11"/>
          <w:shd w:fill="FFFFFF" w:val="clear"/>
        </w:rPr>
      </w:pPr>
      <w:r>
        <w:rPr>
          <w:rFonts w:ascii="arial" w:hAnsi="arial"/>
          <w:sz w:val="11"/>
          <w:shd w:fill="FFFFFF" w:val="clear"/>
        </w:rPr>
        <w:t>(1)</w:t>
      </w:r>
    </w:p>
    <w:p>
      <w:pPr>
        <w:pStyle w:val="TextBody"/>
        <w:bidi w:val="0"/>
        <w:spacing w:before="0" w:after="0"/>
        <w:jc w:val="left"/>
        <w:rPr>
          <w:shd w:fill="FFFFFF" w:val="clear"/>
        </w:rPr>
      </w:pPr>
      <w:r>
        <w:rPr>
          <w:shd w:fill="FFFFFF" w:val="clear"/>
        </w:rPr>
        <w:t> </w:t>
      </w:r>
    </w:p>
    <w:tbl>
      <w:tblPr>
        <w:tblW w:w="6760" w:type="dxa"/>
        <w:jc w:val="left"/>
        <w:tblInd w:w="0" w:type="dxa"/>
        <w:tblLayout w:type="fixed"/>
        <w:tblCellMar>
          <w:top w:w="0" w:type="dxa"/>
          <w:left w:w="0" w:type="dxa"/>
          <w:bottom w:w="0" w:type="dxa"/>
          <w:right w:w="0" w:type="dxa"/>
        </w:tblCellMar>
      </w:tblPr>
      <w:tblGrid>
        <w:gridCol w:w="305"/>
        <w:gridCol w:w="120"/>
        <w:gridCol w:w="6335"/>
      </w:tblGrid>
      <w:tr>
        <w:trPr/>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35" w:type="dxa"/>
            <w:tcBorders/>
            <w:vAlign w:val="center"/>
          </w:tcPr>
          <w:p>
            <w:pPr>
              <w:pStyle w:val="TableContents"/>
              <w:bidi w:val="0"/>
              <w:spacing w:before="0" w:after="283"/>
              <w:jc w:val="left"/>
              <w:rPr>
                <w:sz w:val="4"/>
                <w:szCs w:val="4"/>
              </w:rPr>
            </w:pPr>
            <w:r>
              <w:rPr>
                <w:sz w:val="4"/>
                <w:szCs w:val="4"/>
              </w:rPr>
            </w:r>
          </w:p>
        </w:tc>
      </w:tr>
      <w:tr>
        <w:trPr/>
        <w:tc>
          <w:tcPr>
            <w:tcW w:w="305" w:type="dxa"/>
            <w:tcBorders/>
            <w:vAlign w:val="center"/>
          </w:tcPr>
          <w:p>
            <w:pPr>
              <w:pStyle w:val="TableContents"/>
              <w:bidi w:val="0"/>
              <w:spacing w:before="0" w:after="0"/>
              <w:jc w:val="left"/>
              <w:rPr>
                <w:b/>
                <w:spacing w:val="0"/>
              </w:rPr>
            </w:pPr>
            <w:r>
              <w:rPr>
                <w:b/>
                <w:spacing w:val="0"/>
              </w:rPr>
              <w:t>(1)</w:t>
            </w:r>
          </w:p>
        </w:tc>
        <w:tc>
          <w:tcPr>
            <w:tcW w:w="120" w:type="dxa"/>
            <w:tcBorders/>
            <w:vAlign w:val="center"/>
          </w:tcPr>
          <w:p>
            <w:pPr>
              <w:pStyle w:val="TableContents"/>
              <w:bidi w:val="0"/>
              <w:spacing w:before="0" w:after="283"/>
              <w:jc w:val="left"/>
              <w:rPr/>
            </w:pPr>
            <w:r>
              <w:rPr/>
              <w:t>  </w:t>
            </w:r>
          </w:p>
        </w:tc>
        <w:tc>
          <w:tcPr>
            <w:tcW w:w="6335" w:type="dxa"/>
            <w:tcBorders/>
            <w:vAlign w:val="center"/>
          </w:tcPr>
          <w:p>
            <w:pPr>
              <w:pStyle w:val="TableContents"/>
              <w:bidi w:val="0"/>
              <w:spacing w:before="0" w:after="0"/>
              <w:jc w:val="left"/>
              <w:rPr>
                <w:rFonts w:ascii="arial" w:hAnsi="arial"/>
                <w:b/>
                <w:sz w:val="20"/>
              </w:rPr>
            </w:pPr>
            <w:r>
              <w:rPr>
                <w:rFonts w:ascii="arial" w:hAnsi="arial"/>
                <w:b/>
                <w:sz w:val="20"/>
              </w:rPr>
              <w:t>Compensation Actually Paid Compared to Total Shareholder Return</w:t>
            </w:r>
          </w:p>
          <w:p>
            <w:pPr>
              <w:pStyle w:val="TableContents"/>
              <w:bidi w:val="0"/>
              <w:spacing w:before="0" w:after="20"/>
              <w:jc w:val="left"/>
              <w:rPr/>
            </w:pPr>
            <w:r>
              <w:rPr/>
              <w:t> </w:t>
            </w:r>
          </w:p>
        </w:tc>
      </w:tr>
      <w:tr>
        <w:trPr/>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35" w:type="dxa"/>
            <w:tcBorders/>
            <w:vAlign w:val="center"/>
          </w:tcPr>
          <w:p>
            <w:pPr>
              <w:pStyle w:val="TableContents"/>
              <w:bidi w:val="0"/>
              <w:spacing w:before="0" w:after="283"/>
              <w:jc w:val="left"/>
              <w:rPr/>
            </w:pPr>
            <w:r>
              <w:rPr/>
              <w:drawing>
                <wp:inline distT="0" distB="0" distL="0" distR="0">
                  <wp:extent cx="3695700" cy="2076450"/>
                  <wp:effectExtent l="0" t="0" r="0" b="0"/>
                  <wp:docPr id="352"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166" descr=""/>
                          <pic:cNvPicPr>
                            <a:picLocks noChangeAspect="1" noChangeArrowheads="1"/>
                          </pic:cNvPicPr>
                        </pic:nvPicPr>
                        <pic:blipFill>
                          <a:blip r:embed="rId179"/>
                          <a:stretch>
                            <a:fillRect/>
                          </a:stretch>
                        </pic:blipFill>
                        <pic:spPr bwMode="auto">
                          <a:xfrm>
                            <a:off x="0" y="0"/>
                            <a:ext cx="3695700" cy="2076450"/>
                          </a:xfrm>
                          <a:prstGeom prst="rect">
                            <a:avLst/>
                          </a:prstGeom>
                        </pic:spPr>
                      </pic:pic>
                    </a:graphicData>
                  </a:graphic>
                </wp:inline>
              </w:drawing>
            </w:r>
          </w:p>
        </w:tc>
      </w:tr>
    </w:tbl>
    <w:tbl>
      <w:tblPr>
        <w:tblW w:w="6215" w:type="dxa"/>
        <w:jc w:val="left"/>
        <w:tblInd w:w="0" w:type="dxa"/>
        <w:tblLayout w:type="fixed"/>
        <w:tblCellMar>
          <w:top w:w="0" w:type="dxa"/>
          <w:left w:w="0" w:type="dxa"/>
          <w:bottom w:w="0" w:type="dxa"/>
          <w:right w:w="0" w:type="dxa"/>
        </w:tblCellMar>
      </w:tblPr>
      <w:tblGrid>
        <w:gridCol w:w="260"/>
        <w:gridCol w:w="120"/>
        <w:gridCol w:w="5835"/>
      </w:tblGrid>
      <w:tr>
        <w:trPr/>
        <w:tc>
          <w:tcPr>
            <w:tcW w:w="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835" w:type="dxa"/>
            <w:tcBorders/>
            <w:vAlign w:val="center"/>
          </w:tcPr>
          <w:p>
            <w:pPr>
              <w:pStyle w:val="TableContents"/>
              <w:bidi w:val="0"/>
              <w:spacing w:before="0" w:after="283"/>
              <w:jc w:val="left"/>
              <w:rPr>
                <w:sz w:val="4"/>
                <w:szCs w:val="4"/>
              </w:rPr>
            </w:pPr>
            <w:r>
              <w:rPr>
                <w:sz w:val="4"/>
                <w:szCs w:val="4"/>
              </w:rPr>
            </w:r>
          </w:p>
        </w:tc>
      </w:tr>
      <w:tr>
        <w:trPr/>
        <w:tc>
          <w:tcPr>
            <w:tcW w:w="2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sz w:val="20"/>
              </w:rPr>
            </w:pPr>
            <w:r>
              <w:rPr>
                <w:rFonts w:ascii="arial" w:hAnsi="arial"/>
                <w:b/>
                <w:sz w:val="20"/>
              </w:rPr>
              <w:t>(2)</w:t>
            </w:r>
          </w:p>
        </w:tc>
        <w:tc>
          <w:tcPr>
            <w:tcW w:w="120" w:type="dxa"/>
            <w:tcBorders/>
            <w:vAlign w:val="center"/>
          </w:tcPr>
          <w:p>
            <w:pPr>
              <w:pStyle w:val="TableContents"/>
              <w:bidi w:val="0"/>
              <w:spacing w:before="0" w:after="283"/>
              <w:jc w:val="left"/>
              <w:rPr/>
            </w:pPr>
            <w:r>
              <w:rPr/>
              <w:t>  </w:t>
            </w:r>
          </w:p>
        </w:tc>
        <w:tc>
          <w:tcPr>
            <w:tcW w:w="5835"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Compensation Actually Paid Compared to Net Income</w:t>
            </w:r>
          </w:p>
          <w:p>
            <w:pPr>
              <w:pStyle w:val="TableContents"/>
              <w:bidi w:val="0"/>
              <w:spacing w:before="0" w:after="20"/>
              <w:jc w:val="left"/>
              <w:rPr/>
            </w:pPr>
            <w:r>
              <w:rPr/>
              <w:t> </w:t>
            </w:r>
          </w:p>
        </w:tc>
      </w:tr>
      <w:tr>
        <w:trPr/>
        <w:tc>
          <w:tcPr>
            <w:tcW w:w="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835" w:type="dxa"/>
            <w:tcBorders/>
            <w:vAlign w:val="center"/>
          </w:tcPr>
          <w:p>
            <w:pPr>
              <w:pStyle w:val="TableContents"/>
              <w:bidi w:val="0"/>
              <w:spacing w:before="0" w:after="283"/>
              <w:jc w:val="left"/>
              <w:rPr/>
            </w:pPr>
            <w:r>
              <w:rPr/>
              <w:drawing>
                <wp:inline distT="0" distB="0" distL="0" distR="0">
                  <wp:extent cx="3695700" cy="2076450"/>
                  <wp:effectExtent l="0" t="0" r="0" b="0"/>
                  <wp:docPr id="353"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167" descr=""/>
                          <pic:cNvPicPr>
                            <a:picLocks noChangeAspect="1" noChangeArrowheads="1"/>
                          </pic:cNvPicPr>
                        </pic:nvPicPr>
                        <pic:blipFill>
                          <a:blip r:embed="rId180"/>
                          <a:stretch>
                            <a:fillRect/>
                          </a:stretch>
                        </pic:blipFill>
                        <pic:spPr bwMode="auto">
                          <a:xfrm>
                            <a:off x="0" y="0"/>
                            <a:ext cx="3695700" cy="2076450"/>
                          </a:xfrm>
                          <a:prstGeom prst="rect">
                            <a:avLst/>
                          </a:prstGeom>
                        </pic:spPr>
                      </pic:pic>
                    </a:graphicData>
                  </a:graphic>
                </wp:inline>
              </w:drawing>
            </w:r>
          </w:p>
        </w:tc>
      </w:tr>
    </w:tbl>
    <w:tbl>
      <w:tblPr>
        <w:tblW w:w="6325" w:type="dxa"/>
        <w:jc w:val="left"/>
        <w:tblInd w:w="0" w:type="dxa"/>
        <w:tblLayout w:type="fixed"/>
        <w:tblCellMar>
          <w:top w:w="0" w:type="dxa"/>
          <w:left w:w="0" w:type="dxa"/>
          <w:bottom w:w="0" w:type="dxa"/>
          <w:right w:w="0" w:type="dxa"/>
        </w:tblCellMar>
      </w:tblPr>
      <w:tblGrid>
        <w:gridCol w:w="260"/>
        <w:gridCol w:w="120"/>
        <w:gridCol w:w="5945"/>
      </w:tblGrid>
      <w:tr>
        <w:trPr/>
        <w:tc>
          <w:tcPr>
            <w:tcW w:w="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945" w:type="dxa"/>
            <w:tcBorders/>
            <w:vAlign w:val="center"/>
          </w:tcPr>
          <w:p>
            <w:pPr>
              <w:pStyle w:val="TableContents"/>
              <w:bidi w:val="0"/>
              <w:spacing w:before="0" w:after="283"/>
              <w:jc w:val="left"/>
              <w:rPr>
                <w:sz w:val="4"/>
                <w:szCs w:val="4"/>
              </w:rPr>
            </w:pPr>
            <w:r>
              <w:rPr>
                <w:sz w:val="4"/>
                <w:szCs w:val="4"/>
              </w:rPr>
            </w:r>
          </w:p>
        </w:tc>
      </w:tr>
      <w:tr>
        <w:trPr/>
        <w:tc>
          <w:tcPr>
            <w:tcW w:w="260"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b/>
                <w:sz w:val="20"/>
              </w:rPr>
            </w:pPr>
            <w:r>
              <w:rPr>
                <w:rFonts w:ascii="arial" w:hAnsi="arial"/>
                <w:b/>
                <w:sz w:val="20"/>
              </w:rPr>
              <w:t>(3)</w:t>
            </w:r>
          </w:p>
        </w:tc>
        <w:tc>
          <w:tcPr>
            <w:tcW w:w="12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 xml:space="preserve">Compensation Actually Paid Compared to Non-GAAP Earnings </w:t>
            </w:r>
          </w:p>
          <w:p>
            <w:pPr>
              <w:pStyle w:val="TableContents"/>
              <w:bidi w:val="0"/>
              <w:spacing w:before="0" w:after="0"/>
              <w:jc w:val="left"/>
              <w:rPr>
                <w:rFonts w:ascii="arial" w:hAnsi="arial"/>
                <w:b/>
                <w:sz w:val="20"/>
              </w:rPr>
            </w:pPr>
            <w:r>
              <w:rPr>
                <w:rFonts w:ascii="arial" w:hAnsi="arial"/>
                <w:b/>
                <w:sz w:val="20"/>
              </w:rPr>
              <w:t xml:space="preserve">Per </w:t>
            </w:r>
          </w:p>
          <w:p>
            <w:pPr>
              <w:pStyle w:val="TableContents"/>
              <w:bidi w:val="0"/>
              <w:spacing w:before="0" w:after="0"/>
              <w:jc w:val="left"/>
              <w:rPr>
                <w:rFonts w:ascii="arial" w:hAnsi="arial"/>
                <w:b/>
                <w:sz w:val="20"/>
              </w:rPr>
            </w:pPr>
            <w:r>
              <w:rPr>
                <w:rFonts w:ascii="arial" w:hAnsi="arial"/>
                <w:b/>
                <w:sz w:val="20"/>
              </w:rPr>
              <w:t>Share</w:t>
            </w:r>
          </w:p>
          <w:p>
            <w:pPr>
              <w:pStyle w:val="TableContents"/>
              <w:bidi w:val="0"/>
              <w:spacing w:before="0" w:after="20"/>
              <w:jc w:val="left"/>
              <w:rPr/>
            </w:pPr>
            <w:r>
              <w:rPr/>
              <w:t> </w:t>
            </w:r>
          </w:p>
        </w:tc>
      </w:tr>
      <w:tr>
        <w:trPr/>
        <w:tc>
          <w:tcPr>
            <w:tcW w:w="2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283"/>
              <w:jc w:val="left"/>
              <w:rPr/>
            </w:pPr>
            <w:r>
              <w:rPr/>
              <w:drawing>
                <wp:inline distT="0" distB="0" distL="0" distR="0">
                  <wp:extent cx="3695700" cy="2076450"/>
                  <wp:effectExtent l="0" t="0" r="0" b="0"/>
                  <wp:docPr id="354"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168" descr=""/>
                          <pic:cNvPicPr>
                            <a:picLocks noChangeAspect="1" noChangeArrowheads="1"/>
                          </pic:cNvPicPr>
                        </pic:nvPicPr>
                        <pic:blipFill>
                          <a:blip r:embed="rId181"/>
                          <a:stretch>
                            <a:fillRect/>
                          </a:stretch>
                        </pic:blipFill>
                        <pic:spPr bwMode="auto">
                          <a:xfrm>
                            <a:off x="0" y="0"/>
                            <a:ext cx="3695700" cy="2076450"/>
                          </a:xfrm>
                          <a:prstGeom prst="rect">
                            <a:avLst/>
                          </a:prstGeom>
                        </pic:spPr>
                      </pic:pic>
                    </a:graphicData>
                  </a:graphic>
                </wp:inline>
              </w:drawing>
            </w:r>
          </w:p>
        </w:tc>
      </w:tr>
    </w:tbl>
    <w:p>
      <w:pPr>
        <w:pStyle w:val="TextBody"/>
        <w:bidi w:val="0"/>
        <w:spacing w:lineRule="atLeast" w:line="160" w:before="0" w:after="40"/>
        <w:jc w:val="left"/>
        <w:rPr>
          <w:bdr w:val="single" w:sz="2" w:space="1" w:color="000000"/>
          <w:shd w:fill="FFFFFF" w:val="clear"/>
        </w:rPr>
      </w:pPr>
      <w:r>
        <w:rPr>
          <w:bdr w:val="single" w:sz="2" w:space="1" w:color="000000"/>
          <w:shd w:fill="FFFFFF" w:val="clear"/>
        </w:rPr>
        <w:t> </w:t>
      </w:r>
    </w:p>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0"/>
              <w:jc w:val="left"/>
              <w:rPr>
                <w:sz w:val="11"/>
              </w:rPr>
            </w:pPr>
            <w:r>
              <w:rPr>
                <w:sz w:val="11"/>
              </w:rPr>
              <w:t>(1)</w:t>
            </w:r>
          </w:p>
          <w:p>
            <w:pPr>
              <w:pStyle w:val="TableContents"/>
              <w:bidi w:val="0"/>
              <w:spacing w:before="0" w:after="0"/>
              <w:jc w:val="left"/>
              <w:rPr/>
            </w:pPr>
            <w:r>
              <w:rPr/>
              <w:t> </w:t>
            </w:r>
          </w:p>
        </w:tc>
        <w:tc>
          <w:tcPr>
            <w:tcW w:w="10058" w:type="dxa"/>
            <w:tcBorders/>
            <w:vAlign w:val="center"/>
          </w:tcPr>
          <w:p>
            <w:pPr>
              <w:pStyle w:val="TableContents"/>
              <w:bidi w:val="0"/>
              <w:spacing w:before="0" w:after="0"/>
              <w:jc w:val="both"/>
              <w:rPr>
                <w:rFonts w:ascii="arial" w:hAnsi="arial"/>
                <w:sz w:val="19"/>
              </w:rPr>
            </w:pPr>
            <w:r>
              <w:rPr>
                <w:rFonts w:ascii="arial" w:hAnsi="arial"/>
                <w:sz w:val="19"/>
              </w:rPr>
              <w:t xml:space="preserve">Non-GAAP earnings per share for purposes of the Company selected measure is reported and reconciled in </w:t>
            </w:r>
          </w:p>
          <w:p>
            <w:pPr>
              <w:pStyle w:val="TableContents"/>
              <w:bidi w:val="0"/>
              <w:spacing w:before="0" w:after="0"/>
              <w:jc w:val="both"/>
              <w:rPr>
                <w:rFonts w:ascii="arial" w:hAnsi="arial"/>
                <w:b/>
                <w:spacing w:val="0"/>
                <w:sz w:val="19"/>
              </w:rPr>
            </w:pPr>
            <w:r>
              <w:rPr>
                <w:rFonts w:ascii="arial" w:hAnsi="arial"/>
                <w:b/>
                <w:spacing w:val="0"/>
                <w:sz w:val="19"/>
              </w:rPr>
              <w:t>Appendix B</w:t>
            </w:r>
          </w:p>
          <w:p>
            <w:pPr>
              <w:pStyle w:val="TableContents"/>
              <w:bidi w:val="0"/>
              <w:spacing w:before="0" w:after="0"/>
              <w:jc w:val="both"/>
              <w:rPr>
                <w:rFonts w:ascii="arial" w:hAnsi="arial"/>
                <w:sz w:val="19"/>
              </w:rPr>
            </w:pPr>
            <w:r>
              <w:rPr>
                <w:rFonts w:ascii="arial" w:hAnsi="arial"/>
                <w:sz w:val="19"/>
              </w:rPr>
              <w:t xml:space="preserve">. For 2020, non-GAAP earnings per share is reported and reconciled in Appendix B to our 2023 proxy statement filed with the SEC on April 6, 2023. </w:t>
            </w:r>
          </w:p>
        </w:tc>
      </w:tr>
    </w:tbl>
    <w:p>
      <w:pPr>
        <w:pStyle w:val="TextBody"/>
        <w:bidi w:val="0"/>
        <w:spacing w:before="0" w:after="0"/>
        <w:jc w:val="left"/>
        <w:rPr>
          <w:shd w:fill="FFFFFF" w:val="clear"/>
        </w:rPr>
      </w:pPr>
      <w:r>
        <w:rPr>
          <w:shd w:fill="FFFFFF" w:val="clear"/>
        </w:rPr>
        <w:t> </w:t>
      </w:r>
    </w:p>
    <w:p>
      <w:pPr>
        <w:pStyle w:val="TextBody"/>
        <w:bidi w:val="0"/>
        <w:spacing w:before="0" w:after="0"/>
        <w:jc w:val="left"/>
        <w:rPr>
          <w:rFonts w:ascii="arial" w:hAnsi="arial"/>
          <w:b/>
          <w:color w:val="474747"/>
          <w:spacing w:val="0"/>
          <w:sz w:val="22"/>
          <w:shd w:fill="FFFFFF" w:val="clear"/>
        </w:rPr>
      </w:pPr>
      <w:r>
        <w:rPr>
          <w:rFonts w:ascii="arial" w:hAnsi="arial"/>
          <w:b/>
          <w:color w:val="474747"/>
          <w:spacing w:val="0"/>
          <w:sz w:val="22"/>
          <w:shd w:fill="FFFFFF" w:val="clear"/>
        </w:rPr>
        <w:t xml:space="preserve">102  </w:t>
      </w:r>
      <w:r>
        <w:rPr>
          <w:rFonts w:ascii="arial" w:hAnsi="arial"/>
          <w:b/>
          <w:color w:val="474747"/>
          <w:spacing w:val="0"/>
          <w:sz w:val="22"/>
          <w:shd w:fill="FFFFFF" w:val="clear"/>
        </w:rPr>
        <w:drawing>
          <wp:inline distT="0" distB="0" distL="0" distR="0">
            <wp:extent cx="64770" cy="15240"/>
            <wp:effectExtent l="0" t="0" r="0" b="0"/>
            <wp:docPr id="355"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169" descr=""/>
                    <pic:cNvPicPr>
                      <a:picLocks noChangeAspect="1" noChangeArrowheads="1"/>
                    </pic:cNvPicPr>
                  </pic:nvPicPr>
                  <pic:blipFill>
                    <a:blip r:embed="rId182"/>
                    <a:stretch>
                      <a:fillRect/>
                    </a:stretch>
                  </pic:blipFill>
                  <pic:spPr bwMode="auto">
                    <a:xfrm>
                      <a:off x="0" y="0"/>
                      <a:ext cx="64770" cy="15240"/>
                    </a:xfrm>
                    <a:prstGeom prst="rect">
                      <a:avLst/>
                    </a:prstGeom>
                  </pic:spPr>
                </pic:pic>
              </a:graphicData>
            </a:graphic>
          </wp:inline>
        </w:drawing>
      </w:r>
      <w:r>
        <w:rPr>
          <w:rFonts w:ascii="arial" w:hAnsi="arial"/>
          <w:b/>
          <w:color w:val="474747"/>
          <w:spacing w:val="0"/>
          <w:sz w:val="22"/>
          <w:shd w:fill="FFFFFF" w:val="clear"/>
        </w:rPr>
        <w:t xml:space="preserve"> </w:t>
      </w:r>
    </w:p>
    <w:p>
      <w:pPr>
        <w:pStyle w:val="TextBody"/>
        <w:bidi w:val="0"/>
        <w:spacing w:before="0" w:after="0"/>
        <w:jc w:val="left"/>
        <w:rPr>
          <w:caps w:val="false"/>
          <w:smallCaps w:val="false"/>
          <w:color w:val="474747"/>
          <w:spacing w:val="0"/>
          <w:shd w:fill="FFFFFF" w:val="clear"/>
        </w:rPr>
      </w:pPr>
      <w:r>
        <w:rPr>
          <w:caps w:val="false"/>
          <w:smallCaps w:val="false"/>
          <w:color w:val="474747"/>
          <w:spacing w:val="0"/>
          <w:shd w:fill="FFFFFF" w:val="clear"/>
        </w:rPr>
        <w:t> </w:t>
      </w:r>
    </w:p>
    <w:p>
      <w:pPr>
        <w:pStyle w:val="TextBody"/>
        <w:bidi w:val="0"/>
        <w:spacing w:before="0" w:after="0"/>
        <w:jc w:val="left"/>
        <w:rPr>
          <w:rFonts w:ascii="SYMBOL" w:hAnsi="SYMBOL"/>
          <w:color w:val="666666"/>
          <w:spacing w:val="0"/>
          <w:sz w:val="28"/>
          <w:shd w:fill="FFFFFF" w:val="clear"/>
        </w:rPr>
      </w:pPr>
      <w:r>
        <w:rPr>
          <w:rFonts w:ascii="SYMBOL" w:hAnsi="SYMBOL"/>
          <w:color w:val="666666"/>
          <w:spacing w:val="0"/>
          <w:sz w:val="28"/>
          <w:shd w:fill="FFFFFF" w:val="clear"/>
        </w:rPr>
        <w:t>ï</w:t>
      </w:r>
    </w:p>
    <w:p>
      <w:pPr>
        <w:pStyle w:val="TextBody"/>
        <w:bidi w:val="0"/>
        <w:jc w:val="left"/>
        <w:rPr>
          <w:caps w:val="false"/>
          <w:smallCaps w:val="false"/>
          <w:color w:val="474747"/>
          <w:spacing w:val="0"/>
          <w:shd w:fill="FFFFFF" w:val="clear"/>
        </w:rPr>
      </w:pPr>
      <w:r>
        <w:rPr>
          <w:caps w:val="false"/>
          <w:smallCaps w:val="false"/>
          <w:color w:val="474747"/>
          <w:spacing w:val="0"/>
          <w:shd w:fill="FFFFFF" w:val="clear"/>
        </w:rPr>
        <w:t> </w:t>
      </w:r>
      <w:r>
        <w:rPr>
          <w:rFonts w:ascii="arial" w:hAnsi="arial"/>
          <w:i/>
          <w:caps w:val="false"/>
          <w:smallCaps w:val="false"/>
          <w:color w:val="474747"/>
          <w:spacing w:val="0"/>
          <w:sz w:val="22"/>
          <w:shd w:fill="FFFFFF" w:val="clear"/>
        </w:rPr>
        <w:t>2024 Proxy Statement</w:t>
      </w:r>
      <w:r>
        <w:br w:type="page"/>
      </w:r>
    </w:p>
    <w:p>
      <w:pPr>
        <w:pStyle w:val="HorizontalLine"/>
        <w:bidi w:val="0"/>
        <w:jc w:val="left"/>
        <w:rPr/>
      </w:pPr>
      <w:r>
        <w:rPr/>
      </w:r>
    </w:p>
    <w:tbl>
      <w:tblPr>
        <w:tblW w:w="315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267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267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Director Compensation</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171B9"/>
          <w:sz w:val="44"/>
        </w:rPr>
      </w:pPr>
      <w:bookmarkStart w:id="61" w:name="toc445034_45"/>
      <w:bookmarkEnd w:id="61"/>
      <w:r>
        <w:rPr>
          <w:rFonts w:ascii="arial" w:hAnsi="arial"/>
          <w:b/>
          <w:color w:val="0171B9"/>
          <w:sz w:val="44"/>
        </w:rPr>
        <w:t xml:space="preserve">Director Compensation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412">
                <wp:simplePos x="0" y="0"/>
                <wp:positionH relativeFrom="column">
                  <wp:align>left</wp:align>
                </wp:positionH>
                <wp:positionV relativeFrom="line">
                  <wp:posOffset>635</wp:posOffset>
                </wp:positionV>
                <wp:extent cx="3110230" cy="830580"/>
                <wp:effectExtent l="0" t="0" r="0" b="0"/>
                <wp:wrapSquare wrapText="right"/>
                <wp:docPr id="356" name="Frame175"/>
                <a:graphic xmlns:a="http://schemas.openxmlformats.org/drawingml/2006/main">
                  <a:graphicData uri="http://schemas.microsoft.com/office/word/2010/wordprocessingShape">
                    <wps:wsp>
                      <wps:cNvSpPr txBox="1"/>
                      <wps:spPr>
                        <a:xfrm>
                          <a:off x="0" y="0"/>
                          <a:ext cx="3110230" cy="83058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The compensation program for our non-employee directors is intended to be competitive and fair so that we can attract the best talent to our Board of Directors, or Board, and recognize the time and effort required of a director given the size and complexity of our operations. In addition to cash compensation, we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5.4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The compensation program for our non-employee directors is intended to be competitive and fair so that we can attract the best talent to our Board of Directors, or Board, and recognize the time and effort required of a director given the size and complexity of our operations. In addition to cash compensation, we </w:t>
                      </w:r>
                    </w:p>
                  </w:txbxContent>
                </v:textbox>
                <w10:wrap type="square" side="right"/>
              </v:rect>
            </w:pict>
          </mc:Fallback>
        </mc:AlternateContent>
      </w:r>
      <w:r>
        <mc:AlternateContent>
          <mc:Choice Requires="wps">
            <w:drawing>
              <wp:anchor behindDoc="0" distT="0" distB="0" distL="0" distR="0" simplePos="0" locked="0" layoutInCell="1" allowOverlap="1" relativeHeight="413">
                <wp:simplePos x="0" y="0"/>
                <wp:positionH relativeFrom="column">
                  <wp:align>left</wp:align>
                </wp:positionH>
                <wp:positionV relativeFrom="line">
                  <wp:posOffset>635</wp:posOffset>
                </wp:positionV>
                <wp:extent cx="3175000" cy="830580"/>
                <wp:effectExtent l="0" t="0" r="0" b="0"/>
                <wp:wrapSquare wrapText="right"/>
                <wp:docPr id="357" name="Frame176"/>
                <a:graphic xmlns:a="http://schemas.openxmlformats.org/drawingml/2006/main">
                  <a:graphicData uri="http://schemas.microsoft.com/office/word/2010/wordprocessingShape">
                    <wps:wsp>
                      <wps:cNvSpPr txBox="1"/>
                      <wps:spPr>
                        <a:xfrm>
                          <a:off x="0" y="0"/>
                          <a:ext cx="3175000" cy="83058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provide equity grants and have stock ownership guidelines to align the directors’ interests with our stockholders’ interests and to focus on our long-term growth and success. Directors who are our employees are not paid any fees for serving on our Board or for attending Board meetings.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5.4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provide equity grants and have stock ownership guidelines to align the directors’ interests with our stockholders’ interests and to focus on our long-term growth and success. Directors who are our employees are not paid any fees for serving on our Board or for attending Board meetings.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b/>
          <w:color w:val="0171B9"/>
          <w:sz w:val="28"/>
        </w:rPr>
      </w:pPr>
      <w:r>
        <w:rPr>
          <w:rFonts w:ascii="arial" w:hAnsi="arial"/>
          <w:b/>
          <w:color w:val="0171B9"/>
          <w:sz w:val="28"/>
        </w:rPr>
        <w:t xml:space="preserve">2023 Director Compensation </w:t>
      </w:r>
    </w:p>
    <w:p>
      <w:pPr>
        <w:pStyle w:val="TextBody"/>
        <w:pBdr>
          <w:bottom w:val="single" w:sz="2" w:space="1" w:color="666666"/>
        </w:pBdr>
        <w:bidi w:val="0"/>
        <w:spacing w:lineRule="atLeast" w:line="142" w:before="0" w:after="4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158"/>
        <w:gridCol w:w="274"/>
        <w:gridCol w:w="136"/>
        <w:gridCol w:w="120"/>
        <w:gridCol w:w="77"/>
        <w:gridCol w:w="1038"/>
        <w:gridCol w:w="60"/>
        <w:gridCol w:w="120"/>
        <w:gridCol w:w="148"/>
        <w:gridCol w:w="1996"/>
        <w:gridCol w:w="78"/>
      </w:tblGrid>
      <w:tr>
        <w:trPr/>
        <w:tc>
          <w:tcPr>
            <w:tcW w:w="615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6568" w:type="dxa"/>
            <w:gridSpan w:val="3"/>
            <w:tcBorders/>
            <w:shd w:fill="0171B9" w:val="clear"/>
            <w:vAlign w:val="center"/>
          </w:tcPr>
          <w:p>
            <w:pPr>
              <w:pStyle w:val="TableContents"/>
              <w:bidi w:val="0"/>
              <w:spacing w:before="0" w:after="283"/>
              <w:jc w:val="left"/>
              <w:rPr>
                <w:sz w:val="4"/>
                <w:szCs w:val="4"/>
              </w:rPr>
            </w:pPr>
            <w:r>
              <w:rPr>
                <w:sz w:val="4"/>
                <w:szCs w:val="4"/>
              </w:rPr>
            </w:r>
          </w:p>
        </w:tc>
        <w:tc>
          <w:tcPr>
            <w:tcW w:w="1295" w:type="dxa"/>
            <w:gridSpan w:val="4"/>
            <w:tcBorders/>
            <w:shd w:fill="0171B9" w:val="clear"/>
            <w:vAlign w:val="center"/>
          </w:tcPr>
          <w:p>
            <w:pPr>
              <w:pStyle w:val="TableContents"/>
              <w:bidi w:val="0"/>
              <w:spacing w:before="0" w:after="283"/>
              <w:jc w:val="left"/>
              <w:rPr>
                <w:sz w:val="4"/>
                <w:szCs w:val="4"/>
              </w:rPr>
            </w:pPr>
            <w:r>
              <w:rPr>
                <w:sz w:val="4"/>
                <w:szCs w:val="4"/>
              </w:rPr>
            </w:r>
          </w:p>
        </w:tc>
        <w:tc>
          <w:tcPr>
            <w:tcW w:w="2342" w:type="dxa"/>
            <w:gridSpan w:val="4"/>
            <w:tcBorders/>
            <w:shd w:fill="0171B9" w:val="clear"/>
            <w:vAlign w:val="center"/>
          </w:tcPr>
          <w:p>
            <w:pPr>
              <w:pStyle w:val="TableContents"/>
              <w:bidi w:val="0"/>
              <w:spacing w:before="0" w:after="283"/>
              <w:jc w:val="left"/>
              <w:rPr>
                <w:sz w:val="4"/>
                <w:szCs w:val="4"/>
              </w:rPr>
            </w:pPr>
            <w:r>
              <w:rPr>
                <w:sz w:val="4"/>
                <w:szCs w:val="4"/>
              </w:rPr>
            </w:r>
          </w:p>
        </w:tc>
      </w:tr>
      <w:tr>
        <w:trPr/>
        <w:tc>
          <w:tcPr>
            <w:tcW w:w="6568" w:type="dxa"/>
            <w:gridSpan w:val="3"/>
            <w:tcBorders>
              <w:bottom w:val="single" w:sz="8" w:space="0" w:color="FFFFFF"/>
            </w:tcBorders>
            <w:shd w:fill="0171B9" w:val="clear"/>
            <w:tcMar>
              <w:bottom w:w="80" w:type="dxa"/>
            </w:tcMar>
            <w:vAlign w:val="center"/>
          </w:tcPr>
          <w:p>
            <w:pPr>
              <w:pStyle w:val="TableContents"/>
              <w:bidi w:val="0"/>
              <w:spacing w:before="0" w:after="283"/>
              <w:jc w:val="left"/>
              <w:rPr>
                <w:color w:val="FFFFFF"/>
              </w:rPr>
            </w:pPr>
            <w:r>
              <w:rPr>
                <w:color w:val="FFFFFF"/>
              </w:rPr>
              <w:t> </w:t>
            </w:r>
            <w:r>
              <w:rPr>
                <w:b/>
                <w:color w:val="FFFFFF"/>
              </w:rPr>
              <w:t>Position</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115" w:type="dxa"/>
            <w:gridSpan w:val="2"/>
            <w:tcBorders>
              <w:bottom w:val="single" w:sz="8" w:space="0" w:color="FFFFFF"/>
            </w:tcBorders>
            <w:shd w:fill="0171B9" w:val="clear"/>
            <w:tcMar>
              <w:bottom w:w="80" w:type="dxa"/>
            </w:tcMar>
            <w:vAlign w:val="center"/>
          </w:tcPr>
          <w:p>
            <w:pPr>
              <w:pStyle w:val="TableContents"/>
              <w:bidi w:val="0"/>
              <w:spacing w:before="0" w:after="0"/>
              <w:jc w:val="right"/>
              <w:rPr>
                <w:rFonts w:ascii="arial" w:hAnsi="arial"/>
                <w:b/>
                <w:color w:val="FFFFFF"/>
                <w:sz w:val="18"/>
              </w:rPr>
            </w:pPr>
            <w:r>
              <w:rPr>
                <w:rFonts w:ascii="arial" w:hAnsi="arial"/>
                <w:b/>
                <w:color w:val="FFFFFF"/>
                <w:sz w:val="18"/>
              </w:rPr>
              <w:t>Annual Cash</w:t>
              <w:br/>
              <w:t>Retainer</w:t>
            </w:r>
          </w:p>
          <w:p>
            <w:pPr>
              <w:pStyle w:val="TableContents"/>
              <w:bidi w:val="0"/>
              <w:spacing w:before="0" w:after="20"/>
              <w:jc w:val="right"/>
              <w:rPr>
                <w:rFonts w:ascii="arial" w:hAnsi="arial"/>
                <w:b/>
                <w:color w:val="FFFFFF"/>
                <w:sz w:val="18"/>
              </w:rPr>
            </w:pPr>
            <w:r>
              <w:rPr>
                <w:rFonts w:ascii="arial" w:hAnsi="arial"/>
                <w:b/>
                <w:color w:val="FFFFFF"/>
                <w:sz w:val="18"/>
              </w:rPr>
              <w:t>($)</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2144" w:type="dxa"/>
            <w:gridSpan w:val="2"/>
            <w:tcBorders>
              <w:bottom w:val="single" w:sz="8" w:space="0" w:color="FFFFFF"/>
            </w:tcBorders>
            <w:shd w:fill="0171B9" w:val="clear"/>
            <w:tcMar>
              <w:bottom w:w="80" w:type="dxa"/>
            </w:tcMar>
            <w:vAlign w:val="center"/>
          </w:tcPr>
          <w:p>
            <w:pPr>
              <w:pStyle w:val="TableContents"/>
              <w:bidi w:val="0"/>
              <w:spacing w:before="0" w:after="0"/>
              <w:jc w:val="right"/>
              <w:rPr>
                <w:rFonts w:ascii="arial" w:hAnsi="arial"/>
                <w:b/>
                <w:color w:val="FFFFFF"/>
                <w:sz w:val="18"/>
              </w:rPr>
            </w:pPr>
            <w:r>
              <w:rPr>
                <w:rFonts w:ascii="arial" w:hAnsi="arial"/>
                <w:b/>
                <w:color w:val="FFFFFF"/>
                <w:sz w:val="18"/>
              </w:rPr>
              <w:t>Annual Equity Awards</w:t>
            </w:r>
          </w:p>
          <w:p>
            <w:pPr>
              <w:pStyle w:val="TableContents"/>
              <w:bidi w:val="0"/>
              <w:spacing w:before="0" w:after="0"/>
              <w:jc w:val="right"/>
              <w:rPr>
                <w:rFonts w:ascii="arial" w:hAnsi="arial"/>
                <w:b/>
                <w:color w:val="FFFFFF"/>
                <w:sz w:val="18"/>
              </w:rPr>
            </w:pPr>
            <w:r>
              <w:rPr>
                <w:rFonts w:ascii="arial" w:hAnsi="arial"/>
                <w:b/>
                <w:color w:val="FFFFFF"/>
                <w:sz w:val="18"/>
              </w:rPr>
              <w:t>(Restricted Stock Units</w:t>
            </w:r>
          </w:p>
          <w:p>
            <w:pPr>
              <w:pStyle w:val="TableContents"/>
              <w:bidi w:val="0"/>
              <w:spacing w:before="0" w:after="0"/>
              <w:jc w:val="right"/>
              <w:rPr>
                <w:rFonts w:ascii="arial" w:hAnsi="arial"/>
                <w:b/>
                <w:color w:val="FFFFFF"/>
                <w:sz w:val="18"/>
              </w:rPr>
            </w:pPr>
            <w:r>
              <w:rPr>
                <w:rFonts w:ascii="arial" w:hAnsi="arial"/>
                <w:b/>
                <w:color w:val="FFFFFF"/>
                <w:sz w:val="18"/>
              </w:rPr>
              <w:t>Grant Date Market Value)</w:t>
            </w:r>
          </w:p>
          <w:p>
            <w:pPr>
              <w:pStyle w:val="TableContents"/>
              <w:bidi w:val="0"/>
              <w:spacing w:before="0" w:after="20"/>
              <w:jc w:val="right"/>
              <w:rPr>
                <w:rFonts w:ascii="arial" w:hAnsi="arial"/>
                <w:b/>
                <w:color w:val="FFFFFF"/>
                <w:sz w:val="18"/>
              </w:rPr>
            </w:pPr>
            <w:r>
              <w:rPr>
                <w:rFonts w:ascii="arial" w:hAnsi="arial"/>
                <w:b/>
                <w:color w:val="FFFFFF"/>
                <w:sz w:val="18"/>
              </w:rPr>
              <w:t>($)</w:t>
            </w:r>
          </w:p>
        </w:tc>
        <w:tc>
          <w:tcPr>
            <w:tcW w:w="78"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r>
      <w:tr>
        <w:trPr/>
        <w:tc>
          <w:tcPr>
            <w:tcW w:w="6568" w:type="dxa"/>
            <w:gridSpan w:val="3"/>
            <w:tcBorders/>
            <w:shd w:fill="CCE2F1" w:val="clear"/>
            <w:vAlign w:val="center"/>
          </w:tcPr>
          <w:p>
            <w:pPr>
              <w:pStyle w:val="TableContents"/>
              <w:bidi w:val="0"/>
              <w:spacing w:before="0" w:after="283"/>
              <w:jc w:val="left"/>
              <w:rPr>
                <w:sz w:val="4"/>
                <w:szCs w:val="4"/>
              </w:rPr>
            </w:pPr>
            <w:r>
              <w:rPr>
                <w:sz w:val="4"/>
                <w:szCs w:val="4"/>
              </w:rPr>
            </w:r>
          </w:p>
        </w:tc>
        <w:tc>
          <w:tcPr>
            <w:tcW w:w="1295" w:type="dxa"/>
            <w:gridSpan w:val="4"/>
            <w:tcBorders/>
            <w:shd w:fill="CCE2F1" w:val="clear"/>
            <w:vAlign w:val="center"/>
          </w:tcPr>
          <w:p>
            <w:pPr>
              <w:pStyle w:val="TableContents"/>
              <w:bidi w:val="0"/>
              <w:spacing w:before="0" w:after="283"/>
              <w:jc w:val="left"/>
              <w:rPr>
                <w:sz w:val="4"/>
                <w:szCs w:val="4"/>
              </w:rPr>
            </w:pPr>
            <w:r>
              <w:rPr>
                <w:sz w:val="4"/>
                <w:szCs w:val="4"/>
              </w:rPr>
            </w:r>
          </w:p>
        </w:tc>
        <w:tc>
          <w:tcPr>
            <w:tcW w:w="2342"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6568" w:type="dxa"/>
            <w:gridSpan w:val="3"/>
            <w:tcBorders/>
            <w:shd w:fill="CCE2F1" w:val="clear"/>
            <w:vAlign w:val="center"/>
          </w:tcPr>
          <w:p>
            <w:pPr>
              <w:pStyle w:val="TableContents"/>
              <w:bidi w:val="0"/>
              <w:spacing w:before="0" w:after="0"/>
              <w:jc w:val="left"/>
              <w:rPr/>
            </w:pPr>
            <w:r>
              <w:rPr/>
              <w:t> </w:t>
            </w:r>
            <w:r>
              <w:rPr>
                <w:rFonts w:ascii="arial" w:hAnsi="arial"/>
                <w:sz w:val="18"/>
              </w:rPr>
              <w:t>Non-Employee Director</w:t>
            </w:r>
          </w:p>
        </w:tc>
        <w:tc>
          <w:tcPr>
            <w:tcW w:w="120" w:type="dxa"/>
            <w:tcBorders/>
            <w:shd w:fill="CCE2F1" w:val="clear"/>
            <w:vAlign w:val="center"/>
          </w:tcPr>
          <w:p>
            <w:pPr>
              <w:pStyle w:val="TableContents"/>
              <w:bidi w:val="0"/>
              <w:spacing w:before="0" w:after="283"/>
              <w:jc w:val="left"/>
              <w:rPr/>
            </w:pPr>
            <w:r>
              <w:rPr/>
              <w:t>  </w:t>
            </w:r>
          </w:p>
        </w:tc>
        <w:tc>
          <w:tcPr>
            <w:tcW w:w="77" w:type="dxa"/>
            <w:tcBorders/>
            <w:shd w:fill="CCE2F1" w:val="clear"/>
            <w:vAlign w:val="center"/>
          </w:tcPr>
          <w:p>
            <w:pPr>
              <w:pStyle w:val="TableContents"/>
              <w:bidi w:val="0"/>
              <w:spacing w:before="0" w:after="283"/>
              <w:jc w:val="left"/>
              <w:rPr/>
            </w:pPr>
            <w:r>
              <w:rPr/>
              <w:t> </w:t>
            </w:r>
          </w:p>
        </w:tc>
        <w:tc>
          <w:tcPr>
            <w:tcW w:w="1038" w:type="dxa"/>
            <w:tcBorders/>
            <w:shd w:fill="CCE2F1" w:val="clear"/>
            <w:vAlign w:val="center"/>
          </w:tcPr>
          <w:p>
            <w:pPr>
              <w:pStyle w:val="TableContents"/>
              <w:bidi w:val="0"/>
              <w:spacing w:before="0" w:after="283"/>
              <w:jc w:val="right"/>
              <w:rPr/>
            </w:pPr>
            <w:r>
              <w:rPr/>
              <w:t>105,000</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148" w:type="dxa"/>
            <w:tcBorders/>
            <w:shd w:fill="CCE2F1" w:val="clear"/>
            <w:vAlign w:val="center"/>
          </w:tcPr>
          <w:p>
            <w:pPr>
              <w:pStyle w:val="TableContents"/>
              <w:bidi w:val="0"/>
              <w:spacing w:before="0" w:after="283"/>
              <w:jc w:val="left"/>
              <w:rPr/>
            </w:pPr>
            <w:r>
              <w:rPr/>
              <w:t> </w:t>
            </w:r>
          </w:p>
        </w:tc>
        <w:tc>
          <w:tcPr>
            <w:tcW w:w="1996" w:type="dxa"/>
            <w:tcBorders/>
            <w:shd w:fill="CCE2F1" w:val="clear"/>
            <w:vAlign w:val="center"/>
          </w:tcPr>
          <w:p>
            <w:pPr>
              <w:pStyle w:val="TableContents"/>
              <w:bidi w:val="0"/>
              <w:spacing w:before="0" w:after="283"/>
              <w:jc w:val="right"/>
              <w:rPr/>
            </w:pPr>
            <w:r>
              <w:rPr/>
              <w:t>210,000 </w:t>
            </w:r>
          </w:p>
        </w:tc>
        <w:tc>
          <w:tcPr>
            <w:tcW w:w="78" w:type="dxa"/>
            <w:tcBorders/>
            <w:shd w:fill="CCE2F1" w:val="clear"/>
            <w:vAlign w:val="center"/>
          </w:tcPr>
          <w:p>
            <w:pPr>
              <w:pStyle w:val="TableContents"/>
              <w:bidi w:val="0"/>
              <w:spacing w:before="0" w:after="283"/>
              <w:jc w:val="left"/>
              <w:rPr>
                <w:sz w:val="4"/>
                <w:szCs w:val="4"/>
              </w:rPr>
            </w:pPr>
            <w:r>
              <w:rPr>
                <w:sz w:val="4"/>
                <w:szCs w:val="4"/>
              </w:rPr>
            </w:r>
          </w:p>
        </w:tc>
      </w:tr>
      <w:tr>
        <w:trPr/>
        <w:tc>
          <w:tcPr>
            <w:tcW w:w="6568" w:type="dxa"/>
            <w:gridSpan w:val="3"/>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c>
          <w:tcPr>
            <w:tcW w:w="2342" w:type="dxa"/>
            <w:gridSpan w:val="4"/>
            <w:tcBorders/>
            <w:vAlign w:val="center"/>
          </w:tcPr>
          <w:p>
            <w:pPr>
              <w:pStyle w:val="TableContents"/>
              <w:bidi w:val="0"/>
              <w:spacing w:before="0" w:after="283"/>
              <w:jc w:val="left"/>
              <w:rPr>
                <w:sz w:val="4"/>
                <w:szCs w:val="4"/>
              </w:rPr>
            </w:pPr>
            <w:r>
              <w:rPr>
                <w:sz w:val="4"/>
                <w:szCs w:val="4"/>
              </w:rPr>
            </w:r>
          </w:p>
        </w:tc>
      </w:tr>
      <w:tr>
        <w:trPr/>
        <w:tc>
          <w:tcPr>
            <w:tcW w:w="6568" w:type="dxa"/>
            <w:gridSpan w:val="3"/>
            <w:tcBorders/>
            <w:vAlign w:val="center"/>
          </w:tcPr>
          <w:p>
            <w:pPr>
              <w:pStyle w:val="TableContents"/>
              <w:bidi w:val="0"/>
              <w:spacing w:before="0" w:after="0"/>
              <w:jc w:val="left"/>
              <w:rPr/>
            </w:pPr>
            <w:r>
              <w:rPr/>
              <w:t> </w:t>
            </w:r>
            <w:r>
              <w:rPr>
                <w:rFonts w:ascii="arial" w:hAnsi="arial"/>
                <w:sz w:val="18"/>
              </w:rPr>
              <w:t>Lead Independent Director Retainer</w:t>
            </w:r>
          </w:p>
        </w:tc>
        <w:tc>
          <w:tcPr>
            <w:tcW w:w="12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right"/>
              <w:rPr/>
            </w:pPr>
            <w:r>
              <w:rPr/>
              <w:t>40,000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996" w:type="dxa"/>
            <w:tcBorders/>
            <w:vAlign w:val="center"/>
          </w:tcPr>
          <w:p>
            <w:pPr>
              <w:pStyle w:val="TableContents"/>
              <w:bidi w:val="0"/>
              <w:spacing w:before="0" w:after="283"/>
              <w:jc w:val="right"/>
              <w:rPr/>
            </w:pPr>
            <w:r>
              <w:rPr/>
              <w:t>— </w:t>
            </w:r>
          </w:p>
        </w:tc>
        <w:tc>
          <w:tcPr>
            <w:tcW w:w="78" w:type="dxa"/>
            <w:tcBorders/>
            <w:vAlign w:val="center"/>
          </w:tcPr>
          <w:p>
            <w:pPr>
              <w:pStyle w:val="TableContents"/>
              <w:bidi w:val="0"/>
              <w:spacing w:before="0" w:after="283"/>
              <w:jc w:val="left"/>
              <w:rPr>
                <w:sz w:val="4"/>
                <w:szCs w:val="4"/>
              </w:rPr>
            </w:pPr>
            <w:r>
              <w:rPr>
                <w:sz w:val="4"/>
                <w:szCs w:val="4"/>
              </w:rPr>
            </w:r>
          </w:p>
        </w:tc>
      </w:tr>
      <w:tr>
        <w:trPr/>
        <w:tc>
          <w:tcPr>
            <w:tcW w:w="6568" w:type="dxa"/>
            <w:gridSpan w:val="3"/>
            <w:tcBorders/>
            <w:shd w:fill="CCE2F1" w:val="clear"/>
            <w:vAlign w:val="center"/>
          </w:tcPr>
          <w:p>
            <w:pPr>
              <w:pStyle w:val="TableContents"/>
              <w:bidi w:val="0"/>
              <w:spacing w:before="0" w:after="283"/>
              <w:jc w:val="left"/>
              <w:rPr>
                <w:sz w:val="4"/>
                <w:szCs w:val="4"/>
              </w:rPr>
            </w:pPr>
            <w:r>
              <w:rPr>
                <w:sz w:val="4"/>
                <w:szCs w:val="4"/>
              </w:rPr>
            </w:r>
          </w:p>
        </w:tc>
        <w:tc>
          <w:tcPr>
            <w:tcW w:w="1295" w:type="dxa"/>
            <w:gridSpan w:val="4"/>
            <w:tcBorders/>
            <w:shd w:fill="CCE2F1" w:val="clear"/>
            <w:vAlign w:val="center"/>
          </w:tcPr>
          <w:p>
            <w:pPr>
              <w:pStyle w:val="TableContents"/>
              <w:bidi w:val="0"/>
              <w:spacing w:before="0" w:after="283"/>
              <w:jc w:val="left"/>
              <w:rPr>
                <w:sz w:val="4"/>
                <w:szCs w:val="4"/>
              </w:rPr>
            </w:pPr>
            <w:r>
              <w:rPr>
                <w:sz w:val="4"/>
                <w:szCs w:val="4"/>
              </w:rPr>
            </w:r>
          </w:p>
        </w:tc>
        <w:tc>
          <w:tcPr>
            <w:tcW w:w="2342"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6568" w:type="dxa"/>
            <w:gridSpan w:val="3"/>
            <w:tcBorders/>
            <w:shd w:fill="CCE2F1" w:val="clear"/>
            <w:vAlign w:val="center"/>
          </w:tcPr>
          <w:p>
            <w:pPr>
              <w:pStyle w:val="TableContents"/>
              <w:bidi w:val="0"/>
              <w:spacing w:before="0" w:after="0"/>
              <w:jc w:val="left"/>
              <w:rPr/>
            </w:pPr>
            <w:r>
              <w:rPr/>
              <w:t> </w:t>
            </w:r>
            <w:r>
              <w:rPr>
                <w:rFonts w:ascii="arial" w:hAnsi="arial"/>
                <w:sz w:val="18"/>
              </w:rPr>
              <w:t>Committee Chair Retainers</w:t>
            </w:r>
          </w:p>
        </w:tc>
        <w:tc>
          <w:tcPr>
            <w:tcW w:w="120" w:type="dxa"/>
            <w:tcBorders/>
            <w:shd w:fill="CCE2F1" w:val="clear"/>
            <w:vAlign w:val="center"/>
          </w:tcPr>
          <w:p>
            <w:pPr>
              <w:pStyle w:val="TableContents"/>
              <w:bidi w:val="0"/>
              <w:spacing w:before="0" w:after="283"/>
              <w:jc w:val="left"/>
              <w:rPr/>
            </w:pPr>
            <w:r>
              <w:rPr/>
              <w:t>  </w:t>
            </w:r>
          </w:p>
        </w:tc>
        <w:tc>
          <w:tcPr>
            <w:tcW w:w="77" w:type="dxa"/>
            <w:tcBorders/>
            <w:shd w:fill="CCE2F1" w:val="clear"/>
            <w:vAlign w:val="center"/>
          </w:tcPr>
          <w:p>
            <w:pPr>
              <w:pStyle w:val="TableContents"/>
              <w:bidi w:val="0"/>
              <w:spacing w:before="0" w:after="283"/>
              <w:jc w:val="left"/>
              <w:rPr>
                <w:sz w:val="4"/>
                <w:szCs w:val="4"/>
              </w:rPr>
            </w:pPr>
            <w:r>
              <w:rPr>
                <w:sz w:val="4"/>
                <w:szCs w:val="4"/>
              </w:rPr>
            </w:r>
          </w:p>
        </w:tc>
        <w:tc>
          <w:tcPr>
            <w:tcW w:w="1038"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120" w:type="dxa"/>
            <w:tcBorders/>
            <w:shd w:fill="CCE2F1" w:val="clear"/>
            <w:vAlign w:val="center"/>
          </w:tcPr>
          <w:p>
            <w:pPr>
              <w:pStyle w:val="TableContents"/>
              <w:bidi w:val="0"/>
              <w:spacing w:before="0" w:after="283"/>
              <w:jc w:val="left"/>
              <w:rPr/>
            </w:pPr>
            <w:r>
              <w:rPr/>
              <w:t>  </w:t>
            </w:r>
          </w:p>
        </w:tc>
        <w:tc>
          <w:tcPr>
            <w:tcW w:w="148" w:type="dxa"/>
            <w:tcBorders/>
            <w:shd w:fill="CCE2F1" w:val="clear"/>
            <w:vAlign w:val="center"/>
          </w:tcPr>
          <w:p>
            <w:pPr>
              <w:pStyle w:val="TableContents"/>
              <w:bidi w:val="0"/>
              <w:spacing w:before="0" w:after="283"/>
              <w:jc w:val="left"/>
              <w:rPr/>
            </w:pPr>
            <w:r>
              <w:rPr/>
              <w:t> </w:t>
            </w:r>
          </w:p>
        </w:tc>
        <w:tc>
          <w:tcPr>
            <w:tcW w:w="1996" w:type="dxa"/>
            <w:tcBorders/>
            <w:shd w:fill="CCE2F1" w:val="clear"/>
            <w:vAlign w:val="center"/>
          </w:tcPr>
          <w:p>
            <w:pPr>
              <w:pStyle w:val="TableContents"/>
              <w:bidi w:val="0"/>
              <w:spacing w:before="0" w:after="283"/>
              <w:jc w:val="right"/>
              <w:rPr/>
            </w:pPr>
            <w:r>
              <w:rPr/>
              <w:t>— </w:t>
            </w:r>
          </w:p>
        </w:tc>
        <w:tc>
          <w:tcPr>
            <w:tcW w:w="78" w:type="dxa"/>
            <w:tcBorders/>
            <w:shd w:fill="CCE2F1" w:val="clear"/>
            <w:vAlign w:val="center"/>
          </w:tcPr>
          <w:p>
            <w:pPr>
              <w:pStyle w:val="TableContents"/>
              <w:bidi w:val="0"/>
              <w:spacing w:before="0" w:after="283"/>
              <w:jc w:val="left"/>
              <w:rPr>
                <w:sz w:val="4"/>
                <w:szCs w:val="4"/>
              </w:rPr>
            </w:pPr>
            <w:r>
              <w:rPr>
                <w:sz w:val="4"/>
                <w:szCs w:val="4"/>
              </w:rPr>
            </w:r>
          </w:p>
        </w:tc>
      </w:tr>
      <w:tr>
        <w:trPr/>
        <w:tc>
          <w:tcPr>
            <w:tcW w:w="6158" w:type="dxa"/>
            <w:tcBorders/>
            <w:vAlign w:val="center"/>
          </w:tcPr>
          <w:p>
            <w:pPr>
              <w:pStyle w:val="TableContents"/>
              <w:bidi w:val="0"/>
              <w:spacing w:before="0" w:after="283"/>
              <w:jc w:val="left"/>
              <w:rPr>
                <w:sz w:val="4"/>
                <w:szCs w:val="4"/>
              </w:rPr>
            </w:pPr>
            <w:r>
              <w:rPr>
                <w:sz w:val="4"/>
                <w:szCs w:val="4"/>
              </w:rPr>
            </w:r>
          </w:p>
        </w:tc>
        <w:tc>
          <w:tcPr>
            <w:tcW w:w="410" w:type="dxa"/>
            <w:gridSpan w:val="2"/>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c>
          <w:tcPr>
            <w:tcW w:w="2342" w:type="dxa"/>
            <w:gridSpan w:val="4"/>
            <w:tcBorders/>
            <w:vAlign w:val="center"/>
          </w:tcPr>
          <w:p>
            <w:pPr>
              <w:pStyle w:val="TableContents"/>
              <w:bidi w:val="0"/>
              <w:spacing w:before="0" w:after="283"/>
              <w:jc w:val="left"/>
              <w:rPr>
                <w:sz w:val="4"/>
                <w:szCs w:val="4"/>
              </w:rPr>
            </w:pPr>
            <w:r>
              <w:rPr>
                <w:sz w:val="4"/>
                <w:szCs w:val="4"/>
              </w:rPr>
            </w:r>
          </w:p>
        </w:tc>
      </w:tr>
      <w:tr>
        <w:trPr/>
        <w:tc>
          <w:tcPr>
            <w:tcW w:w="6158" w:type="dxa"/>
            <w:tcBorders/>
            <w:vAlign w:val="center"/>
          </w:tcPr>
          <w:p>
            <w:pPr>
              <w:pStyle w:val="TableContents"/>
              <w:bidi w:val="0"/>
              <w:spacing w:before="0" w:after="0"/>
              <w:jc w:val="left"/>
              <w:rPr/>
            </w:pPr>
            <w:r>
              <w:rPr/>
              <w:t> </w:t>
            </w:r>
            <w:r>
              <w:rPr>
                <w:rFonts w:ascii="arial" w:hAnsi="arial"/>
                <w:sz w:val="18"/>
              </w:rPr>
              <w:t>Audit Committee Chair</w:t>
            </w:r>
          </w:p>
        </w:tc>
        <w:tc>
          <w:tcPr>
            <w:tcW w:w="274"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right"/>
              <w:rPr/>
            </w:pPr>
            <w:r>
              <w:rPr/>
              <w:t>30,000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996" w:type="dxa"/>
            <w:tcBorders/>
            <w:vAlign w:val="center"/>
          </w:tcPr>
          <w:p>
            <w:pPr>
              <w:pStyle w:val="TableContents"/>
              <w:bidi w:val="0"/>
              <w:spacing w:before="0" w:after="283"/>
              <w:jc w:val="right"/>
              <w:rPr/>
            </w:pPr>
            <w:r>
              <w:rPr/>
              <w:t>— </w:t>
            </w:r>
          </w:p>
        </w:tc>
        <w:tc>
          <w:tcPr>
            <w:tcW w:w="78" w:type="dxa"/>
            <w:tcBorders/>
            <w:vAlign w:val="center"/>
          </w:tcPr>
          <w:p>
            <w:pPr>
              <w:pStyle w:val="TableContents"/>
              <w:bidi w:val="0"/>
              <w:spacing w:before="0" w:after="283"/>
              <w:jc w:val="left"/>
              <w:rPr>
                <w:sz w:val="4"/>
                <w:szCs w:val="4"/>
              </w:rPr>
            </w:pPr>
            <w:r>
              <w:rPr>
                <w:sz w:val="4"/>
                <w:szCs w:val="4"/>
              </w:rPr>
            </w:r>
          </w:p>
        </w:tc>
      </w:tr>
      <w:tr>
        <w:trPr/>
        <w:tc>
          <w:tcPr>
            <w:tcW w:w="6568" w:type="dxa"/>
            <w:gridSpan w:val="3"/>
            <w:tcBorders/>
            <w:shd w:fill="CCE2F1" w:val="clear"/>
            <w:vAlign w:val="center"/>
          </w:tcPr>
          <w:p>
            <w:pPr>
              <w:pStyle w:val="TableContents"/>
              <w:bidi w:val="0"/>
              <w:spacing w:before="0" w:after="283"/>
              <w:jc w:val="left"/>
              <w:rPr>
                <w:sz w:val="4"/>
                <w:szCs w:val="4"/>
              </w:rPr>
            </w:pPr>
            <w:r>
              <w:rPr>
                <w:sz w:val="4"/>
                <w:szCs w:val="4"/>
              </w:rPr>
            </w:r>
          </w:p>
        </w:tc>
        <w:tc>
          <w:tcPr>
            <w:tcW w:w="1295" w:type="dxa"/>
            <w:gridSpan w:val="4"/>
            <w:tcBorders/>
            <w:shd w:fill="CCE2F1" w:val="clear"/>
            <w:vAlign w:val="center"/>
          </w:tcPr>
          <w:p>
            <w:pPr>
              <w:pStyle w:val="TableContents"/>
              <w:bidi w:val="0"/>
              <w:spacing w:before="0" w:after="283"/>
              <w:jc w:val="left"/>
              <w:rPr>
                <w:sz w:val="4"/>
                <w:szCs w:val="4"/>
              </w:rPr>
            </w:pPr>
            <w:r>
              <w:rPr>
                <w:sz w:val="4"/>
                <w:szCs w:val="4"/>
              </w:rPr>
            </w:r>
          </w:p>
        </w:tc>
        <w:tc>
          <w:tcPr>
            <w:tcW w:w="2342"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6568" w:type="dxa"/>
            <w:gridSpan w:val="3"/>
            <w:tcBorders/>
            <w:shd w:fill="CCE2F1" w:val="clear"/>
            <w:vAlign w:val="center"/>
          </w:tcPr>
          <w:p>
            <w:pPr>
              <w:pStyle w:val="TableContents"/>
              <w:bidi w:val="0"/>
              <w:spacing w:before="0" w:after="0"/>
              <w:jc w:val="left"/>
              <w:rPr/>
            </w:pPr>
            <w:r>
              <w:rPr/>
              <w:t> </w:t>
            </w:r>
            <w:r>
              <w:rPr>
                <w:rFonts w:ascii="arial" w:hAnsi="arial"/>
                <w:sz w:val="18"/>
              </w:rPr>
              <w:t>Other Committee Chairs (Compensation and Management Development, Corporate Responsibility and Compliance, and Governance and Nominating Committees)</w:t>
            </w:r>
          </w:p>
        </w:tc>
        <w:tc>
          <w:tcPr>
            <w:tcW w:w="120" w:type="dxa"/>
            <w:tcBorders/>
            <w:shd w:fill="CCE2F1" w:val="clear"/>
            <w:vAlign w:val="center"/>
          </w:tcPr>
          <w:p>
            <w:pPr>
              <w:pStyle w:val="TableContents"/>
              <w:bidi w:val="0"/>
              <w:spacing w:before="0" w:after="283"/>
              <w:jc w:val="left"/>
              <w:rPr/>
            </w:pPr>
            <w:r>
              <w:rPr/>
              <w:t>  </w:t>
            </w:r>
          </w:p>
        </w:tc>
        <w:tc>
          <w:tcPr>
            <w:tcW w:w="77" w:type="dxa"/>
            <w:tcBorders/>
            <w:shd w:fill="CCE2F1" w:val="clear"/>
            <w:vAlign w:val="center"/>
          </w:tcPr>
          <w:p>
            <w:pPr>
              <w:pStyle w:val="TableContents"/>
              <w:bidi w:val="0"/>
              <w:spacing w:before="0" w:after="283"/>
              <w:jc w:val="left"/>
              <w:rPr/>
            </w:pPr>
            <w:r>
              <w:rPr/>
              <w:t> </w:t>
            </w:r>
          </w:p>
        </w:tc>
        <w:tc>
          <w:tcPr>
            <w:tcW w:w="1038" w:type="dxa"/>
            <w:tcBorders/>
            <w:shd w:fill="CCE2F1" w:val="clear"/>
            <w:vAlign w:val="center"/>
          </w:tcPr>
          <w:p>
            <w:pPr>
              <w:pStyle w:val="TableContents"/>
              <w:bidi w:val="0"/>
              <w:spacing w:before="0" w:after="283"/>
              <w:jc w:val="right"/>
              <w:rPr/>
            </w:pPr>
            <w:r>
              <w:rPr/>
              <w:t>20,000</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148" w:type="dxa"/>
            <w:tcBorders/>
            <w:shd w:fill="CCE2F1" w:val="clear"/>
            <w:vAlign w:val="center"/>
          </w:tcPr>
          <w:p>
            <w:pPr>
              <w:pStyle w:val="TableContents"/>
              <w:bidi w:val="0"/>
              <w:spacing w:before="0" w:after="283"/>
              <w:jc w:val="left"/>
              <w:rPr/>
            </w:pPr>
            <w:r>
              <w:rPr/>
              <w:t> </w:t>
            </w:r>
          </w:p>
        </w:tc>
        <w:tc>
          <w:tcPr>
            <w:tcW w:w="1996" w:type="dxa"/>
            <w:tcBorders/>
            <w:shd w:fill="CCE2F1" w:val="clear"/>
            <w:vAlign w:val="center"/>
          </w:tcPr>
          <w:p>
            <w:pPr>
              <w:pStyle w:val="TableContents"/>
              <w:bidi w:val="0"/>
              <w:spacing w:before="0" w:after="283"/>
              <w:jc w:val="right"/>
              <w:rPr/>
            </w:pPr>
            <w:r>
              <w:rPr/>
              <w:t>— </w:t>
            </w:r>
          </w:p>
        </w:tc>
        <w:tc>
          <w:tcPr>
            <w:tcW w:w="78" w:type="dxa"/>
            <w:tcBorders/>
            <w:shd w:fill="CCE2F1" w:val="clear"/>
            <w:vAlign w:val="center"/>
          </w:tcPr>
          <w:p>
            <w:pPr>
              <w:pStyle w:val="TableContents"/>
              <w:bidi w:val="0"/>
              <w:spacing w:before="0" w:after="283"/>
              <w:jc w:val="left"/>
              <w:rPr>
                <w:sz w:val="4"/>
                <w:szCs w:val="4"/>
              </w:rPr>
            </w:pPr>
            <w:r>
              <w:rPr>
                <w:sz w:val="4"/>
                <w:szCs w:val="4"/>
              </w:rPr>
            </w:r>
          </w:p>
        </w:tc>
      </w:tr>
      <w:tr>
        <w:trPr/>
        <w:tc>
          <w:tcPr>
            <w:tcW w:w="6158" w:type="dxa"/>
            <w:tcBorders/>
            <w:vAlign w:val="center"/>
          </w:tcPr>
          <w:p>
            <w:pPr>
              <w:pStyle w:val="TableContents"/>
              <w:bidi w:val="0"/>
              <w:spacing w:before="0" w:after="283"/>
              <w:jc w:val="left"/>
              <w:rPr>
                <w:sz w:val="4"/>
                <w:szCs w:val="4"/>
              </w:rPr>
            </w:pPr>
            <w:r>
              <w:rPr>
                <w:sz w:val="4"/>
                <w:szCs w:val="4"/>
              </w:rPr>
            </w:r>
          </w:p>
        </w:tc>
        <w:tc>
          <w:tcPr>
            <w:tcW w:w="410" w:type="dxa"/>
            <w:gridSpan w:val="2"/>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c>
          <w:tcPr>
            <w:tcW w:w="2342" w:type="dxa"/>
            <w:gridSpan w:val="4"/>
            <w:tcBorders/>
            <w:vAlign w:val="center"/>
          </w:tcPr>
          <w:p>
            <w:pPr>
              <w:pStyle w:val="TableContents"/>
              <w:bidi w:val="0"/>
              <w:spacing w:before="0" w:after="283"/>
              <w:jc w:val="left"/>
              <w:rPr>
                <w:sz w:val="4"/>
                <w:szCs w:val="4"/>
              </w:rPr>
            </w:pPr>
            <w:r>
              <w:rPr>
                <w:sz w:val="4"/>
                <w:szCs w:val="4"/>
              </w:rPr>
            </w:r>
          </w:p>
        </w:tc>
      </w:tr>
      <w:tr>
        <w:trPr/>
        <w:tc>
          <w:tcPr>
            <w:tcW w:w="6158" w:type="dxa"/>
            <w:tcBorders>
              <w:bottom w:val="single" w:sz="8" w:space="0" w:color="0171B9"/>
            </w:tcBorders>
            <w:tcMar>
              <w:bottom w:w="80" w:type="dxa"/>
            </w:tcMar>
            <w:vAlign w:val="center"/>
          </w:tcPr>
          <w:p>
            <w:pPr>
              <w:pStyle w:val="TableContents"/>
              <w:bidi w:val="0"/>
              <w:spacing w:before="0" w:after="0"/>
              <w:jc w:val="left"/>
              <w:rPr/>
            </w:pPr>
            <w:r>
              <w:rPr/>
              <w:t> </w:t>
            </w:r>
            <w:r>
              <w:rPr>
                <w:rFonts w:ascii="arial" w:hAnsi="arial"/>
                <w:sz w:val="18"/>
              </w:rPr>
              <w:t>Committee Member Meeting Retainer</w:t>
            </w:r>
          </w:p>
        </w:tc>
        <w:tc>
          <w:tcPr>
            <w:tcW w:w="274" w:type="dxa"/>
            <w:tcBorders>
              <w:bottom w:val="single" w:sz="8" w:space="0" w:color="0171B9"/>
            </w:tcBorders>
            <w:tcMar>
              <w:bottom w:w="28" w:type="dxa"/>
            </w:tcMar>
            <w:vAlign w:val="center"/>
          </w:tcPr>
          <w:p>
            <w:pPr>
              <w:pStyle w:val="TableContents"/>
              <w:bidi w:val="0"/>
              <w:spacing w:before="0" w:after="283"/>
              <w:jc w:val="left"/>
              <w:rPr/>
            </w:pPr>
            <w:r>
              <w:rPr/>
              <w:t>  </w:t>
            </w:r>
          </w:p>
        </w:tc>
        <w:tc>
          <w:tcPr>
            <w:tcW w:w="136" w:type="dxa"/>
            <w:tcBorders>
              <w:bottom w:val="single" w:sz="8" w:space="0" w:color="0171B9"/>
            </w:tcBorders>
            <w:tcMar>
              <w:bottom w:w="28" w:type="dxa"/>
            </w:tcMar>
            <w:vAlign w:val="center"/>
          </w:tcPr>
          <w:p>
            <w:pPr>
              <w:pStyle w:val="TableContents"/>
              <w:bidi w:val="0"/>
              <w:spacing w:before="0" w:after="283"/>
              <w:jc w:val="left"/>
              <w:rPr/>
            </w:pPr>
            <w:r>
              <w:rPr/>
              <w:t> </w:t>
            </w:r>
          </w:p>
        </w:tc>
        <w:tc>
          <w:tcPr>
            <w:tcW w:w="120" w:type="dxa"/>
            <w:tcBorders>
              <w:bottom w:val="single" w:sz="8" w:space="0" w:color="0171B9"/>
            </w:tcBorders>
            <w:tcMar>
              <w:bottom w:w="28" w:type="dxa"/>
            </w:tcMar>
            <w:vAlign w:val="center"/>
          </w:tcPr>
          <w:p>
            <w:pPr>
              <w:pStyle w:val="TableContents"/>
              <w:bidi w:val="0"/>
              <w:spacing w:before="0" w:after="283"/>
              <w:jc w:val="left"/>
              <w:rPr/>
            </w:pPr>
            <w:r>
              <w:rPr/>
              <w:t>  </w:t>
            </w:r>
          </w:p>
        </w:tc>
        <w:tc>
          <w:tcPr>
            <w:tcW w:w="77" w:type="dxa"/>
            <w:tcBorders>
              <w:bottom w:val="single" w:sz="8" w:space="0" w:color="0171B9"/>
            </w:tcBorders>
            <w:tcMar>
              <w:bottom w:w="80" w:type="dxa"/>
            </w:tcMar>
            <w:vAlign w:val="center"/>
          </w:tcPr>
          <w:p>
            <w:pPr>
              <w:pStyle w:val="TableContents"/>
              <w:bidi w:val="0"/>
              <w:spacing w:before="0" w:after="283"/>
              <w:jc w:val="left"/>
              <w:rPr/>
            </w:pPr>
            <w:r>
              <w:rPr/>
              <w:t> </w:t>
            </w:r>
          </w:p>
        </w:tc>
        <w:tc>
          <w:tcPr>
            <w:tcW w:w="1038" w:type="dxa"/>
            <w:tcBorders>
              <w:bottom w:val="single" w:sz="8" w:space="0" w:color="0171B9"/>
            </w:tcBorders>
            <w:tcMar>
              <w:bottom w:w="80" w:type="dxa"/>
            </w:tcMar>
            <w:vAlign w:val="center"/>
          </w:tcPr>
          <w:p>
            <w:pPr>
              <w:pStyle w:val="TableContents"/>
              <w:bidi w:val="0"/>
              <w:spacing w:before="0" w:after="283"/>
              <w:jc w:val="right"/>
              <w:rPr/>
            </w:pPr>
            <w:r>
              <w:rPr/>
              <w:t>12,500</w:t>
            </w:r>
          </w:p>
        </w:tc>
        <w:tc>
          <w:tcPr>
            <w:tcW w:w="60" w:type="dxa"/>
            <w:tcBorders>
              <w:bottom w:val="single" w:sz="8" w:space="0" w:color="0171B9"/>
            </w:tcBorders>
            <w:tcMar>
              <w:bottom w:w="80" w:type="dxa"/>
            </w:tcMar>
            <w:vAlign w:val="center"/>
          </w:tcPr>
          <w:p>
            <w:pPr>
              <w:pStyle w:val="TableContents"/>
              <w:bidi w:val="0"/>
              <w:spacing w:before="0" w:after="283"/>
              <w:jc w:val="left"/>
              <w:rPr/>
            </w:pPr>
            <w:r>
              <w:rPr/>
              <w:t> </w:t>
            </w:r>
          </w:p>
        </w:tc>
        <w:tc>
          <w:tcPr>
            <w:tcW w:w="120" w:type="dxa"/>
            <w:tcBorders>
              <w:bottom w:val="single" w:sz="8" w:space="0" w:color="0171B9"/>
            </w:tcBorders>
            <w:tcMar>
              <w:bottom w:w="28" w:type="dxa"/>
            </w:tcMar>
            <w:vAlign w:val="center"/>
          </w:tcPr>
          <w:p>
            <w:pPr>
              <w:pStyle w:val="TableContents"/>
              <w:bidi w:val="0"/>
              <w:spacing w:before="0" w:after="283"/>
              <w:jc w:val="left"/>
              <w:rPr/>
            </w:pPr>
            <w:r>
              <w:rPr/>
              <w:t>  </w:t>
            </w:r>
          </w:p>
        </w:tc>
        <w:tc>
          <w:tcPr>
            <w:tcW w:w="148" w:type="dxa"/>
            <w:tcBorders>
              <w:bottom w:val="single" w:sz="8" w:space="0" w:color="0171B9"/>
            </w:tcBorders>
            <w:tcMar>
              <w:bottom w:w="80" w:type="dxa"/>
            </w:tcMar>
            <w:vAlign w:val="center"/>
          </w:tcPr>
          <w:p>
            <w:pPr>
              <w:pStyle w:val="TableContents"/>
              <w:bidi w:val="0"/>
              <w:spacing w:before="0" w:after="283"/>
              <w:jc w:val="left"/>
              <w:rPr/>
            </w:pPr>
            <w:r>
              <w:rPr/>
              <w:t> </w:t>
            </w:r>
          </w:p>
        </w:tc>
        <w:tc>
          <w:tcPr>
            <w:tcW w:w="1996" w:type="dxa"/>
            <w:tcBorders>
              <w:bottom w:val="single" w:sz="8" w:space="0" w:color="0171B9"/>
            </w:tcBorders>
            <w:tcMar>
              <w:bottom w:w="80" w:type="dxa"/>
            </w:tcMar>
            <w:vAlign w:val="center"/>
          </w:tcPr>
          <w:p>
            <w:pPr>
              <w:pStyle w:val="TableContents"/>
              <w:bidi w:val="0"/>
              <w:spacing w:before="0" w:after="283"/>
              <w:jc w:val="right"/>
              <w:rPr/>
            </w:pPr>
            <w:r>
              <w:rPr/>
              <w:t>— </w:t>
            </w:r>
          </w:p>
        </w:tc>
        <w:tc>
          <w:tcPr>
            <w:tcW w:w="78" w:type="dxa"/>
            <w:tcBorders>
              <w:bottom w:val="single" w:sz="8" w:space="0" w:color="0171B9"/>
            </w:tcBorders>
            <w:tcMar>
              <w:bottom w:w="8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414">
                <wp:simplePos x="0" y="0"/>
                <wp:positionH relativeFrom="column">
                  <wp:align>left</wp:align>
                </wp:positionH>
                <wp:positionV relativeFrom="line">
                  <wp:posOffset>635</wp:posOffset>
                </wp:positionV>
                <wp:extent cx="3110230" cy="3197860"/>
                <wp:effectExtent l="0" t="0" r="0" b="0"/>
                <wp:wrapSquare wrapText="right"/>
                <wp:docPr id="358" name="Frame177"/>
                <a:graphic xmlns:a="http://schemas.openxmlformats.org/drawingml/2006/main">
                  <a:graphicData uri="http://schemas.microsoft.com/office/word/2010/wordprocessingShape">
                    <wps:wsp>
                      <wps:cNvSpPr txBox="1"/>
                      <wps:spPr>
                        <a:xfrm>
                          <a:off x="0" y="0"/>
                          <a:ext cx="3110230" cy="3197860"/>
                        </a:xfrm>
                        <a:prstGeom prst="rect"/>
                        <a:solidFill>
                          <a:srgbClr val="FFFFFF"/>
                        </a:solidFill>
                      </wps:spPr>
                      <wps:txbx>
                        <w:txbxContent>
                          <w:p>
                            <w:pPr>
                              <w:pStyle w:val="TextBody"/>
                              <w:bidi w:val="0"/>
                              <w:spacing w:before="0" w:after="0"/>
                              <w:jc w:val="both"/>
                              <w:rPr>
                                <w:rFonts w:ascii="arial" w:hAnsi="arial"/>
                                <w:sz w:val="19"/>
                              </w:rPr>
                            </w:pPr>
                            <w:r>
                              <w:rPr>
                                <w:rFonts w:ascii="arial" w:hAnsi="arial"/>
                                <w:i/>
                                <w:color w:val="0171B9"/>
                                <w:sz w:val="19"/>
                              </w:rPr>
                              <w:t>Equity Incentives.</w:t>
                            </w:r>
                            <w:r>
                              <w:rPr>
                                <w:rFonts w:ascii="arial" w:hAnsi="arial"/>
                                <w:sz w:val="19"/>
                              </w:rPr>
                              <w:t xml:space="preserve"> Each non-employee director received an automatic annual grant of restricted stock units, or RSUs, on the date of the annual meeting of stockholders, with a grant date fair market value of $210,000, based on the closing price of our Common Stock on the grant date (rounded down to the nearest whole number). The RSUs vest immediately, and to further support long-term holding, a director may choose to defer receipt of such shares. Directors who elect to defer receipt of the shares accrue dividend equivalents on the vested RSUs during the deferral period. Further, to increase their equity holdings, a director may also elect to receive deferred vested RSUs in lieu of up to 100% of his or her cash compensation. </w:t>
                            </w:r>
                          </w:p>
                          <w:p>
                            <w:pPr>
                              <w:pStyle w:val="TextBody"/>
                              <w:bidi w:val="0"/>
                              <w:spacing w:before="120" w:after="0"/>
                              <w:jc w:val="both"/>
                              <w:rPr>
                                <w:rFonts w:ascii="arial" w:hAnsi="arial"/>
                                <w:sz w:val="19"/>
                              </w:rPr>
                            </w:pPr>
                            <w:r>
                              <w:rPr>
                                <w:rFonts w:ascii="arial" w:hAnsi="arial"/>
                                <w:i/>
                                <w:color w:val="0171B9"/>
                                <w:sz w:val="19"/>
                              </w:rPr>
                              <w:t>Director Stock Ownership Guidelines.</w:t>
                            </w:r>
                            <w:r>
                              <w:rPr>
                                <w:rFonts w:ascii="arial" w:hAnsi="arial"/>
                                <w:sz w:val="19"/>
                              </w:rPr>
                              <w:t xml:space="preserve"> All non-employee directors are expected to hold the equivalent of five times the Board annual cash retainer ($525,000 in 2023) in our Common Stock while serving as a non-employee director. </w:t>
                            </w:r>
                          </w:p>
                          <w:p>
                            <w:pPr>
                              <w:pStyle w:val="TextBody"/>
                              <w:bidi w:val="0"/>
                              <w:spacing w:before="120" w:after="0"/>
                              <w:jc w:val="both"/>
                              <w:rPr>
                                <w:rFonts w:ascii="arial" w:hAnsi="arial"/>
                                <w:sz w:val="19"/>
                              </w:rPr>
                            </w:pPr>
                            <w:r>
                              <w:rPr>
                                <w:rFonts w:ascii="arial" w:hAnsi="arial"/>
                                <w:sz w:val="19"/>
                              </w:rPr>
                              <w:t xml:space="preserve">All non-employee directors are expected to comply with the stock ownership guidelines on or before December 31st of the calendar year in which the fifth anniversary of their first date of election by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51.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i/>
                          <w:color w:val="0171B9"/>
                          <w:sz w:val="19"/>
                        </w:rPr>
                        <w:t>Equity Incentives.</w:t>
                      </w:r>
                      <w:r>
                        <w:rPr>
                          <w:rFonts w:ascii="arial" w:hAnsi="arial"/>
                          <w:sz w:val="19"/>
                        </w:rPr>
                        <w:t xml:space="preserve"> Each non-employee director received an automatic annual grant of restricted stock units, or RSUs, on the date of the annual meeting of stockholders, with a grant date fair market value of $210,000, based on the closing price of our Common Stock on the grant date (rounded down to the nearest whole number). The RSUs vest immediately, and to further support long-term holding, a director may choose to defer receipt of such shares. Directors who elect to defer receipt of the shares accrue dividend equivalents on the vested RSUs during the deferral period. Further, to increase their equity holdings, a director may also elect to receive deferred vested RSUs in lieu of up to 100% of his or her cash compensation. </w:t>
                      </w:r>
                    </w:p>
                    <w:p>
                      <w:pPr>
                        <w:pStyle w:val="TextBody"/>
                        <w:bidi w:val="0"/>
                        <w:spacing w:before="120" w:after="0"/>
                        <w:jc w:val="both"/>
                        <w:rPr>
                          <w:rFonts w:ascii="arial" w:hAnsi="arial"/>
                          <w:sz w:val="19"/>
                        </w:rPr>
                      </w:pPr>
                      <w:r>
                        <w:rPr>
                          <w:rFonts w:ascii="arial" w:hAnsi="arial"/>
                          <w:i/>
                          <w:color w:val="0171B9"/>
                          <w:sz w:val="19"/>
                        </w:rPr>
                        <w:t>Director Stock Ownership Guidelines.</w:t>
                      </w:r>
                      <w:r>
                        <w:rPr>
                          <w:rFonts w:ascii="arial" w:hAnsi="arial"/>
                          <w:sz w:val="19"/>
                        </w:rPr>
                        <w:t xml:space="preserve"> All non-employee directors are expected to hold the equivalent of five times the Board annual cash retainer ($525,000 in 2023) in our Common Stock while serving as a non-employee director. </w:t>
                      </w:r>
                    </w:p>
                    <w:p>
                      <w:pPr>
                        <w:pStyle w:val="TextBody"/>
                        <w:bidi w:val="0"/>
                        <w:spacing w:before="120" w:after="0"/>
                        <w:jc w:val="both"/>
                        <w:rPr>
                          <w:rFonts w:ascii="arial" w:hAnsi="arial"/>
                          <w:sz w:val="19"/>
                        </w:rPr>
                      </w:pPr>
                      <w:r>
                        <w:rPr>
                          <w:rFonts w:ascii="arial" w:hAnsi="arial"/>
                          <w:sz w:val="19"/>
                        </w:rPr>
                        <w:t xml:space="preserve">All non-employee directors are expected to comply with the stock ownership guidelines on or before December 31st of the calendar year in which the fifth anniversary of their first date of election by </w:t>
                      </w:r>
                    </w:p>
                  </w:txbxContent>
                </v:textbox>
                <w10:wrap type="square" side="right"/>
              </v:rect>
            </w:pict>
          </mc:Fallback>
        </mc:AlternateContent>
      </w:r>
      <w:r>
        <mc:AlternateContent>
          <mc:Choice Requires="wps">
            <w:drawing>
              <wp:anchor behindDoc="0" distT="0" distB="0" distL="0" distR="0" simplePos="0" locked="0" layoutInCell="1" allowOverlap="1" relativeHeight="415">
                <wp:simplePos x="0" y="0"/>
                <wp:positionH relativeFrom="column">
                  <wp:align>left</wp:align>
                </wp:positionH>
                <wp:positionV relativeFrom="line">
                  <wp:posOffset>635</wp:posOffset>
                </wp:positionV>
                <wp:extent cx="3175000" cy="3336290"/>
                <wp:effectExtent l="0" t="0" r="0" b="0"/>
                <wp:wrapSquare wrapText="right"/>
                <wp:docPr id="359" name="Frame178"/>
                <a:graphic xmlns:a="http://schemas.openxmlformats.org/drawingml/2006/main">
                  <a:graphicData uri="http://schemas.microsoft.com/office/word/2010/wordprocessingShape">
                    <wps:wsp>
                      <wps:cNvSpPr txBox="1"/>
                      <wps:spPr>
                        <a:xfrm>
                          <a:off x="0" y="0"/>
                          <a:ext cx="3175000" cy="333629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stockholders falls. For purposes of the Board stock ownership guidelines, issued and outstanding shares of our Common Stock held beneficially or of record by the non-employee director, issued and outstanding shares of our Common Stock held in a qualifying trust (as defined in the guidelines), and vested RSUs that are deferred will count towards satisfying these stock ownership guidelines. All directors with compliance dates that were on or prior to December 31, 2023, met the stock ownership guidelines as of those dates. </w:t>
                            </w:r>
                          </w:p>
                          <w:p>
                            <w:pPr>
                              <w:pStyle w:val="TextBody"/>
                              <w:bidi w:val="0"/>
                              <w:spacing w:before="120" w:after="0"/>
                              <w:jc w:val="both"/>
                              <w:rPr>
                                <w:rFonts w:ascii="arial" w:hAnsi="arial"/>
                                <w:sz w:val="19"/>
                              </w:rPr>
                            </w:pPr>
                            <w:r>
                              <w:rPr>
                                <w:rFonts w:ascii="arial" w:hAnsi="arial"/>
                                <w:sz w:val="19"/>
                              </w:rPr>
                              <w:t xml:space="preserve">Board members are subject to our insider trading policy that, among other things, prohibits engaging in short sales with respect to the Company’s securities, purchasing or pledging the Company’s stock on margin(1), or entering into any hedging, derivative or similar transactions with respect to the Company’s securities. </w:t>
                            </w:r>
                          </w:p>
                          <w:p>
                            <w:pPr>
                              <w:pStyle w:val="TextBody"/>
                              <w:bidi w:val="0"/>
                              <w:spacing w:before="120" w:after="0"/>
                              <w:jc w:val="both"/>
                              <w:rPr>
                                <w:rFonts w:ascii="arial" w:hAnsi="arial"/>
                                <w:sz w:val="19"/>
                              </w:rPr>
                            </w:pPr>
                            <w:r>
                              <w:rPr>
                                <w:rFonts w:ascii="arial" w:hAnsi="arial"/>
                                <w:i/>
                                <w:color w:val="0171B9"/>
                                <w:sz w:val="19"/>
                              </w:rPr>
                              <w:t>Expenses.</w:t>
                            </w:r>
                            <w:r>
                              <w:rPr>
                                <w:rFonts w:ascii="arial" w:hAnsi="arial"/>
                                <w:sz w:val="19"/>
                              </w:rPr>
                              <w:t xml:space="preserve"> Directors are entitled to reimbursement of their expenses incurred in connection with attendance at Board and committee meetings and conferences with our Senior Management. We make tax gross-up payments to our directors to reimburse them for additional income taxes imposed when we are required to impute income on perquisites that we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62.7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stockholders falls. For purposes of the Board stock ownership guidelines, issued and outstanding shares of our Common Stock held beneficially or of record by the non-employee director, issued and outstanding shares of our Common Stock held in a qualifying trust (as defined in the guidelines), and vested RSUs that are deferred will count towards satisfying these stock ownership guidelines. All directors with compliance dates that were on or prior to December 31, 2023, met the stock ownership guidelines as of those dates. </w:t>
                      </w:r>
                    </w:p>
                    <w:p>
                      <w:pPr>
                        <w:pStyle w:val="TextBody"/>
                        <w:bidi w:val="0"/>
                        <w:spacing w:before="120" w:after="0"/>
                        <w:jc w:val="both"/>
                        <w:rPr>
                          <w:rFonts w:ascii="arial" w:hAnsi="arial"/>
                          <w:sz w:val="19"/>
                        </w:rPr>
                      </w:pPr>
                      <w:r>
                        <w:rPr>
                          <w:rFonts w:ascii="arial" w:hAnsi="arial"/>
                          <w:sz w:val="19"/>
                        </w:rPr>
                        <w:t xml:space="preserve">Board members are subject to our insider trading policy that, among other things, prohibits engaging in short sales with respect to the Company’s securities, purchasing or pledging the Company’s stock on margin(1), or entering into any hedging, derivative or similar transactions with respect to the Company’s securities. </w:t>
                      </w:r>
                    </w:p>
                    <w:p>
                      <w:pPr>
                        <w:pStyle w:val="TextBody"/>
                        <w:bidi w:val="0"/>
                        <w:spacing w:before="120" w:after="0"/>
                        <w:jc w:val="both"/>
                        <w:rPr>
                          <w:rFonts w:ascii="arial" w:hAnsi="arial"/>
                          <w:sz w:val="19"/>
                        </w:rPr>
                      </w:pPr>
                      <w:r>
                        <w:rPr>
                          <w:rFonts w:ascii="arial" w:hAnsi="arial"/>
                          <w:i/>
                          <w:color w:val="0171B9"/>
                          <w:sz w:val="19"/>
                        </w:rPr>
                        <w:t>Expenses.</w:t>
                      </w:r>
                      <w:r>
                        <w:rPr>
                          <w:rFonts w:ascii="arial" w:hAnsi="arial"/>
                          <w:sz w:val="19"/>
                        </w:rPr>
                        <w:t xml:space="preserve"> Directors are entitled to reimbursement of their expenses incurred in connection with attendance at Board and committee meetings and conferences with our Senior Management. We make tax gross-up payments to our directors to reimburse them for additional income taxes imposed when we are required to impute income on perquisites that we </w:t>
                      </w:r>
                    </w:p>
                  </w:txbxContent>
                </v:textbox>
                <w10:wrap type="square" side="right"/>
              </v:rect>
            </w:pict>
          </mc:Fallback>
        </mc:AlternateContent>
      </w:r>
    </w:p>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pPr>
            <w:r>
              <w:rPr/>
              <w:t>(1) </w:t>
            </w:r>
          </w:p>
        </w:tc>
        <w:tc>
          <w:tcPr>
            <w:tcW w:w="9874" w:type="dxa"/>
            <w:tcBorders/>
            <w:vAlign w:val="center"/>
          </w:tcPr>
          <w:p>
            <w:pPr>
              <w:pStyle w:val="TableContents"/>
              <w:bidi w:val="0"/>
              <w:spacing w:before="0" w:after="0"/>
              <w:jc w:val="both"/>
              <w:rPr>
                <w:rFonts w:ascii="arial" w:hAnsi="arial"/>
                <w:sz w:val="16"/>
              </w:rPr>
            </w:pPr>
            <w:r>
              <w:rPr>
                <w:rFonts w:ascii="arial" w:hAnsi="arial"/>
                <w:sz w:val="16"/>
              </w:rPr>
              <w:t>With the exception of the use of a margin account to purchase our common stock in connection with the exercise of Amgen-granted stock options (</w:t>
            </w:r>
            <w:r>
              <w:rPr>
                <w:rFonts w:ascii="arial" w:hAnsi="arial"/>
                <w:i/>
                <w:sz w:val="16"/>
              </w:rPr>
              <w:t>i.e.</w:t>
            </w:r>
            <w:r>
              <w:rPr>
                <w:rFonts w:ascii="arial" w:hAnsi="arial"/>
                <w:sz w:val="16"/>
              </w:rPr>
              <w:t xml:space="preserve">, “cashless exercises”). </w:t>
            </w:r>
          </w:p>
        </w:tc>
      </w:tr>
    </w:tbl>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360"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170" descr=""/>
                    <pic:cNvPicPr>
                      <a:picLocks noChangeAspect="1" noChangeArrowheads="1"/>
                    </pic:cNvPicPr>
                  </pic:nvPicPr>
                  <pic:blipFill>
                    <a:blip r:embed="rId183"/>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103</w:t>
      </w:r>
      <w:r>
        <w:rPr>
          <w:rFonts w:ascii="arial" w:hAnsi="arial"/>
          <w:b/>
          <w:sz w:val="22"/>
        </w:rPr>
        <w:t xml:space="preserve"> </w:t>
      </w:r>
      <w:r>
        <w:br w:type="page"/>
      </w:r>
    </w:p>
    <w:p>
      <w:pPr>
        <w:pStyle w:val="HorizontalLine"/>
        <w:bidi w:val="0"/>
        <w:jc w:val="left"/>
        <w:rPr/>
      </w:pPr>
      <w:r>
        <w:rPr/>
      </w:r>
    </w:p>
    <w:tbl>
      <w:tblPr>
        <w:tblW w:w="315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267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267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Director Compensation</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416">
                <wp:simplePos x="0" y="0"/>
                <wp:positionH relativeFrom="column">
                  <wp:align>left</wp:align>
                </wp:positionH>
                <wp:positionV relativeFrom="line">
                  <wp:posOffset>635</wp:posOffset>
                </wp:positionV>
                <wp:extent cx="3110230" cy="1737360"/>
                <wp:effectExtent l="0" t="0" r="0" b="0"/>
                <wp:wrapSquare wrapText="right"/>
                <wp:docPr id="361" name="Frame179"/>
                <a:graphic xmlns:a="http://schemas.openxmlformats.org/drawingml/2006/main">
                  <a:graphicData uri="http://schemas.microsoft.com/office/word/2010/wordprocessingShape">
                    <wps:wsp>
                      <wps:cNvSpPr txBox="1"/>
                      <wps:spPr>
                        <a:xfrm>
                          <a:off x="0" y="0"/>
                          <a:ext cx="3110230" cy="173736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provide</w:t>
                            </w:r>
                            <w:r>
                              <w:rPr>
                                <w:rFonts w:ascii="arial" w:hAnsi="arial"/>
                                <w:i/>
                                <w:sz w:val="19"/>
                              </w:rPr>
                              <w:t>.</w:t>
                            </w:r>
                            <w:r>
                              <w:rPr>
                                <w:rFonts w:ascii="arial" w:hAnsi="arial"/>
                                <w:sz w:val="19"/>
                              </w:rPr>
                              <w:t xml:space="preserve"> Guests of our Board members are occasionally invited to Board events, and we may pay or reimburse travel expenses and may provide transportation on our aircraft for both the director and his or her guest. </w:t>
                            </w:r>
                          </w:p>
                          <w:p>
                            <w:pPr>
                              <w:pStyle w:val="TextBody"/>
                              <w:bidi w:val="0"/>
                              <w:spacing w:before="120" w:after="0"/>
                              <w:jc w:val="both"/>
                              <w:rPr>
                                <w:rFonts w:ascii="arial" w:hAnsi="arial"/>
                                <w:sz w:val="19"/>
                              </w:rPr>
                            </w:pPr>
                            <w:r>
                              <w:rPr>
                                <w:rFonts w:ascii="arial" w:hAnsi="arial"/>
                                <w:i/>
                                <w:color w:val="0171B9"/>
                                <w:sz w:val="19"/>
                              </w:rPr>
                              <w:t>Deferred Compensation.</w:t>
                            </w:r>
                            <w:r>
                              <w:rPr>
                                <w:rFonts w:ascii="arial" w:hAnsi="arial"/>
                                <w:sz w:val="19"/>
                              </w:rPr>
                              <w:t xml:space="preserve"> Non-employee directors are eligible to participate in the Nonqualified Deferred Compensation Plan that we maintain for our staff members (see “Nonqualified Deferred Compensation” in our Executive Compensation Tables above for more information). Earnings under this plan are market-based—there are no “above market” or guaranteed rates of returns.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36.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provide</w:t>
                      </w:r>
                      <w:r>
                        <w:rPr>
                          <w:rFonts w:ascii="arial" w:hAnsi="arial"/>
                          <w:i/>
                          <w:sz w:val="19"/>
                        </w:rPr>
                        <w:t>.</w:t>
                      </w:r>
                      <w:r>
                        <w:rPr>
                          <w:rFonts w:ascii="arial" w:hAnsi="arial"/>
                          <w:sz w:val="19"/>
                        </w:rPr>
                        <w:t xml:space="preserve"> Guests of our Board members are occasionally invited to Board events, and we may pay or reimburse travel expenses and may provide transportation on our aircraft for both the director and his or her guest. </w:t>
                      </w:r>
                    </w:p>
                    <w:p>
                      <w:pPr>
                        <w:pStyle w:val="TextBody"/>
                        <w:bidi w:val="0"/>
                        <w:spacing w:before="120" w:after="0"/>
                        <w:jc w:val="both"/>
                        <w:rPr>
                          <w:rFonts w:ascii="arial" w:hAnsi="arial"/>
                          <w:sz w:val="19"/>
                        </w:rPr>
                      </w:pPr>
                      <w:r>
                        <w:rPr>
                          <w:rFonts w:ascii="arial" w:hAnsi="arial"/>
                          <w:i/>
                          <w:color w:val="0171B9"/>
                          <w:sz w:val="19"/>
                        </w:rPr>
                        <w:t>Deferred Compensation.</w:t>
                      </w:r>
                      <w:r>
                        <w:rPr>
                          <w:rFonts w:ascii="arial" w:hAnsi="arial"/>
                          <w:sz w:val="19"/>
                        </w:rPr>
                        <w:t xml:space="preserve"> Non-employee directors are eligible to participate in the Nonqualified Deferred Compensation Plan that we maintain for our staff members (see “Nonqualified Deferred Compensation” in our Executive Compensation Tables above for more information). Earnings under this plan are market-based—there are no “above market” or guaranteed rates of returns. </w:t>
                      </w:r>
                    </w:p>
                  </w:txbxContent>
                </v:textbox>
                <w10:wrap type="square" side="right"/>
              </v:rect>
            </w:pict>
          </mc:Fallback>
        </mc:AlternateContent>
      </w:r>
      <w:r>
        <mc:AlternateContent>
          <mc:Choice Requires="wps">
            <w:drawing>
              <wp:anchor behindDoc="0" distT="0" distB="0" distL="0" distR="0" simplePos="0" locked="0" layoutInCell="1" allowOverlap="1" relativeHeight="417">
                <wp:simplePos x="0" y="0"/>
                <wp:positionH relativeFrom="column">
                  <wp:align>left</wp:align>
                </wp:positionH>
                <wp:positionV relativeFrom="line">
                  <wp:posOffset>635</wp:posOffset>
                </wp:positionV>
                <wp:extent cx="3175000" cy="1522730"/>
                <wp:effectExtent l="0" t="0" r="0" b="0"/>
                <wp:wrapSquare wrapText="right"/>
                <wp:docPr id="362" name="Frame180"/>
                <a:graphic xmlns:a="http://schemas.openxmlformats.org/drawingml/2006/main">
                  <a:graphicData uri="http://schemas.microsoft.com/office/word/2010/wordprocessingShape">
                    <wps:wsp>
                      <wps:cNvSpPr txBox="1"/>
                      <wps:spPr>
                        <a:xfrm>
                          <a:off x="0" y="0"/>
                          <a:ext cx="3175000" cy="1522730"/>
                        </a:xfrm>
                        <a:prstGeom prst="rect"/>
                        <a:solidFill>
                          <a:srgbClr val="FFFFFF"/>
                        </a:solidFill>
                      </wps:spPr>
                      <wps:txbx>
                        <w:txbxContent>
                          <w:p>
                            <w:pPr>
                              <w:pStyle w:val="TextBody"/>
                              <w:bidi w:val="0"/>
                              <w:spacing w:before="0" w:after="0"/>
                              <w:jc w:val="both"/>
                              <w:rPr>
                                <w:rFonts w:ascii="arial" w:hAnsi="arial"/>
                                <w:sz w:val="19"/>
                              </w:rPr>
                            </w:pPr>
                            <w:r>
                              <w:rPr>
                                <w:rFonts w:ascii="arial" w:hAnsi="arial"/>
                                <w:i/>
                                <w:color w:val="0171B9"/>
                                <w:sz w:val="19"/>
                              </w:rPr>
                              <w:t xml:space="preserve">Charitable Contributions. </w:t>
                            </w:r>
                            <w:r>
                              <w:rPr>
                                <w:rFonts w:ascii="arial" w:hAnsi="arial"/>
                                <w:sz w:val="19"/>
                              </w:rPr>
                              <w:t xml:space="preserve">Through The Amgen Foundation, Inc., the Company maintains a charitable contributions matching gift program for all eligible staff members and non-employee directors. The Amgen Foundation, Inc. matches, on a dollar-for-dollar basis, qualifying donations made by directors to eligible organizations, up to $20,000 per person, per year. Separate from, and in addition to, this ongoing annual program, in response to catastrophic events and natural disasters, The Amgen Foundation, Inc. matches, on a dollar-for-dollar basis, donations to specified disaster relief organizations.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19.9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i/>
                          <w:color w:val="0171B9"/>
                          <w:sz w:val="19"/>
                        </w:rPr>
                        <w:t xml:space="preserve">Charitable Contributions. </w:t>
                      </w:r>
                      <w:r>
                        <w:rPr>
                          <w:rFonts w:ascii="arial" w:hAnsi="arial"/>
                          <w:sz w:val="19"/>
                        </w:rPr>
                        <w:t xml:space="preserve">Through The Amgen Foundation, Inc., the Company maintains a charitable contributions matching gift program for all eligible staff members and non-employee directors. The Amgen Foundation, Inc. matches, on a dollar-for-dollar basis, qualifying donations made by directors to eligible organizations, up to $20,000 per person, per year. Separate from, and in addition to, this ongoing annual program, in response to catastrophic events and natural disasters, The Amgen Foundation, Inc. matches, on a dollar-for-dollar basis, donations to specified disaster relief organizations. </w:t>
                      </w:r>
                    </w:p>
                  </w:txbxContent>
                </v:textbox>
                <w10:wrap type="square" side="right"/>
              </v:rect>
            </w:pict>
          </mc:Fallback>
        </mc:AlternateContent>
      </w:r>
    </w:p>
    <w:p>
      <w:pPr>
        <w:pStyle w:val="TextBody"/>
        <w:bidi w:val="0"/>
        <w:spacing w:before="120" w:after="0"/>
        <w:jc w:val="left"/>
        <w:rPr>
          <w:rFonts w:ascii="arial" w:hAnsi="arial"/>
          <w:b/>
          <w:color w:val="0171B9"/>
          <w:sz w:val="28"/>
        </w:rPr>
      </w:pPr>
      <w:r>
        <w:rPr>
          <w:rFonts w:ascii="arial" w:hAnsi="arial"/>
          <w:b/>
          <w:color w:val="0171B9"/>
          <w:sz w:val="28"/>
        </w:rPr>
        <w:t xml:space="preserve">Changes to Director Compensation for 2024 </w:t>
      </w:r>
    </w:p>
    <w:p>
      <w:pPr>
        <w:pStyle w:val="TextBody"/>
        <w:pBdr>
          <w:bottom w:val="single" w:sz="2" w:space="1" w:color="666666"/>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418">
                <wp:simplePos x="0" y="0"/>
                <wp:positionH relativeFrom="column">
                  <wp:align>left</wp:align>
                </wp:positionH>
                <wp:positionV relativeFrom="line">
                  <wp:posOffset>635</wp:posOffset>
                </wp:positionV>
                <wp:extent cx="3110230" cy="2429510"/>
                <wp:effectExtent l="0" t="0" r="0" b="0"/>
                <wp:wrapSquare wrapText="right"/>
                <wp:docPr id="363" name="Frame181"/>
                <a:graphic xmlns:a="http://schemas.openxmlformats.org/drawingml/2006/main">
                  <a:graphicData uri="http://schemas.microsoft.com/office/word/2010/wordprocessingShape">
                    <wps:wsp>
                      <wps:cNvSpPr txBox="1"/>
                      <wps:spPr>
                        <a:xfrm>
                          <a:off x="0" y="0"/>
                          <a:ext cx="3110230" cy="242951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In October 2023, as part of its oversight and periodic review, the Governance and Nominating Committee, or Governance Committee, reviewed our director compensation program. Director compensation was last evaluated by the Governance Committee in October 2020. To advise on director compensation, the Governance Committee retained Frederic W. Cook &amp; Co., Inc., or FW Cook, as an independent consultant to the Governance Committee. FW Cook provided detailed director pay comparisons against the same peer group companies that are used in assessing compensation for our executive officers. </w:t>
                            </w:r>
                          </w:p>
                          <w:p>
                            <w:pPr>
                              <w:pStyle w:val="TextBody"/>
                              <w:bidi w:val="0"/>
                              <w:spacing w:before="120" w:after="0"/>
                              <w:jc w:val="both"/>
                              <w:rPr>
                                <w:rFonts w:ascii="arial" w:hAnsi="arial"/>
                                <w:sz w:val="19"/>
                              </w:rPr>
                            </w:pPr>
                            <w:r>
                              <w:rPr>
                                <w:rFonts w:ascii="arial" w:hAnsi="arial"/>
                                <w:sz w:val="19"/>
                              </w:rPr>
                              <w:t xml:space="preserve">FW Cook determined that director compensation practices had migrated since the Governance Committee’s last review and the Board’s last approval of changes to the director compensation program in 2020. Based on this review and recommendations by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91.3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In October 2023, as part of its oversight and periodic review, the Governance and Nominating Committee, or Governance Committee, reviewed our director compensation program. Director compensation was last evaluated by the Governance Committee in October 2020. To advise on director compensation, the Governance Committee retained Frederic W. Cook &amp; Co., Inc., or FW Cook, as an independent consultant to the Governance Committee. FW Cook provided detailed director pay comparisons against the same peer group companies that are used in assessing compensation for our executive officers. </w:t>
                      </w:r>
                    </w:p>
                    <w:p>
                      <w:pPr>
                        <w:pStyle w:val="TextBody"/>
                        <w:bidi w:val="0"/>
                        <w:spacing w:before="120" w:after="0"/>
                        <w:jc w:val="both"/>
                        <w:rPr>
                          <w:rFonts w:ascii="arial" w:hAnsi="arial"/>
                          <w:sz w:val="19"/>
                        </w:rPr>
                      </w:pPr>
                      <w:r>
                        <w:rPr>
                          <w:rFonts w:ascii="arial" w:hAnsi="arial"/>
                          <w:sz w:val="19"/>
                        </w:rPr>
                        <w:t xml:space="preserve">FW Cook determined that director compensation practices had migrated since the Governance Committee’s last review and the Board’s last approval of changes to the director compensation program in 2020. Based on this review and recommendations by </w:t>
                      </w:r>
                    </w:p>
                  </w:txbxContent>
                </v:textbox>
                <w10:wrap type="square" side="right"/>
              </v:rect>
            </w:pict>
          </mc:Fallback>
        </mc:AlternateContent>
      </w:r>
      <w:r>
        <mc:AlternateContent>
          <mc:Choice Requires="wps">
            <w:drawing>
              <wp:anchor behindDoc="0" distT="0" distB="0" distL="0" distR="0" simplePos="0" locked="0" layoutInCell="1" allowOverlap="1" relativeHeight="419">
                <wp:simplePos x="0" y="0"/>
                <wp:positionH relativeFrom="column">
                  <wp:align>left</wp:align>
                </wp:positionH>
                <wp:positionV relativeFrom="line">
                  <wp:posOffset>635</wp:posOffset>
                </wp:positionV>
                <wp:extent cx="3175000" cy="1938020"/>
                <wp:effectExtent l="0" t="0" r="0" b="0"/>
                <wp:wrapSquare wrapText="right"/>
                <wp:docPr id="364" name="Frame182"/>
                <a:graphic xmlns:a="http://schemas.openxmlformats.org/drawingml/2006/main">
                  <a:graphicData uri="http://schemas.microsoft.com/office/word/2010/wordprocessingShape">
                    <wps:wsp>
                      <wps:cNvSpPr txBox="1"/>
                      <wps:spPr>
                        <a:xfrm>
                          <a:off x="0" y="0"/>
                          <a:ext cx="3175000" cy="193802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FW Cook, the Governance Committee recommended to the Board, and the Board approved, changes to the compensation of our non-employee directors, effective January 1, 2024, to align our director compensation program to market compensation levels. Specifically, the Board modified the structure of director compensation to: (i) slightly increase the amounts of the annual cash retainer and the value of the directors’ annual equity (RSU) award; and (ii) increase the lead independent director retainer. Our Board believes that these changes are appropriate given the compensation levels that were indicated by the market data and FW Cook’s recommendations. Other than the changes described in this section, director compensation remains the same as in 2023.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52.6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FW Cook, the Governance Committee recommended to the Board, and the Board approved, changes to the compensation of our non-employee directors, effective January 1, 2024, to align our director compensation program to market compensation levels. Specifically, the Board modified the structure of director compensation to: (i) slightly increase the amounts of the annual cash retainer and the value of the directors’ annual equity (RSU) award; and (ii) increase the lead independent director retainer. Our Board believes that these changes are appropriate given the compensation levels that were indicated by the market data and FW Cook’s recommendations. Other than the changes described in this section, director compensation remains the same as in 2023. </w:t>
                      </w:r>
                    </w:p>
                  </w:txbxContent>
                </v:textbox>
                <w10:wrap type="square" side="right"/>
              </v:rect>
            </w:pict>
          </mc:Fallback>
        </mc:AlternateContent>
      </w:r>
    </w:p>
    <w:p>
      <w:pPr>
        <w:pStyle w:val="TextBody"/>
        <w:bidi w:val="0"/>
        <w:spacing w:before="120" w:after="0"/>
        <w:jc w:val="left"/>
        <w:rPr>
          <w:rFonts w:ascii="arial" w:hAnsi="arial"/>
          <w:b/>
          <w:color w:val="0171B9"/>
          <w:sz w:val="28"/>
        </w:rPr>
      </w:pPr>
      <w:r>
        <w:rPr>
          <w:rFonts w:ascii="arial" w:hAnsi="arial"/>
          <w:b/>
          <w:color w:val="0171B9"/>
          <w:sz w:val="28"/>
        </w:rPr>
        <w:t xml:space="preserve">Director Compensation Effective January 1, 2024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72"/>
        <w:gridCol w:w="120"/>
        <w:gridCol w:w="60"/>
        <w:gridCol w:w="120"/>
        <w:gridCol w:w="68"/>
        <w:gridCol w:w="1047"/>
        <w:gridCol w:w="435"/>
        <w:gridCol w:w="60"/>
        <w:gridCol w:w="121"/>
        <w:gridCol w:w="2024"/>
        <w:gridCol w:w="78"/>
      </w:tblGrid>
      <w:tr>
        <w:trPr/>
        <w:tc>
          <w:tcPr>
            <w:tcW w:w="60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6252" w:type="dxa"/>
            <w:gridSpan w:val="3"/>
            <w:tcBorders/>
            <w:shd w:fill="0171B9" w:val="clear"/>
            <w:vAlign w:val="center"/>
          </w:tcPr>
          <w:p>
            <w:pPr>
              <w:pStyle w:val="TableContents"/>
              <w:bidi w:val="0"/>
              <w:spacing w:before="0" w:after="283"/>
              <w:jc w:val="left"/>
              <w:rPr>
                <w:sz w:val="4"/>
                <w:szCs w:val="4"/>
              </w:rPr>
            </w:pPr>
            <w:r>
              <w:rPr>
                <w:sz w:val="4"/>
                <w:szCs w:val="4"/>
              </w:rPr>
            </w:r>
          </w:p>
        </w:tc>
        <w:tc>
          <w:tcPr>
            <w:tcW w:w="1670" w:type="dxa"/>
            <w:gridSpan w:val="4"/>
            <w:tcBorders/>
            <w:shd w:fill="0171B9" w:val="clear"/>
            <w:vAlign w:val="center"/>
          </w:tcPr>
          <w:p>
            <w:pPr>
              <w:pStyle w:val="TableContents"/>
              <w:bidi w:val="0"/>
              <w:spacing w:before="0" w:after="283"/>
              <w:jc w:val="left"/>
              <w:rPr>
                <w:sz w:val="4"/>
                <w:szCs w:val="4"/>
              </w:rPr>
            </w:pPr>
            <w:r>
              <w:rPr>
                <w:sz w:val="4"/>
                <w:szCs w:val="4"/>
              </w:rPr>
            </w:r>
          </w:p>
        </w:tc>
        <w:tc>
          <w:tcPr>
            <w:tcW w:w="2283" w:type="dxa"/>
            <w:gridSpan w:val="4"/>
            <w:tcBorders/>
            <w:shd w:fill="0171B9" w:val="clear"/>
            <w:vAlign w:val="center"/>
          </w:tcPr>
          <w:p>
            <w:pPr>
              <w:pStyle w:val="TableContents"/>
              <w:bidi w:val="0"/>
              <w:spacing w:before="0" w:after="283"/>
              <w:jc w:val="left"/>
              <w:rPr>
                <w:sz w:val="4"/>
                <w:szCs w:val="4"/>
              </w:rPr>
            </w:pPr>
            <w:r>
              <w:rPr>
                <w:sz w:val="4"/>
                <w:szCs w:val="4"/>
              </w:rPr>
            </w:r>
          </w:p>
        </w:tc>
      </w:tr>
      <w:tr>
        <w:trPr/>
        <w:tc>
          <w:tcPr>
            <w:tcW w:w="6252" w:type="dxa"/>
            <w:gridSpan w:val="3"/>
            <w:tcBorders>
              <w:bottom w:val="single" w:sz="8" w:space="0" w:color="FFFFFF"/>
            </w:tcBorders>
            <w:shd w:fill="0171B9" w:val="clear"/>
            <w:tcMar>
              <w:bottom w:w="80" w:type="dxa"/>
            </w:tcMar>
            <w:vAlign w:val="center"/>
          </w:tcPr>
          <w:p>
            <w:pPr>
              <w:pStyle w:val="TableContents"/>
              <w:bidi w:val="0"/>
              <w:spacing w:before="0" w:after="283"/>
              <w:jc w:val="left"/>
              <w:rPr>
                <w:color w:val="FFFFFF"/>
              </w:rPr>
            </w:pPr>
            <w:r>
              <w:rPr>
                <w:color w:val="FFFFFF"/>
              </w:rPr>
              <w:t> </w:t>
            </w:r>
            <w:r>
              <w:rPr>
                <w:b/>
                <w:color w:val="FFFFFF"/>
              </w:rPr>
              <w:t>Position</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115" w:type="dxa"/>
            <w:gridSpan w:val="2"/>
            <w:tcBorders>
              <w:bottom w:val="single" w:sz="8" w:space="0" w:color="FFFFFF"/>
            </w:tcBorders>
            <w:shd w:fill="0171B9" w:val="clear"/>
            <w:tcMar>
              <w:bottom w:w="80" w:type="dxa"/>
            </w:tcMar>
            <w:vAlign w:val="center"/>
          </w:tcPr>
          <w:p>
            <w:pPr>
              <w:pStyle w:val="TableContents"/>
              <w:bidi w:val="0"/>
              <w:spacing w:before="0" w:after="0"/>
              <w:jc w:val="right"/>
              <w:rPr>
                <w:rFonts w:ascii="arial" w:hAnsi="arial"/>
                <w:b/>
                <w:color w:val="FFFFFF"/>
                <w:sz w:val="18"/>
              </w:rPr>
            </w:pPr>
            <w:r>
              <w:rPr>
                <w:rFonts w:ascii="arial" w:hAnsi="arial"/>
                <w:b/>
                <w:color w:val="FFFFFF"/>
                <w:sz w:val="18"/>
              </w:rPr>
              <w:t>Annual Cash</w:t>
              <w:br/>
              <w:t>Retainer</w:t>
            </w:r>
          </w:p>
          <w:p>
            <w:pPr>
              <w:pStyle w:val="TableContents"/>
              <w:bidi w:val="0"/>
              <w:spacing w:before="0" w:after="20"/>
              <w:jc w:val="right"/>
              <w:rPr>
                <w:rFonts w:ascii="arial" w:hAnsi="arial"/>
                <w:b/>
                <w:color w:val="FFFFFF"/>
                <w:sz w:val="18"/>
              </w:rPr>
            </w:pPr>
            <w:r>
              <w:rPr>
                <w:rFonts w:ascii="arial" w:hAnsi="arial"/>
                <w:b/>
                <w:color w:val="FFFFFF"/>
                <w:sz w:val="18"/>
              </w:rPr>
              <w:t>($)</w:t>
            </w:r>
          </w:p>
        </w:tc>
        <w:tc>
          <w:tcPr>
            <w:tcW w:w="435"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2145" w:type="dxa"/>
            <w:gridSpan w:val="2"/>
            <w:tcBorders>
              <w:bottom w:val="single" w:sz="8" w:space="0" w:color="FFFFFF"/>
            </w:tcBorders>
            <w:shd w:fill="0171B9" w:val="clear"/>
            <w:tcMar>
              <w:bottom w:w="80" w:type="dxa"/>
            </w:tcMar>
            <w:vAlign w:val="center"/>
          </w:tcPr>
          <w:p>
            <w:pPr>
              <w:pStyle w:val="TableContents"/>
              <w:bidi w:val="0"/>
              <w:spacing w:before="0" w:after="0"/>
              <w:jc w:val="right"/>
              <w:rPr>
                <w:rFonts w:ascii="arial" w:hAnsi="arial"/>
                <w:b/>
                <w:color w:val="FFFFFF"/>
                <w:sz w:val="18"/>
              </w:rPr>
            </w:pPr>
            <w:r>
              <w:rPr>
                <w:rFonts w:ascii="arial" w:hAnsi="arial"/>
                <w:b/>
                <w:color w:val="FFFFFF"/>
                <w:sz w:val="18"/>
              </w:rPr>
              <w:t>Annual Equity Awards</w:t>
              <w:br/>
              <w:t>(Restricted Stock Units</w:t>
              <w:br/>
              <w:t>Grant Date Market Value)</w:t>
            </w:r>
          </w:p>
          <w:p>
            <w:pPr>
              <w:pStyle w:val="TableContents"/>
              <w:bidi w:val="0"/>
              <w:spacing w:before="0" w:after="20"/>
              <w:jc w:val="right"/>
              <w:rPr>
                <w:rFonts w:ascii="arial" w:hAnsi="arial"/>
                <w:b/>
                <w:color w:val="FFFFFF"/>
                <w:sz w:val="18"/>
              </w:rPr>
            </w:pPr>
            <w:r>
              <w:rPr>
                <w:rFonts w:ascii="arial" w:hAnsi="arial"/>
                <w:b/>
                <w:color w:val="FFFFFF"/>
                <w:sz w:val="18"/>
              </w:rPr>
              <w:t>($)</w:t>
            </w:r>
          </w:p>
        </w:tc>
        <w:tc>
          <w:tcPr>
            <w:tcW w:w="78"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r>
      <w:tr>
        <w:trPr/>
        <w:tc>
          <w:tcPr>
            <w:tcW w:w="6252" w:type="dxa"/>
            <w:gridSpan w:val="3"/>
            <w:tcBorders/>
            <w:shd w:fill="CCE2F1" w:val="clear"/>
            <w:vAlign w:val="center"/>
          </w:tcPr>
          <w:p>
            <w:pPr>
              <w:pStyle w:val="TableContents"/>
              <w:bidi w:val="0"/>
              <w:spacing w:before="0" w:after="283"/>
              <w:jc w:val="left"/>
              <w:rPr>
                <w:sz w:val="4"/>
                <w:szCs w:val="4"/>
              </w:rPr>
            </w:pPr>
            <w:r>
              <w:rPr>
                <w:sz w:val="4"/>
                <w:szCs w:val="4"/>
              </w:rPr>
            </w:r>
          </w:p>
        </w:tc>
        <w:tc>
          <w:tcPr>
            <w:tcW w:w="1670" w:type="dxa"/>
            <w:gridSpan w:val="4"/>
            <w:tcBorders/>
            <w:shd w:fill="CCE2F1" w:val="clear"/>
            <w:vAlign w:val="center"/>
          </w:tcPr>
          <w:p>
            <w:pPr>
              <w:pStyle w:val="TableContents"/>
              <w:bidi w:val="0"/>
              <w:spacing w:before="0" w:after="283"/>
              <w:jc w:val="left"/>
              <w:rPr>
                <w:sz w:val="4"/>
                <w:szCs w:val="4"/>
              </w:rPr>
            </w:pPr>
            <w:r>
              <w:rPr>
                <w:sz w:val="4"/>
                <w:szCs w:val="4"/>
              </w:rPr>
            </w:r>
          </w:p>
        </w:tc>
        <w:tc>
          <w:tcPr>
            <w:tcW w:w="2283"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6252" w:type="dxa"/>
            <w:gridSpan w:val="3"/>
            <w:tcBorders/>
            <w:shd w:fill="CCE2F1" w:val="clear"/>
            <w:vAlign w:val="center"/>
          </w:tcPr>
          <w:p>
            <w:pPr>
              <w:pStyle w:val="TableContents"/>
              <w:bidi w:val="0"/>
              <w:spacing w:before="0" w:after="0"/>
              <w:jc w:val="left"/>
              <w:rPr/>
            </w:pPr>
            <w:r>
              <w:rPr/>
              <w:t> </w:t>
            </w:r>
            <w:r>
              <w:rPr>
                <w:rFonts w:ascii="arial" w:hAnsi="arial"/>
                <w:sz w:val="18"/>
              </w:rPr>
              <w:t>Non-Employee Director</w:t>
            </w:r>
          </w:p>
        </w:tc>
        <w:tc>
          <w:tcPr>
            <w:tcW w:w="120" w:type="dxa"/>
            <w:tcBorders/>
            <w:shd w:fill="CCE2F1" w:val="clear"/>
            <w:vAlign w:val="center"/>
          </w:tcPr>
          <w:p>
            <w:pPr>
              <w:pStyle w:val="TableContents"/>
              <w:bidi w:val="0"/>
              <w:spacing w:before="0" w:after="283"/>
              <w:jc w:val="left"/>
              <w:rPr/>
            </w:pPr>
            <w:r>
              <w:rPr/>
              <w:t>  </w:t>
            </w:r>
          </w:p>
        </w:tc>
        <w:tc>
          <w:tcPr>
            <w:tcW w:w="68" w:type="dxa"/>
            <w:tcBorders/>
            <w:shd w:fill="CCE2F1" w:val="clear"/>
            <w:vAlign w:val="center"/>
          </w:tcPr>
          <w:p>
            <w:pPr>
              <w:pStyle w:val="TableContents"/>
              <w:bidi w:val="0"/>
              <w:spacing w:before="0" w:after="283"/>
              <w:jc w:val="left"/>
              <w:rPr/>
            </w:pPr>
            <w:r>
              <w:rPr/>
              <w:t> </w:t>
            </w:r>
          </w:p>
        </w:tc>
        <w:tc>
          <w:tcPr>
            <w:tcW w:w="1047" w:type="dxa"/>
            <w:tcBorders/>
            <w:shd w:fill="CCE2F1" w:val="clear"/>
            <w:vAlign w:val="center"/>
          </w:tcPr>
          <w:p>
            <w:pPr>
              <w:pStyle w:val="TableContents"/>
              <w:bidi w:val="0"/>
              <w:spacing w:before="0" w:after="283"/>
              <w:jc w:val="right"/>
              <w:rPr/>
            </w:pPr>
            <w:r>
              <w:rPr/>
              <w:t>$115,000</w:t>
            </w:r>
          </w:p>
        </w:tc>
        <w:tc>
          <w:tcPr>
            <w:tcW w:w="435" w:type="dxa"/>
            <w:tcBorders/>
            <w:shd w:fill="CCE2F1" w:val="clear"/>
            <w:vAlign w:val="center"/>
          </w:tcPr>
          <w:p>
            <w:pPr>
              <w:pStyle w:val="TableContents"/>
              <w:bidi w:val="0"/>
              <w:spacing w:before="0" w:after="283"/>
              <w:jc w:val="left"/>
              <w:rPr/>
            </w:pPr>
            <w:r>
              <w:rPr/>
              <w:t>(1)(2) </w:t>
            </w:r>
          </w:p>
        </w:tc>
        <w:tc>
          <w:tcPr>
            <w:tcW w:w="60" w:type="dxa"/>
            <w:tcBorders/>
            <w:shd w:fill="CCE2F1" w:val="clear"/>
            <w:vAlign w:val="center"/>
          </w:tcPr>
          <w:p>
            <w:pPr>
              <w:pStyle w:val="TableContents"/>
              <w:bidi w:val="0"/>
              <w:spacing w:before="0" w:after="283"/>
              <w:jc w:val="left"/>
              <w:rPr/>
            </w:pPr>
            <w:r>
              <w:rPr/>
              <w:t> </w:t>
            </w:r>
          </w:p>
        </w:tc>
        <w:tc>
          <w:tcPr>
            <w:tcW w:w="121" w:type="dxa"/>
            <w:tcBorders/>
            <w:shd w:fill="CCE2F1" w:val="clear"/>
            <w:vAlign w:val="center"/>
          </w:tcPr>
          <w:p>
            <w:pPr>
              <w:pStyle w:val="TableContents"/>
              <w:bidi w:val="0"/>
              <w:spacing w:before="0" w:after="283"/>
              <w:jc w:val="left"/>
              <w:rPr/>
            </w:pPr>
            <w:r>
              <w:rPr/>
              <w:t> </w:t>
            </w:r>
          </w:p>
        </w:tc>
        <w:tc>
          <w:tcPr>
            <w:tcW w:w="2024" w:type="dxa"/>
            <w:tcBorders/>
            <w:shd w:fill="CCE2F1" w:val="clear"/>
            <w:vAlign w:val="center"/>
          </w:tcPr>
          <w:p>
            <w:pPr>
              <w:pStyle w:val="TableContents"/>
              <w:bidi w:val="0"/>
              <w:spacing w:before="0" w:after="283"/>
              <w:jc w:val="right"/>
              <w:rPr/>
            </w:pPr>
            <w:r>
              <w:rPr/>
              <w:t>$220,000(1)  </w:t>
            </w:r>
          </w:p>
        </w:tc>
        <w:tc>
          <w:tcPr>
            <w:tcW w:w="78" w:type="dxa"/>
            <w:tcBorders/>
            <w:shd w:fill="CCE2F1" w:val="clear"/>
            <w:vAlign w:val="center"/>
          </w:tcPr>
          <w:p>
            <w:pPr>
              <w:pStyle w:val="TableContents"/>
              <w:bidi w:val="0"/>
              <w:spacing w:before="0" w:after="283"/>
              <w:jc w:val="left"/>
              <w:rPr/>
            </w:pPr>
            <w:r>
              <w:rPr/>
              <w:t> </w:t>
            </w:r>
          </w:p>
        </w:tc>
      </w:tr>
      <w:tr>
        <w:trPr/>
        <w:tc>
          <w:tcPr>
            <w:tcW w:w="6252" w:type="dxa"/>
            <w:gridSpan w:val="3"/>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2283" w:type="dxa"/>
            <w:gridSpan w:val="4"/>
            <w:tcBorders/>
            <w:vAlign w:val="center"/>
          </w:tcPr>
          <w:p>
            <w:pPr>
              <w:pStyle w:val="TableContents"/>
              <w:bidi w:val="0"/>
              <w:spacing w:before="0" w:after="283"/>
              <w:jc w:val="left"/>
              <w:rPr>
                <w:sz w:val="4"/>
                <w:szCs w:val="4"/>
              </w:rPr>
            </w:pPr>
            <w:r>
              <w:rPr>
                <w:sz w:val="4"/>
                <w:szCs w:val="4"/>
              </w:rPr>
            </w:r>
          </w:p>
        </w:tc>
      </w:tr>
      <w:tr>
        <w:trPr/>
        <w:tc>
          <w:tcPr>
            <w:tcW w:w="6252" w:type="dxa"/>
            <w:gridSpan w:val="3"/>
            <w:tcBorders/>
            <w:vAlign w:val="center"/>
          </w:tcPr>
          <w:p>
            <w:pPr>
              <w:pStyle w:val="TableContents"/>
              <w:bidi w:val="0"/>
              <w:spacing w:before="0" w:after="0"/>
              <w:jc w:val="left"/>
              <w:rPr/>
            </w:pPr>
            <w:r>
              <w:rPr/>
              <w:t> </w:t>
            </w:r>
            <w:r>
              <w:rPr>
                <w:rFonts w:ascii="arial" w:hAnsi="arial"/>
                <w:sz w:val="18"/>
              </w:rPr>
              <w:t>Lead Independent Director Retainer</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right"/>
              <w:rPr/>
            </w:pPr>
            <w:r>
              <w:rPr/>
              <w:t>$50,000</w:t>
            </w:r>
          </w:p>
        </w:tc>
        <w:tc>
          <w:tcPr>
            <w:tcW w:w="435" w:type="dxa"/>
            <w:tcBorders/>
            <w:vAlign w:val="center"/>
          </w:tcPr>
          <w:p>
            <w:pPr>
              <w:pStyle w:val="TableContents"/>
              <w:bidi w:val="0"/>
              <w:spacing w:before="0" w:after="283"/>
              <w:jc w:val="left"/>
              <w:rPr/>
            </w:pPr>
            <w:r>
              <w:rPr/>
              <w:t>(1)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024" w:type="dxa"/>
            <w:tcBorders/>
            <w:vAlign w:val="center"/>
          </w:tcPr>
          <w:p>
            <w:pPr>
              <w:pStyle w:val="TableContents"/>
              <w:bidi w:val="0"/>
              <w:spacing w:before="0" w:after="283"/>
              <w:jc w:val="right"/>
              <w:rPr/>
            </w:pPr>
            <w:r>
              <w:rPr/>
              <w:t>—  </w:t>
            </w:r>
          </w:p>
        </w:tc>
        <w:tc>
          <w:tcPr>
            <w:tcW w:w="78" w:type="dxa"/>
            <w:tcBorders/>
            <w:vAlign w:val="center"/>
          </w:tcPr>
          <w:p>
            <w:pPr>
              <w:pStyle w:val="TableContents"/>
              <w:bidi w:val="0"/>
              <w:spacing w:before="0" w:after="283"/>
              <w:jc w:val="left"/>
              <w:rPr/>
            </w:pPr>
            <w:r>
              <w:rPr/>
              <w:t> </w:t>
            </w:r>
          </w:p>
        </w:tc>
      </w:tr>
      <w:tr>
        <w:trPr/>
        <w:tc>
          <w:tcPr>
            <w:tcW w:w="6252" w:type="dxa"/>
            <w:gridSpan w:val="3"/>
            <w:tcBorders/>
            <w:shd w:fill="CCE2F1" w:val="clear"/>
            <w:vAlign w:val="center"/>
          </w:tcPr>
          <w:p>
            <w:pPr>
              <w:pStyle w:val="TableContents"/>
              <w:bidi w:val="0"/>
              <w:spacing w:before="0" w:after="283"/>
              <w:jc w:val="left"/>
              <w:rPr>
                <w:sz w:val="4"/>
                <w:szCs w:val="4"/>
              </w:rPr>
            </w:pPr>
            <w:r>
              <w:rPr>
                <w:sz w:val="4"/>
                <w:szCs w:val="4"/>
              </w:rPr>
            </w:r>
          </w:p>
        </w:tc>
        <w:tc>
          <w:tcPr>
            <w:tcW w:w="1670" w:type="dxa"/>
            <w:gridSpan w:val="4"/>
            <w:tcBorders/>
            <w:shd w:fill="CCE2F1" w:val="clear"/>
            <w:vAlign w:val="center"/>
          </w:tcPr>
          <w:p>
            <w:pPr>
              <w:pStyle w:val="TableContents"/>
              <w:bidi w:val="0"/>
              <w:spacing w:before="0" w:after="283"/>
              <w:jc w:val="left"/>
              <w:rPr>
                <w:sz w:val="4"/>
                <w:szCs w:val="4"/>
              </w:rPr>
            </w:pPr>
            <w:r>
              <w:rPr>
                <w:sz w:val="4"/>
                <w:szCs w:val="4"/>
              </w:rPr>
            </w:r>
          </w:p>
        </w:tc>
        <w:tc>
          <w:tcPr>
            <w:tcW w:w="2283"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6252" w:type="dxa"/>
            <w:gridSpan w:val="3"/>
            <w:tcBorders/>
            <w:shd w:fill="CCE2F1" w:val="clear"/>
            <w:vAlign w:val="center"/>
          </w:tcPr>
          <w:p>
            <w:pPr>
              <w:pStyle w:val="TableContents"/>
              <w:bidi w:val="0"/>
              <w:spacing w:before="0" w:after="0"/>
              <w:jc w:val="left"/>
              <w:rPr/>
            </w:pPr>
            <w:r>
              <w:rPr/>
              <w:t> </w:t>
            </w:r>
            <w:r>
              <w:rPr>
                <w:rFonts w:ascii="arial" w:hAnsi="arial"/>
                <w:sz w:val="18"/>
              </w:rPr>
              <w:t>Committee Chair Retainers</w:t>
            </w:r>
          </w:p>
        </w:tc>
        <w:tc>
          <w:tcPr>
            <w:tcW w:w="120" w:type="dxa"/>
            <w:tcBorders/>
            <w:shd w:fill="CCE2F1" w:val="clear"/>
            <w:vAlign w:val="center"/>
          </w:tcPr>
          <w:p>
            <w:pPr>
              <w:pStyle w:val="TableContents"/>
              <w:bidi w:val="0"/>
              <w:spacing w:before="0" w:after="283"/>
              <w:jc w:val="left"/>
              <w:rPr/>
            </w:pPr>
            <w:r>
              <w:rPr/>
              <w:t>  </w:t>
            </w:r>
          </w:p>
        </w:tc>
        <w:tc>
          <w:tcPr>
            <w:tcW w:w="68" w:type="dxa"/>
            <w:tcBorders/>
            <w:shd w:fill="CCE2F1" w:val="clear"/>
            <w:vAlign w:val="center"/>
          </w:tcPr>
          <w:p>
            <w:pPr>
              <w:pStyle w:val="TableContents"/>
              <w:bidi w:val="0"/>
              <w:spacing w:before="0" w:after="283"/>
              <w:jc w:val="left"/>
              <w:rPr>
                <w:sz w:val="4"/>
                <w:szCs w:val="4"/>
              </w:rPr>
            </w:pPr>
            <w:r>
              <w:rPr>
                <w:sz w:val="4"/>
                <w:szCs w:val="4"/>
              </w:rPr>
            </w:r>
          </w:p>
        </w:tc>
        <w:tc>
          <w:tcPr>
            <w:tcW w:w="1047" w:type="dxa"/>
            <w:tcBorders/>
            <w:shd w:fill="CCE2F1" w:val="clear"/>
            <w:vAlign w:val="center"/>
          </w:tcPr>
          <w:p>
            <w:pPr>
              <w:pStyle w:val="TableContents"/>
              <w:bidi w:val="0"/>
              <w:spacing w:before="0" w:after="283"/>
              <w:jc w:val="left"/>
              <w:rPr>
                <w:sz w:val="4"/>
                <w:szCs w:val="4"/>
              </w:rPr>
            </w:pPr>
            <w:r>
              <w:rPr>
                <w:sz w:val="4"/>
                <w:szCs w:val="4"/>
              </w:rPr>
            </w:r>
          </w:p>
        </w:tc>
        <w:tc>
          <w:tcPr>
            <w:tcW w:w="435"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121" w:type="dxa"/>
            <w:tcBorders/>
            <w:shd w:fill="CCE2F1" w:val="clear"/>
            <w:vAlign w:val="center"/>
          </w:tcPr>
          <w:p>
            <w:pPr>
              <w:pStyle w:val="TableContents"/>
              <w:bidi w:val="0"/>
              <w:spacing w:before="0" w:after="283"/>
              <w:jc w:val="left"/>
              <w:rPr/>
            </w:pPr>
            <w:r>
              <w:rPr/>
              <w:t> </w:t>
            </w:r>
          </w:p>
        </w:tc>
        <w:tc>
          <w:tcPr>
            <w:tcW w:w="2024" w:type="dxa"/>
            <w:tcBorders/>
            <w:shd w:fill="CCE2F1" w:val="clear"/>
            <w:vAlign w:val="center"/>
          </w:tcPr>
          <w:p>
            <w:pPr>
              <w:pStyle w:val="TableContents"/>
              <w:bidi w:val="0"/>
              <w:spacing w:before="0" w:after="283"/>
              <w:jc w:val="right"/>
              <w:rPr/>
            </w:pPr>
            <w:r>
              <w:rPr/>
              <w:t>—  </w:t>
            </w:r>
          </w:p>
        </w:tc>
        <w:tc>
          <w:tcPr>
            <w:tcW w:w="78" w:type="dxa"/>
            <w:tcBorders/>
            <w:shd w:fill="CCE2F1" w:val="clear"/>
            <w:vAlign w:val="center"/>
          </w:tcPr>
          <w:p>
            <w:pPr>
              <w:pStyle w:val="TableContents"/>
              <w:bidi w:val="0"/>
              <w:spacing w:before="0" w:after="283"/>
              <w:jc w:val="left"/>
              <w:rPr/>
            </w:pPr>
            <w:r>
              <w:rPr/>
              <w:t> </w:t>
            </w:r>
          </w:p>
        </w:tc>
      </w:tr>
      <w:tr>
        <w:trPr/>
        <w:tc>
          <w:tcPr>
            <w:tcW w:w="6072" w:type="dxa"/>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2283" w:type="dxa"/>
            <w:gridSpan w:val="4"/>
            <w:tcBorders/>
            <w:vAlign w:val="center"/>
          </w:tcPr>
          <w:p>
            <w:pPr>
              <w:pStyle w:val="TableContents"/>
              <w:bidi w:val="0"/>
              <w:spacing w:before="0" w:after="283"/>
              <w:jc w:val="left"/>
              <w:rPr>
                <w:sz w:val="4"/>
                <w:szCs w:val="4"/>
              </w:rPr>
            </w:pPr>
            <w:r>
              <w:rPr>
                <w:sz w:val="4"/>
                <w:szCs w:val="4"/>
              </w:rPr>
            </w:r>
          </w:p>
        </w:tc>
      </w:tr>
      <w:tr>
        <w:trPr/>
        <w:tc>
          <w:tcPr>
            <w:tcW w:w="6072" w:type="dxa"/>
            <w:tcBorders/>
            <w:vAlign w:val="center"/>
          </w:tcPr>
          <w:p>
            <w:pPr>
              <w:pStyle w:val="TableContents"/>
              <w:bidi w:val="0"/>
              <w:spacing w:before="0" w:after="0"/>
              <w:jc w:val="left"/>
              <w:rPr/>
            </w:pPr>
            <w:r>
              <w:rPr/>
              <w:t> </w:t>
            </w:r>
            <w:r>
              <w:rPr>
                <w:rFonts w:ascii="arial" w:hAnsi="arial"/>
                <w:sz w:val="18"/>
              </w:rPr>
              <w:t>Audit Committee Chair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right"/>
              <w:rPr/>
            </w:pPr>
            <w:r>
              <w:rPr/>
              <w:t>$30,000</w:t>
            </w:r>
          </w:p>
        </w:tc>
        <w:tc>
          <w:tcPr>
            <w:tcW w:w="435"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024" w:type="dxa"/>
            <w:tcBorders/>
            <w:vAlign w:val="center"/>
          </w:tcPr>
          <w:p>
            <w:pPr>
              <w:pStyle w:val="TableContents"/>
              <w:bidi w:val="0"/>
              <w:spacing w:before="0" w:after="283"/>
              <w:jc w:val="right"/>
              <w:rPr/>
            </w:pPr>
            <w:r>
              <w:rPr/>
              <w:t>—  </w:t>
            </w:r>
          </w:p>
        </w:tc>
        <w:tc>
          <w:tcPr>
            <w:tcW w:w="78" w:type="dxa"/>
            <w:tcBorders/>
            <w:vAlign w:val="center"/>
          </w:tcPr>
          <w:p>
            <w:pPr>
              <w:pStyle w:val="TableContents"/>
              <w:bidi w:val="0"/>
              <w:spacing w:before="0" w:after="283"/>
              <w:jc w:val="left"/>
              <w:rPr/>
            </w:pPr>
            <w:r>
              <w:rPr/>
              <w:t> </w:t>
            </w:r>
          </w:p>
        </w:tc>
      </w:tr>
      <w:tr>
        <w:trPr/>
        <w:tc>
          <w:tcPr>
            <w:tcW w:w="6072" w:type="dxa"/>
            <w:tcBorders/>
            <w:shd w:fill="CCE2F1" w:val="clear"/>
            <w:vAlign w:val="center"/>
          </w:tcPr>
          <w:p>
            <w:pPr>
              <w:pStyle w:val="TableContents"/>
              <w:bidi w:val="0"/>
              <w:spacing w:before="0" w:after="0"/>
              <w:jc w:val="left"/>
              <w:rPr/>
            </w:pPr>
            <w:r>
              <w:rPr/>
              <w:t> </w:t>
            </w:r>
            <w:r>
              <w:rPr>
                <w:rFonts w:ascii="arial" w:hAnsi="arial"/>
                <w:sz w:val="18"/>
              </w:rPr>
              <w:t>Other Committee Chairs (Compensation and Management Development, Corporate Responsibility and Compliance, and Governance Committees)</w:t>
            </w:r>
          </w:p>
        </w:tc>
        <w:tc>
          <w:tcPr>
            <w:tcW w:w="12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120" w:type="dxa"/>
            <w:tcBorders/>
            <w:shd w:fill="CCE2F1" w:val="clear"/>
            <w:vAlign w:val="center"/>
          </w:tcPr>
          <w:p>
            <w:pPr>
              <w:pStyle w:val="TableContents"/>
              <w:bidi w:val="0"/>
              <w:spacing w:before="0" w:after="283"/>
              <w:jc w:val="left"/>
              <w:rPr/>
            </w:pPr>
            <w:r>
              <w:rPr/>
              <w:t>  </w:t>
            </w:r>
          </w:p>
        </w:tc>
        <w:tc>
          <w:tcPr>
            <w:tcW w:w="68" w:type="dxa"/>
            <w:tcBorders/>
            <w:shd w:fill="CCE2F1" w:val="clear"/>
            <w:vAlign w:val="center"/>
          </w:tcPr>
          <w:p>
            <w:pPr>
              <w:pStyle w:val="TableContents"/>
              <w:bidi w:val="0"/>
              <w:spacing w:before="0" w:after="283"/>
              <w:jc w:val="left"/>
              <w:rPr/>
            </w:pPr>
            <w:r>
              <w:rPr/>
              <w:t> </w:t>
            </w:r>
          </w:p>
        </w:tc>
        <w:tc>
          <w:tcPr>
            <w:tcW w:w="1047" w:type="dxa"/>
            <w:tcBorders/>
            <w:shd w:fill="CCE2F1" w:val="clear"/>
            <w:vAlign w:val="center"/>
          </w:tcPr>
          <w:p>
            <w:pPr>
              <w:pStyle w:val="TableContents"/>
              <w:bidi w:val="0"/>
              <w:spacing w:before="0" w:after="283"/>
              <w:jc w:val="right"/>
              <w:rPr/>
            </w:pPr>
            <w:r>
              <w:rPr/>
              <w:t>$20,000</w:t>
            </w:r>
          </w:p>
        </w:tc>
        <w:tc>
          <w:tcPr>
            <w:tcW w:w="435" w:type="dxa"/>
            <w:tcBorders/>
            <w:shd w:fill="CCE2F1" w:val="clear"/>
            <w:vAlign w:val="center"/>
          </w:tcPr>
          <w:p>
            <w:pPr>
              <w:pStyle w:val="TableContents"/>
              <w:bidi w:val="0"/>
              <w:spacing w:before="0" w:after="283"/>
              <w:jc w:val="left"/>
              <w:rPr/>
            </w:pPr>
            <w:r>
              <w:rPr/>
              <w:t>(3) </w:t>
            </w:r>
          </w:p>
        </w:tc>
        <w:tc>
          <w:tcPr>
            <w:tcW w:w="60" w:type="dxa"/>
            <w:tcBorders/>
            <w:shd w:fill="CCE2F1" w:val="clear"/>
            <w:vAlign w:val="center"/>
          </w:tcPr>
          <w:p>
            <w:pPr>
              <w:pStyle w:val="TableContents"/>
              <w:bidi w:val="0"/>
              <w:spacing w:before="0" w:after="283"/>
              <w:jc w:val="left"/>
              <w:rPr/>
            </w:pPr>
            <w:r>
              <w:rPr/>
              <w:t> </w:t>
            </w:r>
          </w:p>
        </w:tc>
        <w:tc>
          <w:tcPr>
            <w:tcW w:w="121" w:type="dxa"/>
            <w:tcBorders/>
            <w:shd w:fill="CCE2F1" w:val="clear"/>
            <w:vAlign w:val="center"/>
          </w:tcPr>
          <w:p>
            <w:pPr>
              <w:pStyle w:val="TableContents"/>
              <w:bidi w:val="0"/>
              <w:spacing w:before="0" w:after="283"/>
              <w:jc w:val="left"/>
              <w:rPr/>
            </w:pPr>
            <w:r>
              <w:rPr/>
              <w:t> </w:t>
            </w:r>
          </w:p>
        </w:tc>
        <w:tc>
          <w:tcPr>
            <w:tcW w:w="2024" w:type="dxa"/>
            <w:tcBorders/>
            <w:shd w:fill="CCE2F1" w:val="clear"/>
            <w:vAlign w:val="center"/>
          </w:tcPr>
          <w:p>
            <w:pPr>
              <w:pStyle w:val="TableContents"/>
              <w:bidi w:val="0"/>
              <w:spacing w:before="0" w:after="283"/>
              <w:jc w:val="right"/>
              <w:rPr/>
            </w:pPr>
            <w:r>
              <w:rPr/>
              <w:t>—  </w:t>
            </w:r>
          </w:p>
        </w:tc>
        <w:tc>
          <w:tcPr>
            <w:tcW w:w="78" w:type="dxa"/>
            <w:tcBorders/>
            <w:shd w:fill="CCE2F1" w:val="clear"/>
            <w:vAlign w:val="center"/>
          </w:tcPr>
          <w:p>
            <w:pPr>
              <w:pStyle w:val="TableContents"/>
              <w:bidi w:val="0"/>
              <w:spacing w:before="0" w:after="283"/>
              <w:jc w:val="left"/>
              <w:rPr/>
            </w:pPr>
            <w:r>
              <w:rPr/>
              <w:t> </w:t>
            </w:r>
          </w:p>
        </w:tc>
      </w:tr>
      <w:tr>
        <w:trPr/>
        <w:tc>
          <w:tcPr>
            <w:tcW w:w="6072" w:type="dxa"/>
            <w:tcBorders/>
            <w:vAlign w:val="center"/>
          </w:tcPr>
          <w:p>
            <w:pPr>
              <w:pStyle w:val="TableContents"/>
              <w:bidi w:val="0"/>
              <w:spacing w:before="0" w:after="283"/>
              <w:jc w:val="left"/>
              <w:rPr>
                <w:sz w:val="4"/>
                <w:szCs w:val="4"/>
              </w:rPr>
            </w:pPr>
            <w:r>
              <w:rPr>
                <w:sz w:val="4"/>
                <w:szCs w:val="4"/>
              </w:rPr>
            </w:r>
          </w:p>
        </w:tc>
        <w:tc>
          <w:tcPr>
            <w:tcW w:w="180" w:type="dxa"/>
            <w:gridSpan w:val="2"/>
            <w:tcBorders/>
            <w:vAlign w:val="center"/>
          </w:tcPr>
          <w:p>
            <w:pPr>
              <w:pStyle w:val="TableContents"/>
              <w:bidi w:val="0"/>
              <w:spacing w:before="0" w:after="283"/>
              <w:jc w:val="left"/>
              <w:rPr>
                <w:sz w:val="4"/>
                <w:szCs w:val="4"/>
              </w:rPr>
            </w:pPr>
            <w:r>
              <w:rPr>
                <w:sz w:val="4"/>
                <w:szCs w:val="4"/>
              </w:rPr>
            </w:r>
          </w:p>
        </w:tc>
        <w:tc>
          <w:tcPr>
            <w:tcW w:w="1670" w:type="dxa"/>
            <w:gridSpan w:val="4"/>
            <w:tcBorders/>
            <w:vAlign w:val="center"/>
          </w:tcPr>
          <w:p>
            <w:pPr>
              <w:pStyle w:val="TableContents"/>
              <w:bidi w:val="0"/>
              <w:spacing w:before="0" w:after="283"/>
              <w:jc w:val="left"/>
              <w:rPr>
                <w:sz w:val="4"/>
                <w:szCs w:val="4"/>
              </w:rPr>
            </w:pPr>
            <w:r>
              <w:rPr>
                <w:sz w:val="4"/>
                <w:szCs w:val="4"/>
              </w:rPr>
            </w:r>
          </w:p>
        </w:tc>
        <w:tc>
          <w:tcPr>
            <w:tcW w:w="2283" w:type="dxa"/>
            <w:gridSpan w:val="4"/>
            <w:tcBorders/>
            <w:vAlign w:val="center"/>
          </w:tcPr>
          <w:p>
            <w:pPr>
              <w:pStyle w:val="TableContents"/>
              <w:bidi w:val="0"/>
              <w:spacing w:before="0" w:after="283"/>
              <w:jc w:val="left"/>
              <w:rPr>
                <w:sz w:val="4"/>
                <w:szCs w:val="4"/>
              </w:rPr>
            </w:pPr>
            <w:r>
              <w:rPr>
                <w:sz w:val="4"/>
                <w:szCs w:val="4"/>
              </w:rPr>
            </w:r>
          </w:p>
        </w:tc>
      </w:tr>
      <w:tr>
        <w:trPr/>
        <w:tc>
          <w:tcPr>
            <w:tcW w:w="6072" w:type="dxa"/>
            <w:tcBorders>
              <w:bottom w:val="single" w:sz="8" w:space="0" w:color="0171B9"/>
            </w:tcBorders>
            <w:tcMar>
              <w:bottom w:w="80" w:type="dxa"/>
            </w:tcMar>
            <w:vAlign w:val="center"/>
          </w:tcPr>
          <w:p>
            <w:pPr>
              <w:pStyle w:val="TableContents"/>
              <w:bidi w:val="0"/>
              <w:spacing w:before="0" w:after="0"/>
              <w:jc w:val="left"/>
              <w:rPr/>
            </w:pPr>
            <w:r>
              <w:rPr/>
              <w:t> </w:t>
            </w:r>
            <w:r>
              <w:rPr>
                <w:rFonts w:ascii="arial" w:hAnsi="arial"/>
                <w:sz w:val="18"/>
              </w:rPr>
              <w:t>Committee Member Meeting Retainer</w:t>
            </w:r>
          </w:p>
        </w:tc>
        <w:tc>
          <w:tcPr>
            <w:tcW w:w="120" w:type="dxa"/>
            <w:tcBorders>
              <w:bottom w:val="single" w:sz="8" w:space="0" w:color="0171B9"/>
            </w:tcBorders>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120" w:type="dxa"/>
            <w:tcBorders>
              <w:bottom w:val="single" w:sz="8" w:space="0" w:color="0171B9"/>
            </w:tcBorders>
            <w:tcMar>
              <w:bottom w:w="28" w:type="dxa"/>
            </w:tcMar>
            <w:vAlign w:val="center"/>
          </w:tcPr>
          <w:p>
            <w:pPr>
              <w:pStyle w:val="TableContents"/>
              <w:bidi w:val="0"/>
              <w:spacing w:before="0" w:after="283"/>
              <w:jc w:val="left"/>
              <w:rPr/>
            </w:pPr>
            <w:r>
              <w:rPr/>
              <w:t>  </w:t>
            </w:r>
          </w:p>
        </w:tc>
        <w:tc>
          <w:tcPr>
            <w:tcW w:w="68" w:type="dxa"/>
            <w:tcBorders>
              <w:bottom w:val="single" w:sz="8" w:space="0" w:color="0171B9"/>
            </w:tcBorders>
            <w:tcMar>
              <w:bottom w:w="80" w:type="dxa"/>
            </w:tcMar>
            <w:vAlign w:val="center"/>
          </w:tcPr>
          <w:p>
            <w:pPr>
              <w:pStyle w:val="TableContents"/>
              <w:bidi w:val="0"/>
              <w:spacing w:before="0" w:after="283"/>
              <w:jc w:val="left"/>
              <w:rPr/>
            </w:pPr>
            <w:r>
              <w:rPr/>
              <w:t> </w:t>
            </w:r>
          </w:p>
        </w:tc>
        <w:tc>
          <w:tcPr>
            <w:tcW w:w="1047" w:type="dxa"/>
            <w:tcBorders>
              <w:bottom w:val="single" w:sz="8" w:space="0" w:color="0171B9"/>
            </w:tcBorders>
            <w:tcMar>
              <w:bottom w:w="80" w:type="dxa"/>
            </w:tcMar>
            <w:vAlign w:val="center"/>
          </w:tcPr>
          <w:p>
            <w:pPr>
              <w:pStyle w:val="TableContents"/>
              <w:bidi w:val="0"/>
              <w:spacing w:before="0" w:after="283"/>
              <w:jc w:val="right"/>
              <w:rPr/>
            </w:pPr>
            <w:r>
              <w:rPr/>
              <w:t>$12,500</w:t>
            </w:r>
          </w:p>
        </w:tc>
        <w:tc>
          <w:tcPr>
            <w:tcW w:w="435" w:type="dxa"/>
            <w:tcBorders>
              <w:bottom w:val="single" w:sz="8" w:space="0" w:color="0171B9"/>
            </w:tcBorders>
            <w:tcMar>
              <w:bottom w:w="80" w:type="dxa"/>
            </w:tcMar>
            <w:vAlign w:val="center"/>
          </w:tcPr>
          <w:p>
            <w:pPr>
              <w:pStyle w:val="TableContents"/>
              <w:bidi w:val="0"/>
              <w:spacing w:before="0" w:after="283"/>
              <w:jc w:val="left"/>
              <w:rPr/>
            </w:pPr>
            <w:r>
              <w:rPr/>
              <w:t>(3)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121" w:type="dxa"/>
            <w:tcBorders>
              <w:bottom w:val="single" w:sz="8" w:space="0" w:color="0171B9"/>
            </w:tcBorders>
            <w:tcMar>
              <w:bottom w:w="80" w:type="dxa"/>
            </w:tcMar>
            <w:vAlign w:val="center"/>
          </w:tcPr>
          <w:p>
            <w:pPr>
              <w:pStyle w:val="TableContents"/>
              <w:bidi w:val="0"/>
              <w:spacing w:before="0" w:after="283"/>
              <w:jc w:val="left"/>
              <w:rPr/>
            </w:pPr>
            <w:r>
              <w:rPr/>
              <w:t> </w:t>
            </w:r>
          </w:p>
        </w:tc>
        <w:tc>
          <w:tcPr>
            <w:tcW w:w="2024" w:type="dxa"/>
            <w:tcBorders>
              <w:bottom w:val="single" w:sz="8" w:space="0" w:color="0171B9"/>
            </w:tcBorders>
            <w:tcMar>
              <w:bottom w:w="80" w:type="dxa"/>
            </w:tcMar>
            <w:vAlign w:val="center"/>
          </w:tcPr>
          <w:p>
            <w:pPr>
              <w:pStyle w:val="TableContents"/>
              <w:bidi w:val="0"/>
              <w:spacing w:before="0" w:after="283"/>
              <w:jc w:val="right"/>
              <w:rPr/>
            </w:pPr>
            <w:r>
              <w:rPr/>
              <w:t>—  </w:t>
            </w:r>
          </w:p>
        </w:tc>
        <w:tc>
          <w:tcPr>
            <w:tcW w:w="78" w:type="dxa"/>
            <w:tcBorders>
              <w:bottom w:val="single" w:sz="8" w:space="0" w:color="0171B9"/>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64"/>
        <w:gridCol w:w="9841"/>
      </w:tblGrid>
      <w:tr>
        <w:trPr/>
        <w:tc>
          <w:tcPr>
            <w:tcW w:w="364" w:type="dxa"/>
            <w:tcBorders/>
            <w:vAlign w:val="center"/>
          </w:tcPr>
          <w:p>
            <w:pPr>
              <w:pStyle w:val="TableContents"/>
              <w:bidi w:val="0"/>
              <w:spacing w:before="0" w:after="283"/>
              <w:jc w:val="left"/>
              <w:rPr/>
            </w:pPr>
            <w:r>
              <w:rPr/>
              <w:t>(1) </w:t>
            </w:r>
          </w:p>
        </w:tc>
        <w:tc>
          <w:tcPr>
            <w:tcW w:w="9841" w:type="dxa"/>
            <w:tcBorders/>
            <w:vAlign w:val="center"/>
          </w:tcPr>
          <w:p>
            <w:pPr>
              <w:pStyle w:val="TableContents"/>
              <w:bidi w:val="0"/>
              <w:spacing w:before="0" w:after="0"/>
              <w:jc w:val="both"/>
              <w:rPr>
                <w:rFonts w:ascii="arial" w:hAnsi="arial"/>
                <w:sz w:val="16"/>
              </w:rPr>
            </w:pPr>
            <w:r>
              <w:rPr>
                <w:rFonts w:ascii="arial" w:hAnsi="arial"/>
                <w:sz w:val="16"/>
              </w:rPr>
              <w:t xml:space="preserve">Amounts for these elements of director compensation were each increased by $10,000 as compared to director compensation in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64"/>
        <w:gridCol w:w="9841"/>
      </w:tblGrid>
      <w:tr>
        <w:trPr/>
        <w:tc>
          <w:tcPr>
            <w:tcW w:w="364" w:type="dxa"/>
            <w:tcBorders/>
            <w:vAlign w:val="center"/>
          </w:tcPr>
          <w:p>
            <w:pPr>
              <w:pStyle w:val="TableContents"/>
              <w:bidi w:val="0"/>
              <w:spacing w:before="0" w:after="283"/>
              <w:jc w:val="left"/>
              <w:rPr/>
            </w:pPr>
            <w:r>
              <w:rPr/>
              <w:t>(2) </w:t>
            </w:r>
          </w:p>
        </w:tc>
        <w:tc>
          <w:tcPr>
            <w:tcW w:w="9841" w:type="dxa"/>
            <w:tcBorders/>
            <w:vAlign w:val="center"/>
          </w:tcPr>
          <w:p>
            <w:pPr>
              <w:pStyle w:val="TableContents"/>
              <w:bidi w:val="0"/>
              <w:spacing w:before="0" w:after="0"/>
              <w:jc w:val="both"/>
              <w:rPr>
                <w:rFonts w:ascii="arial" w:hAnsi="arial"/>
                <w:sz w:val="16"/>
              </w:rPr>
            </w:pPr>
            <w:r>
              <w:rPr>
                <w:rFonts w:ascii="arial" w:hAnsi="arial"/>
                <w:sz w:val="16"/>
              </w:rPr>
              <w:t xml:space="preserve">Has the effect of increasing the non-employee director stock ownership requirement of five times the annual cash retainer to $575,000. </w:t>
            </w:r>
          </w:p>
        </w:tc>
      </w:tr>
    </w:tbl>
    <w:p>
      <w:pPr>
        <w:pStyle w:val="TextBody"/>
        <w:bidi w:val="0"/>
        <w:spacing w:before="0" w:after="0"/>
        <w:jc w:val="left"/>
        <w:rPr/>
      </w:pPr>
      <w:r>
        <w:rPr/>
        <w:t> </w:t>
      </w:r>
    </w:p>
    <w:tbl>
      <w:tblPr>
        <w:tblW w:w="5410" w:type="dxa"/>
        <w:jc w:val="left"/>
        <w:tblInd w:w="0" w:type="dxa"/>
        <w:tblLayout w:type="fixed"/>
        <w:tblCellMar>
          <w:top w:w="0" w:type="dxa"/>
          <w:left w:w="0" w:type="dxa"/>
          <w:bottom w:w="0" w:type="dxa"/>
          <w:right w:w="0" w:type="dxa"/>
        </w:tblCellMar>
      </w:tblPr>
      <w:tblGrid>
        <w:gridCol w:w="365"/>
        <w:gridCol w:w="5045"/>
      </w:tblGrid>
      <w:tr>
        <w:trPr/>
        <w:tc>
          <w:tcPr>
            <w:tcW w:w="365" w:type="dxa"/>
            <w:tcBorders/>
            <w:vAlign w:val="center"/>
          </w:tcPr>
          <w:p>
            <w:pPr>
              <w:pStyle w:val="TableContents"/>
              <w:bidi w:val="0"/>
              <w:spacing w:before="0" w:after="283"/>
              <w:jc w:val="left"/>
              <w:rPr/>
            </w:pPr>
            <w:r>
              <w:rPr/>
              <w:t>(3) </w:t>
            </w:r>
          </w:p>
        </w:tc>
        <w:tc>
          <w:tcPr>
            <w:tcW w:w="5045" w:type="dxa"/>
            <w:tcBorders/>
            <w:vAlign w:val="center"/>
          </w:tcPr>
          <w:p>
            <w:pPr>
              <w:pStyle w:val="TableContents"/>
              <w:bidi w:val="0"/>
              <w:spacing w:before="0" w:after="0"/>
              <w:jc w:val="both"/>
              <w:rPr>
                <w:rFonts w:ascii="arial" w:hAnsi="arial"/>
                <w:sz w:val="16"/>
              </w:rPr>
            </w:pPr>
            <w:r>
              <w:rPr>
                <w:rFonts w:ascii="arial" w:hAnsi="arial"/>
                <w:sz w:val="16"/>
              </w:rPr>
              <w:t xml:space="preserve">No changes were made to these elements of director compensation. </w:t>
            </w:r>
          </w:p>
        </w:tc>
      </w:tr>
    </w:tbl>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104  </w:t>
      </w:r>
      <w:r>
        <w:rPr>
          <w:rFonts w:ascii="arial" w:hAnsi="arial"/>
          <w:b/>
          <w:color w:val="474747"/>
          <w:sz w:val="22"/>
        </w:rPr>
        <w:drawing>
          <wp:inline distT="0" distB="0" distL="0" distR="0">
            <wp:extent cx="64770" cy="15240"/>
            <wp:effectExtent l="0" t="0" r="0" b="0"/>
            <wp:docPr id="365"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mage171" descr=""/>
                    <pic:cNvPicPr>
                      <a:picLocks noChangeAspect="1" noChangeArrowheads="1"/>
                    </pic:cNvPicPr>
                  </pic:nvPicPr>
                  <pic:blipFill>
                    <a:blip r:embed="rId184"/>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315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267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267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Director Compensation</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171B9"/>
          <w:sz w:val="28"/>
        </w:rPr>
      </w:pPr>
      <w:r>
        <w:rPr>
          <w:rFonts w:ascii="arial" w:hAnsi="arial"/>
          <w:b/>
          <w:color w:val="0171B9"/>
          <w:sz w:val="28"/>
        </w:rPr>
        <w:t xml:space="preserve">Director Compensation Table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both"/>
        <w:rPr>
          <w:rFonts w:ascii="arial" w:hAnsi="arial"/>
          <w:sz w:val="19"/>
        </w:rPr>
      </w:pPr>
      <w:r>
        <w:rPr>
          <w:rFonts w:ascii="arial" w:hAnsi="arial"/>
          <w:sz w:val="19"/>
        </w:rPr>
        <w:t xml:space="preserve">The following table shows compensation of the non-employee members of our Board for 2023. Robert A. Bradway, our Chairman of the Board, Chief Executive Officer and President is not included in the table as he is an employee and, thus, receives no compensation for his service as a director. </w:t>
      </w:r>
    </w:p>
    <w:p>
      <w:pPr>
        <w:pStyle w:val="TextBody"/>
        <w:bidi w:val="0"/>
        <w:spacing w:before="0" w:after="0"/>
        <w:jc w:val="left"/>
        <w:rPr/>
      </w:pPr>
      <w:r>
        <w:rPr/>
        <w:t> </w:t>
      </w:r>
    </w:p>
    <w:tbl>
      <w:tblPr>
        <w:tblW w:w="9712" w:type="dxa"/>
        <w:jc w:val="left"/>
        <w:tblInd w:w="0" w:type="dxa"/>
        <w:tblLayout w:type="fixed"/>
        <w:tblCellMar>
          <w:top w:w="0" w:type="dxa"/>
          <w:left w:w="0" w:type="dxa"/>
          <w:bottom w:w="0" w:type="dxa"/>
          <w:right w:w="0" w:type="dxa"/>
        </w:tblCellMar>
      </w:tblPr>
      <w:tblGrid>
        <w:gridCol w:w="2585"/>
        <w:gridCol w:w="120"/>
        <w:gridCol w:w="129"/>
        <w:gridCol w:w="1735"/>
        <w:gridCol w:w="60"/>
        <w:gridCol w:w="120"/>
        <w:gridCol w:w="114"/>
        <w:gridCol w:w="1525"/>
        <w:gridCol w:w="60"/>
        <w:gridCol w:w="120"/>
        <w:gridCol w:w="163"/>
        <w:gridCol w:w="1866"/>
        <w:gridCol w:w="60"/>
        <w:gridCol w:w="120"/>
        <w:gridCol w:w="60"/>
        <w:gridCol w:w="800"/>
        <w:gridCol w:w="75"/>
      </w:tblGrid>
      <w:tr>
        <w:trPr/>
        <w:tc>
          <w:tcPr>
            <w:tcW w:w="25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85" w:type="dxa"/>
            <w:tcBorders/>
            <w:shd w:fill="0171B9" w:val="clear"/>
            <w:vAlign w:val="center"/>
          </w:tcPr>
          <w:p>
            <w:pPr>
              <w:pStyle w:val="TableContents"/>
              <w:bidi w:val="0"/>
              <w:spacing w:before="0" w:after="283"/>
              <w:jc w:val="left"/>
              <w:rPr>
                <w:sz w:val="4"/>
                <w:szCs w:val="4"/>
              </w:rPr>
            </w:pPr>
            <w:r>
              <w:rPr>
                <w:sz w:val="4"/>
                <w:szCs w:val="4"/>
              </w:rPr>
            </w:r>
          </w:p>
        </w:tc>
        <w:tc>
          <w:tcPr>
            <w:tcW w:w="2044" w:type="dxa"/>
            <w:gridSpan w:val="4"/>
            <w:tcBorders/>
            <w:shd w:fill="0171B9" w:val="clear"/>
            <w:vAlign w:val="center"/>
          </w:tcPr>
          <w:p>
            <w:pPr>
              <w:pStyle w:val="TableContents"/>
              <w:bidi w:val="0"/>
              <w:spacing w:before="0" w:after="283"/>
              <w:jc w:val="left"/>
              <w:rPr>
                <w:sz w:val="4"/>
                <w:szCs w:val="4"/>
              </w:rPr>
            </w:pPr>
            <w:r>
              <w:rPr>
                <w:sz w:val="4"/>
                <w:szCs w:val="4"/>
              </w:rPr>
            </w:r>
          </w:p>
        </w:tc>
        <w:tc>
          <w:tcPr>
            <w:tcW w:w="1819" w:type="dxa"/>
            <w:gridSpan w:val="4"/>
            <w:tcBorders/>
            <w:shd w:fill="0171B9" w:val="clear"/>
            <w:vAlign w:val="center"/>
          </w:tcPr>
          <w:p>
            <w:pPr>
              <w:pStyle w:val="TableContents"/>
              <w:bidi w:val="0"/>
              <w:spacing w:before="0" w:after="283"/>
              <w:jc w:val="left"/>
              <w:rPr>
                <w:sz w:val="4"/>
                <w:szCs w:val="4"/>
              </w:rPr>
            </w:pPr>
            <w:r>
              <w:rPr>
                <w:sz w:val="4"/>
                <w:szCs w:val="4"/>
              </w:rPr>
            </w:r>
          </w:p>
        </w:tc>
        <w:tc>
          <w:tcPr>
            <w:tcW w:w="2209" w:type="dxa"/>
            <w:gridSpan w:val="4"/>
            <w:tcBorders/>
            <w:shd w:fill="0171B9" w:val="clear"/>
            <w:vAlign w:val="center"/>
          </w:tcPr>
          <w:p>
            <w:pPr>
              <w:pStyle w:val="TableContents"/>
              <w:bidi w:val="0"/>
              <w:spacing w:before="0" w:after="283"/>
              <w:jc w:val="left"/>
              <w:rPr>
                <w:sz w:val="4"/>
                <w:szCs w:val="4"/>
              </w:rPr>
            </w:pPr>
            <w:r>
              <w:rPr>
                <w:sz w:val="4"/>
                <w:szCs w:val="4"/>
              </w:rPr>
            </w:r>
          </w:p>
        </w:tc>
        <w:tc>
          <w:tcPr>
            <w:tcW w:w="1055" w:type="dxa"/>
            <w:gridSpan w:val="4"/>
            <w:tcBorders/>
            <w:shd w:fill="0171B9" w:val="clear"/>
            <w:vAlign w:val="center"/>
          </w:tcPr>
          <w:p>
            <w:pPr>
              <w:pStyle w:val="TableContents"/>
              <w:bidi w:val="0"/>
              <w:spacing w:before="0" w:after="283"/>
              <w:jc w:val="left"/>
              <w:rPr>
                <w:sz w:val="4"/>
                <w:szCs w:val="4"/>
              </w:rPr>
            </w:pPr>
            <w:r>
              <w:rPr>
                <w:sz w:val="4"/>
                <w:szCs w:val="4"/>
              </w:rPr>
            </w:r>
          </w:p>
        </w:tc>
      </w:tr>
      <w:tr>
        <w:trPr/>
        <w:tc>
          <w:tcPr>
            <w:tcW w:w="2585" w:type="dxa"/>
            <w:tcBorders>
              <w:bottom w:val="single" w:sz="8" w:space="0" w:color="FFFFFF"/>
            </w:tcBorders>
            <w:shd w:fill="0171B9" w:val="clear"/>
            <w:tcMar>
              <w:bottom w:w="80" w:type="dxa"/>
            </w:tcMar>
            <w:vAlign w:val="center"/>
          </w:tcPr>
          <w:p>
            <w:pPr>
              <w:pStyle w:val="TableContents"/>
              <w:bidi w:val="0"/>
              <w:spacing w:before="0" w:after="283"/>
              <w:jc w:val="left"/>
              <w:rPr>
                <w:color w:val="FFFFFF"/>
              </w:rPr>
            </w:pPr>
            <w:r>
              <w:rPr>
                <w:color w:val="FFFFFF"/>
              </w:rPr>
              <w:t> </w:t>
            </w:r>
            <w:r>
              <w:rPr>
                <w:b/>
                <w:color w:val="FFFFFF"/>
              </w:rPr>
              <w:t>Non-Employee Director</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864" w:type="dxa"/>
            <w:gridSpan w:val="2"/>
            <w:tcBorders>
              <w:bottom w:val="single" w:sz="8" w:space="0" w:color="FFFFFF"/>
            </w:tcBorders>
            <w:shd w:fill="0171B9" w:val="clear"/>
            <w:tcMar>
              <w:bottom w:w="80" w:type="dxa"/>
            </w:tcMar>
            <w:vAlign w:val="center"/>
          </w:tcPr>
          <w:p>
            <w:pPr>
              <w:pStyle w:val="TableContents"/>
              <w:bidi w:val="0"/>
              <w:spacing w:before="0" w:after="283"/>
              <w:jc w:val="right"/>
              <w:rPr>
                <w:b/>
                <w:color w:val="FFFFFF"/>
              </w:rPr>
            </w:pPr>
            <w:r>
              <w:rPr>
                <w:b/>
                <w:color w:val="FFFFFF"/>
              </w:rPr>
              <w:t>Fees Earned or</w:t>
              <w:br/>
              <w:t>Paid in Cash($)(2)</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639" w:type="dxa"/>
            <w:gridSpan w:val="2"/>
            <w:tcBorders>
              <w:bottom w:val="single" w:sz="8" w:space="0" w:color="FFFFFF"/>
            </w:tcBorders>
            <w:shd w:fill="0171B9" w:val="clear"/>
            <w:tcMar>
              <w:bottom w:w="80" w:type="dxa"/>
            </w:tcMar>
            <w:vAlign w:val="center"/>
          </w:tcPr>
          <w:p>
            <w:pPr>
              <w:pStyle w:val="TableContents"/>
              <w:bidi w:val="0"/>
              <w:spacing w:before="0" w:after="283"/>
              <w:jc w:val="right"/>
              <w:rPr>
                <w:b/>
                <w:color w:val="FFFFFF"/>
              </w:rPr>
            </w:pPr>
            <w:r>
              <w:rPr>
                <w:b/>
                <w:color w:val="FFFFFF"/>
              </w:rPr>
              <w:t>Stock</w:t>
              <w:br/>
              <w:t>Awards($)(3)(4)</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2029" w:type="dxa"/>
            <w:gridSpan w:val="2"/>
            <w:tcBorders>
              <w:bottom w:val="single" w:sz="8" w:space="0" w:color="FFFFFF"/>
            </w:tcBorders>
            <w:shd w:fill="0171B9" w:val="clear"/>
            <w:tcMar>
              <w:bottom w:w="80" w:type="dxa"/>
            </w:tcMar>
            <w:vAlign w:val="center"/>
          </w:tcPr>
          <w:p>
            <w:pPr>
              <w:pStyle w:val="TableContents"/>
              <w:bidi w:val="0"/>
              <w:spacing w:before="0" w:after="283"/>
              <w:jc w:val="right"/>
              <w:rPr>
                <w:b/>
                <w:color w:val="FFFFFF"/>
              </w:rPr>
            </w:pPr>
            <w:r>
              <w:rPr>
                <w:b/>
                <w:color w:val="FFFFFF"/>
              </w:rPr>
              <w:t>All Other</w:t>
              <w:br/>
              <w:t>Compensation($)(5)</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860" w:type="dxa"/>
            <w:gridSpan w:val="2"/>
            <w:tcBorders>
              <w:bottom w:val="single" w:sz="8" w:space="0" w:color="FFFFFF"/>
            </w:tcBorders>
            <w:shd w:fill="0171B9" w:val="clear"/>
            <w:tcMar>
              <w:bottom w:w="80" w:type="dxa"/>
            </w:tcMar>
            <w:vAlign w:val="center"/>
          </w:tcPr>
          <w:p>
            <w:pPr>
              <w:pStyle w:val="TableContents"/>
              <w:bidi w:val="0"/>
              <w:spacing w:before="0" w:after="283"/>
              <w:jc w:val="right"/>
              <w:rPr>
                <w:b/>
                <w:color w:val="FFFFFF"/>
              </w:rPr>
            </w:pPr>
            <w:r>
              <w:rPr>
                <w:b/>
                <w:color w:val="FFFFFF"/>
              </w:rPr>
              <w:t>Total($)</w:t>
            </w:r>
          </w:p>
        </w:tc>
        <w:tc>
          <w:tcPr>
            <w:tcW w:w="75"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r>
      <w:tr>
        <w:trPr/>
        <w:tc>
          <w:tcPr>
            <w:tcW w:w="2585" w:type="dxa"/>
            <w:tcBorders/>
            <w:shd w:fill="CCE2F1" w:val="clear"/>
            <w:vAlign w:val="center"/>
          </w:tcPr>
          <w:p>
            <w:pPr>
              <w:pStyle w:val="TableContents"/>
              <w:bidi w:val="0"/>
              <w:spacing w:before="0" w:after="283"/>
              <w:jc w:val="left"/>
              <w:rPr>
                <w:sz w:val="4"/>
                <w:szCs w:val="4"/>
              </w:rPr>
            </w:pPr>
            <w:r>
              <w:rPr>
                <w:sz w:val="4"/>
                <w:szCs w:val="4"/>
              </w:rPr>
            </w:r>
          </w:p>
        </w:tc>
        <w:tc>
          <w:tcPr>
            <w:tcW w:w="2044" w:type="dxa"/>
            <w:gridSpan w:val="4"/>
            <w:tcBorders/>
            <w:shd w:fill="CCE2F1" w:val="clear"/>
            <w:vAlign w:val="center"/>
          </w:tcPr>
          <w:p>
            <w:pPr>
              <w:pStyle w:val="TableContents"/>
              <w:bidi w:val="0"/>
              <w:spacing w:before="0" w:after="283"/>
              <w:jc w:val="left"/>
              <w:rPr>
                <w:sz w:val="4"/>
                <w:szCs w:val="4"/>
              </w:rPr>
            </w:pPr>
            <w:r>
              <w:rPr>
                <w:sz w:val="4"/>
                <w:szCs w:val="4"/>
              </w:rPr>
            </w:r>
          </w:p>
        </w:tc>
        <w:tc>
          <w:tcPr>
            <w:tcW w:w="1819" w:type="dxa"/>
            <w:gridSpan w:val="4"/>
            <w:tcBorders/>
            <w:shd w:fill="CCE2F1" w:val="clear"/>
            <w:vAlign w:val="center"/>
          </w:tcPr>
          <w:p>
            <w:pPr>
              <w:pStyle w:val="TableContents"/>
              <w:bidi w:val="0"/>
              <w:spacing w:before="0" w:after="283"/>
              <w:jc w:val="left"/>
              <w:rPr>
                <w:sz w:val="4"/>
                <w:szCs w:val="4"/>
              </w:rPr>
            </w:pPr>
            <w:r>
              <w:rPr>
                <w:sz w:val="4"/>
                <w:szCs w:val="4"/>
              </w:rPr>
            </w:r>
          </w:p>
        </w:tc>
        <w:tc>
          <w:tcPr>
            <w:tcW w:w="2209" w:type="dxa"/>
            <w:gridSpan w:val="4"/>
            <w:tcBorders/>
            <w:shd w:fill="CCE2F1" w:val="clear"/>
            <w:vAlign w:val="center"/>
          </w:tcPr>
          <w:p>
            <w:pPr>
              <w:pStyle w:val="TableContents"/>
              <w:bidi w:val="0"/>
              <w:spacing w:before="0" w:after="283"/>
              <w:jc w:val="left"/>
              <w:rPr>
                <w:sz w:val="4"/>
                <w:szCs w:val="4"/>
              </w:rPr>
            </w:pPr>
            <w:r>
              <w:rPr>
                <w:sz w:val="4"/>
                <w:szCs w:val="4"/>
              </w:rPr>
            </w:r>
          </w:p>
        </w:tc>
        <w:tc>
          <w:tcPr>
            <w:tcW w:w="1055"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2585" w:type="dxa"/>
            <w:tcBorders/>
            <w:shd w:fill="CCE2F1" w:val="clear"/>
            <w:vAlign w:val="center"/>
          </w:tcPr>
          <w:p>
            <w:pPr>
              <w:pStyle w:val="TableContents"/>
              <w:bidi w:val="0"/>
              <w:spacing w:before="0" w:after="0"/>
              <w:jc w:val="left"/>
              <w:rPr/>
            </w:pPr>
            <w:r>
              <w:rPr/>
              <w:t> </w:t>
            </w:r>
            <w:r>
              <w:rPr>
                <w:rFonts w:ascii="arial" w:hAnsi="arial"/>
                <w:sz w:val="18"/>
              </w:rPr>
              <w:t>Wanda M. Austin</w:t>
            </w:r>
          </w:p>
        </w:tc>
        <w:tc>
          <w:tcPr>
            <w:tcW w:w="120" w:type="dxa"/>
            <w:tcBorders/>
            <w:shd w:fill="CCE2F1" w:val="clear"/>
            <w:vAlign w:val="center"/>
          </w:tcPr>
          <w:p>
            <w:pPr>
              <w:pStyle w:val="TableContents"/>
              <w:bidi w:val="0"/>
              <w:spacing w:before="0" w:after="283"/>
              <w:jc w:val="left"/>
              <w:rPr/>
            </w:pPr>
            <w:r>
              <w:rPr/>
              <w:t>  </w:t>
            </w:r>
          </w:p>
        </w:tc>
        <w:tc>
          <w:tcPr>
            <w:tcW w:w="129" w:type="dxa"/>
            <w:tcBorders/>
            <w:shd w:fill="CCE2F1" w:val="clear"/>
            <w:vAlign w:val="center"/>
          </w:tcPr>
          <w:p>
            <w:pPr>
              <w:pStyle w:val="TableContents"/>
              <w:bidi w:val="0"/>
              <w:spacing w:before="0" w:after="283"/>
              <w:jc w:val="left"/>
              <w:rPr/>
            </w:pPr>
            <w:r>
              <w:rPr/>
              <w:t> </w:t>
            </w:r>
          </w:p>
        </w:tc>
        <w:tc>
          <w:tcPr>
            <w:tcW w:w="1735" w:type="dxa"/>
            <w:tcBorders/>
            <w:shd w:fill="CCE2F1" w:val="clear"/>
            <w:vAlign w:val="center"/>
          </w:tcPr>
          <w:p>
            <w:pPr>
              <w:pStyle w:val="TableContents"/>
              <w:bidi w:val="0"/>
              <w:spacing w:before="0" w:after="283"/>
              <w:jc w:val="right"/>
              <w:rPr/>
            </w:pPr>
            <w:r>
              <w:rPr/>
              <w:t>130,000</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114" w:type="dxa"/>
            <w:tcBorders/>
            <w:shd w:fill="CCE2F1" w:val="clear"/>
            <w:vAlign w:val="center"/>
          </w:tcPr>
          <w:p>
            <w:pPr>
              <w:pStyle w:val="TableContents"/>
              <w:bidi w:val="0"/>
              <w:spacing w:before="0" w:after="283"/>
              <w:jc w:val="left"/>
              <w:rPr/>
            </w:pPr>
            <w:r>
              <w:rPr/>
              <w:t> </w:t>
            </w:r>
          </w:p>
        </w:tc>
        <w:tc>
          <w:tcPr>
            <w:tcW w:w="1525" w:type="dxa"/>
            <w:tcBorders/>
            <w:shd w:fill="CCE2F1" w:val="clear"/>
            <w:vAlign w:val="center"/>
          </w:tcPr>
          <w:p>
            <w:pPr>
              <w:pStyle w:val="TableContents"/>
              <w:bidi w:val="0"/>
              <w:spacing w:before="0" w:after="283"/>
              <w:jc w:val="right"/>
              <w:rPr/>
            </w:pPr>
            <w:r>
              <w:rPr/>
              <w:t>209,791</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163" w:type="dxa"/>
            <w:tcBorders/>
            <w:shd w:fill="CCE2F1" w:val="clear"/>
            <w:vAlign w:val="center"/>
          </w:tcPr>
          <w:p>
            <w:pPr>
              <w:pStyle w:val="TableContents"/>
              <w:bidi w:val="0"/>
              <w:spacing w:before="0" w:after="283"/>
              <w:jc w:val="left"/>
              <w:rPr/>
            </w:pPr>
            <w:r>
              <w:rPr/>
              <w:t> </w:t>
            </w:r>
          </w:p>
        </w:tc>
        <w:tc>
          <w:tcPr>
            <w:tcW w:w="1866" w:type="dxa"/>
            <w:tcBorders/>
            <w:shd w:fill="CCE2F1" w:val="clear"/>
            <w:vAlign w:val="center"/>
          </w:tcPr>
          <w:p>
            <w:pPr>
              <w:pStyle w:val="TableContents"/>
              <w:bidi w:val="0"/>
              <w:spacing w:before="0" w:after="283"/>
              <w:jc w:val="right"/>
              <w:rPr/>
            </w:pPr>
            <w:r>
              <w:rPr/>
              <w:t>20,129</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800" w:type="dxa"/>
            <w:tcBorders/>
            <w:shd w:fill="CCE2F1" w:val="clear"/>
            <w:vAlign w:val="center"/>
          </w:tcPr>
          <w:p>
            <w:pPr>
              <w:pStyle w:val="TableContents"/>
              <w:bidi w:val="0"/>
              <w:spacing w:before="0" w:after="283"/>
              <w:jc w:val="right"/>
              <w:rPr/>
            </w:pPr>
            <w:r>
              <w:rPr/>
              <w:t>359,920</w:t>
            </w:r>
          </w:p>
        </w:tc>
        <w:tc>
          <w:tcPr>
            <w:tcW w:w="75" w:type="dxa"/>
            <w:tcBorders/>
            <w:shd w:fill="CCE2F1"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sz w:val="4"/>
                <w:szCs w:val="4"/>
              </w:rPr>
            </w:pPr>
            <w:r>
              <w:rPr>
                <w:sz w:val="4"/>
                <w:szCs w:val="4"/>
              </w:rPr>
            </w:r>
          </w:p>
        </w:tc>
        <w:tc>
          <w:tcPr>
            <w:tcW w:w="2044" w:type="dxa"/>
            <w:gridSpan w:val="4"/>
            <w:tcBorders/>
            <w:vAlign w:val="center"/>
          </w:tcPr>
          <w:p>
            <w:pPr>
              <w:pStyle w:val="TableContents"/>
              <w:bidi w:val="0"/>
              <w:spacing w:before="0" w:after="283"/>
              <w:jc w:val="left"/>
              <w:rPr>
                <w:sz w:val="4"/>
                <w:szCs w:val="4"/>
              </w:rPr>
            </w:pPr>
            <w:r>
              <w:rPr>
                <w:sz w:val="4"/>
                <w:szCs w:val="4"/>
              </w:rPr>
            </w:r>
          </w:p>
        </w:tc>
        <w:tc>
          <w:tcPr>
            <w:tcW w:w="1819" w:type="dxa"/>
            <w:gridSpan w:val="4"/>
            <w:tcBorders/>
            <w:vAlign w:val="center"/>
          </w:tcPr>
          <w:p>
            <w:pPr>
              <w:pStyle w:val="TableContents"/>
              <w:bidi w:val="0"/>
              <w:spacing w:before="0" w:after="283"/>
              <w:jc w:val="left"/>
              <w:rPr>
                <w:sz w:val="4"/>
                <w:szCs w:val="4"/>
              </w:rPr>
            </w:pPr>
            <w:r>
              <w:rPr>
                <w:sz w:val="4"/>
                <w:szCs w:val="4"/>
              </w:rPr>
            </w:r>
          </w:p>
        </w:tc>
        <w:tc>
          <w:tcPr>
            <w:tcW w:w="2209"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2585" w:type="dxa"/>
            <w:tcBorders/>
            <w:vAlign w:val="center"/>
          </w:tcPr>
          <w:p>
            <w:pPr>
              <w:pStyle w:val="TableContents"/>
              <w:bidi w:val="0"/>
              <w:spacing w:before="0" w:after="0"/>
              <w:jc w:val="left"/>
              <w:rPr/>
            </w:pPr>
            <w:r>
              <w:rPr/>
              <w:t> </w:t>
            </w:r>
            <w:r>
              <w:rPr>
                <w:rFonts w:ascii="arial" w:hAnsi="arial"/>
                <w:sz w:val="18"/>
              </w:rPr>
              <w:t>Michael Drake(1)</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735"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525" w:type="dxa"/>
            <w:tcBorders/>
            <w:vAlign w:val="center"/>
          </w:tcPr>
          <w:p>
            <w:pPr>
              <w:pStyle w:val="TableContents"/>
              <w:bidi w:val="0"/>
              <w:spacing w:before="0" w:after="283"/>
              <w:jc w:val="right"/>
              <w:rPr/>
            </w:pPr>
            <w:r>
              <w:rPr/>
              <w:t>339,791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866" w:type="dxa"/>
            <w:tcBorders/>
            <w:vAlign w:val="center"/>
          </w:tcPr>
          <w:p>
            <w:pPr>
              <w:pStyle w:val="TableContents"/>
              <w:bidi w:val="0"/>
              <w:spacing w:before="0" w:after="283"/>
              <w:jc w:val="right"/>
              <w:rPr/>
            </w:pPr>
            <w:r>
              <w:rPr/>
              <w:t>129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339,920</w:t>
            </w:r>
          </w:p>
        </w:tc>
        <w:tc>
          <w:tcPr>
            <w:tcW w:w="75" w:type="dxa"/>
            <w:tcBorders/>
            <w:vAlign w:val="center"/>
          </w:tcPr>
          <w:p>
            <w:pPr>
              <w:pStyle w:val="TableContents"/>
              <w:bidi w:val="0"/>
              <w:spacing w:before="0" w:after="283"/>
              <w:jc w:val="left"/>
              <w:rPr/>
            </w:pPr>
            <w:r>
              <w:rPr/>
              <w:t> </w:t>
            </w:r>
          </w:p>
        </w:tc>
      </w:tr>
      <w:tr>
        <w:trPr/>
        <w:tc>
          <w:tcPr>
            <w:tcW w:w="2585" w:type="dxa"/>
            <w:tcBorders/>
            <w:shd w:fill="CCE2F1" w:val="clear"/>
            <w:vAlign w:val="center"/>
          </w:tcPr>
          <w:p>
            <w:pPr>
              <w:pStyle w:val="TableContents"/>
              <w:bidi w:val="0"/>
              <w:spacing w:before="0" w:after="283"/>
              <w:jc w:val="left"/>
              <w:rPr>
                <w:sz w:val="4"/>
                <w:szCs w:val="4"/>
              </w:rPr>
            </w:pPr>
            <w:r>
              <w:rPr>
                <w:sz w:val="4"/>
                <w:szCs w:val="4"/>
              </w:rPr>
            </w:r>
          </w:p>
        </w:tc>
        <w:tc>
          <w:tcPr>
            <w:tcW w:w="2044" w:type="dxa"/>
            <w:gridSpan w:val="4"/>
            <w:tcBorders/>
            <w:shd w:fill="CCE2F1" w:val="clear"/>
            <w:vAlign w:val="center"/>
          </w:tcPr>
          <w:p>
            <w:pPr>
              <w:pStyle w:val="TableContents"/>
              <w:bidi w:val="0"/>
              <w:spacing w:before="0" w:after="283"/>
              <w:jc w:val="left"/>
              <w:rPr>
                <w:sz w:val="4"/>
                <w:szCs w:val="4"/>
              </w:rPr>
            </w:pPr>
            <w:r>
              <w:rPr>
                <w:sz w:val="4"/>
                <w:szCs w:val="4"/>
              </w:rPr>
            </w:r>
          </w:p>
        </w:tc>
        <w:tc>
          <w:tcPr>
            <w:tcW w:w="1819" w:type="dxa"/>
            <w:gridSpan w:val="4"/>
            <w:tcBorders/>
            <w:shd w:fill="CCE2F1" w:val="clear"/>
            <w:vAlign w:val="center"/>
          </w:tcPr>
          <w:p>
            <w:pPr>
              <w:pStyle w:val="TableContents"/>
              <w:bidi w:val="0"/>
              <w:spacing w:before="0" w:after="283"/>
              <w:jc w:val="left"/>
              <w:rPr>
                <w:sz w:val="4"/>
                <w:szCs w:val="4"/>
              </w:rPr>
            </w:pPr>
            <w:r>
              <w:rPr>
                <w:sz w:val="4"/>
                <w:szCs w:val="4"/>
              </w:rPr>
            </w:r>
          </w:p>
        </w:tc>
        <w:tc>
          <w:tcPr>
            <w:tcW w:w="2209" w:type="dxa"/>
            <w:gridSpan w:val="4"/>
            <w:tcBorders/>
            <w:shd w:fill="CCE2F1" w:val="clear"/>
            <w:vAlign w:val="center"/>
          </w:tcPr>
          <w:p>
            <w:pPr>
              <w:pStyle w:val="TableContents"/>
              <w:bidi w:val="0"/>
              <w:spacing w:before="0" w:after="283"/>
              <w:jc w:val="left"/>
              <w:rPr>
                <w:sz w:val="4"/>
                <w:szCs w:val="4"/>
              </w:rPr>
            </w:pPr>
            <w:r>
              <w:rPr>
                <w:sz w:val="4"/>
                <w:szCs w:val="4"/>
              </w:rPr>
            </w:r>
          </w:p>
        </w:tc>
        <w:tc>
          <w:tcPr>
            <w:tcW w:w="1055"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2585" w:type="dxa"/>
            <w:tcBorders/>
            <w:shd w:fill="CCE2F1" w:val="clear"/>
            <w:vAlign w:val="center"/>
          </w:tcPr>
          <w:p>
            <w:pPr>
              <w:pStyle w:val="TableContents"/>
              <w:bidi w:val="0"/>
              <w:spacing w:before="0" w:after="0"/>
              <w:jc w:val="left"/>
              <w:rPr/>
            </w:pPr>
            <w:r>
              <w:rPr/>
              <w:t> </w:t>
            </w:r>
            <w:r>
              <w:rPr>
                <w:rFonts w:ascii="arial" w:hAnsi="arial"/>
                <w:sz w:val="18"/>
              </w:rPr>
              <w:t>Brian J. Druker</w:t>
            </w:r>
          </w:p>
        </w:tc>
        <w:tc>
          <w:tcPr>
            <w:tcW w:w="120" w:type="dxa"/>
            <w:tcBorders/>
            <w:shd w:fill="CCE2F1" w:val="clear"/>
            <w:vAlign w:val="center"/>
          </w:tcPr>
          <w:p>
            <w:pPr>
              <w:pStyle w:val="TableContents"/>
              <w:bidi w:val="0"/>
              <w:spacing w:before="0" w:after="283"/>
              <w:jc w:val="left"/>
              <w:rPr/>
            </w:pPr>
            <w:r>
              <w:rPr/>
              <w:t>  </w:t>
            </w:r>
          </w:p>
        </w:tc>
        <w:tc>
          <w:tcPr>
            <w:tcW w:w="129" w:type="dxa"/>
            <w:tcBorders/>
            <w:shd w:fill="CCE2F1" w:val="clear"/>
            <w:vAlign w:val="center"/>
          </w:tcPr>
          <w:p>
            <w:pPr>
              <w:pStyle w:val="TableContents"/>
              <w:bidi w:val="0"/>
              <w:spacing w:before="0" w:after="283"/>
              <w:jc w:val="left"/>
              <w:rPr/>
            </w:pPr>
            <w:r>
              <w:rPr/>
              <w:t> </w:t>
            </w:r>
          </w:p>
        </w:tc>
        <w:tc>
          <w:tcPr>
            <w:tcW w:w="1735" w:type="dxa"/>
            <w:tcBorders/>
            <w:shd w:fill="CCE2F1" w:val="clear"/>
            <w:vAlign w:val="center"/>
          </w:tcPr>
          <w:p>
            <w:pPr>
              <w:pStyle w:val="TableContents"/>
              <w:bidi w:val="0"/>
              <w:spacing w:before="0" w:after="283"/>
              <w:jc w:val="right"/>
              <w:rPr/>
            </w:pPr>
            <w:r>
              <w:rPr/>
              <w:t>130,000</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114" w:type="dxa"/>
            <w:tcBorders/>
            <w:shd w:fill="CCE2F1" w:val="clear"/>
            <w:vAlign w:val="center"/>
          </w:tcPr>
          <w:p>
            <w:pPr>
              <w:pStyle w:val="TableContents"/>
              <w:bidi w:val="0"/>
              <w:spacing w:before="0" w:after="283"/>
              <w:jc w:val="left"/>
              <w:rPr/>
            </w:pPr>
            <w:r>
              <w:rPr/>
              <w:t> </w:t>
            </w:r>
          </w:p>
        </w:tc>
        <w:tc>
          <w:tcPr>
            <w:tcW w:w="1525" w:type="dxa"/>
            <w:tcBorders/>
            <w:shd w:fill="CCE2F1" w:val="clear"/>
            <w:vAlign w:val="center"/>
          </w:tcPr>
          <w:p>
            <w:pPr>
              <w:pStyle w:val="TableContents"/>
              <w:bidi w:val="0"/>
              <w:spacing w:before="0" w:after="283"/>
              <w:jc w:val="right"/>
              <w:rPr/>
            </w:pPr>
            <w:r>
              <w:rPr/>
              <w:t>209,791</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163" w:type="dxa"/>
            <w:tcBorders/>
            <w:shd w:fill="CCE2F1" w:val="clear"/>
            <w:vAlign w:val="center"/>
          </w:tcPr>
          <w:p>
            <w:pPr>
              <w:pStyle w:val="TableContents"/>
              <w:bidi w:val="0"/>
              <w:spacing w:before="0" w:after="283"/>
              <w:jc w:val="left"/>
              <w:rPr/>
            </w:pPr>
            <w:r>
              <w:rPr/>
              <w:t> </w:t>
            </w:r>
          </w:p>
        </w:tc>
        <w:tc>
          <w:tcPr>
            <w:tcW w:w="1866" w:type="dxa"/>
            <w:tcBorders/>
            <w:shd w:fill="CCE2F1" w:val="clear"/>
            <w:vAlign w:val="center"/>
          </w:tcPr>
          <w:p>
            <w:pPr>
              <w:pStyle w:val="TableContents"/>
              <w:bidi w:val="0"/>
              <w:spacing w:before="0" w:after="283"/>
              <w:jc w:val="right"/>
              <w:rPr/>
            </w:pPr>
            <w:r>
              <w:rPr/>
              <w:t>20,129</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800" w:type="dxa"/>
            <w:tcBorders/>
            <w:shd w:fill="CCE2F1" w:val="clear"/>
            <w:vAlign w:val="center"/>
          </w:tcPr>
          <w:p>
            <w:pPr>
              <w:pStyle w:val="TableContents"/>
              <w:bidi w:val="0"/>
              <w:spacing w:before="0" w:after="283"/>
              <w:jc w:val="right"/>
              <w:rPr/>
            </w:pPr>
            <w:r>
              <w:rPr/>
              <w:t>359,920</w:t>
            </w:r>
          </w:p>
        </w:tc>
        <w:tc>
          <w:tcPr>
            <w:tcW w:w="75" w:type="dxa"/>
            <w:tcBorders/>
            <w:shd w:fill="CCE2F1"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sz w:val="4"/>
                <w:szCs w:val="4"/>
              </w:rPr>
            </w:pPr>
            <w:r>
              <w:rPr>
                <w:sz w:val="4"/>
                <w:szCs w:val="4"/>
              </w:rPr>
            </w:r>
          </w:p>
        </w:tc>
        <w:tc>
          <w:tcPr>
            <w:tcW w:w="2044" w:type="dxa"/>
            <w:gridSpan w:val="4"/>
            <w:tcBorders/>
            <w:vAlign w:val="center"/>
          </w:tcPr>
          <w:p>
            <w:pPr>
              <w:pStyle w:val="TableContents"/>
              <w:bidi w:val="0"/>
              <w:spacing w:before="0" w:after="283"/>
              <w:jc w:val="left"/>
              <w:rPr>
                <w:sz w:val="4"/>
                <w:szCs w:val="4"/>
              </w:rPr>
            </w:pPr>
            <w:r>
              <w:rPr>
                <w:sz w:val="4"/>
                <w:szCs w:val="4"/>
              </w:rPr>
            </w:r>
          </w:p>
        </w:tc>
        <w:tc>
          <w:tcPr>
            <w:tcW w:w="1819" w:type="dxa"/>
            <w:gridSpan w:val="4"/>
            <w:tcBorders/>
            <w:vAlign w:val="center"/>
          </w:tcPr>
          <w:p>
            <w:pPr>
              <w:pStyle w:val="TableContents"/>
              <w:bidi w:val="0"/>
              <w:spacing w:before="0" w:after="283"/>
              <w:jc w:val="left"/>
              <w:rPr>
                <w:sz w:val="4"/>
                <w:szCs w:val="4"/>
              </w:rPr>
            </w:pPr>
            <w:r>
              <w:rPr>
                <w:sz w:val="4"/>
                <w:szCs w:val="4"/>
              </w:rPr>
            </w:r>
          </w:p>
        </w:tc>
        <w:tc>
          <w:tcPr>
            <w:tcW w:w="2209"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2585" w:type="dxa"/>
            <w:tcBorders/>
            <w:vAlign w:val="center"/>
          </w:tcPr>
          <w:p>
            <w:pPr>
              <w:pStyle w:val="TableContents"/>
              <w:bidi w:val="0"/>
              <w:spacing w:before="0" w:after="0"/>
              <w:jc w:val="left"/>
              <w:rPr/>
            </w:pPr>
            <w:r>
              <w:rPr/>
              <w:t> </w:t>
            </w:r>
            <w:r>
              <w:rPr>
                <w:rFonts w:ascii="arial" w:hAnsi="arial"/>
                <w:sz w:val="18"/>
              </w:rPr>
              <w:t>Robert A. Eckert</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735" w:type="dxa"/>
            <w:tcBorders/>
            <w:vAlign w:val="center"/>
          </w:tcPr>
          <w:p>
            <w:pPr>
              <w:pStyle w:val="TableContents"/>
              <w:bidi w:val="0"/>
              <w:spacing w:before="0" w:after="283"/>
              <w:jc w:val="right"/>
              <w:rPr/>
            </w:pPr>
            <w:r>
              <w:rPr/>
              <w:t>190,000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525" w:type="dxa"/>
            <w:tcBorders/>
            <w:vAlign w:val="center"/>
          </w:tcPr>
          <w:p>
            <w:pPr>
              <w:pStyle w:val="TableContents"/>
              <w:bidi w:val="0"/>
              <w:spacing w:before="0" w:after="283"/>
              <w:jc w:val="right"/>
              <w:rPr/>
            </w:pPr>
            <w:r>
              <w:rPr/>
              <w:t>209,791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866" w:type="dxa"/>
            <w:tcBorders/>
            <w:vAlign w:val="center"/>
          </w:tcPr>
          <w:p>
            <w:pPr>
              <w:pStyle w:val="TableContents"/>
              <w:bidi w:val="0"/>
              <w:spacing w:before="0" w:after="283"/>
              <w:jc w:val="right"/>
              <w:rPr/>
            </w:pPr>
            <w:r>
              <w:rPr/>
              <w:t>20,129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419,920</w:t>
            </w:r>
          </w:p>
        </w:tc>
        <w:tc>
          <w:tcPr>
            <w:tcW w:w="75" w:type="dxa"/>
            <w:tcBorders/>
            <w:vAlign w:val="center"/>
          </w:tcPr>
          <w:p>
            <w:pPr>
              <w:pStyle w:val="TableContents"/>
              <w:bidi w:val="0"/>
              <w:spacing w:before="0" w:after="283"/>
              <w:jc w:val="left"/>
              <w:rPr/>
            </w:pPr>
            <w:r>
              <w:rPr/>
              <w:t> </w:t>
            </w:r>
          </w:p>
        </w:tc>
      </w:tr>
      <w:tr>
        <w:trPr/>
        <w:tc>
          <w:tcPr>
            <w:tcW w:w="2585" w:type="dxa"/>
            <w:tcBorders/>
            <w:shd w:fill="CCE2F1" w:val="clear"/>
            <w:vAlign w:val="center"/>
          </w:tcPr>
          <w:p>
            <w:pPr>
              <w:pStyle w:val="TableContents"/>
              <w:bidi w:val="0"/>
              <w:spacing w:before="0" w:after="283"/>
              <w:jc w:val="left"/>
              <w:rPr>
                <w:sz w:val="4"/>
                <w:szCs w:val="4"/>
              </w:rPr>
            </w:pPr>
            <w:r>
              <w:rPr>
                <w:sz w:val="4"/>
                <w:szCs w:val="4"/>
              </w:rPr>
            </w:r>
          </w:p>
        </w:tc>
        <w:tc>
          <w:tcPr>
            <w:tcW w:w="2044" w:type="dxa"/>
            <w:gridSpan w:val="4"/>
            <w:tcBorders/>
            <w:shd w:fill="CCE2F1" w:val="clear"/>
            <w:vAlign w:val="center"/>
          </w:tcPr>
          <w:p>
            <w:pPr>
              <w:pStyle w:val="TableContents"/>
              <w:bidi w:val="0"/>
              <w:spacing w:before="0" w:after="283"/>
              <w:jc w:val="left"/>
              <w:rPr>
                <w:sz w:val="4"/>
                <w:szCs w:val="4"/>
              </w:rPr>
            </w:pPr>
            <w:r>
              <w:rPr>
                <w:sz w:val="4"/>
                <w:szCs w:val="4"/>
              </w:rPr>
            </w:r>
          </w:p>
        </w:tc>
        <w:tc>
          <w:tcPr>
            <w:tcW w:w="1819" w:type="dxa"/>
            <w:gridSpan w:val="4"/>
            <w:tcBorders/>
            <w:shd w:fill="CCE2F1" w:val="clear"/>
            <w:vAlign w:val="center"/>
          </w:tcPr>
          <w:p>
            <w:pPr>
              <w:pStyle w:val="TableContents"/>
              <w:bidi w:val="0"/>
              <w:spacing w:before="0" w:after="283"/>
              <w:jc w:val="left"/>
              <w:rPr>
                <w:sz w:val="4"/>
                <w:szCs w:val="4"/>
              </w:rPr>
            </w:pPr>
            <w:r>
              <w:rPr>
                <w:sz w:val="4"/>
                <w:szCs w:val="4"/>
              </w:rPr>
            </w:r>
          </w:p>
        </w:tc>
        <w:tc>
          <w:tcPr>
            <w:tcW w:w="2209" w:type="dxa"/>
            <w:gridSpan w:val="4"/>
            <w:tcBorders/>
            <w:shd w:fill="CCE2F1" w:val="clear"/>
            <w:vAlign w:val="center"/>
          </w:tcPr>
          <w:p>
            <w:pPr>
              <w:pStyle w:val="TableContents"/>
              <w:bidi w:val="0"/>
              <w:spacing w:before="0" w:after="283"/>
              <w:jc w:val="left"/>
              <w:rPr>
                <w:sz w:val="4"/>
                <w:szCs w:val="4"/>
              </w:rPr>
            </w:pPr>
            <w:r>
              <w:rPr>
                <w:sz w:val="4"/>
                <w:szCs w:val="4"/>
              </w:rPr>
            </w:r>
          </w:p>
        </w:tc>
        <w:tc>
          <w:tcPr>
            <w:tcW w:w="1055"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2585" w:type="dxa"/>
            <w:tcBorders/>
            <w:shd w:fill="CCE2F1" w:val="clear"/>
            <w:vAlign w:val="center"/>
          </w:tcPr>
          <w:p>
            <w:pPr>
              <w:pStyle w:val="TableContents"/>
              <w:bidi w:val="0"/>
              <w:spacing w:before="0" w:after="0"/>
              <w:jc w:val="left"/>
              <w:rPr/>
            </w:pPr>
            <w:r>
              <w:rPr/>
              <w:t> </w:t>
            </w:r>
            <w:r>
              <w:rPr>
                <w:rFonts w:ascii="arial" w:hAnsi="arial"/>
                <w:sz w:val="18"/>
              </w:rPr>
              <w:t>Greg C. Garland</w:t>
            </w:r>
          </w:p>
        </w:tc>
        <w:tc>
          <w:tcPr>
            <w:tcW w:w="120" w:type="dxa"/>
            <w:tcBorders/>
            <w:shd w:fill="CCE2F1" w:val="clear"/>
            <w:vAlign w:val="center"/>
          </w:tcPr>
          <w:p>
            <w:pPr>
              <w:pStyle w:val="TableContents"/>
              <w:bidi w:val="0"/>
              <w:spacing w:before="0" w:after="283"/>
              <w:jc w:val="left"/>
              <w:rPr/>
            </w:pPr>
            <w:r>
              <w:rPr/>
              <w:t>  </w:t>
            </w:r>
          </w:p>
        </w:tc>
        <w:tc>
          <w:tcPr>
            <w:tcW w:w="129" w:type="dxa"/>
            <w:tcBorders/>
            <w:shd w:fill="CCE2F1" w:val="clear"/>
            <w:vAlign w:val="center"/>
          </w:tcPr>
          <w:p>
            <w:pPr>
              <w:pStyle w:val="TableContents"/>
              <w:bidi w:val="0"/>
              <w:spacing w:before="0" w:after="283"/>
              <w:jc w:val="left"/>
              <w:rPr/>
            </w:pPr>
            <w:r>
              <w:rPr/>
              <w:t> </w:t>
            </w:r>
          </w:p>
        </w:tc>
        <w:tc>
          <w:tcPr>
            <w:tcW w:w="1735" w:type="dxa"/>
            <w:tcBorders/>
            <w:shd w:fill="CCE2F1" w:val="clear"/>
            <w:vAlign w:val="center"/>
          </w:tcPr>
          <w:p>
            <w:pPr>
              <w:pStyle w:val="TableContents"/>
              <w:bidi w:val="0"/>
              <w:spacing w:before="0" w:after="283"/>
              <w:jc w:val="right"/>
              <w:rPr/>
            </w:pPr>
            <w:r>
              <w:rPr/>
              <w:t>150,000</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114" w:type="dxa"/>
            <w:tcBorders/>
            <w:shd w:fill="CCE2F1" w:val="clear"/>
            <w:vAlign w:val="center"/>
          </w:tcPr>
          <w:p>
            <w:pPr>
              <w:pStyle w:val="TableContents"/>
              <w:bidi w:val="0"/>
              <w:spacing w:before="0" w:after="283"/>
              <w:jc w:val="left"/>
              <w:rPr/>
            </w:pPr>
            <w:r>
              <w:rPr/>
              <w:t> </w:t>
            </w:r>
          </w:p>
        </w:tc>
        <w:tc>
          <w:tcPr>
            <w:tcW w:w="1525" w:type="dxa"/>
            <w:tcBorders/>
            <w:shd w:fill="CCE2F1" w:val="clear"/>
            <w:vAlign w:val="center"/>
          </w:tcPr>
          <w:p>
            <w:pPr>
              <w:pStyle w:val="TableContents"/>
              <w:bidi w:val="0"/>
              <w:spacing w:before="0" w:after="283"/>
              <w:jc w:val="right"/>
              <w:rPr/>
            </w:pPr>
            <w:r>
              <w:rPr/>
              <w:t>209,791</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163" w:type="dxa"/>
            <w:tcBorders/>
            <w:shd w:fill="CCE2F1" w:val="clear"/>
            <w:vAlign w:val="center"/>
          </w:tcPr>
          <w:p>
            <w:pPr>
              <w:pStyle w:val="TableContents"/>
              <w:bidi w:val="0"/>
              <w:spacing w:before="0" w:after="283"/>
              <w:jc w:val="left"/>
              <w:rPr/>
            </w:pPr>
            <w:r>
              <w:rPr/>
              <w:t> </w:t>
            </w:r>
          </w:p>
        </w:tc>
        <w:tc>
          <w:tcPr>
            <w:tcW w:w="1866" w:type="dxa"/>
            <w:tcBorders/>
            <w:shd w:fill="CCE2F1" w:val="clear"/>
            <w:vAlign w:val="center"/>
          </w:tcPr>
          <w:p>
            <w:pPr>
              <w:pStyle w:val="TableContents"/>
              <w:bidi w:val="0"/>
              <w:spacing w:before="0" w:after="283"/>
              <w:jc w:val="right"/>
              <w:rPr/>
            </w:pPr>
            <w:r>
              <w:rPr/>
              <w:t>20,129</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800" w:type="dxa"/>
            <w:tcBorders/>
            <w:shd w:fill="CCE2F1" w:val="clear"/>
            <w:vAlign w:val="center"/>
          </w:tcPr>
          <w:p>
            <w:pPr>
              <w:pStyle w:val="TableContents"/>
              <w:bidi w:val="0"/>
              <w:spacing w:before="0" w:after="283"/>
              <w:jc w:val="right"/>
              <w:rPr/>
            </w:pPr>
            <w:r>
              <w:rPr/>
              <w:t>379,920</w:t>
            </w:r>
          </w:p>
        </w:tc>
        <w:tc>
          <w:tcPr>
            <w:tcW w:w="75" w:type="dxa"/>
            <w:tcBorders/>
            <w:shd w:fill="CCE2F1"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sz w:val="4"/>
                <w:szCs w:val="4"/>
              </w:rPr>
            </w:pPr>
            <w:r>
              <w:rPr>
                <w:sz w:val="4"/>
                <w:szCs w:val="4"/>
              </w:rPr>
            </w:r>
          </w:p>
        </w:tc>
        <w:tc>
          <w:tcPr>
            <w:tcW w:w="2044" w:type="dxa"/>
            <w:gridSpan w:val="4"/>
            <w:tcBorders/>
            <w:vAlign w:val="center"/>
          </w:tcPr>
          <w:p>
            <w:pPr>
              <w:pStyle w:val="TableContents"/>
              <w:bidi w:val="0"/>
              <w:spacing w:before="0" w:after="283"/>
              <w:jc w:val="left"/>
              <w:rPr>
                <w:sz w:val="4"/>
                <w:szCs w:val="4"/>
              </w:rPr>
            </w:pPr>
            <w:r>
              <w:rPr>
                <w:sz w:val="4"/>
                <w:szCs w:val="4"/>
              </w:rPr>
            </w:r>
          </w:p>
        </w:tc>
        <w:tc>
          <w:tcPr>
            <w:tcW w:w="1819" w:type="dxa"/>
            <w:gridSpan w:val="4"/>
            <w:tcBorders/>
            <w:vAlign w:val="center"/>
          </w:tcPr>
          <w:p>
            <w:pPr>
              <w:pStyle w:val="TableContents"/>
              <w:bidi w:val="0"/>
              <w:spacing w:before="0" w:after="283"/>
              <w:jc w:val="left"/>
              <w:rPr>
                <w:sz w:val="4"/>
                <w:szCs w:val="4"/>
              </w:rPr>
            </w:pPr>
            <w:r>
              <w:rPr>
                <w:sz w:val="4"/>
                <w:szCs w:val="4"/>
              </w:rPr>
            </w:r>
          </w:p>
        </w:tc>
        <w:tc>
          <w:tcPr>
            <w:tcW w:w="2209"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2585" w:type="dxa"/>
            <w:tcBorders/>
            <w:vAlign w:val="center"/>
          </w:tcPr>
          <w:p>
            <w:pPr>
              <w:pStyle w:val="TableContents"/>
              <w:bidi w:val="0"/>
              <w:spacing w:before="0" w:after="0"/>
              <w:jc w:val="left"/>
              <w:rPr/>
            </w:pPr>
            <w:r>
              <w:rPr/>
              <w:t> </w:t>
            </w:r>
            <w:r>
              <w:rPr>
                <w:rFonts w:ascii="arial" w:hAnsi="arial"/>
                <w:sz w:val="18"/>
              </w:rPr>
              <w:t>Charles M. Holley, Jr.(1)</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735"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525" w:type="dxa"/>
            <w:tcBorders/>
            <w:vAlign w:val="center"/>
          </w:tcPr>
          <w:p>
            <w:pPr>
              <w:pStyle w:val="TableContents"/>
              <w:bidi w:val="0"/>
              <w:spacing w:before="0" w:after="283"/>
              <w:jc w:val="right"/>
              <w:rPr/>
            </w:pPr>
            <w:r>
              <w:rPr/>
              <w:t>369,791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866" w:type="dxa"/>
            <w:tcBorders/>
            <w:vAlign w:val="center"/>
          </w:tcPr>
          <w:p>
            <w:pPr>
              <w:pStyle w:val="TableContents"/>
              <w:bidi w:val="0"/>
              <w:spacing w:before="0" w:after="283"/>
              <w:jc w:val="right"/>
              <w:rPr/>
            </w:pPr>
            <w:r>
              <w:rPr/>
              <w:t>129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369,920</w:t>
            </w:r>
          </w:p>
        </w:tc>
        <w:tc>
          <w:tcPr>
            <w:tcW w:w="75" w:type="dxa"/>
            <w:tcBorders/>
            <w:vAlign w:val="center"/>
          </w:tcPr>
          <w:p>
            <w:pPr>
              <w:pStyle w:val="TableContents"/>
              <w:bidi w:val="0"/>
              <w:spacing w:before="0" w:after="283"/>
              <w:jc w:val="left"/>
              <w:rPr/>
            </w:pPr>
            <w:r>
              <w:rPr/>
              <w:t> </w:t>
            </w:r>
          </w:p>
        </w:tc>
      </w:tr>
      <w:tr>
        <w:trPr/>
        <w:tc>
          <w:tcPr>
            <w:tcW w:w="2585" w:type="dxa"/>
            <w:tcBorders/>
            <w:shd w:fill="CCE2F1" w:val="clear"/>
            <w:vAlign w:val="center"/>
          </w:tcPr>
          <w:p>
            <w:pPr>
              <w:pStyle w:val="TableContents"/>
              <w:bidi w:val="0"/>
              <w:spacing w:before="0" w:after="283"/>
              <w:jc w:val="left"/>
              <w:rPr>
                <w:sz w:val="4"/>
                <w:szCs w:val="4"/>
              </w:rPr>
            </w:pPr>
            <w:r>
              <w:rPr>
                <w:sz w:val="4"/>
                <w:szCs w:val="4"/>
              </w:rPr>
            </w:r>
          </w:p>
        </w:tc>
        <w:tc>
          <w:tcPr>
            <w:tcW w:w="2044" w:type="dxa"/>
            <w:gridSpan w:val="4"/>
            <w:tcBorders/>
            <w:shd w:fill="CCE2F1" w:val="clear"/>
            <w:vAlign w:val="center"/>
          </w:tcPr>
          <w:p>
            <w:pPr>
              <w:pStyle w:val="TableContents"/>
              <w:bidi w:val="0"/>
              <w:spacing w:before="0" w:after="283"/>
              <w:jc w:val="left"/>
              <w:rPr>
                <w:sz w:val="4"/>
                <w:szCs w:val="4"/>
              </w:rPr>
            </w:pPr>
            <w:r>
              <w:rPr>
                <w:sz w:val="4"/>
                <w:szCs w:val="4"/>
              </w:rPr>
            </w:r>
          </w:p>
        </w:tc>
        <w:tc>
          <w:tcPr>
            <w:tcW w:w="1819" w:type="dxa"/>
            <w:gridSpan w:val="4"/>
            <w:tcBorders/>
            <w:shd w:fill="CCE2F1" w:val="clear"/>
            <w:vAlign w:val="center"/>
          </w:tcPr>
          <w:p>
            <w:pPr>
              <w:pStyle w:val="TableContents"/>
              <w:bidi w:val="0"/>
              <w:spacing w:before="0" w:after="283"/>
              <w:jc w:val="left"/>
              <w:rPr>
                <w:sz w:val="4"/>
                <w:szCs w:val="4"/>
              </w:rPr>
            </w:pPr>
            <w:r>
              <w:rPr>
                <w:sz w:val="4"/>
                <w:szCs w:val="4"/>
              </w:rPr>
            </w:r>
          </w:p>
        </w:tc>
        <w:tc>
          <w:tcPr>
            <w:tcW w:w="2209" w:type="dxa"/>
            <w:gridSpan w:val="4"/>
            <w:tcBorders/>
            <w:shd w:fill="CCE2F1" w:val="clear"/>
            <w:vAlign w:val="center"/>
          </w:tcPr>
          <w:p>
            <w:pPr>
              <w:pStyle w:val="TableContents"/>
              <w:bidi w:val="0"/>
              <w:spacing w:before="0" w:after="283"/>
              <w:jc w:val="left"/>
              <w:rPr>
                <w:sz w:val="4"/>
                <w:szCs w:val="4"/>
              </w:rPr>
            </w:pPr>
            <w:r>
              <w:rPr>
                <w:sz w:val="4"/>
                <w:szCs w:val="4"/>
              </w:rPr>
            </w:r>
          </w:p>
        </w:tc>
        <w:tc>
          <w:tcPr>
            <w:tcW w:w="1055"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2585" w:type="dxa"/>
            <w:tcBorders/>
            <w:shd w:fill="CCE2F1" w:val="clear"/>
            <w:vAlign w:val="center"/>
          </w:tcPr>
          <w:p>
            <w:pPr>
              <w:pStyle w:val="TableContents"/>
              <w:bidi w:val="0"/>
              <w:spacing w:before="0" w:after="0"/>
              <w:jc w:val="left"/>
              <w:rPr/>
            </w:pPr>
            <w:r>
              <w:rPr/>
              <w:t> </w:t>
            </w:r>
            <w:r>
              <w:rPr>
                <w:rFonts w:ascii="arial" w:hAnsi="arial"/>
                <w:sz w:val="18"/>
              </w:rPr>
              <w:t>S. Omar Ishrak(1)</w:t>
            </w:r>
          </w:p>
        </w:tc>
        <w:tc>
          <w:tcPr>
            <w:tcW w:w="120" w:type="dxa"/>
            <w:tcBorders/>
            <w:shd w:fill="CCE2F1" w:val="clear"/>
            <w:vAlign w:val="center"/>
          </w:tcPr>
          <w:p>
            <w:pPr>
              <w:pStyle w:val="TableContents"/>
              <w:bidi w:val="0"/>
              <w:spacing w:before="0" w:after="283"/>
              <w:jc w:val="left"/>
              <w:rPr/>
            </w:pPr>
            <w:r>
              <w:rPr/>
              <w:t>  </w:t>
            </w:r>
          </w:p>
        </w:tc>
        <w:tc>
          <w:tcPr>
            <w:tcW w:w="129" w:type="dxa"/>
            <w:tcBorders/>
            <w:shd w:fill="CCE2F1" w:val="clear"/>
            <w:vAlign w:val="center"/>
          </w:tcPr>
          <w:p>
            <w:pPr>
              <w:pStyle w:val="TableContents"/>
              <w:bidi w:val="0"/>
              <w:spacing w:before="0" w:after="283"/>
              <w:jc w:val="left"/>
              <w:rPr/>
            </w:pPr>
            <w:r>
              <w:rPr/>
              <w:t> </w:t>
            </w:r>
          </w:p>
        </w:tc>
        <w:tc>
          <w:tcPr>
            <w:tcW w:w="1735"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114" w:type="dxa"/>
            <w:tcBorders/>
            <w:shd w:fill="CCE2F1" w:val="clear"/>
            <w:vAlign w:val="center"/>
          </w:tcPr>
          <w:p>
            <w:pPr>
              <w:pStyle w:val="TableContents"/>
              <w:bidi w:val="0"/>
              <w:spacing w:before="0" w:after="283"/>
              <w:jc w:val="left"/>
              <w:rPr/>
            </w:pPr>
            <w:r>
              <w:rPr/>
              <w:t> </w:t>
            </w:r>
          </w:p>
        </w:tc>
        <w:tc>
          <w:tcPr>
            <w:tcW w:w="1525" w:type="dxa"/>
            <w:tcBorders/>
            <w:shd w:fill="CCE2F1" w:val="clear"/>
            <w:vAlign w:val="center"/>
          </w:tcPr>
          <w:p>
            <w:pPr>
              <w:pStyle w:val="TableContents"/>
              <w:bidi w:val="0"/>
              <w:spacing w:before="0" w:after="283"/>
              <w:jc w:val="right"/>
              <w:rPr/>
            </w:pPr>
            <w:r>
              <w:rPr/>
              <w:t>339,791</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163" w:type="dxa"/>
            <w:tcBorders/>
            <w:shd w:fill="CCE2F1" w:val="clear"/>
            <w:vAlign w:val="center"/>
          </w:tcPr>
          <w:p>
            <w:pPr>
              <w:pStyle w:val="TableContents"/>
              <w:bidi w:val="0"/>
              <w:spacing w:before="0" w:after="283"/>
              <w:jc w:val="left"/>
              <w:rPr/>
            </w:pPr>
            <w:r>
              <w:rPr/>
              <w:t> </w:t>
            </w:r>
          </w:p>
        </w:tc>
        <w:tc>
          <w:tcPr>
            <w:tcW w:w="1866" w:type="dxa"/>
            <w:tcBorders/>
            <w:shd w:fill="CCE2F1" w:val="clear"/>
            <w:vAlign w:val="center"/>
          </w:tcPr>
          <w:p>
            <w:pPr>
              <w:pStyle w:val="TableContents"/>
              <w:bidi w:val="0"/>
              <w:spacing w:before="0" w:after="283"/>
              <w:jc w:val="right"/>
              <w:rPr/>
            </w:pPr>
            <w:r>
              <w:rPr/>
              <w:t>26,683</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800" w:type="dxa"/>
            <w:tcBorders/>
            <w:shd w:fill="CCE2F1" w:val="clear"/>
            <w:vAlign w:val="center"/>
          </w:tcPr>
          <w:p>
            <w:pPr>
              <w:pStyle w:val="TableContents"/>
              <w:bidi w:val="0"/>
              <w:spacing w:before="0" w:after="283"/>
              <w:jc w:val="right"/>
              <w:rPr/>
            </w:pPr>
            <w:r>
              <w:rPr/>
              <w:t>366,474</w:t>
            </w:r>
          </w:p>
        </w:tc>
        <w:tc>
          <w:tcPr>
            <w:tcW w:w="75" w:type="dxa"/>
            <w:tcBorders/>
            <w:shd w:fill="CCE2F1"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sz w:val="4"/>
                <w:szCs w:val="4"/>
              </w:rPr>
            </w:pPr>
            <w:r>
              <w:rPr>
                <w:sz w:val="4"/>
                <w:szCs w:val="4"/>
              </w:rPr>
            </w:r>
          </w:p>
        </w:tc>
        <w:tc>
          <w:tcPr>
            <w:tcW w:w="2044" w:type="dxa"/>
            <w:gridSpan w:val="4"/>
            <w:tcBorders/>
            <w:vAlign w:val="center"/>
          </w:tcPr>
          <w:p>
            <w:pPr>
              <w:pStyle w:val="TableContents"/>
              <w:bidi w:val="0"/>
              <w:spacing w:before="0" w:after="283"/>
              <w:jc w:val="left"/>
              <w:rPr>
                <w:sz w:val="4"/>
                <w:szCs w:val="4"/>
              </w:rPr>
            </w:pPr>
            <w:r>
              <w:rPr>
                <w:sz w:val="4"/>
                <w:szCs w:val="4"/>
              </w:rPr>
            </w:r>
          </w:p>
        </w:tc>
        <w:tc>
          <w:tcPr>
            <w:tcW w:w="1819" w:type="dxa"/>
            <w:gridSpan w:val="4"/>
            <w:tcBorders/>
            <w:vAlign w:val="center"/>
          </w:tcPr>
          <w:p>
            <w:pPr>
              <w:pStyle w:val="TableContents"/>
              <w:bidi w:val="0"/>
              <w:spacing w:before="0" w:after="283"/>
              <w:jc w:val="left"/>
              <w:rPr>
                <w:sz w:val="4"/>
                <w:szCs w:val="4"/>
              </w:rPr>
            </w:pPr>
            <w:r>
              <w:rPr>
                <w:sz w:val="4"/>
                <w:szCs w:val="4"/>
              </w:rPr>
            </w:r>
          </w:p>
        </w:tc>
        <w:tc>
          <w:tcPr>
            <w:tcW w:w="2209"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2585" w:type="dxa"/>
            <w:tcBorders/>
            <w:vAlign w:val="center"/>
          </w:tcPr>
          <w:p>
            <w:pPr>
              <w:pStyle w:val="TableContents"/>
              <w:bidi w:val="0"/>
              <w:spacing w:before="0" w:after="0"/>
              <w:jc w:val="left"/>
              <w:rPr/>
            </w:pPr>
            <w:r>
              <w:rPr/>
              <w:t> </w:t>
            </w:r>
            <w:r>
              <w:rPr>
                <w:rFonts w:ascii="arial" w:hAnsi="arial"/>
                <w:sz w:val="18"/>
              </w:rPr>
              <w:t>Tyler Jacks</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735" w:type="dxa"/>
            <w:tcBorders/>
            <w:vAlign w:val="center"/>
          </w:tcPr>
          <w:p>
            <w:pPr>
              <w:pStyle w:val="TableContents"/>
              <w:bidi w:val="0"/>
              <w:spacing w:before="0" w:after="283"/>
              <w:jc w:val="right"/>
              <w:rPr/>
            </w:pPr>
            <w:r>
              <w:rPr/>
              <w:t>130,000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525" w:type="dxa"/>
            <w:tcBorders/>
            <w:vAlign w:val="center"/>
          </w:tcPr>
          <w:p>
            <w:pPr>
              <w:pStyle w:val="TableContents"/>
              <w:bidi w:val="0"/>
              <w:spacing w:before="0" w:after="283"/>
              <w:jc w:val="right"/>
              <w:rPr/>
            </w:pPr>
            <w:r>
              <w:rPr/>
              <w:t>209,791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866" w:type="dxa"/>
            <w:tcBorders/>
            <w:vAlign w:val="center"/>
          </w:tcPr>
          <w:p>
            <w:pPr>
              <w:pStyle w:val="TableContents"/>
              <w:bidi w:val="0"/>
              <w:spacing w:before="0" w:after="283"/>
              <w:jc w:val="right"/>
              <w:rPr/>
            </w:pPr>
            <w:r>
              <w:rPr/>
              <w:t>129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339,920</w:t>
            </w:r>
          </w:p>
        </w:tc>
        <w:tc>
          <w:tcPr>
            <w:tcW w:w="75" w:type="dxa"/>
            <w:tcBorders/>
            <w:vAlign w:val="center"/>
          </w:tcPr>
          <w:p>
            <w:pPr>
              <w:pStyle w:val="TableContents"/>
              <w:bidi w:val="0"/>
              <w:spacing w:before="0" w:after="283"/>
              <w:jc w:val="left"/>
              <w:rPr/>
            </w:pPr>
            <w:r>
              <w:rPr/>
              <w:t> </w:t>
            </w:r>
          </w:p>
        </w:tc>
      </w:tr>
      <w:tr>
        <w:trPr/>
        <w:tc>
          <w:tcPr>
            <w:tcW w:w="2585" w:type="dxa"/>
            <w:tcBorders/>
            <w:shd w:fill="CCE2F1" w:val="clear"/>
            <w:vAlign w:val="center"/>
          </w:tcPr>
          <w:p>
            <w:pPr>
              <w:pStyle w:val="TableContents"/>
              <w:bidi w:val="0"/>
              <w:spacing w:before="0" w:after="283"/>
              <w:jc w:val="left"/>
              <w:rPr>
                <w:sz w:val="4"/>
                <w:szCs w:val="4"/>
              </w:rPr>
            </w:pPr>
            <w:r>
              <w:rPr>
                <w:sz w:val="4"/>
                <w:szCs w:val="4"/>
              </w:rPr>
            </w:r>
          </w:p>
        </w:tc>
        <w:tc>
          <w:tcPr>
            <w:tcW w:w="2044" w:type="dxa"/>
            <w:gridSpan w:val="4"/>
            <w:tcBorders/>
            <w:shd w:fill="CCE2F1" w:val="clear"/>
            <w:vAlign w:val="center"/>
          </w:tcPr>
          <w:p>
            <w:pPr>
              <w:pStyle w:val="TableContents"/>
              <w:bidi w:val="0"/>
              <w:spacing w:before="0" w:after="283"/>
              <w:jc w:val="left"/>
              <w:rPr>
                <w:sz w:val="4"/>
                <w:szCs w:val="4"/>
              </w:rPr>
            </w:pPr>
            <w:r>
              <w:rPr>
                <w:sz w:val="4"/>
                <w:szCs w:val="4"/>
              </w:rPr>
            </w:r>
          </w:p>
        </w:tc>
        <w:tc>
          <w:tcPr>
            <w:tcW w:w="1819" w:type="dxa"/>
            <w:gridSpan w:val="4"/>
            <w:tcBorders/>
            <w:shd w:fill="CCE2F1" w:val="clear"/>
            <w:vAlign w:val="center"/>
          </w:tcPr>
          <w:p>
            <w:pPr>
              <w:pStyle w:val="TableContents"/>
              <w:bidi w:val="0"/>
              <w:spacing w:before="0" w:after="283"/>
              <w:jc w:val="left"/>
              <w:rPr>
                <w:sz w:val="4"/>
                <w:szCs w:val="4"/>
              </w:rPr>
            </w:pPr>
            <w:r>
              <w:rPr>
                <w:sz w:val="4"/>
                <w:szCs w:val="4"/>
              </w:rPr>
            </w:r>
          </w:p>
        </w:tc>
        <w:tc>
          <w:tcPr>
            <w:tcW w:w="2209" w:type="dxa"/>
            <w:gridSpan w:val="4"/>
            <w:tcBorders/>
            <w:shd w:fill="CCE2F1" w:val="clear"/>
            <w:vAlign w:val="center"/>
          </w:tcPr>
          <w:p>
            <w:pPr>
              <w:pStyle w:val="TableContents"/>
              <w:bidi w:val="0"/>
              <w:spacing w:before="0" w:after="283"/>
              <w:jc w:val="left"/>
              <w:rPr>
                <w:sz w:val="4"/>
                <w:szCs w:val="4"/>
              </w:rPr>
            </w:pPr>
            <w:r>
              <w:rPr>
                <w:sz w:val="4"/>
                <w:szCs w:val="4"/>
              </w:rPr>
            </w:r>
          </w:p>
        </w:tc>
        <w:tc>
          <w:tcPr>
            <w:tcW w:w="1055"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2585" w:type="dxa"/>
            <w:tcBorders/>
            <w:shd w:fill="CCE2F1" w:val="clear"/>
            <w:vAlign w:val="center"/>
          </w:tcPr>
          <w:p>
            <w:pPr>
              <w:pStyle w:val="TableContents"/>
              <w:bidi w:val="0"/>
              <w:spacing w:before="0" w:after="0"/>
              <w:jc w:val="left"/>
              <w:rPr/>
            </w:pPr>
            <w:r>
              <w:rPr/>
              <w:t> </w:t>
            </w:r>
            <w:r>
              <w:rPr>
                <w:rFonts w:ascii="arial" w:hAnsi="arial"/>
                <w:sz w:val="18"/>
              </w:rPr>
              <w:t>Ellen J. Kullman</w:t>
            </w:r>
          </w:p>
        </w:tc>
        <w:tc>
          <w:tcPr>
            <w:tcW w:w="120" w:type="dxa"/>
            <w:tcBorders/>
            <w:shd w:fill="CCE2F1" w:val="clear"/>
            <w:vAlign w:val="center"/>
          </w:tcPr>
          <w:p>
            <w:pPr>
              <w:pStyle w:val="TableContents"/>
              <w:bidi w:val="0"/>
              <w:spacing w:before="0" w:after="283"/>
              <w:jc w:val="left"/>
              <w:rPr/>
            </w:pPr>
            <w:r>
              <w:rPr/>
              <w:t>  </w:t>
            </w:r>
          </w:p>
        </w:tc>
        <w:tc>
          <w:tcPr>
            <w:tcW w:w="129" w:type="dxa"/>
            <w:tcBorders/>
            <w:shd w:fill="CCE2F1" w:val="clear"/>
            <w:vAlign w:val="center"/>
          </w:tcPr>
          <w:p>
            <w:pPr>
              <w:pStyle w:val="TableContents"/>
              <w:bidi w:val="0"/>
              <w:spacing w:before="0" w:after="283"/>
              <w:jc w:val="left"/>
              <w:rPr/>
            </w:pPr>
            <w:r>
              <w:rPr/>
              <w:t> </w:t>
            </w:r>
          </w:p>
        </w:tc>
        <w:tc>
          <w:tcPr>
            <w:tcW w:w="1735" w:type="dxa"/>
            <w:tcBorders/>
            <w:shd w:fill="CCE2F1" w:val="clear"/>
            <w:vAlign w:val="center"/>
          </w:tcPr>
          <w:p>
            <w:pPr>
              <w:pStyle w:val="TableContents"/>
              <w:bidi w:val="0"/>
              <w:spacing w:before="0" w:after="283"/>
              <w:jc w:val="right"/>
              <w:rPr/>
            </w:pPr>
            <w:r>
              <w:rPr/>
              <w:t>130,000</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114" w:type="dxa"/>
            <w:tcBorders/>
            <w:shd w:fill="CCE2F1" w:val="clear"/>
            <w:vAlign w:val="center"/>
          </w:tcPr>
          <w:p>
            <w:pPr>
              <w:pStyle w:val="TableContents"/>
              <w:bidi w:val="0"/>
              <w:spacing w:before="0" w:after="283"/>
              <w:jc w:val="left"/>
              <w:rPr/>
            </w:pPr>
            <w:r>
              <w:rPr/>
              <w:t> </w:t>
            </w:r>
          </w:p>
        </w:tc>
        <w:tc>
          <w:tcPr>
            <w:tcW w:w="1525" w:type="dxa"/>
            <w:tcBorders/>
            <w:shd w:fill="CCE2F1" w:val="clear"/>
            <w:vAlign w:val="center"/>
          </w:tcPr>
          <w:p>
            <w:pPr>
              <w:pStyle w:val="TableContents"/>
              <w:bidi w:val="0"/>
              <w:spacing w:before="0" w:after="283"/>
              <w:jc w:val="right"/>
              <w:rPr/>
            </w:pPr>
            <w:r>
              <w:rPr/>
              <w:t>209,791</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163" w:type="dxa"/>
            <w:tcBorders/>
            <w:shd w:fill="CCE2F1" w:val="clear"/>
            <w:vAlign w:val="center"/>
          </w:tcPr>
          <w:p>
            <w:pPr>
              <w:pStyle w:val="TableContents"/>
              <w:bidi w:val="0"/>
              <w:spacing w:before="0" w:after="283"/>
              <w:jc w:val="left"/>
              <w:rPr/>
            </w:pPr>
            <w:r>
              <w:rPr/>
              <w:t> </w:t>
            </w:r>
          </w:p>
        </w:tc>
        <w:tc>
          <w:tcPr>
            <w:tcW w:w="1866" w:type="dxa"/>
            <w:tcBorders/>
            <w:shd w:fill="CCE2F1" w:val="clear"/>
            <w:vAlign w:val="center"/>
          </w:tcPr>
          <w:p>
            <w:pPr>
              <w:pStyle w:val="TableContents"/>
              <w:bidi w:val="0"/>
              <w:spacing w:before="0" w:after="283"/>
              <w:jc w:val="right"/>
              <w:rPr/>
            </w:pPr>
            <w:r>
              <w:rPr/>
              <w:t>20,496</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800" w:type="dxa"/>
            <w:tcBorders/>
            <w:shd w:fill="CCE2F1" w:val="clear"/>
            <w:vAlign w:val="center"/>
          </w:tcPr>
          <w:p>
            <w:pPr>
              <w:pStyle w:val="TableContents"/>
              <w:bidi w:val="0"/>
              <w:spacing w:before="0" w:after="283"/>
              <w:jc w:val="right"/>
              <w:rPr/>
            </w:pPr>
            <w:r>
              <w:rPr/>
              <w:t>360,287</w:t>
            </w:r>
          </w:p>
        </w:tc>
        <w:tc>
          <w:tcPr>
            <w:tcW w:w="75" w:type="dxa"/>
            <w:tcBorders/>
            <w:shd w:fill="CCE2F1"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sz w:val="4"/>
                <w:szCs w:val="4"/>
              </w:rPr>
            </w:pPr>
            <w:r>
              <w:rPr>
                <w:sz w:val="4"/>
                <w:szCs w:val="4"/>
              </w:rPr>
            </w:r>
          </w:p>
        </w:tc>
        <w:tc>
          <w:tcPr>
            <w:tcW w:w="2044" w:type="dxa"/>
            <w:gridSpan w:val="4"/>
            <w:tcBorders/>
            <w:vAlign w:val="center"/>
          </w:tcPr>
          <w:p>
            <w:pPr>
              <w:pStyle w:val="TableContents"/>
              <w:bidi w:val="0"/>
              <w:spacing w:before="0" w:after="283"/>
              <w:jc w:val="left"/>
              <w:rPr>
                <w:sz w:val="4"/>
                <w:szCs w:val="4"/>
              </w:rPr>
            </w:pPr>
            <w:r>
              <w:rPr>
                <w:sz w:val="4"/>
                <w:szCs w:val="4"/>
              </w:rPr>
            </w:r>
          </w:p>
        </w:tc>
        <w:tc>
          <w:tcPr>
            <w:tcW w:w="1819" w:type="dxa"/>
            <w:gridSpan w:val="4"/>
            <w:tcBorders/>
            <w:vAlign w:val="center"/>
          </w:tcPr>
          <w:p>
            <w:pPr>
              <w:pStyle w:val="TableContents"/>
              <w:bidi w:val="0"/>
              <w:spacing w:before="0" w:after="283"/>
              <w:jc w:val="left"/>
              <w:rPr>
                <w:sz w:val="4"/>
                <w:szCs w:val="4"/>
              </w:rPr>
            </w:pPr>
            <w:r>
              <w:rPr>
                <w:sz w:val="4"/>
                <w:szCs w:val="4"/>
              </w:rPr>
            </w:r>
          </w:p>
        </w:tc>
        <w:tc>
          <w:tcPr>
            <w:tcW w:w="2209"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2585" w:type="dxa"/>
            <w:tcBorders/>
            <w:vAlign w:val="center"/>
          </w:tcPr>
          <w:p>
            <w:pPr>
              <w:pStyle w:val="TableContents"/>
              <w:bidi w:val="0"/>
              <w:spacing w:before="0" w:after="0"/>
              <w:jc w:val="left"/>
              <w:rPr/>
            </w:pPr>
            <w:r>
              <w:rPr/>
              <w:t> </w:t>
            </w:r>
            <w:r>
              <w:rPr>
                <w:rFonts w:ascii="arial" w:hAnsi="arial"/>
                <w:sz w:val="18"/>
              </w:rPr>
              <w:t>Amy E. Miles</w:t>
            </w:r>
          </w:p>
        </w:tc>
        <w:tc>
          <w:tcPr>
            <w:tcW w:w="12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735" w:type="dxa"/>
            <w:tcBorders/>
            <w:vAlign w:val="center"/>
          </w:tcPr>
          <w:p>
            <w:pPr>
              <w:pStyle w:val="TableContents"/>
              <w:bidi w:val="0"/>
              <w:spacing w:before="0" w:after="283"/>
              <w:jc w:val="right"/>
              <w:rPr/>
            </w:pPr>
            <w:r>
              <w:rPr/>
              <w:t>130,000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525" w:type="dxa"/>
            <w:tcBorders/>
            <w:vAlign w:val="center"/>
          </w:tcPr>
          <w:p>
            <w:pPr>
              <w:pStyle w:val="TableContents"/>
              <w:bidi w:val="0"/>
              <w:spacing w:before="0" w:after="283"/>
              <w:jc w:val="right"/>
              <w:rPr/>
            </w:pPr>
            <w:r>
              <w:rPr/>
              <w:t>209,791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866" w:type="dxa"/>
            <w:tcBorders/>
            <w:vAlign w:val="center"/>
          </w:tcPr>
          <w:p>
            <w:pPr>
              <w:pStyle w:val="TableContents"/>
              <w:bidi w:val="0"/>
              <w:spacing w:before="0" w:after="283"/>
              <w:jc w:val="right"/>
              <w:rPr/>
            </w:pPr>
            <w:r>
              <w:rPr/>
              <w:t>20,129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359,920</w:t>
            </w:r>
          </w:p>
        </w:tc>
        <w:tc>
          <w:tcPr>
            <w:tcW w:w="75" w:type="dxa"/>
            <w:tcBorders/>
            <w:vAlign w:val="center"/>
          </w:tcPr>
          <w:p>
            <w:pPr>
              <w:pStyle w:val="TableContents"/>
              <w:bidi w:val="0"/>
              <w:spacing w:before="0" w:after="283"/>
              <w:jc w:val="left"/>
              <w:rPr/>
            </w:pPr>
            <w:r>
              <w:rPr/>
              <w:t> </w:t>
            </w:r>
          </w:p>
        </w:tc>
      </w:tr>
      <w:tr>
        <w:trPr/>
        <w:tc>
          <w:tcPr>
            <w:tcW w:w="2585" w:type="dxa"/>
            <w:tcBorders/>
            <w:shd w:fill="CCE2F1" w:val="clear"/>
            <w:vAlign w:val="center"/>
          </w:tcPr>
          <w:p>
            <w:pPr>
              <w:pStyle w:val="TableContents"/>
              <w:bidi w:val="0"/>
              <w:spacing w:before="0" w:after="283"/>
              <w:jc w:val="left"/>
              <w:rPr>
                <w:sz w:val="4"/>
                <w:szCs w:val="4"/>
              </w:rPr>
            </w:pPr>
            <w:r>
              <w:rPr>
                <w:sz w:val="4"/>
                <w:szCs w:val="4"/>
              </w:rPr>
            </w:r>
          </w:p>
        </w:tc>
        <w:tc>
          <w:tcPr>
            <w:tcW w:w="2044" w:type="dxa"/>
            <w:gridSpan w:val="4"/>
            <w:tcBorders/>
            <w:shd w:fill="CCE2F1" w:val="clear"/>
            <w:vAlign w:val="center"/>
          </w:tcPr>
          <w:p>
            <w:pPr>
              <w:pStyle w:val="TableContents"/>
              <w:bidi w:val="0"/>
              <w:spacing w:before="0" w:after="283"/>
              <w:jc w:val="left"/>
              <w:rPr>
                <w:sz w:val="4"/>
                <w:szCs w:val="4"/>
              </w:rPr>
            </w:pPr>
            <w:r>
              <w:rPr>
                <w:sz w:val="4"/>
                <w:szCs w:val="4"/>
              </w:rPr>
            </w:r>
          </w:p>
        </w:tc>
        <w:tc>
          <w:tcPr>
            <w:tcW w:w="1819" w:type="dxa"/>
            <w:gridSpan w:val="4"/>
            <w:tcBorders/>
            <w:shd w:fill="CCE2F1" w:val="clear"/>
            <w:vAlign w:val="center"/>
          </w:tcPr>
          <w:p>
            <w:pPr>
              <w:pStyle w:val="TableContents"/>
              <w:bidi w:val="0"/>
              <w:spacing w:before="0" w:after="283"/>
              <w:jc w:val="left"/>
              <w:rPr>
                <w:sz w:val="4"/>
                <w:szCs w:val="4"/>
              </w:rPr>
            </w:pPr>
            <w:r>
              <w:rPr>
                <w:sz w:val="4"/>
                <w:szCs w:val="4"/>
              </w:rPr>
            </w:r>
          </w:p>
        </w:tc>
        <w:tc>
          <w:tcPr>
            <w:tcW w:w="2209" w:type="dxa"/>
            <w:gridSpan w:val="4"/>
            <w:tcBorders/>
            <w:shd w:fill="CCE2F1" w:val="clear"/>
            <w:vAlign w:val="center"/>
          </w:tcPr>
          <w:p>
            <w:pPr>
              <w:pStyle w:val="TableContents"/>
              <w:bidi w:val="0"/>
              <w:spacing w:before="0" w:after="283"/>
              <w:jc w:val="left"/>
              <w:rPr>
                <w:sz w:val="4"/>
                <w:szCs w:val="4"/>
              </w:rPr>
            </w:pPr>
            <w:r>
              <w:rPr>
                <w:sz w:val="4"/>
                <w:szCs w:val="4"/>
              </w:rPr>
            </w:r>
          </w:p>
        </w:tc>
        <w:tc>
          <w:tcPr>
            <w:tcW w:w="1055"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2585" w:type="dxa"/>
            <w:tcBorders/>
            <w:shd w:fill="CCE2F1" w:val="clear"/>
            <w:vAlign w:val="center"/>
          </w:tcPr>
          <w:p>
            <w:pPr>
              <w:pStyle w:val="TableContents"/>
              <w:bidi w:val="0"/>
              <w:spacing w:before="0" w:after="0"/>
              <w:jc w:val="left"/>
              <w:rPr/>
            </w:pPr>
            <w:r>
              <w:rPr/>
              <w:t> </w:t>
            </w:r>
            <w:r>
              <w:rPr>
                <w:rFonts w:ascii="arial" w:hAnsi="arial"/>
                <w:sz w:val="18"/>
              </w:rPr>
              <w:t>Ronald D. Sugar</w:t>
            </w:r>
          </w:p>
        </w:tc>
        <w:tc>
          <w:tcPr>
            <w:tcW w:w="120" w:type="dxa"/>
            <w:tcBorders/>
            <w:shd w:fill="CCE2F1" w:val="clear"/>
            <w:vAlign w:val="center"/>
          </w:tcPr>
          <w:p>
            <w:pPr>
              <w:pStyle w:val="TableContents"/>
              <w:bidi w:val="0"/>
              <w:spacing w:before="0" w:after="283"/>
              <w:jc w:val="left"/>
              <w:rPr/>
            </w:pPr>
            <w:r>
              <w:rPr/>
              <w:t>  </w:t>
            </w:r>
          </w:p>
        </w:tc>
        <w:tc>
          <w:tcPr>
            <w:tcW w:w="129" w:type="dxa"/>
            <w:tcBorders/>
            <w:shd w:fill="CCE2F1" w:val="clear"/>
            <w:vAlign w:val="center"/>
          </w:tcPr>
          <w:p>
            <w:pPr>
              <w:pStyle w:val="TableContents"/>
              <w:bidi w:val="0"/>
              <w:spacing w:before="0" w:after="283"/>
              <w:jc w:val="left"/>
              <w:rPr/>
            </w:pPr>
            <w:r>
              <w:rPr/>
              <w:t> </w:t>
            </w:r>
          </w:p>
        </w:tc>
        <w:tc>
          <w:tcPr>
            <w:tcW w:w="1735" w:type="dxa"/>
            <w:tcBorders/>
            <w:shd w:fill="CCE2F1" w:val="clear"/>
            <w:vAlign w:val="center"/>
          </w:tcPr>
          <w:p>
            <w:pPr>
              <w:pStyle w:val="TableContents"/>
              <w:bidi w:val="0"/>
              <w:spacing w:before="0" w:after="283"/>
              <w:jc w:val="right"/>
              <w:rPr/>
            </w:pPr>
            <w:r>
              <w:rPr/>
              <w:t>150,000</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114" w:type="dxa"/>
            <w:tcBorders/>
            <w:shd w:fill="CCE2F1" w:val="clear"/>
            <w:vAlign w:val="center"/>
          </w:tcPr>
          <w:p>
            <w:pPr>
              <w:pStyle w:val="TableContents"/>
              <w:bidi w:val="0"/>
              <w:spacing w:before="0" w:after="283"/>
              <w:jc w:val="left"/>
              <w:rPr/>
            </w:pPr>
            <w:r>
              <w:rPr/>
              <w:t> </w:t>
            </w:r>
          </w:p>
        </w:tc>
        <w:tc>
          <w:tcPr>
            <w:tcW w:w="1525" w:type="dxa"/>
            <w:tcBorders/>
            <w:shd w:fill="CCE2F1" w:val="clear"/>
            <w:vAlign w:val="center"/>
          </w:tcPr>
          <w:p>
            <w:pPr>
              <w:pStyle w:val="TableContents"/>
              <w:bidi w:val="0"/>
              <w:spacing w:before="0" w:after="283"/>
              <w:jc w:val="right"/>
              <w:rPr/>
            </w:pPr>
            <w:r>
              <w:rPr/>
              <w:t>209,791</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163" w:type="dxa"/>
            <w:tcBorders/>
            <w:shd w:fill="CCE2F1" w:val="clear"/>
            <w:vAlign w:val="center"/>
          </w:tcPr>
          <w:p>
            <w:pPr>
              <w:pStyle w:val="TableContents"/>
              <w:bidi w:val="0"/>
              <w:spacing w:before="0" w:after="283"/>
              <w:jc w:val="left"/>
              <w:rPr/>
            </w:pPr>
            <w:r>
              <w:rPr/>
              <w:t> </w:t>
            </w:r>
          </w:p>
        </w:tc>
        <w:tc>
          <w:tcPr>
            <w:tcW w:w="1866" w:type="dxa"/>
            <w:tcBorders/>
            <w:shd w:fill="CCE2F1" w:val="clear"/>
            <w:vAlign w:val="center"/>
          </w:tcPr>
          <w:p>
            <w:pPr>
              <w:pStyle w:val="TableContents"/>
              <w:bidi w:val="0"/>
              <w:spacing w:before="0" w:after="283"/>
              <w:jc w:val="right"/>
              <w:rPr/>
            </w:pPr>
            <w:r>
              <w:rPr/>
              <w:t>20,129</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800" w:type="dxa"/>
            <w:tcBorders/>
            <w:shd w:fill="CCE2F1" w:val="clear"/>
            <w:vAlign w:val="center"/>
          </w:tcPr>
          <w:p>
            <w:pPr>
              <w:pStyle w:val="TableContents"/>
              <w:bidi w:val="0"/>
              <w:spacing w:before="0" w:after="283"/>
              <w:jc w:val="right"/>
              <w:rPr/>
            </w:pPr>
            <w:r>
              <w:rPr/>
              <w:t>379,920</w:t>
            </w:r>
          </w:p>
        </w:tc>
        <w:tc>
          <w:tcPr>
            <w:tcW w:w="75" w:type="dxa"/>
            <w:tcBorders/>
            <w:shd w:fill="CCE2F1"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sz w:val="4"/>
                <w:szCs w:val="4"/>
              </w:rPr>
            </w:pPr>
            <w:r>
              <w:rPr>
                <w:sz w:val="4"/>
                <w:szCs w:val="4"/>
              </w:rPr>
            </w:r>
          </w:p>
        </w:tc>
        <w:tc>
          <w:tcPr>
            <w:tcW w:w="2044" w:type="dxa"/>
            <w:gridSpan w:val="4"/>
            <w:tcBorders/>
            <w:vAlign w:val="center"/>
          </w:tcPr>
          <w:p>
            <w:pPr>
              <w:pStyle w:val="TableContents"/>
              <w:bidi w:val="0"/>
              <w:spacing w:before="0" w:after="283"/>
              <w:jc w:val="left"/>
              <w:rPr>
                <w:sz w:val="4"/>
                <w:szCs w:val="4"/>
              </w:rPr>
            </w:pPr>
            <w:r>
              <w:rPr>
                <w:sz w:val="4"/>
                <w:szCs w:val="4"/>
              </w:rPr>
            </w:r>
          </w:p>
        </w:tc>
        <w:tc>
          <w:tcPr>
            <w:tcW w:w="1819" w:type="dxa"/>
            <w:gridSpan w:val="4"/>
            <w:tcBorders/>
            <w:vAlign w:val="center"/>
          </w:tcPr>
          <w:p>
            <w:pPr>
              <w:pStyle w:val="TableContents"/>
              <w:bidi w:val="0"/>
              <w:spacing w:before="0" w:after="283"/>
              <w:jc w:val="left"/>
              <w:rPr>
                <w:sz w:val="4"/>
                <w:szCs w:val="4"/>
              </w:rPr>
            </w:pPr>
            <w:r>
              <w:rPr>
                <w:sz w:val="4"/>
                <w:szCs w:val="4"/>
              </w:rPr>
            </w:r>
          </w:p>
        </w:tc>
        <w:tc>
          <w:tcPr>
            <w:tcW w:w="2209"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2585" w:type="dxa"/>
            <w:tcBorders>
              <w:bottom w:val="single" w:sz="8" w:space="0" w:color="0171B9"/>
            </w:tcBorders>
            <w:tcMar>
              <w:bottom w:w="80" w:type="dxa"/>
            </w:tcMar>
            <w:vAlign w:val="center"/>
          </w:tcPr>
          <w:p>
            <w:pPr>
              <w:pStyle w:val="TableContents"/>
              <w:bidi w:val="0"/>
              <w:spacing w:before="0" w:after="0"/>
              <w:jc w:val="left"/>
              <w:rPr/>
            </w:pPr>
            <w:r>
              <w:rPr/>
              <w:t> </w:t>
            </w:r>
            <w:r>
              <w:rPr>
                <w:rFonts w:ascii="arial" w:hAnsi="arial"/>
                <w:sz w:val="18"/>
              </w:rPr>
              <w:t>R. Sanders Williams</w:t>
            </w:r>
          </w:p>
        </w:tc>
        <w:tc>
          <w:tcPr>
            <w:tcW w:w="120" w:type="dxa"/>
            <w:tcBorders>
              <w:bottom w:val="single" w:sz="8" w:space="0" w:color="0171B9"/>
            </w:tcBorders>
            <w:tcMar>
              <w:bottom w:w="28" w:type="dxa"/>
            </w:tcMar>
            <w:vAlign w:val="center"/>
          </w:tcPr>
          <w:p>
            <w:pPr>
              <w:pStyle w:val="TableContents"/>
              <w:bidi w:val="0"/>
              <w:spacing w:before="0" w:after="283"/>
              <w:jc w:val="left"/>
              <w:rPr/>
            </w:pPr>
            <w:r>
              <w:rPr/>
              <w:t>  </w:t>
            </w:r>
          </w:p>
        </w:tc>
        <w:tc>
          <w:tcPr>
            <w:tcW w:w="129" w:type="dxa"/>
            <w:tcBorders>
              <w:bottom w:val="single" w:sz="8" w:space="0" w:color="0171B9"/>
            </w:tcBorders>
            <w:tcMar>
              <w:bottom w:w="80" w:type="dxa"/>
            </w:tcMar>
            <w:vAlign w:val="center"/>
          </w:tcPr>
          <w:p>
            <w:pPr>
              <w:pStyle w:val="TableContents"/>
              <w:bidi w:val="0"/>
              <w:spacing w:before="0" w:after="283"/>
              <w:jc w:val="left"/>
              <w:rPr/>
            </w:pPr>
            <w:r>
              <w:rPr/>
              <w:t> </w:t>
            </w:r>
          </w:p>
        </w:tc>
        <w:tc>
          <w:tcPr>
            <w:tcW w:w="1735" w:type="dxa"/>
            <w:tcBorders>
              <w:bottom w:val="single" w:sz="8" w:space="0" w:color="0171B9"/>
            </w:tcBorders>
            <w:tcMar>
              <w:bottom w:w="80" w:type="dxa"/>
            </w:tcMar>
            <w:vAlign w:val="center"/>
          </w:tcPr>
          <w:p>
            <w:pPr>
              <w:pStyle w:val="TableContents"/>
              <w:bidi w:val="0"/>
              <w:spacing w:before="0" w:after="283"/>
              <w:jc w:val="right"/>
              <w:rPr/>
            </w:pPr>
            <w:r>
              <w:rPr/>
              <w:t>130,000</w:t>
            </w:r>
          </w:p>
        </w:tc>
        <w:tc>
          <w:tcPr>
            <w:tcW w:w="60" w:type="dxa"/>
            <w:tcBorders>
              <w:bottom w:val="single" w:sz="8" w:space="0" w:color="0171B9"/>
            </w:tcBorders>
            <w:tcMar>
              <w:bottom w:w="80" w:type="dxa"/>
            </w:tcMar>
            <w:vAlign w:val="center"/>
          </w:tcPr>
          <w:p>
            <w:pPr>
              <w:pStyle w:val="TableContents"/>
              <w:bidi w:val="0"/>
              <w:spacing w:before="0" w:after="283"/>
              <w:jc w:val="left"/>
              <w:rPr/>
            </w:pPr>
            <w:r>
              <w:rPr/>
              <w:t> </w:t>
            </w:r>
          </w:p>
        </w:tc>
        <w:tc>
          <w:tcPr>
            <w:tcW w:w="120" w:type="dxa"/>
            <w:tcBorders>
              <w:bottom w:val="single" w:sz="8" w:space="0" w:color="0171B9"/>
            </w:tcBorders>
            <w:tcMar>
              <w:bottom w:w="28" w:type="dxa"/>
            </w:tcMar>
            <w:vAlign w:val="center"/>
          </w:tcPr>
          <w:p>
            <w:pPr>
              <w:pStyle w:val="TableContents"/>
              <w:bidi w:val="0"/>
              <w:spacing w:before="0" w:after="283"/>
              <w:jc w:val="left"/>
              <w:rPr/>
            </w:pPr>
            <w:r>
              <w:rPr/>
              <w:t>  </w:t>
            </w:r>
          </w:p>
        </w:tc>
        <w:tc>
          <w:tcPr>
            <w:tcW w:w="114" w:type="dxa"/>
            <w:tcBorders>
              <w:bottom w:val="single" w:sz="8" w:space="0" w:color="0171B9"/>
            </w:tcBorders>
            <w:tcMar>
              <w:bottom w:w="80" w:type="dxa"/>
            </w:tcMar>
            <w:vAlign w:val="center"/>
          </w:tcPr>
          <w:p>
            <w:pPr>
              <w:pStyle w:val="TableContents"/>
              <w:bidi w:val="0"/>
              <w:spacing w:before="0" w:after="283"/>
              <w:jc w:val="left"/>
              <w:rPr/>
            </w:pPr>
            <w:r>
              <w:rPr/>
              <w:t> </w:t>
            </w:r>
          </w:p>
        </w:tc>
        <w:tc>
          <w:tcPr>
            <w:tcW w:w="1525" w:type="dxa"/>
            <w:tcBorders>
              <w:bottom w:val="single" w:sz="8" w:space="0" w:color="0171B9"/>
            </w:tcBorders>
            <w:tcMar>
              <w:bottom w:w="80" w:type="dxa"/>
            </w:tcMar>
            <w:vAlign w:val="center"/>
          </w:tcPr>
          <w:p>
            <w:pPr>
              <w:pStyle w:val="TableContents"/>
              <w:bidi w:val="0"/>
              <w:spacing w:before="0" w:after="283"/>
              <w:jc w:val="right"/>
              <w:rPr/>
            </w:pPr>
            <w:r>
              <w:rPr/>
              <w:t>209,791</w:t>
            </w:r>
          </w:p>
        </w:tc>
        <w:tc>
          <w:tcPr>
            <w:tcW w:w="60" w:type="dxa"/>
            <w:tcBorders>
              <w:bottom w:val="single" w:sz="8" w:space="0" w:color="0171B9"/>
            </w:tcBorders>
            <w:tcMar>
              <w:bottom w:w="80" w:type="dxa"/>
            </w:tcMar>
            <w:vAlign w:val="center"/>
          </w:tcPr>
          <w:p>
            <w:pPr>
              <w:pStyle w:val="TableContents"/>
              <w:bidi w:val="0"/>
              <w:spacing w:before="0" w:after="283"/>
              <w:jc w:val="left"/>
              <w:rPr/>
            </w:pPr>
            <w:r>
              <w:rPr/>
              <w:t> </w:t>
            </w:r>
          </w:p>
        </w:tc>
        <w:tc>
          <w:tcPr>
            <w:tcW w:w="120" w:type="dxa"/>
            <w:tcBorders>
              <w:bottom w:val="single" w:sz="8" w:space="0" w:color="0171B9"/>
            </w:tcBorders>
            <w:tcMar>
              <w:bottom w:w="28" w:type="dxa"/>
            </w:tcMar>
            <w:vAlign w:val="center"/>
          </w:tcPr>
          <w:p>
            <w:pPr>
              <w:pStyle w:val="TableContents"/>
              <w:bidi w:val="0"/>
              <w:spacing w:before="0" w:after="283"/>
              <w:jc w:val="left"/>
              <w:rPr/>
            </w:pPr>
            <w:r>
              <w:rPr/>
              <w:t>  </w:t>
            </w:r>
          </w:p>
        </w:tc>
        <w:tc>
          <w:tcPr>
            <w:tcW w:w="163" w:type="dxa"/>
            <w:tcBorders>
              <w:bottom w:val="single" w:sz="8" w:space="0" w:color="0171B9"/>
            </w:tcBorders>
            <w:tcMar>
              <w:bottom w:w="80" w:type="dxa"/>
            </w:tcMar>
            <w:vAlign w:val="center"/>
          </w:tcPr>
          <w:p>
            <w:pPr>
              <w:pStyle w:val="TableContents"/>
              <w:bidi w:val="0"/>
              <w:spacing w:before="0" w:after="283"/>
              <w:jc w:val="left"/>
              <w:rPr/>
            </w:pPr>
            <w:r>
              <w:rPr/>
              <w:t> </w:t>
            </w:r>
          </w:p>
        </w:tc>
        <w:tc>
          <w:tcPr>
            <w:tcW w:w="1866" w:type="dxa"/>
            <w:tcBorders>
              <w:bottom w:val="single" w:sz="8" w:space="0" w:color="0171B9"/>
            </w:tcBorders>
            <w:tcMar>
              <w:bottom w:w="80" w:type="dxa"/>
            </w:tcMar>
            <w:vAlign w:val="center"/>
          </w:tcPr>
          <w:p>
            <w:pPr>
              <w:pStyle w:val="TableContents"/>
              <w:bidi w:val="0"/>
              <w:spacing w:before="0" w:after="283"/>
              <w:jc w:val="right"/>
              <w:rPr/>
            </w:pPr>
            <w:r>
              <w:rPr/>
              <w:t>21,072</w:t>
            </w:r>
          </w:p>
        </w:tc>
        <w:tc>
          <w:tcPr>
            <w:tcW w:w="60" w:type="dxa"/>
            <w:tcBorders>
              <w:bottom w:val="single" w:sz="8" w:space="0" w:color="0171B9"/>
            </w:tcBorders>
            <w:tcMar>
              <w:bottom w:w="80" w:type="dxa"/>
            </w:tcMar>
            <w:vAlign w:val="center"/>
          </w:tcPr>
          <w:p>
            <w:pPr>
              <w:pStyle w:val="TableContents"/>
              <w:bidi w:val="0"/>
              <w:spacing w:before="0" w:after="283"/>
              <w:jc w:val="left"/>
              <w:rPr/>
            </w:pPr>
            <w:r>
              <w:rPr/>
              <w:t> </w:t>
            </w:r>
          </w:p>
        </w:tc>
        <w:tc>
          <w:tcPr>
            <w:tcW w:w="120" w:type="dxa"/>
            <w:tcBorders>
              <w:bottom w:val="single" w:sz="8" w:space="0" w:color="0171B9"/>
            </w:tcBorders>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tcMar>
              <w:bottom w:w="80" w:type="dxa"/>
            </w:tcMar>
            <w:vAlign w:val="center"/>
          </w:tcPr>
          <w:p>
            <w:pPr>
              <w:pStyle w:val="TableContents"/>
              <w:bidi w:val="0"/>
              <w:spacing w:before="0" w:after="283"/>
              <w:jc w:val="left"/>
              <w:rPr/>
            </w:pPr>
            <w:r>
              <w:rPr/>
              <w:t> </w:t>
            </w:r>
          </w:p>
        </w:tc>
        <w:tc>
          <w:tcPr>
            <w:tcW w:w="800" w:type="dxa"/>
            <w:tcBorders>
              <w:bottom w:val="single" w:sz="8" w:space="0" w:color="0171B9"/>
            </w:tcBorders>
            <w:tcMar>
              <w:bottom w:w="80" w:type="dxa"/>
            </w:tcMar>
            <w:vAlign w:val="center"/>
          </w:tcPr>
          <w:p>
            <w:pPr>
              <w:pStyle w:val="TableContents"/>
              <w:bidi w:val="0"/>
              <w:spacing w:before="0" w:after="283"/>
              <w:jc w:val="right"/>
              <w:rPr/>
            </w:pPr>
            <w:r>
              <w:rPr/>
              <w:t>360,863</w:t>
            </w:r>
          </w:p>
        </w:tc>
        <w:tc>
          <w:tcPr>
            <w:tcW w:w="75" w:type="dxa"/>
            <w:tcBorders>
              <w:bottom w:val="single" w:sz="8" w:space="0" w:color="0171B9"/>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(1) </w:t>
            </w:r>
          </w:p>
        </w:tc>
        <w:tc>
          <w:tcPr>
            <w:tcW w:w="9912" w:type="dxa"/>
            <w:tcBorders/>
            <w:vAlign w:val="center"/>
          </w:tcPr>
          <w:p>
            <w:pPr>
              <w:pStyle w:val="TableContents"/>
              <w:bidi w:val="0"/>
              <w:spacing w:before="0" w:after="0"/>
              <w:jc w:val="both"/>
              <w:rPr>
                <w:rFonts w:ascii="arial" w:hAnsi="arial"/>
                <w:sz w:val="16"/>
              </w:rPr>
            </w:pPr>
            <w:r>
              <w:rPr>
                <w:rFonts w:ascii="arial" w:hAnsi="arial"/>
                <w:sz w:val="16"/>
              </w:rPr>
              <w:t xml:space="preserve">Drs. Drake and Ishrak and Mr. Holley elected to receive 100% of their respective annual retainer and committee meeting fees in deferred vested RSUs, the value of which are reflected in the stock awards column in accordance with Accounting Standards Codification Topic 718. </w:t>
            </w:r>
          </w:p>
        </w:tc>
      </w:tr>
    </w:tbl>
    <w:p>
      <w:pPr>
        <w:pStyle w:val="TextBody"/>
        <w:bidi w:val="0"/>
        <w:spacing w:before="0" w:after="0"/>
        <w:jc w:val="left"/>
        <w:rPr/>
      </w:pPr>
      <w:r>
        <w:rPr/>
        <w:t> </w:t>
      </w:r>
    </w:p>
    <w:tbl>
      <w:tblPr>
        <w:tblW w:w="5965" w:type="dxa"/>
        <w:jc w:val="left"/>
        <w:tblInd w:w="0" w:type="dxa"/>
        <w:tblLayout w:type="fixed"/>
        <w:tblCellMar>
          <w:top w:w="0" w:type="dxa"/>
          <w:left w:w="0" w:type="dxa"/>
          <w:bottom w:w="0" w:type="dxa"/>
          <w:right w:w="0" w:type="dxa"/>
        </w:tblCellMar>
      </w:tblPr>
      <w:tblGrid>
        <w:gridCol w:w="365"/>
        <w:gridCol w:w="5600"/>
      </w:tblGrid>
      <w:tr>
        <w:trPr/>
        <w:tc>
          <w:tcPr>
            <w:tcW w:w="365" w:type="dxa"/>
            <w:tcBorders/>
            <w:vAlign w:val="center"/>
          </w:tcPr>
          <w:p>
            <w:pPr>
              <w:pStyle w:val="TableContents"/>
              <w:bidi w:val="0"/>
              <w:spacing w:before="0" w:after="283"/>
              <w:jc w:val="left"/>
              <w:rPr/>
            </w:pPr>
            <w:r>
              <w:rPr/>
              <w:t>(2) </w:t>
            </w:r>
          </w:p>
        </w:tc>
        <w:tc>
          <w:tcPr>
            <w:tcW w:w="5600" w:type="dxa"/>
            <w:tcBorders/>
            <w:vAlign w:val="center"/>
          </w:tcPr>
          <w:p>
            <w:pPr>
              <w:pStyle w:val="TableContents"/>
              <w:bidi w:val="0"/>
              <w:spacing w:before="0" w:after="0"/>
              <w:jc w:val="both"/>
              <w:rPr>
                <w:rFonts w:ascii="arial" w:hAnsi="arial"/>
                <w:sz w:val="16"/>
              </w:rPr>
            </w:pPr>
            <w:r>
              <w:rPr>
                <w:rFonts w:ascii="arial" w:hAnsi="arial"/>
                <w:sz w:val="16"/>
              </w:rPr>
              <w:t xml:space="preserve">Reflects all cash fees earned by members of our Board for annual retainers.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(3) </w:t>
            </w:r>
          </w:p>
        </w:tc>
        <w:tc>
          <w:tcPr>
            <w:tcW w:w="9953" w:type="dxa"/>
            <w:tcBorders/>
            <w:vAlign w:val="center"/>
          </w:tcPr>
          <w:p>
            <w:pPr>
              <w:pStyle w:val="TableContents"/>
              <w:bidi w:val="0"/>
              <w:spacing w:before="0" w:after="0"/>
              <w:jc w:val="both"/>
              <w:rPr>
                <w:rFonts w:ascii="arial" w:hAnsi="arial"/>
                <w:sz w:val="16"/>
              </w:rPr>
            </w:pPr>
            <w:r>
              <w:rPr>
                <w:rFonts w:ascii="arial" w:hAnsi="arial"/>
                <w:sz w:val="16"/>
              </w:rPr>
              <w:t xml:space="preserve">Reflects the grant date fair values of RSUs determined in accordance with Accounting Standards Codification Topic 718 consisting of 939 RSUs granted on May 19, 2023, to each director named above. The grant date fair values of all of the annual awards are based on the closing price of our Common Stock on the grant date ($223.42) multiplied by the number of RSUs granted. Such grants occurred on the date of our annual meeting of stockholders. Directors who elect to defer receipt of the shares accrue dividend equivalents on the vested RSUs during the deferral period. All of the RSUs granted to directors were fully vested upon grant, and thus directors who do not elect to defer the vested RSUs receive shares of common stock upon grant.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 </w:t>
            </w:r>
          </w:p>
        </w:tc>
        <w:tc>
          <w:tcPr>
            <w:tcW w:w="10050" w:type="dxa"/>
            <w:tcBorders/>
            <w:vAlign w:val="center"/>
          </w:tcPr>
          <w:p>
            <w:pPr>
              <w:pStyle w:val="TableContents"/>
              <w:bidi w:val="0"/>
              <w:spacing w:before="0" w:after="0"/>
              <w:jc w:val="both"/>
              <w:rPr>
                <w:rFonts w:ascii="arial" w:hAnsi="arial"/>
                <w:sz w:val="16"/>
              </w:rPr>
            </w:pPr>
            <w:r>
              <w:rPr>
                <w:rFonts w:ascii="arial" w:hAnsi="arial"/>
                <w:sz w:val="16"/>
              </w:rPr>
              <w:t xml:space="preserve">In addition to the annual grants discussed above, Drs. Drake and Ishrak and Mr. Holley elected to receive RSUs in lieu of cash fees earned in 2023 for 100% of their annual retainer and committee meeting fees (rounded down to the nearest whole number of units) as follows: </w:t>
            </w:r>
          </w:p>
        </w:tc>
      </w:tr>
    </w:tbl>
    <w:p>
      <w:pPr>
        <w:pStyle w:val="TextBody"/>
        <w:bidi w:val="0"/>
        <w:spacing w:before="0" w:after="0"/>
        <w:jc w:val="left"/>
        <w:rPr/>
      </w:pPr>
      <w:r>
        <w:rPr/>
        <w:t> </w:t>
      </w:r>
    </w:p>
    <w:tbl>
      <w:tblPr>
        <w:tblW w:w="8008" w:type="dxa"/>
        <w:jc w:val="left"/>
        <w:tblInd w:w="0" w:type="dxa"/>
        <w:tblLayout w:type="fixed"/>
        <w:tblCellMar>
          <w:top w:w="0" w:type="dxa"/>
          <w:left w:w="0" w:type="dxa"/>
          <w:bottom w:w="0" w:type="dxa"/>
          <w:right w:w="0" w:type="dxa"/>
        </w:tblCellMar>
      </w:tblPr>
      <w:tblGrid>
        <w:gridCol w:w="2585"/>
        <w:gridCol w:w="120"/>
        <w:gridCol w:w="172"/>
        <w:gridCol w:w="1093"/>
        <w:gridCol w:w="63"/>
        <w:gridCol w:w="127"/>
        <w:gridCol w:w="209"/>
        <w:gridCol w:w="1326"/>
        <w:gridCol w:w="63"/>
        <w:gridCol w:w="127"/>
        <w:gridCol w:w="2123"/>
      </w:tblGrid>
      <w:tr>
        <w:trPr/>
        <w:tc>
          <w:tcPr>
            <w:tcW w:w="25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r>
      <w:tr>
        <w:trPr/>
        <w:tc>
          <w:tcPr>
            <w:tcW w:w="2585" w:type="dxa"/>
            <w:tcBorders/>
            <w:shd w:fill="0171B9" w:val="clear"/>
            <w:vAlign w:val="center"/>
          </w:tcPr>
          <w:p>
            <w:pPr>
              <w:pStyle w:val="TableContents"/>
              <w:bidi w:val="0"/>
              <w:spacing w:before="0" w:after="283"/>
              <w:jc w:val="left"/>
              <w:rPr>
                <w:sz w:val="4"/>
                <w:szCs w:val="4"/>
              </w:rPr>
            </w:pPr>
            <w:r>
              <w:rPr>
                <w:sz w:val="4"/>
                <w:szCs w:val="4"/>
              </w:rPr>
            </w:r>
          </w:p>
        </w:tc>
        <w:tc>
          <w:tcPr>
            <w:tcW w:w="5423" w:type="dxa"/>
            <w:gridSpan w:val="10"/>
            <w:tcBorders/>
            <w:shd w:fill="0171B9" w:val="clear"/>
            <w:vAlign w:val="center"/>
          </w:tcPr>
          <w:p>
            <w:pPr>
              <w:pStyle w:val="TableContents"/>
              <w:bidi w:val="0"/>
              <w:spacing w:before="0" w:after="283"/>
              <w:jc w:val="left"/>
              <w:rPr>
                <w:sz w:val="4"/>
                <w:szCs w:val="4"/>
              </w:rPr>
            </w:pPr>
            <w:r>
              <w:rPr>
                <w:sz w:val="4"/>
                <w:szCs w:val="4"/>
              </w:rPr>
            </w:r>
          </w:p>
        </w:tc>
      </w:tr>
      <w:tr>
        <w:trPr/>
        <w:tc>
          <w:tcPr>
            <w:tcW w:w="2585" w:type="dxa"/>
            <w:tcBorders/>
            <w:shd w:fill="0171B9" w:val="clear"/>
            <w:vAlign w:val="center"/>
          </w:tcPr>
          <w:p>
            <w:pPr>
              <w:pStyle w:val="TableContents"/>
              <w:bidi w:val="0"/>
              <w:spacing w:before="0" w:after="283"/>
              <w:jc w:val="left"/>
              <w:rPr/>
            </w:pPr>
            <w:r>
              <w:rPr/>
              <w:t> </w:t>
            </w:r>
          </w:p>
        </w:tc>
        <w:tc>
          <w:tcPr>
            <w:tcW w:w="120" w:type="dxa"/>
            <w:tcBorders/>
            <w:shd w:fill="0171B9" w:val="clear"/>
            <w:vAlign w:val="center"/>
          </w:tcPr>
          <w:p>
            <w:pPr>
              <w:pStyle w:val="TableContents"/>
              <w:bidi w:val="0"/>
              <w:spacing w:before="0" w:after="283"/>
              <w:jc w:val="left"/>
              <w:rPr/>
            </w:pPr>
            <w:r>
              <w:rPr/>
              <w:t>  </w:t>
            </w:r>
          </w:p>
        </w:tc>
        <w:tc>
          <w:tcPr>
            <w:tcW w:w="5303" w:type="dxa"/>
            <w:gridSpan w:val="9"/>
            <w:tcBorders>
              <w:bottom w:val="single" w:sz="2" w:space="0" w:color="FFFFFF"/>
            </w:tcBorders>
            <w:shd w:fill="0171B9" w:val="clear"/>
            <w:tcMar>
              <w:bottom w:w="60" w:type="dxa"/>
            </w:tcMar>
            <w:vAlign w:val="center"/>
          </w:tcPr>
          <w:p>
            <w:pPr>
              <w:pStyle w:val="TableContents"/>
              <w:bidi w:val="0"/>
              <w:spacing w:before="0" w:after="283"/>
              <w:jc w:val="center"/>
              <w:rPr>
                <w:b/>
                <w:color w:val="FFFFFF"/>
              </w:rPr>
            </w:pPr>
            <w:r>
              <w:rPr>
                <w:b/>
                <w:color w:val="FFFFFF"/>
              </w:rPr>
              <w:t>Granted on (but receipt deferred)</w:t>
            </w:r>
          </w:p>
        </w:tc>
      </w:tr>
      <w:tr>
        <w:trPr/>
        <w:tc>
          <w:tcPr>
            <w:tcW w:w="2585" w:type="dxa"/>
            <w:tcBorders/>
            <w:shd w:fill="0171B9" w:val="clear"/>
            <w:vAlign w:val="center"/>
          </w:tcPr>
          <w:p>
            <w:pPr>
              <w:pStyle w:val="TableContents"/>
              <w:bidi w:val="0"/>
              <w:spacing w:before="0" w:after="283"/>
              <w:jc w:val="left"/>
              <w:rPr>
                <w:sz w:val="4"/>
                <w:szCs w:val="4"/>
              </w:rPr>
            </w:pPr>
            <w:r>
              <w:rPr>
                <w:sz w:val="4"/>
                <w:szCs w:val="4"/>
              </w:rPr>
            </w:r>
          </w:p>
        </w:tc>
        <w:tc>
          <w:tcPr>
            <w:tcW w:w="1448" w:type="dxa"/>
            <w:gridSpan w:val="4"/>
            <w:tcBorders/>
            <w:shd w:fill="0171B9" w:val="clear"/>
            <w:vAlign w:val="center"/>
          </w:tcPr>
          <w:p>
            <w:pPr>
              <w:pStyle w:val="TableContents"/>
              <w:bidi w:val="0"/>
              <w:spacing w:before="0" w:after="283"/>
              <w:jc w:val="left"/>
              <w:rPr>
                <w:sz w:val="4"/>
                <w:szCs w:val="4"/>
              </w:rPr>
            </w:pPr>
            <w:r>
              <w:rPr>
                <w:sz w:val="4"/>
                <w:szCs w:val="4"/>
              </w:rPr>
            </w:r>
          </w:p>
        </w:tc>
        <w:tc>
          <w:tcPr>
            <w:tcW w:w="1725" w:type="dxa"/>
            <w:gridSpan w:val="4"/>
            <w:tcBorders/>
            <w:shd w:fill="0171B9" w:val="clear"/>
            <w:vAlign w:val="center"/>
          </w:tcPr>
          <w:p>
            <w:pPr>
              <w:pStyle w:val="TableContents"/>
              <w:bidi w:val="0"/>
              <w:spacing w:before="0" w:after="283"/>
              <w:jc w:val="left"/>
              <w:rPr>
                <w:sz w:val="4"/>
                <w:szCs w:val="4"/>
              </w:rPr>
            </w:pPr>
            <w:r>
              <w:rPr>
                <w:sz w:val="4"/>
                <w:szCs w:val="4"/>
              </w:rPr>
            </w:r>
          </w:p>
        </w:tc>
        <w:tc>
          <w:tcPr>
            <w:tcW w:w="2250" w:type="dxa"/>
            <w:gridSpan w:val="2"/>
            <w:tcBorders/>
            <w:shd w:fill="0171B9" w:val="clear"/>
            <w:vAlign w:val="center"/>
          </w:tcPr>
          <w:p>
            <w:pPr>
              <w:pStyle w:val="TableContents"/>
              <w:bidi w:val="0"/>
              <w:spacing w:before="0" w:after="283"/>
              <w:jc w:val="left"/>
              <w:rPr>
                <w:sz w:val="4"/>
                <w:szCs w:val="4"/>
              </w:rPr>
            </w:pPr>
            <w:r>
              <w:rPr>
                <w:sz w:val="4"/>
                <w:szCs w:val="4"/>
              </w:rPr>
            </w:r>
          </w:p>
        </w:tc>
      </w:tr>
      <w:tr>
        <w:trPr/>
        <w:tc>
          <w:tcPr>
            <w:tcW w:w="2585" w:type="dxa"/>
            <w:tcBorders>
              <w:bottom w:val="single" w:sz="8" w:space="0" w:color="FFFFFF"/>
            </w:tcBorders>
            <w:shd w:fill="0171B9" w:val="clear"/>
            <w:tcMar>
              <w:bottom w:w="80" w:type="dxa"/>
            </w:tcMar>
            <w:vAlign w:val="center"/>
          </w:tcPr>
          <w:p>
            <w:pPr>
              <w:pStyle w:val="TableContents"/>
              <w:bidi w:val="0"/>
              <w:spacing w:before="0" w:after="283"/>
              <w:jc w:val="left"/>
              <w:rPr>
                <w:color w:val="FFFFFF"/>
              </w:rPr>
            </w:pPr>
            <w:r>
              <w:rPr>
                <w:color w:val="FFFFFF"/>
              </w:rPr>
              <w:t> </w:t>
            </w:r>
            <w:r>
              <w:rPr>
                <w:b/>
                <w:color w:val="FFFFFF"/>
              </w:rPr>
              <w:t>Non-Employee Director</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65" w:type="dxa"/>
            <w:gridSpan w:val="2"/>
            <w:tcBorders>
              <w:bottom w:val="single" w:sz="8" w:space="0" w:color="FFFFFF"/>
            </w:tcBorders>
            <w:shd w:fill="0171B9" w:val="clear"/>
            <w:tcMar>
              <w:bottom w:w="80" w:type="dxa"/>
            </w:tcMar>
            <w:vAlign w:val="center"/>
          </w:tcPr>
          <w:p>
            <w:pPr>
              <w:pStyle w:val="TableContents"/>
              <w:bidi w:val="0"/>
              <w:spacing w:before="0" w:after="283"/>
              <w:jc w:val="right"/>
              <w:rPr>
                <w:b/>
                <w:color w:val="FFFFFF"/>
              </w:rPr>
            </w:pPr>
            <w:r>
              <w:rPr>
                <w:b/>
                <w:color w:val="FFFFFF"/>
              </w:rPr>
              <w:t>May 2, 2023</w:t>
            </w:r>
          </w:p>
        </w:tc>
        <w:tc>
          <w:tcPr>
            <w:tcW w:w="63"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7"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535" w:type="dxa"/>
            <w:gridSpan w:val="2"/>
            <w:tcBorders>
              <w:bottom w:val="single" w:sz="8" w:space="0" w:color="FFFFFF"/>
            </w:tcBorders>
            <w:shd w:fill="0171B9" w:val="clear"/>
            <w:tcMar>
              <w:bottom w:w="80" w:type="dxa"/>
            </w:tcMar>
            <w:vAlign w:val="center"/>
          </w:tcPr>
          <w:p>
            <w:pPr>
              <w:pStyle w:val="TableContents"/>
              <w:bidi w:val="0"/>
              <w:spacing w:before="0" w:after="283"/>
              <w:jc w:val="right"/>
              <w:rPr>
                <w:b/>
                <w:color w:val="FFFFFF"/>
              </w:rPr>
            </w:pPr>
            <w:r>
              <w:rPr>
                <w:b/>
                <w:color w:val="FFFFFF"/>
              </w:rPr>
              <w:t>August 8, 2023</w:t>
            </w:r>
          </w:p>
        </w:tc>
        <w:tc>
          <w:tcPr>
            <w:tcW w:w="63"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7"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2123" w:type="dxa"/>
            <w:tcBorders>
              <w:bottom w:val="single" w:sz="8" w:space="0" w:color="FFFFFF"/>
            </w:tcBorders>
            <w:shd w:fill="0171B9" w:val="clear"/>
            <w:tcMar>
              <w:bottom w:w="80" w:type="dxa"/>
            </w:tcMar>
            <w:vAlign w:val="center"/>
          </w:tcPr>
          <w:p>
            <w:pPr>
              <w:pStyle w:val="TableContents"/>
              <w:bidi w:val="0"/>
              <w:spacing w:before="0" w:after="283"/>
              <w:jc w:val="right"/>
              <w:rPr>
                <w:b/>
                <w:color w:val="FFFFFF"/>
              </w:rPr>
            </w:pPr>
            <w:r>
              <w:rPr>
                <w:b/>
                <w:color w:val="FFFFFF"/>
              </w:rPr>
              <w:t>November 3, 2023 </w:t>
            </w:r>
          </w:p>
        </w:tc>
      </w:tr>
      <w:tr>
        <w:trPr/>
        <w:tc>
          <w:tcPr>
            <w:tcW w:w="2585" w:type="dxa"/>
            <w:tcBorders/>
            <w:shd w:fill="CCE2F1" w:val="clear"/>
            <w:vAlign w:val="center"/>
          </w:tcPr>
          <w:p>
            <w:pPr>
              <w:pStyle w:val="TableContents"/>
              <w:bidi w:val="0"/>
              <w:spacing w:before="0" w:after="283"/>
              <w:jc w:val="left"/>
              <w:rPr>
                <w:sz w:val="4"/>
                <w:szCs w:val="4"/>
              </w:rPr>
            </w:pPr>
            <w:r>
              <w:rPr>
                <w:sz w:val="4"/>
                <w:szCs w:val="4"/>
              </w:rPr>
            </w:r>
          </w:p>
        </w:tc>
        <w:tc>
          <w:tcPr>
            <w:tcW w:w="1448" w:type="dxa"/>
            <w:gridSpan w:val="4"/>
            <w:tcBorders/>
            <w:shd w:fill="CCE2F1" w:val="clear"/>
            <w:vAlign w:val="center"/>
          </w:tcPr>
          <w:p>
            <w:pPr>
              <w:pStyle w:val="TableContents"/>
              <w:bidi w:val="0"/>
              <w:spacing w:before="0" w:after="283"/>
              <w:jc w:val="left"/>
              <w:rPr>
                <w:sz w:val="4"/>
                <w:szCs w:val="4"/>
              </w:rPr>
            </w:pPr>
            <w:r>
              <w:rPr>
                <w:sz w:val="4"/>
                <w:szCs w:val="4"/>
              </w:rPr>
            </w:r>
          </w:p>
        </w:tc>
        <w:tc>
          <w:tcPr>
            <w:tcW w:w="1725" w:type="dxa"/>
            <w:gridSpan w:val="4"/>
            <w:tcBorders/>
            <w:shd w:fill="CCE2F1" w:val="clear"/>
            <w:vAlign w:val="center"/>
          </w:tcPr>
          <w:p>
            <w:pPr>
              <w:pStyle w:val="TableContents"/>
              <w:bidi w:val="0"/>
              <w:spacing w:before="0" w:after="283"/>
              <w:jc w:val="left"/>
              <w:rPr>
                <w:sz w:val="4"/>
                <w:szCs w:val="4"/>
              </w:rPr>
            </w:pPr>
            <w:r>
              <w:rPr>
                <w:sz w:val="4"/>
                <w:szCs w:val="4"/>
              </w:rPr>
            </w:r>
          </w:p>
        </w:tc>
        <w:tc>
          <w:tcPr>
            <w:tcW w:w="2250" w:type="dxa"/>
            <w:gridSpan w:val="2"/>
            <w:tcBorders/>
            <w:shd w:fill="CCE2F1" w:val="clear"/>
            <w:vAlign w:val="center"/>
          </w:tcPr>
          <w:p>
            <w:pPr>
              <w:pStyle w:val="TableContents"/>
              <w:bidi w:val="0"/>
              <w:spacing w:before="0" w:after="283"/>
              <w:jc w:val="left"/>
              <w:rPr>
                <w:sz w:val="4"/>
                <w:szCs w:val="4"/>
              </w:rPr>
            </w:pPr>
            <w:r>
              <w:rPr>
                <w:sz w:val="4"/>
                <w:szCs w:val="4"/>
              </w:rPr>
            </w:r>
          </w:p>
        </w:tc>
      </w:tr>
      <w:tr>
        <w:trPr/>
        <w:tc>
          <w:tcPr>
            <w:tcW w:w="2585" w:type="dxa"/>
            <w:tcBorders/>
            <w:shd w:fill="CCE2F1" w:val="clear"/>
            <w:vAlign w:val="center"/>
          </w:tcPr>
          <w:p>
            <w:pPr>
              <w:pStyle w:val="TableContents"/>
              <w:bidi w:val="0"/>
              <w:spacing w:before="0" w:after="0"/>
              <w:jc w:val="left"/>
              <w:rPr/>
            </w:pPr>
            <w:r>
              <w:rPr/>
              <w:t> </w:t>
            </w:r>
            <w:r>
              <w:rPr>
                <w:rFonts w:ascii="arial" w:hAnsi="arial"/>
                <w:sz w:val="18"/>
              </w:rPr>
              <w:t>Michael Drake</w:t>
            </w:r>
          </w:p>
        </w:tc>
        <w:tc>
          <w:tcPr>
            <w:tcW w:w="120" w:type="dxa"/>
            <w:tcBorders/>
            <w:shd w:fill="CCE2F1" w:val="clear"/>
            <w:vAlign w:val="center"/>
          </w:tcPr>
          <w:p>
            <w:pPr>
              <w:pStyle w:val="TableContents"/>
              <w:bidi w:val="0"/>
              <w:spacing w:before="0" w:after="283"/>
              <w:jc w:val="left"/>
              <w:rPr/>
            </w:pPr>
            <w:r>
              <w:rPr/>
              <w:t>  </w:t>
            </w:r>
          </w:p>
        </w:tc>
        <w:tc>
          <w:tcPr>
            <w:tcW w:w="172" w:type="dxa"/>
            <w:tcBorders/>
            <w:shd w:fill="CCE2F1" w:val="clear"/>
            <w:vAlign w:val="center"/>
          </w:tcPr>
          <w:p>
            <w:pPr>
              <w:pStyle w:val="TableContents"/>
              <w:bidi w:val="0"/>
              <w:spacing w:before="0" w:after="283"/>
              <w:jc w:val="left"/>
              <w:rPr/>
            </w:pPr>
            <w:r>
              <w:rPr/>
              <w:t> </w:t>
            </w:r>
          </w:p>
        </w:tc>
        <w:tc>
          <w:tcPr>
            <w:tcW w:w="1093" w:type="dxa"/>
            <w:tcBorders/>
            <w:shd w:fill="CCE2F1" w:val="clear"/>
            <w:vAlign w:val="center"/>
          </w:tcPr>
          <w:p>
            <w:pPr>
              <w:pStyle w:val="TableContents"/>
              <w:bidi w:val="0"/>
              <w:spacing w:before="0" w:after="283"/>
              <w:jc w:val="right"/>
              <w:rPr/>
            </w:pPr>
            <w:r>
              <w:rPr/>
              <w:t>137</w:t>
            </w:r>
          </w:p>
        </w:tc>
        <w:tc>
          <w:tcPr>
            <w:tcW w:w="63" w:type="dxa"/>
            <w:tcBorders/>
            <w:shd w:fill="CCE2F1" w:val="clear"/>
            <w:vAlign w:val="center"/>
          </w:tcPr>
          <w:p>
            <w:pPr>
              <w:pStyle w:val="TableContents"/>
              <w:bidi w:val="0"/>
              <w:spacing w:before="0" w:after="283"/>
              <w:jc w:val="left"/>
              <w:rPr/>
            </w:pPr>
            <w:r>
              <w:rPr/>
              <w:t> </w:t>
            </w:r>
          </w:p>
        </w:tc>
        <w:tc>
          <w:tcPr>
            <w:tcW w:w="127" w:type="dxa"/>
            <w:tcBorders/>
            <w:shd w:fill="CCE2F1" w:val="clear"/>
            <w:vAlign w:val="center"/>
          </w:tcPr>
          <w:p>
            <w:pPr>
              <w:pStyle w:val="TableContents"/>
              <w:bidi w:val="0"/>
              <w:spacing w:before="0" w:after="283"/>
              <w:jc w:val="left"/>
              <w:rPr/>
            </w:pPr>
            <w:r>
              <w:rPr/>
              <w:t>  </w:t>
            </w:r>
          </w:p>
        </w:tc>
        <w:tc>
          <w:tcPr>
            <w:tcW w:w="209" w:type="dxa"/>
            <w:tcBorders/>
            <w:shd w:fill="CCE2F1" w:val="clear"/>
            <w:vAlign w:val="center"/>
          </w:tcPr>
          <w:p>
            <w:pPr>
              <w:pStyle w:val="TableContents"/>
              <w:bidi w:val="0"/>
              <w:spacing w:before="0" w:after="283"/>
              <w:jc w:val="left"/>
              <w:rPr/>
            </w:pPr>
            <w:r>
              <w:rPr/>
              <w:t> </w:t>
            </w:r>
          </w:p>
        </w:tc>
        <w:tc>
          <w:tcPr>
            <w:tcW w:w="1326" w:type="dxa"/>
            <w:tcBorders/>
            <w:shd w:fill="CCE2F1" w:val="clear"/>
            <w:vAlign w:val="center"/>
          </w:tcPr>
          <w:p>
            <w:pPr>
              <w:pStyle w:val="TableContents"/>
              <w:bidi w:val="0"/>
              <w:spacing w:before="0" w:after="283"/>
              <w:jc w:val="right"/>
              <w:rPr/>
            </w:pPr>
            <w:r>
              <w:rPr/>
              <w:t>124</w:t>
            </w:r>
          </w:p>
        </w:tc>
        <w:tc>
          <w:tcPr>
            <w:tcW w:w="63" w:type="dxa"/>
            <w:tcBorders/>
            <w:shd w:fill="CCE2F1" w:val="clear"/>
            <w:vAlign w:val="center"/>
          </w:tcPr>
          <w:p>
            <w:pPr>
              <w:pStyle w:val="TableContents"/>
              <w:bidi w:val="0"/>
              <w:spacing w:before="0" w:after="283"/>
              <w:jc w:val="left"/>
              <w:rPr/>
            </w:pPr>
            <w:r>
              <w:rPr/>
              <w:t> </w:t>
            </w:r>
          </w:p>
        </w:tc>
        <w:tc>
          <w:tcPr>
            <w:tcW w:w="127" w:type="dxa"/>
            <w:tcBorders/>
            <w:shd w:fill="CCE2F1" w:val="clear"/>
            <w:vAlign w:val="center"/>
          </w:tcPr>
          <w:p>
            <w:pPr>
              <w:pStyle w:val="TableContents"/>
              <w:bidi w:val="0"/>
              <w:spacing w:before="0" w:after="283"/>
              <w:jc w:val="left"/>
              <w:rPr/>
            </w:pPr>
            <w:r>
              <w:rPr/>
              <w:t>  </w:t>
            </w:r>
          </w:p>
        </w:tc>
        <w:tc>
          <w:tcPr>
            <w:tcW w:w="2123" w:type="dxa"/>
            <w:tcBorders/>
            <w:shd w:fill="CCE2F1" w:val="clear"/>
            <w:vAlign w:val="center"/>
          </w:tcPr>
          <w:p>
            <w:pPr>
              <w:pStyle w:val="TableContents"/>
              <w:bidi w:val="0"/>
              <w:spacing w:before="0" w:after="283"/>
              <w:jc w:val="right"/>
              <w:rPr/>
            </w:pPr>
            <w:r>
              <w:rPr/>
              <w:t>240 </w:t>
            </w:r>
          </w:p>
        </w:tc>
      </w:tr>
      <w:tr>
        <w:trPr/>
        <w:tc>
          <w:tcPr>
            <w:tcW w:w="2585" w:type="dxa"/>
            <w:tcBorders/>
            <w:vAlign w:val="center"/>
          </w:tcPr>
          <w:p>
            <w:pPr>
              <w:pStyle w:val="TableContents"/>
              <w:bidi w:val="0"/>
              <w:spacing w:before="0" w:after="283"/>
              <w:jc w:val="left"/>
              <w:rPr>
                <w:sz w:val="4"/>
                <w:szCs w:val="4"/>
              </w:rPr>
            </w:pPr>
            <w:r>
              <w:rPr>
                <w:sz w:val="4"/>
                <w:szCs w:val="4"/>
              </w:rPr>
            </w:r>
          </w:p>
        </w:tc>
        <w:tc>
          <w:tcPr>
            <w:tcW w:w="1448" w:type="dxa"/>
            <w:gridSpan w:val="4"/>
            <w:tcBorders/>
            <w:vAlign w:val="center"/>
          </w:tcPr>
          <w:p>
            <w:pPr>
              <w:pStyle w:val="TableContents"/>
              <w:bidi w:val="0"/>
              <w:spacing w:before="0" w:after="283"/>
              <w:jc w:val="left"/>
              <w:rPr>
                <w:sz w:val="4"/>
                <w:szCs w:val="4"/>
              </w:rPr>
            </w:pPr>
            <w:r>
              <w:rPr>
                <w:sz w:val="4"/>
                <w:szCs w:val="4"/>
              </w:rPr>
            </w:r>
          </w:p>
        </w:tc>
        <w:tc>
          <w:tcPr>
            <w:tcW w:w="1725" w:type="dxa"/>
            <w:gridSpan w:val="4"/>
            <w:tcBorders/>
            <w:vAlign w:val="center"/>
          </w:tcPr>
          <w:p>
            <w:pPr>
              <w:pStyle w:val="TableContents"/>
              <w:bidi w:val="0"/>
              <w:spacing w:before="0" w:after="283"/>
              <w:jc w:val="left"/>
              <w:rPr>
                <w:sz w:val="4"/>
                <w:szCs w:val="4"/>
              </w:rPr>
            </w:pPr>
            <w:r>
              <w:rPr>
                <w:sz w:val="4"/>
                <w:szCs w:val="4"/>
              </w:rPr>
            </w:r>
          </w:p>
        </w:tc>
        <w:tc>
          <w:tcPr>
            <w:tcW w:w="2250" w:type="dxa"/>
            <w:gridSpan w:val="2"/>
            <w:tcBorders/>
            <w:vAlign w:val="center"/>
          </w:tcPr>
          <w:p>
            <w:pPr>
              <w:pStyle w:val="TableContents"/>
              <w:bidi w:val="0"/>
              <w:spacing w:before="0" w:after="283"/>
              <w:jc w:val="left"/>
              <w:rPr>
                <w:sz w:val="4"/>
                <w:szCs w:val="4"/>
              </w:rPr>
            </w:pPr>
            <w:r>
              <w:rPr>
                <w:sz w:val="4"/>
                <w:szCs w:val="4"/>
              </w:rPr>
            </w:r>
          </w:p>
        </w:tc>
      </w:tr>
      <w:tr>
        <w:trPr/>
        <w:tc>
          <w:tcPr>
            <w:tcW w:w="2585" w:type="dxa"/>
            <w:tcBorders/>
            <w:vAlign w:val="center"/>
          </w:tcPr>
          <w:p>
            <w:pPr>
              <w:pStyle w:val="TableContents"/>
              <w:bidi w:val="0"/>
              <w:spacing w:before="0" w:after="0"/>
              <w:jc w:val="left"/>
              <w:rPr/>
            </w:pPr>
            <w:r>
              <w:rPr/>
              <w:t> </w:t>
            </w:r>
            <w:r>
              <w:rPr>
                <w:rFonts w:ascii="arial" w:hAnsi="arial"/>
                <w:sz w:val="18"/>
              </w:rPr>
              <w:t>Charles M. Holley</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093" w:type="dxa"/>
            <w:tcBorders/>
            <w:vAlign w:val="center"/>
          </w:tcPr>
          <w:p>
            <w:pPr>
              <w:pStyle w:val="TableContents"/>
              <w:bidi w:val="0"/>
              <w:spacing w:before="0" w:after="283"/>
              <w:jc w:val="right"/>
              <w:rPr/>
            </w:pPr>
            <w:r>
              <w:rPr/>
              <w:t>169</w:t>
            </w:r>
          </w:p>
        </w:tc>
        <w:tc>
          <w:tcPr>
            <w:tcW w:w="63"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326" w:type="dxa"/>
            <w:tcBorders/>
            <w:vAlign w:val="center"/>
          </w:tcPr>
          <w:p>
            <w:pPr>
              <w:pStyle w:val="TableContents"/>
              <w:bidi w:val="0"/>
              <w:spacing w:before="0" w:after="283"/>
              <w:jc w:val="right"/>
              <w:rPr/>
            </w:pPr>
            <w:r>
              <w:rPr/>
              <w:t>153</w:t>
            </w:r>
          </w:p>
        </w:tc>
        <w:tc>
          <w:tcPr>
            <w:tcW w:w="63"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2123" w:type="dxa"/>
            <w:tcBorders/>
            <w:vAlign w:val="center"/>
          </w:tcPr>
          <w:p>
            <w:pPr>
              <w:pStyle w:val="TableContents"/>
              <w:bidi w:val="0"/>
              <w:spacing w:before="0" w:after="283"/>
              <w:jc w:val="right"/>
              <w:rPr/>
            </w:pPr>
            <w:r>
              <w:rPr/>
              <w:t>296 </w:t>
            </w:r>
          </w:p>
        </w:tc>
      </w:tr>
      <w:tr>
        <w:trPr/>
        <w:tc>
          <w:tcPr>
            <w:tcW w:w="2585" w:type="dxa"/>
            <w:tcBorders/>
            <w:shd w:fill="CCE2F1" w:val="clear"/>
            <w:vAlign w:val="center"/>
          </w:tcPr>
          <w:p>
            <w:pPr>
              <w:pStyle w:val="TableContents"/>
              <w:bidi w:val="0"/>
              <w:spacing w:before="0" w:after="283"/>
              <w:jc w:val="left"/>
              <w:rPr>
                <w:sz w:val="4"/>
                <w:szCs w:val="4"/>
              </w:rPr>
            </w:pPr>
            <w:r>
              <w:rPr>
                <w:sz w:val="4"/>
                <w:szCs w:val="4"/>
              </w:rPr>
            </w:r>
          </w:p>
        </w:tc>
        <w:tc>
          <w:tcPr>
            <w:tcW w:w="1448" w:type="dxa"/>
            <w:gridSpan w:val="4"/>
            <w:tcBorders/>
            <w:shd w:fill="CCE2F1" w:val="clear"/>
            <w:vAlign w:val="center"/>
          </w:tcPr>
          <w:p>
            <w:pPr>
              <w:pStyle w:val="TableContents"/>
              <w:bidi w:val="0"/>
              <w:spacing w:before="0" w:after="283"/>
              <w:jc w:val="left"/>
              <w:rPr>
                <w:sz w:val="4"/>
                <w:szCs w:val="4"/>
              </w:rPr>
            </w:pPr>
            <w:r>
              <w:rPr>
                <w:sz w:val="4"/>
                <w:szCs w:val="4"/>
              </w:rPr>
            </w:r>
          </w:p>
        </w:tc>
        <w:tc>
          <w:tcPr>
            <w:tcW w:w="1725" w:type="dxa"/>
            <w:gridSpan w:val="4"/>
            <w:tcBorders/>
            <w:shd w:fill="CCE2F1" w:val="clear"/>
            <w:vAlign w:val="center"/>
          </w:tcPr>
          <w:p>
            <w:pPr>
              <w:pStyle w:val="TableContents"/>
              <w:bidi w:val="0"/>
              <w:spacing w:before="0" w:after="283"/>
              <w:jc w:val="left"/>
              <w:rPr>
                <w:sz w:val="4"/>
                <w:szCs w:val="4"/>
              </w:rPr>
            </w:pPr>
            <w:r>
              <w:rPr>
                <w:sz w:val="4"/>
                <w:szCs w:val="4"/>
              </w:rPr>
            </w:r>
          </w:p>
        </w:tc>
        <w:tc>
          <w:tcPr>
            <w:tcW w:w="2250" w:type="dxa"/>
            <w:gridSpan w:val="2"/>
            <w:tcBorders/>
            <w:shd w:fill="CCE2F1" w:val="clear"/>
            <w:vAlign w:val="center"/>
          </w:tcPr>
          <w:p>
            <w:pPr>
              <w:pStyle w:val="TableContents"/>
              <w:bidi w:val="0"/>
              <w:spacing w:before="0" w:after="283"/>
              <w:jc w:val="left"/>
              <w:rPr>
                <w:sz w:val="4"/>
                <w:szCs w:val="4"/>
              </w:rPr>
            </w:pPr>
            <w:r>
              <w:rPr>
                <w:sz w:val="4"/>
                <w:szCs w:val="4"/>
              </w:rPr>
            </w:r>
          </w:p>
        </w:tc>
      </w:tr>
      <w:tr>
        <w:trPr/>
        <w:tc>
          <w:tcPr>
            <w:tcW w:w="2585" w:type="dxa"/>
            <w:tcBorders>
              <w:bottom w:val="single" w:sz="8" w:space="0" w:color="0171B9"/>
            </w:tcBorders>
            <w:shd w:fill="CCE2F1" w:val="clear"/>
            <w:tcMar>
              <w:bottom w:w="80" w:type="dxa"/>
            </w:tcMar>
            <w:vAlign w:val="center"/>
          </w:tcPr>
          <w:p>
            <w:pPr>
              <w:pStyle w:val="TableContents"/>
              <w:bidi w:val="0"/>
              <w:spacing w:before="0" w:after="0"/>
              <w:jc w:val="left"/>
              <w:rPr/>
            </w:pPr>
            <w:r>
              <w:rPr/>
              <w:t> </w:t>
            </w:r>
            <w:r>
              <w:rPr>
                <w:rFonts w:ascii="arial" w:hAnsi="arial"/>
                <w:sz w:val="18"/>
              </w:rPr>
              <w:t>S. Omar Ishrak</w:t>
            </w:r>
          </w:p>
        </w:tc>
        <w:tc>
          <w:tcPr>
            <w:tcW w:w="12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172" w:type="dxa"/>
            <w:tcBorders>
              <w:bottom w:val="single" w:sz="8" w:space="0" w:color="0171B9"/>
            </w:tcBorders>
            <w:shd w:fill="CCE2F1" w:val="clear"/>
            <w:tcMar>
              <w:bottom w:w="80" w:type="dxa"/>
            </w:tcMar>
            <w:vAlign w:val="center"/>
          </w:tcPr>
          <w:p>
            <w:pPr>
              <w:pStyle w:val="TableContents"/>
              <w:bidi w:val="0"/>
              <w:spacing w:before="0" w:after="283"/>
              <w:jc w:val="left"/>
              <w:rPr/>
            </w:pPr>
            <w:r>
              <w:rPr/>
              <w:t> </w:t>
            </w:r>
          </w:p>
        </w:tc>
        <w:tc>
          <w:tcPr>
            <w:tcW w:w="1093" w:type="dxa"/>
            <w:tcBorders>
              <w:bottom w:val="single" w:sz="8" w:space="0" w:color="0171B9"/>
            </w:tcBorders>
            <w:shd w:fill="CCE2F1" w:val="clear"/>
            <w:tcMar>
              <w:bottom w:w="80" w:type="dxa"/>
            </w:tcMar>
            <w:vAlign w:val="center"/>
          </w:tcPr>
          <w:p>
            <w:pPr>
              <w:pStyle w:val="TableContents"/>
              <w:bidi w:val="0"/>
              <w:spacing w:before="0" w:after="283"/>
              <w:jc w:val="right"/>
              <w:rPr/>
            </w:pPr>
            <w:r>
              <w:rPr/>
              <w:t>137</w:t>
            </w:r>
          </w:p>
        </w:tc>
        <w:tc>
          <w:tcPr>
            <w:tcW w:w="63" w:type="dxa"/>
            <w:tcBorders>
              <w:bottom w:val="single" w:sz="8" w:space="0" w:color="0171B9"/>
            </w:tcBorders>
            <w:shd w:fill="CCE2F1" w:val="clear"/>
            <w:tcMar>
              <w:bottom w:w="80" w:type="dxa"/>
            </w:tcMar>
            <w:vAlign w:val="center"/>
          </w:tcPr>
          <w:p>
            <w:pPr>
              <w:pStyle w:val="TableContents"/>
              <w:bidi w:val="0"/>
              <w:spacing w:before="0" w:after="283"/>
              <w:jc w:val="left"/>
              <w:rPr/>
            </w:pPr>
            <w:r>
              <w:rPr/>
              <w:t> </w:t>
            </w:r>
          </w:p>
        </w:tc>
        <w:tc>
          <w:tcPr>
            <w:tcW w:w="127"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209" w:type="dxa"/>
            <w:tcBorders>
              <w:bottom w:val="single" w:sz="8" w:space="0" w:color="0171B9"/>
            </w:tcBorders>
            <w:shd w:fill="CCE2F1" w:val="clear"/>
            <w:tcMar>
              <w:bottom w:w="80" w:type="dxa"/>
            </w:tcMar>
            <w:vAlign w:val="center"/>
          </w:tcPr>
          <w:p>
            <w:pPr>
              <w:pStyle w:val="TableContents"/>
              <w:bidi w:val="0"/>
              <w:spacing w:before="0" w:after="283"/>
              <w:jc w:val="left"/>
              <w:rPr/>
            </w:pPr>
            <w:r>
              <w:rPr/>
              <w:t> </w:t>
            </w:r>
          </w:p>
        </w:tc>
        <w:tc>
          <w:tcPr>
            <w:tcW w:w="1326" w:type="dxa"/>
            <w:tcBorders>
              <w:bottom w:val="single" w:sz="8" w:space="0" w:color="0171B9"/>
            </w:tcBorders>
            <w:shd w:fill="CCE2F1" w:val="clear"/>
            <w:tcMar>
              <w:bottom w:w="80" w:type="dxa"/>
            </w:tcMar>
            <w:vAlign w:val="center"/>
          </w:tcPr>
          <w:p>
            <w:pPr>
              <w:pStyle w:val="TableContents"/>
              <w:bidi w:val="0"/>
              <w:spacing w:before="0" w:after="283"/>
              <w:jc w:val="right"/>
              <w:rPr/>
            </w:pPr>
            <w:r>
              <w:rPr/>
              <w:t>124</w:t>
            </w:r>
          </w:p>
        </w:tc>
        <w:tc>
          <w:tcPr>
            <w:tcW w:w="63" w:type="dxa"/>
            <w:tcBorders>
              <w:bottom w:val="single" w:sz="8" w:space="0" w:color="0171B9"/>
            </w:tcBorders>
            <w:shd w:fill="CCE2F1" w:val="clear"/>
            <w:tcMar>
              <w:bottom w:w="80" w:type="dxa"/>
            </w:tcMar>
            <w:vAlign w:val="center"/>
          </w:tcPr>
          <w:p>
            <w:pPr>
              <w:pStyle w:val="TableContents"/>
              <w:bidi w:val="0"/>
              <w:spacing w:before="0" w:after="283"/>
              <w:jc w:val="left"/>
              <w:rPr/>
            </w:pPr>
            <w:r>
              <w:rPr/>
              <w:t> </w:t>
            </w:r>
          </w:p>
        </w:tc>
        <w:tc>
          <w:tcPr>
            <w:tcW w:w="127"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2123" w:type="dxa"/>
            <w:tcBorders>
              <w:bottom w:val="single" w:sz="8" w:space="0" w:color="0171B9"/>
            </w:tcBorders>
            <w:shd w:fill="CCE2F1" w:val="clear"/>
            <w:tcMar>
              <w:bottom w:w="80" w:type="dxa"/>
            </w:tcMar>
            <w:vAlign w:val="center"/>
          </w:tcPr>
          <w:p>
            <w:pPr>
              <w:pStyle w:val="TableContents"/>
              <w:bidi w:val="0"/>
              <w:spacing w:before="0" w:after="283"/>
              <w:jc w:val="right"/>
              <w:rPr/>
            </w:pPr>
            <w:r>
              <w:rPr/>
              <w:t>240 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 </w:t>
            </w:r>
          </w:p>
        </w:tc>
        <w:tc>
          <w:tcPr>
            <w:tcW w:w="10050" w:type="dxa"/>
            <w:tcBorders/>
            <w:vAlign w:val="center"/>
          </w:tcPr>
          <w:p>
            <w:pPr>
              <w:pStyle w:val="TableContents"/>
              <w:bidi w:val="0"/>
              <w:spacing w:before="0" w:after="0"/>
              <w:jc w:val="both"/>
              <w:rPr>
                <w:rFonts w:ascii="arial" w:hAnsi="arial"/>
                <w:sz w:val="16"/>
              </w:rPr>
            </w:pPr>
            <w:r>
              <w:rPr>
                <w:rFonts w:ascii="arial" w:hAnsi="arial"/>
                <w:sz w:val="16"/>
              </w:rPr>
              <w:t xml:space="preserve">The grant date fair values per unit for these awards were $235.97, $260.80, and $269.86 for May 2, 2023, August 8, 2023, and November 3, 2023, respectively. Such grant dates occurred on the date that is two business days after release of our applicable quarterly earnings in accordance with the terms of our Director Equity Incentive Program.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(4) </w:t>
            </w:r>
          </w:p>
        </w:tc>
        <w:tc>
          <w:tcPr>
            <w:tcW w:w="9954" w:type="dxa"/>
            <w:tcBorders/>
            <w:vAlign w:val="center"/>
          </w:tcPr>
          <w:p>
            <w:pPr>
              <w:pStyle w:val="TableContents"/>
              <w:bidi w:val="0"/>
              <w:spacing w:before="0" w:after="0"/>
              <w:jc w:val="both"/>
              <w:rPr>
                <w:rFonts w:ascii="arial" w:hAnsi="arial"/>
                <w:sz w:val="16"/>
              </w:rPr>
            </w:pPr>
            <w:r>
              <w:rPr>
                <w:rFonts w:ascii="arial" w:hAnsi="arial"/>
                <w:sz w:val="16"/>
              </w:rPr>
              <w:t xml:space="preserve">Directors may elect to defer issuance of shares until a later date, which would result in a deferral of taxable income to the director until the lapse of such deferral. Upon the lapse of any applicable deferral period, the vested/deferred RSUs are paid in shares of our Common Stock on a one-for-one basis. The table below shows the aggregate number of deferred stock awards (deferred RSUs and dividend equivalents) outstanding for each non-employee director as of December 31, 2023. Deferred stock awards consist of vested RSUs for which receipt of the underlying shares of our Common Stock has been deferred (vested/deferred RSUs) and dividends on vested/deferred RSUs are deemed automatically reinvested to acquire additional vested/deferred RSUs. </w:t>
            </w:r>
          </w:p>
        </w:tc>
      </w:tr>
    </w:tbl>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366"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172" descr=""/>
                    <pic:cNvPicPr>
                      <a:picLocks noChangeAspect="1" noChangeArrowheads="1"/>
                    </pic:cNvPicPr>
                  </pic:nvPicPr>
                  <pic:blipFill>
                    <a:blip r:embed="rId185"/>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105</w:t>
      </w:r>
      <w:r>
        <w:rPr>
          <w:rFonts w:ascii="arial" w:hAnsi="arial"/>
          <w:b/>
          <w:sz w:val="22"/>
        </w:rPr>
        <w:t xml:space="preserve"> </w:t>
      </w:r>
      <w:r>
        <w:br w:type="page"/>
      </w:r>
    </w:p>
    <w:p>
      <w:pPr>
        <w:pStyle w:val="HorizontalLine"/>
        <w:bidi w:val="0"/>
        <w:jc w:val="left"/>
        <w:rPr/>
      </w:pPr>
      <w:r>
        <w:rPr/>
      </w:r>
    </w:p>
    <w:tbl>
      <w:tblPr>
        <w:tblW w:w="315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267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267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Director Compensation</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6490" w:type="dxa"/>
        <w:jc w:val="left"/>
        <w:tblInd w:w="0" w:type="dxa"/>
        <w:tblLayout w:type="fixed"/>
        <w:tblCellMar>
          <w:top w:w="0" w:type="dxa"/>
          <w:left w:w="0" w:type="dxa"/>
          <w:bottom w:w="0" w:type="dxa"/>
          <w:right w:w="0" w:type="dxa"/>
        </w:tblCellMar>
      </w:tblPr>
      <w:tblGrid>
        <w:gridCol w:w="2585"/>
        <w:gridCol w:w="120"/>
        <w:gridCol w:w="300"/>
        <w:gridCol w:w="3410"/>
        <w:gridCol w:w="75"/>
      </w:tblGrid>
      <w:tr>
        <w:trPr/>
        <w:tc>
          <w:tcPr>
            <w:tcW w:w="25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41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85" w:type="dxa"/>
            <w:tcBorders/>
            <w:shd w:fill="0171B9" w:val="clear"/>
            <w:vAlign w:val="center"/>
          </w:tcPr>
          <w:p>
            <w:pPr>
              <w:pStyle w:val="TableContents"/>
              <w:bidi w:val="0"/>
              <w:spacing w:before="0" w:after="283"/>
              <w:jc w:val="left"/>
              <w:rPr>
                <w:sz w:val="4"/>
                <w:szCs w:val="4"/>
              </w:rPr>
            </w:pPr>
            <w:r>
              <w:rPr>
                <w:sz w:val="4"/>
                <w:szCs w:val="4"/>
              </w:rPr>
            </w:r>
          </w:p>
        </w:tc>
        <w:tc>
          <w:tcPr>
            <w:tcW w:w="3905" w:type="dxa"/>
            <w:gridSpan w:val="4"/>
            <w:tcBorders/>
            <w:shd w:fill="0171B9" w:val="clear"/>
            <w:vAlign w:val="center"/>
          </w:tcPr>
          <w:p>
            <w:pPr>
              <w:pStyle w:val="TableContents"/>
              <w:bidi w:val="0"/>
              <w:spacing w:before="0" w:after="283"/>
              <w:jc w:val="left"/>
              <w:rPr>
                <w:sz w:val="4"/>
                <w:szCs w:val="4"/>
              </w:rPr>
            </w:pPr>
            <w:r>
              <w:rPr>
                <w:sz w:val="4"/>
                <w:szCs w:val="4"/>
              </w:rPr>
            </w:r>
          </w:p>
        </w:tc>
      </w:tr>
      <w:tr>
        <w:trPr/>
        <w:tc>
          <w:tcPr>
            <w:tcW w:w="2585" w:type="dxa"/>
            <w:tcBorders>
              <w:bottom w:val="single" w:sz="8" w:space="0" w:color="FFFFFF"/>
            </w:tcBorders>
            <w:shd w:fill="0171B9" w:val="clear"/>
            <w:tcMar>
              <w:bottom w:w="80" w:type="dxa"/>
            </w:tcMar>
            <w:vAlign w:val="center"/>
          </w:tcPr>
          <w:p>
            <w:pPr>
              <w:pStyle w:val="TableContents"/>
              <w:bidi w:val="0"/>
              <w:spacing w:before="0" w:after="283"/>
              <w:jc w:val="left"/>
              <w:rPr>
                <w:color w:val="FFFFFF"/>
              </w:rPr>
            </w:pPr>
            <w:r>
              <w:rPr>
                <w:color w:val="FFFFFF"/>
              </w:rPr>
              <w:t> </w:t>
            </w:r>
            <w:r>
              <w:rPr>
                <w:b/>
                <w:color w:val="FFFFFF"/>
              </w:rPr>
              <w:t>Non-Employee Director</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3710" w:type="dxa"/>
            <w:gridSpan w:val="2"/>
            <w:tcBorders>
              <w:bottom w:val="single" w:sz="8" w:space="0" w:color="FFFFFF"/>
            </w:tcBorders>
            <w:shd w:fill="0171B9" w:val="clear"/>
            <w:tcMar>
              <w:bottom w:w="80" w:type="dxa"/>
            </w:tcMar>
            <w:vAlign w:val="center"/>
          </w:tcPr>
          <w:p>
            <w:pPr>
              <w:pStyle w:val="TableContents"/>
              <w:bidi w:val="0"/>
              <w:spacing w:before="0" w:after="283"/>
              <w:jc w:val="right"/>
              <w:rPr>
                <w:b/>
                <w:color w:val="FFFFFF"/>
              </w:rPr>
            </w:pPr>
            <w:r>
              <w:rPr>
                <w:b/>
                <w:color w:val="FFFFFF"/>
              </w:rPr>
              <w:t>Deferred Restricted Stock Units and</w:t>
              <w:br/>
              <w:t>Dividend Equivalents</w:t>
              <w:br/>
              <w:t>as of December 31, 2023(a)</w:t>
            </w:r>
          </w:p>
        </w:tc>
        <w:tc>
          <w:tcPr>
            <w:tcW w:w="75"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r>
      <w:tr>
        <w:trPr/>
        <w:tc>
          <w:tcPr>
            <w:tcW w:w="2585" w:type="dxa"/>
            <w:tcBorders/>
            <w:shd w:fill="CCE2F1" w:val="clear"/>
            <w:vAlign w:val="center"/>
          </w:tcPr>
          <w:p>
            <w:pPr>
              <w:pStyle w:val="TableContents"/>
              <w:bidi w:val="0"/>
              <w:spacing w:before="0" w:after="283"/>
              <w:jc w:val="left"/>
              <w:rPr>
                <w:sz w:val="4"/>
                <w:szCs w:val="4"/>
              </w:rPr>
            </w:pPr>
            <w:r>
              <w:rPr>
                <w:sz w:val="4"/>
                <w:szCs w:val="4"/>
              </w:rPr>
            </w:r>
          </w:p>
        </w:tc>
        <w:tc>
          <w:tcPr>
            <w:tcW w:w="3905"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2585" w:type="dxa"/>
            <w:tcBorders/>
            <w:shd w:fill="CCE2F1" w:val="clear"/>
            <w:vAlign w:val="center"/>
          </w:tcPr>
          <w:p>
            <w:pPr>
              <w:pStyle w:val="TableContents"/>
              <w:bidi w:val="0"/>
              <w:spacing w:before="0" w:after="0"/>
              <w:jc w:val="left"/>
              <w:rPr/>
            </w:pPr>
            <w:r>
              <w:rPr/>
              <w:t> </w:t>
            </w:r>
            <w:r>
              <w:rPr>
                <w:rFonts w:ascii="arial" w:hAnsi="arial"/>
                <w:sz w:val="18"/>
              </w:rPr>
              <w:t>Wanda M. Austin</w:t>
            </w:r>
          </w:p>
        </w:tc>
        <w:tc>
          <w:tcPr>
            <w:tcW w:w="120" w:type="dxa"/>
            <w:tcBorders/>
            <w:shd w:fill="CCE2F1" w:val="clear"/>
            <w:vAlign w:val="center"/>
          </w:tcPr>
          <w:p>
            <w:pPr>
              <w:pStyle w:val="TableContents"/>
              <w:bidi w:val="0"/>
              <w:spacing w:before="0" w:after="283"/>
              <w:jc w:val="left"/>
              <w:rPr/>
            </w:pPr>
            <w:r>
              <w:rPr/>
              <w:t>  </w:t>
            </w:r>
          </w:p>
        </w:tc>
        <w:tc>
          <w:tcPr>
            <w:tcW w:w="300" w:type="dxa"/>
            <w:tcBorders/>
            <w:shd w:fill="CCE2F1" w:val="clear"/>
            <w:vAlign w:val="center"/>
          </w:tcPr>
          <w:p>
            <w:pPr>
              <w:pStyle w:val="TableContents"/>
              <w:bidi w:val="0"/>
              <w:spacing w:before="0" w:after="283"/>
              <w:jc w:val="left"/>
              <w:rPr/>
            </w:pPr>
            <w:r>
              <w:rPr/>
              <w:t> </w:t>
            </w:r>
          </w:p>
        </w:tc>
        <w:tc>
          <w:tcPr>
            <w:tcW w:w="3410" w:type="dxa"/>
            <w:tcBorders/>
            <w:shd w:fill="CCE2F1" w:val="clear"/>
            <w:vAlign w:val="center"/>
          </w:tcPr>
          <w:p>
            <w:pPr>
              <w:pStyle w:val="TableContents"/>
              <w:bidi w:val="0"/>
              <w:spacing w:before="0" w:after="283"/>
              <w:jc w:val="right"/>
              <w:rPr/>
            </w:pPr>
            <w:r>
              <w:rPr/>
              <w:t>0</w:t>
            </w:r>
          </w:p>
        </w:tc>
        <w:tc>
          <w:tcPr>
            <w:tcW w:w="75" w:type="dxa"/>
            <w:tcBorders/>
            <w:shd w:fill="CCE2F1"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sz w:val="4"/>
                <w:szCs w:val="4"/>
              </w:rPr>
            </w:pPr>
            <w:r>
              <w:rPr>
                <w:sz w:val="4"/>
                <w:szCs w:val="4"/>
              </w:rPr>
            </w:r>
          </w:p>
        </w:tc>
        <w:tc>
          <w:tcPr>
            <w:tcW w:w="3905" w:type="dxa"/>
            <w:gridSpan w:val="4"/>
            <w:tcBorders/>
            <w:vAlign w:val="center"/>
          </w:tcPr>
          <w:p>
            <w:pPr>
              <w:pStyle w:val="TableContents"/>
              <w:bidi w:val="0"/>
              <w:spacing w:before="0" w:after="283"/>
              <w:jc w:val="left"/>
              <w:rPr>
                <w:sz w:val="4"/>
                <w:szCs w:val="4"/>
              </w:rPr>
            </w:pPr>
            <w:r>
              <w:rPr>
                <w:sz w:val="4"/>
                <w:szCs w:val="4"/>
              </w:rPr>
            </w:r>
          </w:p>
        </w:tc>
      </w:tr>
      <w:tr>
        <w:trPr/>
        <w:tc>
          <w:tcPr>
            <w:tcW w:w="2585" w:type="dxa"/>
            <w:tcBorders/>
            <w:vAlign w:val="center"/>
          </w:tcPr>
          <w:p>
            <w:pPr>
              <w:pStyle w:val="TableContents"/>
              <w:bidi w:val="0"/>
              <w:spacing w:before="0" w:after="0"/>
              <w:jc w:val="left"/>
              <w:rPr/>
            </w:pPr>
            <w:r>
              <w:rPr/>
              <w:t> </w:t>
            </w:r>
            <w:r>
              <w:rPr>
                <w:rFonts w:ascii="arial" w:hAnsi="arial"/>
                <w:sz w:val="18"/>
              </w:rPr>
              <w:t>Michael Drake</w:t>
            </w:r>
          </w:p>
        </w:tc>
        <w:tc>
          <w:tcPr>
            <w:tcW w:w="12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right"/>
              <w:rPr/>
            </w:pPr>
            <w:r>
              <w:rPr/>
              <w:t>2,318</w:t>
            </w:r>
          </w:p>
        </w:tc>
        <w:tc>
          <w:tcPr>
            <w:tcW w:w="75" w:type="dxa"/>
            <w:tcBorders/>
            <w:vAlign w:val="center"/>
          </w:tcPr>
          <w:p>
            <w:pPr>
              <w:pStyle w:val="TableContents"/>
              <w:bidi w:val="0"/>
              <w:spacing w:before="0" w:after="283"/>
              <w:jc w:val="left"/>
              <w:rPr/>
            </w:pPr>
            <w:r>
              <w:rPr/>
              <w:t> </w:t>
            </w:r>
          </w:p>
        </w:tc>
      </w:tr>
      <w:tr>
        <w:trPr/>
        <w:tc>
          <w:tcPr>
            <w:tcW w:w="2585" w:type="dxa"/>
            <w:tcBorders/>
            <w:shd w:fill="CCE2F1" w:val="clear"/>
            <w:vAlign w:val="center"/>
          </w:tcPr>
          <w:p>
            <w:pPr>
              <w:pStyle w:val="TableContents"/>
              <w:bidi w:val="0"/>
              <w:spacing w:before="0" w:after="283"/>
              <w:jc w:val="left"/>
              <w:rPr>
                <w:sz w:val="4"/>
                <w:szCs w:val="4"/>
              </w:rPr>
            </w:pPr>
            <w:r>
              <w:rPr>
                <w:sz w:val="4"/>
                <w:szCs w:val="4"/>
              </w:rPr>
            </w:r>
          </w:p>
        </w:tc>
        <w:tc>
          <w:tcPr>
            <w:tcW w:w="3905"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2585" w:type="dxa"/>
            <w:tcBorders/>
            <w:shd w:fill="CCE2F1" w:val="clear"/>
            <w:vAlign w:val="center"/>
          </w:tcPr>
          <w:p>
            <w:pPr>
              <w:pStyle w:val="TableContents"/>
              <w:bidi w:val="0"/>
              <w:spacing w:before="0" w:after="0"/>
              <w:jc w:val="left"/>
              <w:rPr/>
            </w:pPr>
            <w:r>
              <w:rPr/>
              <w:t> </w:t>
            </w:r>
            <w:r>
              <w:rPr>
                <w:rFonts w:ascii="arial" w:hAnsi="arial"/>
                <w:sz w:val="18"/>
              </w:rPr>
              <w:t>Brian J. Druker</w:t>
            </w:r>
          </w:p>
        </w:tc>
        <w:tc>
          <w:tcPr>
            <w:tcW w:w="120" w:type="dxa"/>
            <w:tcBorders/>
            <w:shd w:fill="CCE2F1" w:val="clear"/>
            <w:vAlign w:val="center"/>
          </w:tcPr>
          <w:p>
            <w:pPr>
              <w:pStyle w:val="TableContents"/>
              <w:bidi w:val="0"/>
              <w:spacing w:before="0" w:after="283"/>
              <w:jc w:val="left"/>
              <w:rPr/>
            </w:pPr>
            <w:r>
              <w:rPr/>
              <w:t>  </w:t>
            </w:r>
          </w:p>
        </w:tc>
        <w:tc>
          <w:tcPr>
            <w:tcW w:w="300" w:type="dxa"/>
            <w:tcBorders/>
            <w:shd w:fill="CCE2F1" w:val="clear"/>
            <w:vAlign w:val="center"/>
          </w:tcPr>
          <w:p>
            <w:pPr>
              <w:pStyle w:val="TableContents"/>
              <w:bidi w:val="0"/>
              <w:spacing w:before="0" w:after="283"/>
              <w:jc w:val="left"/>
              <w:rPr/>
            </w:pPr>
            <w:r>
              <w:rPr/>
              <w:t> </w:t>
            </w:r>
          </w:p>
        </w:tc>
        <w:tc>
          <w:tcPr>
            <w:tcW w:w="3410" w:type="dxa"/>
            <w:tcBorders/>
            <w:shd w:fill="CCE2F1" w:val="clear"/>
            <w:vAlign w:val="center"/>
          </w:tcPr>
          <w:p>
            <w:pPr>
              <w:pStyle w:val="TableContents"/>
              <w:bidi w:val="0"/>
              <w:spacing w:before="0" w:after="283"/>
              <w:jc w:val="right"/>
              <w:rPr/>
            </w:pPr>
            <w:r>
              <w:rPr/>
              <w:t>5,836</w:t>
            </w:r>
          </w:p>
        </w:tc>
        <w:tc>
          <w:tcPr>
            <w:tcW w:w="75" w:type="dxa"/>
            <w:tcBorders/>
            <w:shd w:fill="CCE2F1"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sz w:val="4"/>
                <w:szCs w:val="4"/>
              </w:rPr>
            </w:pPr>
            <w:r>
              <w:rPr>
                <w:sz w:val="4"/>
                <w:szCs w:val="4"/>
              </w:rPr>
            </w:r>
          </w:p>
        </w:tc>
        <w:tc>
          <w:tcPr>
            <w:tcW w:w="3905" w:type="dxa"/>
            <w:gridSpan w:val="4"/>
            <w:tcBorders/>
            <w:vAlign w:val="center"/>
          </w:tcPr>
          <w:p>
            <w:pPr>
              <w:pStyle w:val="TableContents"/>
              <w:bidi w:val="0"/>
              <w:spacing w:before="0" w:after="283"/>
              <w:jc w:val="left"/>
              <w:rPr>
                <w:sz w:val="4"/>
                <w:szCs w:val="4"/>
              </w:rPr>
            </w:pPr>
            <w:r>
              <w:rPr>
                <w:sz w:val="4"/>
                <w:szCs w:val="4"/>
              </w:rPr>
            </w:r>
          </w:p>
        </w:tc>
      </w:tr>
      <w:tr>
        <w:trPr/>
        <w:tc>
          <w:tcPr>
            <w:tcW w:w="2585" w:type="dxa"/>
            <w:tcBorders/>
            <w:vAlign w:val="center"/>
          </w:tcPr>
          <w:p>
            <w:pPr>
              <w:pStyle w:val="TableContents"/>
              <w:bidi w:val="0"/>
              <w:spacing w:before="0" w:after="0"/>
              <w:jc w:val="left"/>
              <w:rPr/>
            </w:pPr>
            <w:r>
              <w:rPr/>
              <w:t> </w:t>
            </w:r>
            <w:r>
              <w:rPr>
                <w:rFonts w:ascii="arial" w:hAnsi="arial"/>
                <w:sz w:val="18"/>
              </w:rPr>
              <w:t>Robert A. Eckert</w:t>
            </w:r>
          </w:p>
        </w:tc>
        <w:tc>
          <w:tcPr>
            <w:tcW w:w="12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right"/>
              <w:rPr/>
            </w:pPr>
            <w:r>
              <w:rPr/>
              <w:t>15,823</w:t>
            </w:r>
          </w:p>
        </w:tc>
        <w:tc>
          <w:tcPr>
            <w:tcW w:w="75" w:type="dxa"/>
            <w:tcBorders/>
            <w:vAlign w:val="center"/>
          </w:tcPr>
          <w:p>
            <w:pPr>
              <w:pStyle w:val="TableContents"/>
              <w:bidi w:val="0"/>
              <w:spacing w:before="0" w:after="283"/>
              <w:jc w:val="left"/>
              <w:rPr/>
            </w:pPr>
            <w:r>
              <w:rPr/>
              <w:t> </w:t>
            </w:r>
          </w:p>
        </w:tc>
      </w:tr>
      <w:tr>
        <w:trPr/>
        <w:tc>
          <w:tcPr>
            <w:tcW w:w="2585" w:type="dxa"/>
            <w:tcBorders/>
            <w:shd w:fill="CCE2F1" w:val="clear"/>
            <w:vAlign w:val="center"/>
          </w:tcPr>
          <w:p>
            <w:pPr>
              <w:pStyle w:val="TableContents"/>
              <w:bidi w:val="0"/>
              <w:spacing w:before="0" w:after="283"/>
              <w:jc w:val="left"/>
              <w:rPr>
                <w:sz w:val="4"/>
                <w:szCs w:val="4"/>
              </w:rPr>
            </w:pPr>
            <w:r>
              <w:rPr>
                <w:sz w:val="4"/>
                <w:szCs w:val="4"/>
              </w:rPr>
            </w:r>
          </w:p>
        </w:tc>
        <w:tc>
          <w:tcPr>
            <w:tcW w:w="3905"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2585" w:type="dxa"/>
            <w:tcBorders/>
            <w:shd w:fill="CCE2F1" w:val="clear"/>
            <w:vAlign w:val="center"/>
          </w:tcPr>
          <w:p>
            <w:pPr>
              <w:pStyle w:val="TableContents"/>
              <w:bidi w:val="0"/>
              <w:spacing w:before="0" w:after="0"/>
              <w:jc w:val="left"/>
              <w:rPr/>
            </w:pPr>
            <w:r>
              <w:rPr/>
              <w:t> </w:t>
            </w:r>
            <w:r>
              <w:rPr>
                <w:rFonts w:ascii="arial" w:hAnsi="arial"/>
                <w:sz w:val="18"/>
              </w:rPr>
              <w:t>Greg C. Garland</w:t>
            </w:r>
          </w:p>
        </w:tc>
        <w:tc>
          <w:tcPr>
            <w:tcW w:w="120" w:type="dxa"/>
            <w:tcBorders/>
            <w:shd w:fill="CCE2F1" w:val="clear"/>
            <w:vAlign w:val="center"/>
          </w:tcPr>
          <w:p>
            <w:pPr>
              <w:pStyle w:val="TableContents"/>
              <w:bidi w:val="0"/>
              <w:spacing w:before="0" w:after="283"/>
              <w:jc w:val="left"/>
              <w:rPr/>
            </w:pPr>
            <w:r>
              <w:rPr/>
              <w:t>  </w:t>
            </w:r>
          </w:p>
        </w:tc>
        <w:tc>
          <w:tcPr>
            <w:tcW w:w="300" w:type="dxa"/>
            <w:tcBorders/>
            <w:shd w:fill="CCE2F1" w:val="clear"/>
            <w:vAlign w:val="center"/>
          </w:tcPr>
          <w:p>
            <w:pPr>
              <w:pStyle w:val="TableContents"/>
              <w:bidi w:val="0"/>
              <w:spacing w:before="0" w:after="283"/>
              <w:jc w:val="left"/>
              <w:rPr/>
            </w:pPr>
            <w:r>
              <w:rPr/>
              <w:t> </w:t>
            </w:r>
          </w:p>
        </w:tc>
        <w:tc>
          <w:tcPr>
            <w:tcW w:w="3410" w:type="dxa"/>
            <w:tcBorders/>
            <w:shd w:fill="CCE2F1" w:val="clear"/>
            <w:vAlign w:val="center"/>
          </w:tcPr>
          <w:p>
            <w:pPr>
              <w:pStyle w:val="TableContents"/>
              <w:bidi w:val="0"/>
              <w:spacing w:before="0" w:after="283"/>
              <w:jc w:val="right"/>
              <w:rPr/>
            </w:pPr>
            <w:r>
              <w:rPr/>
              <w:t>0</w:t>
            </w:r>
          </w:p>
        </w:tc>
        <w:tc>
          <w:tcPr>
            <w:tcW w:w="75" w:type="dxa"/>
            <w:tcBorders/>
            <w:shd w:fill="CCE2F1"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sz w:val="4"/>
                <w:szCs w:val="4"/>
              </w:rPr>
            </w:pPr>
            <w:r>
              <w:rPr>
                <w:sz w:val="4"/>
                <w:szCs w:val="4"/>
              </w:rPr>
            </w:r>
          </w:p>
        </w:tc>
        <w:tc>
          <w:tcPr>
            <w:tcW w:w="3905" w:type="dxa"/>
            <w:gridSpan w:val="4"/>
            <w:tcBorders/>
            <w:vAlign w:val="center"/>
          </w:tcPr>
          <w:p>
            <w:pPr>
              <w:pStyle w:val="TableContents"/>
              <w:bidi w:val="0"/>
              <w:spacing w:before="0" w:after="283"/>
              <w:jc w:val="left"/>
              <w:rPr>
                <w:sz w:val="4"/>
                <w:szCs w:val="4"/>
              </w:rPr>
            </w:pPr>
            <w:r>
              <w:rPr>
                <w:sz w:val="4"/>
                <w:szCs w:val="4"/>
              </w:rPr>
            </w:r>
          </w:p>
        </w:tc>
      </w:tr>
      <w:tr>
        <w:trPr/>
        <w:tc>
          <w:tcPr>
            <w:tcW w:w="2585" w:type="dxa"/>
            <w:tcBorders/>
            <w:vAlign w:val="center"/>
          </w:tcPr>
          <w:p>
            <w:pPr>
              <w:pStyle w:val="TableContents"/>
              <w:bidi w:val="0"/>
              <w:spacing w:before="0" w:after="0"/>
              <w:jc w:val="left"/>
              <w:rPr/>
            </w:pPr>
            <w:r>
              <w:rPr/>
              <w:t> </w:t>
            </w:r>
            <w:r>
              <w:rPr>
                <w:rFonts w:ascii="arial" w:hAnsi="arial"/>
                <w:sz w:val="18"/>
              </w:rPr>
              <w:t>Charles M. Holley, Jr.</w:t>
            </w:r>
          </w:p>
        </w:tc>
        <w:tc>
          <w:tcPr>
            <w:tcW w:w="12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right"/>
              <w:rPr/>
            </w:pPr>
            <w:r>
              <w:rPr/>
              <w:t>8,641</w:t>
            </w:r>
          </w:p>
        </w:tc>
        <w:tc>
          <w:tcPr>
            <w:tcW w:w="75" w:type="dxa"/>
            <w:tcBorders/>
            <w:vAlign w:val="center"/>
          </w:tcPr>
          <w:p>
            <w:pPr>
              <w:pStyle w:val="TableContents"/>
              <w:bidi w:val="0"/>
              <w:spacing w:before="0" w:after="283"/>
              <w:jc w:val="left"/>
              <w:rPr/>
            </w:pPr>
            <w:r>
              <w:rPr/>
              <w:t> </w:t>
            </w:r>
          </w:p>
        </w:tc>
      </w:tr>
      <w:tr>
        <w:trPr/>
        <w:tc>
          <w:tcPr>
            <w:tcW w:w="2585" w:type="dxa"/>
            <w:tcBorders/>
            <w:shd w:fill="CCE2F1" w:val="clear"/>
            <w:vAlign w:val="center"/>
          </w:tcPr>
          <w:p>
            <w:pPr>
              <w:pStyle w:val="TableContents"/>
              <w:bidi w:val="0"/>
              <w:spacing w:before="0" w:after="283"/>
              <w:jc w:val="left"/>
              <w:rPr>
                <w:sz w:val="4"/>
                <w:szCs w:val="4"/>
              </w:rPr>
            </w:pPr>
            <w:r>
              <w:rPr>
                <w:sz w:val="4"/>
                <w:szCs w:val="4"/>
              </w:rPr>
            </w:r>
          </w:p>
        </w:tc>
        <w:tc>
          <w:tcPr>
            <w:tcW w:w="3905"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2585" w:type="dxa"/>
            <w:tcBorders/>
            <w:shd w:fill="CCE2F1" w:val="clear"/>
            <w:vAlign w:val="center"/>
          </w:tcPr>
          <w:p>
            <w:pPr>
              <w:pStyle w:val="TableContents"/>
              <w:bidi w:val="0"/>
              <w:spacing w:before="0" w:after="0"/>
              <w:jc w:val="left"/>
              <w:rPr/>
            </w:pPr>
            <w:r>
              <w:rPr/>
              <w:t> </w:t>
            </w:r>
            <w:r>
              <w:rPr>
                <w:rFonts w:ascii="arial" w:hAnsi="arial"/>
                <w:sz w:val="18"/>
              </w:rPr>
              <w:t>S. Omar Ishrak</w:t>
            </w:r>
          </w:p>
        </w:tc>
        <w:tc>
          <w:tcPr>
            <w:tcW w:w="120" w:type="dxa"/>
            <w:tcBorders/>
            <w:shd w:fill="CCE2F1" w:val="clear"/>
            <w:vAlign w:val="center"/>
          </w:tcPr>
          <w:p>
            <w:pPr>
              <w:pStyle w:val="TableContents"/>
              <w:bidi w:val="0"/>
              <w:spacing w:before="0" w:after="283"/>
              <w:jc w:val="left"/>
              <w:rPr/>
            </w:pPr>
            <w:r>
              <w:rPr/>
              <w:t>  </w:t>
            </w:r>
          </w:p>
        </w:tc>
        <w:tc>
          <w:tcPr>
            <w:tcW w:w="300" w:type="dxa"/>
            <w:tcBorders/>
            <w:shd w:fill="CCE2F1" w:val="clear"/>
            <w:vAlign w:val="center"/>
          </w:tcPr>
          <w:p>
            <w:pPr>
              <w:pStyle w:val="TableContents"/>
              <w:bidi w:val="0"/>
              <w:spacing w:before="0" w:after="283"/>
              <w:jc w:val="left"/>
              <w:rPr/>
            </w:pPr>
            <w:r>
              <w:rPr/>
              <w:t> </w:t>
            </w:r>
          </w:p>
        </w:tc>
        <w:tc>
          <w:tcPr>
            <w:tcW w:w="3410" w:type="dxa"/>
            <w:tcBorders/>
            <w:shd w:fill="CCE2F1" w:val="clear"/>
            <w:vAlign w:val="center"/>
          </w:tcPr>
          <w:p>
            <w:pPr>
              <w:pStyle w:val="TableContents"/>
              <w:bidi w:val="0"/>
              <w:spacing w:before="0" w:after="283"/>
              <w:jc w:val="right"/>
              <w:rPr/>
            </w:pPr>
            <w:r>
              <w:rPr/>
              <w:t>2,900</w:t>
            </w:r>
          </w:p>
        </w:tc>
        <w:tc>
          <w:tcPr>
            <w:tcW w:w="75" w:type="dxa"/>
            <w:tcBorders/>
            <w:shd w:fill="CCE2F1"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sz w:val="4"/>
                <w:szCs w:val="4"/>
              </w:rPr>
            </w:pPr>
            <w:r>
              <w:rPr>
                <w:sz w:val="4"/>
                <w:szCs w:val="4"/>
              </w:rPr>
            </w:r>
          </w:p>
        </w:tc>
        <w:tc>
          <w:tcPr>
            <w:tcW w:w="3905" w:type="dxa"/>
            <w:gridSpan w:val="4"/>
            <w:tcBorders/>
            <w:vAlign w:val="center"/>
          </w:tcPr>
          <w:p>
            <w:pPr>
              <w:pStyle w:val="TableContents"/>
              <w:bidi w:val="0"/>
              <w:spacing w:before="0" w:after="283"/>
              <w:jc w:val="left"/>
              <w:rPr>
                <w:sz w:val="4"/>
                <w:szCs w:val="4"/>
              </w:rPr>
            </w:pPr>
            <w:r>
              <w:rPr>
                <w:sz w:val="4"/>
                <w:szCs w:val="4"/>
              </w:rPr>
            </w:r>
          </w:p>
        </w:tc>
      </w:tr>
      <w:tr>
        <w:trPr/>
        <w:tc>
          <w:tcPr>
            <w:tcW w:w="2585" w:type="dxa"/>
            <w:tcBorders/>
            <w:vAlign w:val="center"/>
          </w:tcPr>
          <w:p>
            <w:pPr>
              <w:pStyle w:val="TableContents"/>
              <w:bidi w:val="0"/>
              <w:spacing w:before="0" w:after="0"/>
              <w:jc w:val="left"/>
              <w:rPr/>
            </w:pPr>
            <w:r>
              <w:rPr/>
              <w:t> </w:t>
            </w:r>
            <w:r>
              <w:rPr>
                <w:rFonts w:ascii="arial" w:hAnsi="arial"/>
                <w:sz w:val="18"/>
              </w:rPr>
              <w:t>Tyler Jacks</w:t>
            </w:r>
          </w:p>
        </w:tc>
        <w:tc>
          <w:tcPr>
            <w:tcW w:w="12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right"/>
              <w:rPr/>
            </w:pPr>
            <w:r>
              <w:rPr/>
              <w:t>12,458</w:t>
            </w:r>
          </w:p>
        </w:tc>
        <w:tc>
          <w:tcPr>
            <w:tcW w:w="75" w:type="dxa"/>
            <w:tcBorders/>
            <w:vAlign w:val="center"/>
          </w:tcPr>
          <w:p>
            <w:pPr>
              <w:pStyle w:val="TableContents"/>
              <w:bidi w:val="0"/>
              <w:spacing w:before="0" w:after="283"/>
              <w:jc w:val="left"/>
              <w:rPr/>
            </w:pPr>
            <w:r>
              <w:rPr/>
              <w:t> </w:t>
            </w:r>
          </w:p>
        </w:tc>
      </w:tr>
      <w:tr>
        <w:trPr/>
        <w:tc>
          <w:tcPr>
            <w:tcW w:w="2585" w:type="dxa"/>
            <w:tcBorders/>
            <w:shd w:fill="CCE2F1" w:val="clear"/>
            <w:vAlign w:val="center"/>
          </w:tcPr>
          <w:p>
            <w:pPr>
              <w:pStyle w:val="TableContents"/>
              <w:bidi w:val="0"/>
              <w:spacing w:before="0" w:after="283"/>
              <w:jc w:val="left"/>
              <w:rPr>
                <w:sz w:val="4"/>
                <w:szCs w:val="4"/>
              </w:rPr>
            </w:pPr>
            <w:r>
              <w:rPr>
                <w:sz w:val="4"/>
                <w:szCs w:val="4"/>
              </w:rPr>
            </w:r>
          </w:p>
        </w:tc>
        <w:tc>
          <w:tcPr>
            <w:tcW w:w="3905"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2585" w:type="dxa"/>
            <w:tcBorders/>
            <w:shd w:fill="CCE2F1" w:val="clear"/>
            <w:vAlign w:val="center"/>
          </w:tcPr>
          <w:p>
            <w:pPr>
              <w:pStyle w:val="TableContents"/>
              <w:bidi w:val="0"/>
              <w:spacing w:before="0" w:after="0"/>
              <w:jc w:val="left"/>
              <w:rPr/>
            </w:pPr>
            <w:r>
              <w:rPr/>
              <w:t> </w:t>
            </w:r>
            <w:r>
              <w:rPr>
                <w:rFonts w:ascii="arial" w:hAnsi="arial"/>
                <w:sz w:val="18"/>
              </w:rPr>
              <w:t>Ellen J. Kullman</w:t>
            </w:r>
          </w:p>
        </w:tc>
        <w:tc>
          <w:tcPr>
            <w:tcW w:w="120" w:type="dxa"/>
            <w:tcBorders/>
            <w:shd w:fill="CCE2F1" w:val="clear"/>
            <w:vAlign w:val="center"/>
          </w:tcPr>
          <w:p>
            <w:pPr>
              <w:pStyle w:val="TableContents"/>
              <w:bidi w:val="0"/>
              <w:spacing w:before="0" w:after="283"/>
              <w:jc w:val="left"/>
              <w:rPr/>
            </w:pPr>
            <w:r>
              <w:rPr/>
              <w:t>  </w:t>
            </w:r>
          </w:p>
        </w:tc>
        <w:tc>
          <w:tcPr>
            <w:tcW w:w="300" w:type="dxa"/>
            <w:tcBorders/>
            <w:shd w:fill="CCE2F1" w:val="clear"/>
            <w:vAlign w:val="center"/>
          </w:tcPr>
          <w:p>
            <w:pPr>
              <w:pStyle w:val="TableContents"/>
              <w:bidi w:val="0"/>
              <w:spacing w:before="0" w:after="283"/>
              <w:jc w:val="left"/>
              <w:rPr/>
            </w:pPr>
            <w:r>
              <w:rPr/>
              <w:t> </w:t>
            </w:r>
          </w:p>
        </w:tc>
        <w:tc>
          <w:tcPr>
            <w:tcW w:w="3410" w:type="dxa"/>
            <w:tcBorders/>
            <w:shd w:fill="CCE2F1" w:val="clear"/>
            <w:vAlign w:val="center"/>
          </w:tcPr>
          <w:p>
            <w:pPr>
              <w:pStyle w:val="TableContents"/>
              <w:bidi w:val="0"/>
              <w:spacing w:before="0" w:after="283"/>
              <w:jc w:val="right"/>
              <w:rPr/>
            </w:pPr>
            <w:r>
              <w:rPr/>
              <w:t>11,081</w:t>
            </w:r>
          </w:p>
        </w:tc>
        <w:tc>
          <w:tcPr>
            <w:tcW w:w="75" w:type="dxa"/>
            <w:tcBorders/>
            <w:shd w:fill="CCE2F1"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sz w:val="4"/>
                <w:szCs w:val="4"/>
              </w:rPr>
            </w:pPr>
            <w:r>
              <w:rPr>
                <w:sz w:val="4"/>
                <w:szCs w:val="4"/>
              </w:rPr>
            </w:r>
          </w:p>
        </w:tc>
        <w:tc>
          <w:tcPr>
            <w:tcW w:w="3905" w:type="dxa"/>
            <w:gridSpan w:val="4"/>
            <w:tcBorders/>
            <w:vAlign w:val="center"/>
          </w:tcPr>
          <w:p>
            <w:pPr>
              <w:pStyle w:val="TableContents"/>
              <w:bidi w:val="0"/>
              <w:spacing w:before="0" w:after="283"/>
              <w:jc w:val="left"/>
              <w:rPr>
                <w:sz w:val="4"/>
                <w:szCs w:val="4"/>
              </w:rPr>
            </w:pPr>
            <w:r>
              <w:rPr>
                <w:sz w:val="4"/>
                <w:szCs w:val="4"/>
              </w:rPr>
            </w:r>
          </w:p>
        </w:tc>
      </w:tr>
      <w:tr>
        <w:trPr/>
        <w:tc>
          <w:tcPr>
            <w:tcW w:w="2585" w:type="dxa"/>
            <w:tcBorders/>
            <w:vAlign w:val="center"/>
          </w:tcPr>
          <w:p>
            <w:pPr>
              <w:pStyle w:val="TableContents"/>
              <w:bidi w:val="0"/>
              <w:spacing w:before="0" w:after="0"/>
              <w:jc w:val="left"/>
              <w:rPr/>
            </w:pPr>
            <w:r>
              <w:rPr/>
              <w:t> </w:t>
            </w:r>
            <w:r>
              <w:rPr>
                <w:rFonts w:ascii="arial" w:hAnsi="arial"/>
                <w:sz w:val="18"/>
              </w:rPr>
              <w:t>Amy E. Miles</w:t>
            </w:r>
          </w:p>
        </w:tc>
        <w:tc>
          <w:tcPr>
            <w:tcW w:w="12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right"/>
              <w:rPr/>
            </w:pPr>
            <w:r>
              <w:rPr/>
              <w:t>2,777</w:t>
            </w:r>
          </w:p>
        </w:tc>
        <w:tc>
          <w:tcPr>
            <w:tcW w:w="75" w:type="dxa"/>
            <w:tcBorders/>
            <w:vAlign w:val="center"/>
          </w:tcPr>
          <w:p>
            <w:pPr>
              <w:pStyle w:val="TableContents"/>
              <w:bidi w:val="0"/>
              <w:spacing w:before="0" w:after="283"/>
              <w:jc w:val="left"/>
              <w:rPr/>
            </w:pPr>
            <w:r>
              <w:rPr/>
              <w:t> </w:t>
            </w:r>
          </w:p>
        </w:tc>
      </w:tr>
      <w:tr>
        <w:trPr/>
        <w:tc>
          <w:tcPr>
            <w:tcW w:w="2585" w:type="dxa"/>
            <w:tcBorders/>
            <w:shd w:fill="CCE2F1" w:val="clear"/>
            <w:vAlign w:val="center"/>
          </w:tcPr>
          <w:p>
            <w:pPr>
              <w:pStyle w:val="TableContents"/>
              <w:bidi w:val="0"/>
              <w:spacing w:before="0" w:after="283"/>
              <w:jc w:val="left"/>
              <w:rPr>
                <w:sz w:val="4"/>
                <w:szCs w:val="4"/>
              </w:rPr>
            </w:pPr>
            <w:r>
              <w:rPr>
                <w:sz w:val="4"/>
                <w:szCs w:val="4"/>
              </w:rPr>
            </w:r>
          </w:p>
        </w:tc>
        <w:tc>
          <w:tcPr>
            <w:tcW w:w="3905"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2585" w:type="dxa"/>
            <w:tcBorders/>
            <w:shd w:fill="CCE2F1" w:val="clear"/>
            <w:vAlign w:val="center"/>
          </w:tcPr>
          <w:p>
            <w:pPr>
              <w:pStyle w:val="TableContents"/>
              <w:bidi w:val="0"/>
              <w:spacing w:before="0" w:after="0"/>
              <w:jc w:val="left"/>
              <w:rPr/>
            </w:pPr>
            <w:r>
              <w:rPr/>
              <w:t> </w:t>
            </w:r>
            <w:r>
              <w:rPr>
                <w:rFonts w:ascii="arial" w:hAnsi="arial"/>
                <w:sz w:val="18"/>
              </w:rPr>
              <w:t>Ronald D. Sugar</w:t>
            </w:r>
          </w:p>
        </w:tc>
        <w:tc>
          <w:tcPr>
            <w:tcW w:w="120" w:type="dxa"/>
            <w:tcBorders/>
            <w:shd w:fill="CCE2F1" w:val="clear"/>
            <w:vAlign w:val="center"/>
          </w:tcPr>
          <w:p>
            <w:pPr>
              <w:pStyle w:val="TableContents"/>
              <w:bidi w:val="0"/>
              <w:spacing w:before="0" w:after="283"/>
              <w:jc w:val="left"/>
              <w:rPr/>
            </w:pPr>
            <w:r>
              <w:rPr/>
              <w:t>  </w:t>
            </w:r>
          </w:p>
        </w:tc>
        <w:tc>
          <w:tcPr>
            <w:tcW w:w="300" w:type="dxa"/>
            <w:tcBorders/>
            <w:shd w:fill="CCE2F1" w:val="clear"/>
            <w:vAlign w:val="center"/>
          </w:tcPr>
          <w:p>
            <w:pPr>
              <w:pStyle w:val="TableContents"/>
              <w:bidi w:val="0"/>
              <w:spacing w:before="0" w:after="283"/>
              <w:jc w:val="left"/>
              <w:rPr/>
            </w:pPr>
            <w:r>
              <w:rPr/>
              <w:t> </w:t>
            </w:r>
          </w:p>
        </w:tc>
        <w:tc>
          <w:tcPr>
            <w:tcW w:w="3410" w:type="dxa"/>
            <w:tcBorders/>
            <w:shd w:fill="CCE2F1" w:val="clear"/>
            <w:vAlign w:val="center"/>
          </w:tcPr>
          <w:p>
            <w:pPr>
              <w:pStyle w:val="TableContents"/>
              <w:bidi w:val="0"/>
              <w:spacing w:before="0" w:after="283"/>
              <w:jc w:val="right"/>
              <w:rPr/>
            </w:pPr>
            <w:r>
              <w:rPr/>
              <w:t>19,232</w:t>
            </w:r>
          </w:p>
        </w:tc>
        <w:tc>
          <w:tcPr>
            <w:tcW w:w="75" w:type="dxa"/>
            <w:tcBorders/>
            <w:shd w:fill="CCE2F1"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sz w:val="4"/>
                <w:szCs w:val="4"/>
              </w:rPr>
            </w:pPr>
            <w:r>
              <w:rPr>
                <w:sz w:val="4"/>
                <w:szCs w:val="4"/>
              </w:rPr>
            </w:r>
          </w:p>
        </w:tc>
        <w:tc>
          <w:tcPr>
            <w:tcW w:w="3905" w:type="dxa"/>
            <w:gridSpan w:val="4"/>
            <w:tcBorders/>
            <w:vAlign w:val="center"/>
          </w:tcPr>
          <w:p>
            <w:pPr>
              <w:pStyle w:val="TableContents"/>
              <w:bidi w:val="0"/>
              <w:spacing w:before="0" w:after="283"/>
              <w:jc w:val="left"/>
              <w:rPr>
                <w:sz w:val="4"/>
                <w:szCs w:val="4"/>
              </w:rPr>
            </w:pPr>
            <w:r>
              <w:rPr>
                <w:sz w:val="4"/>
                <w:szCs w:val="4"/>
              </w:rPr>
            </w:r>
          </w:p>
        </w:tc>
      </w:tr>
      <w:tr>
        <w:trPr/>
        <w:tc>
          <w:tcPr>
            <w:tcW w:w="2585" w:type="dxa"/>
            <w:tcBorders>
              <w:bottom w:val="single" w:sz="8" w:space="0" w:color="0171B9"/>
            </w:tcBorders>
            <w:tcMar>
              <w:bottom w:w="80" w:type="dxa"/>
            </w:tcMar>
            <w:vAlign w:val="center"/>
          </w:tcPr>
          <w:p>
            <w:pPr>
              <w:pStyle w:val="TableContents"/>
              <w:bidi w:val="0"/>
              <w:spacing w:before="0" w:after="0"/>
              <w:jc w:val="left"/>
              <w:rPr/>
            </w:pPr>
            <w:r>
              <w:rPr/>
              <w:t> </w:t>
            </w:r>
            <w:r>
              <w:rPr>
                <w:rFonts w:ascii="arial" w:hAnsi="arial"/>
                <w:sz w:val="18"/>
              </w:rPr>
              <w:t>R. Sanders Williams</w:t>
            </w:r>
          </w:p>
        </w:tc>
        <w:tc>
          <w:tcPr>
            <w:tcW w:w="120" w:type="dxa"/>
            <w:tcBorders>
              <w:bottom w:val="single" w:sz="8" w:space="0" w:color="0171B9"/>
            </w:tcBorders>
            <w:tcMar>
              <w:bottom w:w="28" w:type="dxa"/>
            </w:tcMar>
            <w:vAlign w:val="center"/>
          </w:tcPr>
          <w:p>
            <w:pPr>
              <w:pStyle w:val="TableContents"/>
              <w:bidi w:val="0"/>
              <w:spacing w:before="0" w:after="283"/>
              <w:jc w:val="left"/>
              <w:rPr/>
            </w:pPr>
            <w:r>
              <w:rPr/>
              <w:t>  </w:t>
            </w:r>
          </w:p>
        </w:tc>
        <w:tc>
          <w:tcPr>
            <w:tcW w:w="300" w:type="dxa"/>
            <w:tcBorders>
              <w:bottom w:val="single" w:sz="8" w:space="0" w:color="0171B9"/>
            </w:tcBorders>
            <w:tcMar>
              <w:bottom w:w="80" w:type="dxa"/>
            </w:tcMar>
            <w:vAlign w:val="center"/>
          </w:tcPr>
          <w:p>
            <w:pPr>
              <w:pStyle w:val="TableContents"/>
              <w:bidi w:val="0"/>
              <w:spacing w:before="0" w:after="283"/>
              <w:jc w:val="left"/>
              <w:rPr/>
            </w:pPr>
            <w:r>
              <w:rPr/>
              <w:t> </w:t>
            </w:r>
          </w:p>
        </w:tc>
        <w:tc>
          <w:tcPr>
            <w:tcW w:w="3410" w:type="dxa"/>
            <w:tcBorders>
              <w:bottom w:val="single" w:sz="8" w:space="0" w:color="0171B9"/>
            </w:tcBorders>
            <w:tcMar>
              <w:bottom w:w="80" w:type="dxa"/>
            </w:tcMar>
            <w:vAlign w:val="center"/>
          </w:tcPr>
          <w:p>
            <w:pPr>
              <w:pStyle w:val="TableContents"/>
              <w:bidi w:val="0"/>
              <w:spacing w:before="0" w:after="283"/>
              <w:jc w:val="right"/>
              <w:rPr/>
            </w:pPr>
            <w:r>
              <w:rPr/>
              <w:t>0</w:t>
            </w:r>
          </w:p>
        </w:tc>
        <w:tc>
          <w:tcPr>
            <w:tcW w:w="75" w:type="dxa"/>
            <w:tcBorders>
              <w:bottom w:val="single" w:sz="8" w:space="0" w:color="0171B9"/>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0"/>
        <w:gridCol w:w="9774"/>
        <w:gridCol w:w="76"/>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(a) </w:t>
            </w:r>
          </w:p>
        </w:tc>
        <w:tc>
          <w:tcPr>
            <w:tcW w:w="9774" w:type="dxa"/>
            <w:tcBorders/>
            <w:vAlign w:val="center"/>
          </w:tcPr>
          <w:p>
            <w:pPr>
              <w:pStyle w:val="TableContents"/>
              <w:bidi w:val="0"/>
              <w:spacing w:before="0" w:after="0"/>
              <w:jc w:val="both"/>
              <w:rPr>
                <w:rFonts w:ascii="arial" w:hAnsi="arial"/>
                <w:sz w:val="16"/>
              </w:rPr>
            </w:pPr>
            <w:r>
              <w:rPr>
                <w:rFonts w:ascii="arial" w:hAnsi="arial"/>
                <w:sz w:val="16"/>
              </w:rPr>
              <w:t xml:space="preserve">RSUs and related dividend equivalents are all vested, but receipt has been deferred. RSUs and related dividend equivalents are rounded down to the nearest whole number of shares. Fractional shares are paid in cash. </w:t>
            </w:r>
          </w:p>
        </w:tc>
        <w:tc>
          <w:tcPr>
            <w:tcW w:w="7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8605" w:type="dxa"/>
        <w:jc w:val="left"/>
        <w:tblInd w:w="0" w:type="dxa"/>
        <w:tblLayout w:type="fixed"/>
        <w:tblCellMar>
          <w:top w:w="0" w:type="dxa"/>
          <w:left w:w="0" w:type="dxa"/>
          <w:bottom w:w="0" w:type="dxa"/>
          <w:right w:w="0" w:type="dxa"/>
        </w:tblCellMar>
      </w:tblPr>
      <w:tblGrid>
        <w:gridCol w:w="365"/>
        <w:gridCol w:w="8240"/>
      </w:tblGrid>
      <w:tr>
        <w:trPr/>
        <w:tc>
          <w:tcPr>
            <w:tcW w:w="365" w:type="dxa"/>
            <w:tcBorders/>
            <w:vAlign w:val="center"/>
          </w:tcPr>
          <w:p>
            <w:pPr>
              <w:pStyle w:val="TableContents"/>
              <w:bidi w:val="0"/>
              <w:spacing w:before="0" w:after="283"/>
              <w:jc w:val="left"/>
              <w:rPr/>
            </w:pPr>
            <w:r>
              <w:rPr/>
              <w:t>(5) </w:t>
            </w:r>
          </w:p>
        </w:tc>
        <w:tc>
          <w:tcPr>
            <w:tcW w:w="8240" w:type="dxa"/>
            <w:tcBorders/>
            <w:vAlign w:val="center"/>
          </w:tcPr>
          <w:p>
            <w:pPr>
              <w:pStyle w:val="TableContents"/>
              <w:bidi w:val="0"/>
              <w:spacing w:before="0" w:after="0"/>
              <w:jc w:val="both"/>
              <w:rPr>
                <w:rFonts w:ascii="arial" w:hAnsi="arial"/>
                <w:sz w:val="16"/>
              </w:rPr>
            </w:pPr>
            <w:r>
              <w:rPr>
                <w:rFonts w:ascii="arial" w:hAnsi="arial"/>
                <w:sz w:val="16"/>
              </w:rPr>
              <w:t xml:space="preserve">The table below provides a summary of amounts paid by the Company for perquisites and other special benefits.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41"/>
        <w:gridCol w:w="60"/>
        <w:gridCol w:w="117"/>
        <w:gridCol w:w="1328"/>
        <w:gridCol w:w="60"/>
        <w:gridCol w:w="60"/>
        <w:gridCol w:w="120"/>
        <w:gridCol w:w="1130"/>
        <w:gridCol w:w="60"/>
        <w:gridCol w:w="60"/>
        <w:gridCol w:w="96"/>
        <w:gridCol w:w="899"/>
        <w:gridCol w:w="60"/>
        <w:gridCol w:w="60"/>
        <w:gridCol w:w="375"/>
        <w:gridCol w:w="875"/>
        <w:gridCol w:w="73"/>
        <w:gridCol w:w="73"/>
        <w:gridCol w:w="108"/>
        <w:gridCol w:w="469"/>
        <w:gridCol w:w="60"/>
        <w:gridCol w:w="60"/>
        <w:gridCol w:w="141"/>
        <w:gridCol w:w="899"/>
        <w:gridCol w:w="60"/>
        <w:gridCol w:w="60"/>
        <w:gridCol w:w="164"/>
        <w:gridCol w:w="385"/>
        <w:gridCol w:w="60"/>
        <w:gridCol w:w="60"/>
        <w:gridCol w:w="60"/>
        <w:gridCol w:w="689"/>
        <w:gridCol w:w="83"/>
      </w:tblGrid>
      <w:tr>
        <w:trPr/>
        <w:tc>
          <w:tcPr>
            <w:tcW w:w="13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r>
      <w:tr>
        <w:trPr/>
        <w:tc>
          <w:tcPr>
            <w:tcW w:w="1341" w:type="dxa"/>
            <w:vMerge w:val="restart"/>
            <w:tcBorders>
              <w:bottom w:val="single" w:sz="8" w:space="0" w:color="FFFFFF"/>
            </w:tcBorders>
            <w:shd w:fill="0171B9" w:val="clear"/>
            <w:tcMar>
              <w:bottom w:w="40" w:type="dxa"/>
            </w:tcMar>
            <w:vAlign w:val="center"/>
          </w:tcPr>
          <w:p>
            <w:pPr>
              <w:pStyle w:val="TableContents"/>
              <w:bidi w:val="0"/>
              <w:spacing w:before="0" w:after="0"/>
              <w:jc w:val="left"/>
              <w:rPr>
                <w:rFonts w:ascii="arial" w:hAnsi="arial"/>
                <w:b/>
                <w:color w:val="FFFFFF"/>
                <w:sz w:val="18"/>
              </w:rPr>
            </w:pPr>
            <w:r>
              <w:rPr>
                <w:rFonts w:ascii="arial" w:hAnsi="arial"/>
                <w:b/>
                <w:color w:val="FFFFFF"/>
                <w:sz w:val="18"/>
              </w:rPr>
              <w:t>Non-Employee</w:t>
            </w:r>
          </w:p>
          <w:p>
            <w:pPr>
              <w:pStyle w:val="TableContents"/>
              <w:bidi w:val="0"/>
              <w:spacing w:before="0" w:after="20"/>
              <w:jc w:val="left"/>
              <w:rPr>
                <w:rFonts w:ascii="arial" w:hAnsi="arial"/>
                <w:b/>
                <w:color w:val="FFFFFF"/>
                <w:sz w:val="18"/>
              </w:rPr>
            </w:pPr>
            <w:r>
              <w:rPr>
                <w:rFonts w:ascii="arial" w:hAnsi="arial"/>
                <w:b/>
                <w:color w:val="FFFFFF"/>
                <w:sz w:val="18"/>
              </w:rPr>
              <w:t>Directors</w:t>
            </w:r>
          </w:p>
        </w:tc>
        <w:tc>
          <w:tcPr>
            <w:tcW w:w="60" w:type="dxa"/>
            <w:vMerge w:val="restart"/>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445" w:type="dxa"/>
            <w:gridSpan w:val="2"/>
            <w:vMerge w:val="restart"/>
            <w:tcBorders>
              <w:bottom w:val="single" w:sz="8" w:space="0" w:color="FFFFFF"/>
            </w:tcBorders>
            <w:shd w:fill="0171B9" w:val="clear"/>
            <w:tcMar>
              <w:bottom w:w="40" w:type="dxa"/>
            </w:tcMar>
            <w:vAlign w:val="center"/>
          </w:tcPr>
          <w:p>
            <w:pPr>
              <w:pStyle w:val="TableContents"/>
              <w:bidi w:val="0"/>
              <w:spacing w:before="0" w:after="283"/>
              <w:jc w:val="right"/>
              <w:rPr>
                <w:b/>
                <w:color w:val="FFFFFF"/>
              </w:rPr>
            </w:pPr>
            <w:r>
              <w:rPr>
                <w:b/>
                <w:color w:val="FFFFFF"/>
              </w:rPr>
              <w:t>Matching</w:t>
              <w:br/>
              <w:t>of</w:t>
              <w:br/>
              <w:t>Charitable</w:t>
              <w:br/>
              <w:t>Contributions</w:t>
              <w:br/>
              <w:t>($)(a)</w:t>
            </w:r>
          </w:p>
        </w:tc>
        <w:tc>
          <w:tcPr>
            <w:tcW w:w="60" w:type="dxa"/>
            <w:vMerge w:val="restart"/>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2365" w:type="dxa"/>
            <w:gridSpan w:val="6"/>
            <w:tcBorders>
              <w:bottom w:val="single" w:sz="8" w:space="0" w:color="FFFFFF"/>
            </w:tcBorders>
            <w:shd w:fill="0171B9" w:val="clear"/>
            <w:tcMar>
              <w:bottom w:w="40" w:type="dxa"/>
            </w:tcMar>
            <w:vAlign w:val="center"/>
          </w:tcPr>
          <w:p>
            <w:pPr>
              <w:pStyle w:val="TableContents"/>
              <w:bidi w:val="0"/>
              <w:spacing w:before="0" w:after="283"/>
              <w:jc w:val="center"/>
              <w:rPr>
                <w:b/>
                <w:color w:val="FFFFFF"/>
              </w:rPr>
            </w:pPr>
            <w:r>
              <w:rPr>
                <w:b/>
                <w:color w:val="FFFFFF"/>
              </w:rPr>
              <w:t>Personal Use of</w:t>
              <w:br/>
              <w:t>Aircraft(b)</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left w:val="single" w:sz="8" w:space="0" w:color="FFFFFF"/>
              <w:bottom w:val="single" w:sz="8" w:space="0" w:color="FFFFFF"/>
            </w:tcBorders>
            <w:shd w:fill="0171B9" w:val="clear"/>
            <w:tcMar>
              <w:left w:w="28" w:type="dxa"/>
              <w:bottom w:w="28" w:type="dxa"/>
            </w:tcMar>
            <w:vAlign w:val="center"/>
          </w:tcPr>
          <w:p>
            <w:pPr>
              <w:pStyle w:val="TableContents"/>
              <w:bidi w:val="0"/>
              <w:spacing w:before="0" w:after="283"/>
              <w:jc w:val="left"/>
              <w:rPr/>
            </w:pPr>
            <w:r>
              <w:rPr/>
              <w:t> </w:t>
            </w:r>
          </w:p>
        </w:tc>
        <w:tc>
          <w:tcPr>
            <w:tcW w:w="1973" w:type="dxa"/>
            <w:gridSpan w:val="6"/>
            <w:tcBorders>
              <w:bottom w:val="single" w:sz="8" w:space="0" w:color="FFFFFF"/>
            </w:tcBorders>
            <w:shd w:fill="0171B9" w:val="clear"/>
            <w:tcMar>
              <w:bottom w:w="40" w:type="dxa"/>
            </w:tcMar>
            <w:vAlign w:val="center"/>
          </w:tcPr>
          <w:p>
            <w:pPr>
              <w:pStyle w:val="TableContents"/>
              <w:bidi w:val="0"/>
              <w:spacing w:before="0" w:after="0"/>
              <w:jc w:val="center"/>
              <w:rPr>
                <w:rFonts w:ascii="arial" w:hAnsi="arial"/>
                <w:b/>
                <w:color w:val="FFFFFF"/>
                <w:sz w:val="18"/>
              </w:rPr>
            </w:pPr>
            <w:r>
              <w:rPr>
                <w:rFonts w:ascii="arial" w:hAnsi="arial"/>
                <w:b/>
                <w:color w:val="FFFFFF"/>
                <w:sz w:val="18"/>
              </w:rPr>
              <w:t>Personal Expenses</w:t>
            </w:r>
          </w:p>
          <w:p>
            <w:pPr>
              <w:pStyle w:val="TableContents"/>
              <w:bidi w:val="0"/>
              <w:spacing w:before="0" w:after="20"/>
              <w:jc w:val="center"/>
              <w:rPr>
                <w:rFonts w:ascii="arial" w:hAnsi="arial"/>
                <w:b/>
                <w:color w:val="FFFFFF"/>
                <w:sz w:val="18"/>
              </w:rPr>
            </w:pPr>
            <w:r>
              <w:rPr>
                <w:rFonts w:ascii="arial" w:hAnsi="arial"/>
                <w:b/>
                <w:color w:val="FFFFFF"/>
                <w:sz w:val="18"/>
              </w:rPr>
              <w:t>While on Business</w:t>
              <w:br/>
              <w:t>Travel(c)</w:t>
            </w:r>
          </w:p>
        </w:tc>
        <w:tc>
          <w:tcPr>
            <w:tcW w:w="60" w:type="dxa"/>
            <w:tcBorders>
              <w:bottom w:val="single" w:sz="8" w:space="0" w:color="FFFFFF"/>
              <w:right w:val="single" w:sz="8" w:space="0" w:color="FFFFFF"/>
            </w:tcBorders>
            <w:shd w:fill="0171B9" w:val="clear"/>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709" w:type="dxa"/>
            <w:gridSpan w:val="6"/>
            <w:tcBorders>
              <w:bottom w:val="single" w:sz="8" w:space="0" w:color="FFFFFF"/>
            </w:tcBorders>
            <w:shd w:fill="0171B9" w:val="clear"/>
            <w:tcMar>
              <w:bottom w:w="40" w:type="dxa"/>
            </w:tcMar>
            <w:vAlign w:val="center"/>
          </w:tcPr>
          <w:p>
            <w:pPr>
              <w:pStyle w:val="TableContents"/>
              <w:bidi w:val="0"/>
              <w:spacing w:before="0" w:after="283"/>
              <w:jc w:val="right"/>
              <w:rPr>
                <w:b/>
                <w:color w:val="FFFFFF"/>
              </w:rPr>
            </w:pPr>
            <w:r>
              <w:rPr>
                <w:b/>
                <w:color w:val="FFFFFF"/>
              </w:rPr>
              <w:t>Other(d)</w:t>
            </w:r>
          </w:p>
        </w:tc>
        <w:tc>
          <w:tcPr>
            <w:tcW w:w="60" w:type="dxa"/>
            <w:tcBorders>
              <w:bottom w:val="single" w:sz="8" w:space="0" w:color="FFFFFF"/>
              <w:right w:val="single" w:sz="8" w:space="0" w:color="FFFFFF"/>
            </w:tcBorders>
            <w:shd w:fill="0171B9" w:val="clear"/>
            <w:tcMar>
              <w:bottom w:w="28" w:type="dxa"/>
              <w:right w:w="28" w:type="dxa"/>
            </w:tcMar>
            <w:vAlign w:val="center"/>
          </w:tcPr>
          <w:p>
            <w:pPr>
              <w:pStyle w:val="TableContents"/>
              <w:bidi w:val="0"/>
              <w:spacing w:before="0" w:after="283"/>
              <w:jc w:val="left"/>
              <w:rPr/>
            </w:pPr>
            <w:r>
              <w:rPr/>
              <w:t> </w:t>
            </w:r>
          </w:p>
        </w:tc>
        <w:tc>
          <w:tcPr>
            <w:tcW w:w="60" w:type="dxa"/>
            <w:vMerge w:val="restart"/>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749" w:type="dxa"/>
            <w:gridSpan w:val="2"/>
            <w:vMerge w:val="restart"/>
            <w:tcBorders>
              <w:bottom w:val="single" w:sz="8" w:space="0" w:color="FFFFFF"/>
            </w:tcBorders>
            <w:shd w:fill="0171B9" w:val="clear"/>
            <w:tcMar>
              <w:bottom w:w="40" w:type="dxa"/>
            </w:tcMar>
            <w:vAlign w:val="center"/>
          </w:tcPr>
          <w:p>
            <w:pPr>
              <w:pStyle w:val="TableContents"/>
              <w:bidi w:val="0"/>
              <w:spacing w:before="0" w:after="20"/>
              <w:jc w:val="right"/>
              <w:rPr>
                <w:rFonts w:ascii="arial" w:hAnsi="arial"/>
                <w:b/>
                <w:color w:val="FFFFFF"/>
                <w:sz w:val="18"/>
              </w:rPr>
            </w:pPr>
            <w:r>
              <w:rPr>
                <w:rFonts w:ascii="arial" w:hAnsi="arial"/>
                <w:b/>
                <w:color w:val="FFFFFF"/>
                <w:sz w:val="18"/>
              </w:rPr>
              <w:t>Total($) </w:t>
            </w:r>
          </w:p>
        </w:tc>
        <w:tc>
          <w:tcPr>
            <w:tcW w:w="83" w:type="dxa"/>
            <w:vMerge w:val="restart"/>
            <w:tcBorders>
              <w:bottom w:val="single" w:sz="8" w:space="0" w:color="FFFFFF"/>
            </w:tcBorders>
            <w:shd w:fill="0171B9" w:val="clear"/>
            <w:tcMar>
              <w:bottom w:w="28" w:type="dxa"/>
            </w:tcMar>
            <w:vAlign w:val="center"/>
          </w:tcPr>
          <w:p>
            <w:pPr>
              <w:pStyle w:val="TableContents"/>
              <w:bidi w:val="0"/>
              <w:spacing w:before="0" w:after="283"/>
              <w:jc w:val="left"/>
              <w:rPr/>
            </w:pPr>
            <w:r>
              <w:rPr/>
              <w:t> </w:t>
            </w:r>
          </w:p>
        </w:tc>
      </w:tr>
      <w:tr>
        <w:trPr/>
        <w:tc>
          <w:tcPr>
            <w:tcW w:w="1341" w:type="dxa"/>
            <w:vMerge w:val="continue"/>
            <w:tcBorders>
              <w:bottom w:val="single" w:sz="8" w:space="0" w:color="FFFFFF"/>
            </w:tcBorders>
            <w:shd w:fill="0171B9" w:val="clear"/>
            <w:tcMar>
              <w:bottom w:w="40" w:type="dxa"/>
            </w:tcMar>
            <w:vAlign w:val="center"/>
          </w:tcPr>
          <w:p>
            <w:pPr>
              <w:pStyle w:val="Normal"/>
              <w:bidi w:val="0"/>
              <w:jc w:val="left"/>
              <w:rPr/>
            </w:pPr>
            <w:r>
              <w:rPr/>
            </w:r>
          </w:p>
        </w:tc>
        <w:tc>
          <w:tcPr>
            <w:tcW w:w="60" w:type="dxa"/>
            <w:vMerge w:val="continue"/>
            <w:tcBorders>
              <w:bottom w:val="single" w:sz="8" w:space="0" w:color="FFFFFF"/>
            </w:tcBorders>
            <w:shd w:fill="0171B9" w:val="clear"/>
            <w:tcMar>
              <w:bottom w:w="28" w:type="dxa"/>
            </w:tcMar>
            <w:vAlign w:val="center"/>
          </w:tcPr>
          <w:p>
            <w:pPr>
              <w:pStyle w:val="Normal"/>
              <w:bidi w:val="0"/>
              <w:jc w:val="left"/>
              <w:rPr/>
            </w:pPr>
            <w:r>
              <w:rPr/>
            </w:r>
          </w:p>
        </w:tc>
        <w:tc>
          <w:tcPr>
            <w:tcW w:w="1445" w:type="dxa"/>
            <w:gridSpan w:val="2"/>
            <w:vMerge w:val="continue"/>
            <w:tcBorders>
              <w:bottom w:val="single" w:sz="8" w:space="0" w:color="FFFFFF"/>
            </w:tcBorders>
            <w:shd w:fill="0171B9" w:val="clear"/>
            <w:tcMar>
              <w:bottom w:w="40" w:type="dxa"/>
            </w:tcMar>
            <w:vAlign w:val="center"/>
          </w:tcPr>
          <w:p>
            <w:pPr>
              <w:pStyle w:val="Normal"/>
              <w:bidi w:val="0"/>
              <w:jc w:val="left"/>
              <w:rPr/>
            </w:pPr>
            <w:r>
              <w:rPr/>
            </w:r>
          </w:p>
        </w:tc>
        <w:tc>
          <w:tcPr>
            <w:tcW w:w="60" w:type="dxa"/>
            <w:vMerge w:val="continue"/>
            <w:tcBorders>
              <w:bottom w:val="single" w:sz="8" w:space="0" w:color="FFFFFF"/>
            </w:tcBorders>
            <w:shd w:fill="0171B9" w:val="clear"/>
            <w:tcMar>
              <w:bottom w:w="28" w:type="dxa"/>
            </w:tcMar>
            <w:vAlign w:val="center"/>
          </w:tcPr>
          <w:p>
            <w:pPr>
              <w:pStyle w:val="Normal"/>
              <w:bidi w:val="0"/>
              <w:jc w:val="left"/>
              <w:rPr/>
            </w:pPr>
            <w:r>
              <w:rPr/>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50" w:type="dxa"/>
            <w:gridSpan w:val="2"/>
            <w:tcBorders>
              <w:bottom w:val="single" w:sz="8" w:space="0" w:color="FFFFFF"/>
            </w:tcBorders>
            <w:shd w:fill="0171B9" w:val="clear"/>
            <w:tcMar>
              <w:bottom w:w="40" w:type="dxa"/>
            </w:tcMar>
            <w:vAlign w:val="center"/>
          </w:tcPr>
          <w:p>
            <w:pPr>
              <w:pStyle w:val="TableContents"/>
              <w:bidi w:val="0"/>
              <w:spacing w:before="0" w:after="283"/>
              <w:jc w:val="right"/>
              <w:rPr>
                <w:b/>
                <w:color w:val="FFFFFF"/>
              </w:rPr>
            </w:pPr>
            <w:r>
              <w:rPr>
                <w:b/>
                <w:color w:val="FFFFFF"/>
              </w:rPr>
              <w:t>Aggregate</w:t>
              <w:br/>
              <w:t>Incremental</w:t>
              <w:br/>
              <w:t>Amounts($)</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995" w:type="dxa"/>
            <w:gridSpan w:val="2"/>
            <w:tcBorders>
              <w:bottom w:val="single" w:sz="8" w:space="0" w:color="FFFFFF"/>
            </w:tcBorders>
            <w:shd w:fill="0171B9" w:val="clear"/>
            <w:tcMar>
              <w:bottom w:w="40" w:type="dxa"/>
            </w:tcMar>
            <w:vAlign w:val="center"/>
          </w:tcPr>
          <w:p>
            <w:pPr>
              <w:pStyle w:val="TableContents"/>
              <w:bidi w:val="0"/>
              <w:spacing w:before="0" w:after="283"/>
              <w:jc w:val="right"/>
              <w:rPr>
                <w:b/>
                <w:color w:val="FFFFFF"/>
              </w:rPr>
            </w:pPr>
            <w:r>
              <w:rPr>
                <w:b/>
                <w:color w:val="FFFFFF"/>
              </w:rPr>
              <w:t>Tax</w:t>
              <w:br/>
              <w:t>Gross-Up</w:t>
              <w:br/>
              <w:t>($)</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left w:val="single" w:sz="8" w:space="0" w:color="FFFFFF"/>
              <w:bottom w:val="single" w:sz="8" w:space="0" w:color="FFFFFF"/>
            </w:tcBorders>
            <w:shd w:fill="0171B9" w:val="clear"/>
            <w:tcMar>
              <w:left w:w="28" w:type="dxa"/>
              <w:bottom w:w="28" w:type="dxa"/>
            </w:tcMar>
            <w:vAlign w:val="center"/>
          </w:tcPr>
          <w:p>
            <w:pPr>
              <w:pStyle w:val="TableContents"/>
              <w:bidi w:val="0"/>
              <w:spacing w:before="0" w:after="283"/>
              <w:jc w:val="left"/>
              <w:rPr/>
            </w:pPr>
            <w:r>
              <w:rPr/>
              <w:t> </w:t>
            </w:r>
          </w:p>
        </w:tc>
        <w:tc>
          <w:tcPr>
            <w:tcW w:w="1250" w:type="dxa"/>
            <w:gridSpan w:val="2"/>
            <w:tcBorders>
              <w:bottom w:val="single" w:sz="8" w:space="0" w:color="FFFFFF"/>
            </w:tcBorders>
            <w:shd w:fill="0171B9" w:val="clear"/>
            <w:tcMar>
              <w:bottom w:w="40" w:type="dxa"/>
            </w:tcMar>
            <w:vAlign w:val="center"/>
          </w:tcPr>
          <w:p>
            <w:pPr>
              <w:pStyle w:val="TableContents"/>
              <w:bidi w:val="0"/>
              <w:spacing w:before="0" w:after="283"/>
              <w:jc w:val="right"/>
              <w:rPr>
                <w:b/>
                <w:color w:val="FFFFFF"/>
              </w:rPr>
            </w:pPr>
            <w:r>
              <w:rPr>
                <w:b/>
                <w:color w:val="FFFFFF"/>
              </w:rPr>
              <w:t>Aggregate</w:t>
              <w:br/>
              <w:t>Incremental</w:t>
              <w:br/>
              <w:t>Amounts($)</w:t>
            </w:r>
          </w:p>
        </w:tc>
        <w:tc>
          <w:tcPr>
            <w:tcW w:w="73"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73"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577" w:type="dxa"/>
            <w:gridSpan w:val="2"/>
            <w:tcBorders>
              <w:bottom w:val="single" w:sz="8" w:space="0" w:color="FFFFFF"/>
            </w:tcBorders>
            <w:shd w:fill="0171B9" w:val="clear"/>
            <w:tcMar>
              <w:bottom w:w="40" w:type="dxa"/>
            </w:tcMar>
            <w:vAlign w:val="center"/>
          </w:tcPr>
          <w:p>
            <w:pPr>
              <w:pStyle w:val="TableContents"/>
              <w:bidi w:val="0"/>
              <w:spacing w:before="0" w:after="0"/>
              <w:jc w:val="right"/>
              <w:rPr>
                <w:rFonts w:ascii="arial" w:hAnsi="arial"/>
                <w:b/>
                <w:color w:val="FFFFFF"/>
                <w:sz w:val="18"/>
              </w:rPr>
            </w:pPr>
            <w:r>
              <w:rPr>
                <w:rFonts w:ascii="arial" w:hAnsi="arial"/>
                <w:b/>
                <w:color w:val="FFFFFF"/>
                <w:sz w:val="18"/>
              </w:rPr>
              <w:t>Tax</w:t>
              <w:br/>
              <w:t>Gross-</w:t>
            </w:r>
          </w:p>
          <w:p>
            <w:pPr>
              <w:pStyle w:val="TableContents"/>
              <w:bidi w:val="0"/>
              <w:spacing w:before="0" w:after="20"/>
              <w:jc w:val="right"/>
              <w:rPr>
                <w:rFonts w:ascii="arial" w:hAnsi="arial"/>
                <w:b/>
                <w:color w:val="FFFFFF"/>
                <w:sz w:val="18"/>
              </w:rPr>
            </w:pPr>
            <w:r>
              <w:rPr>
                <w:rFonts w:ascii="arial" w:hAnsi="arial"/>
                <w:b/>
                <w:color w:val="FFFFFF"/>
                <w:sz w:val="18"/>
              </w:rPr>
              <w:t>Up($)</w:t>
            </w:r>
          </w:p>
        </w:tc>
        <w:tc>
          <w:tcPr>
            <w:tcW w:w="60" w:type="dxa"/>
            <w:tcBorders>
              <w:bottom w:val="single" w:sz="8" w:space="0" w:color="FFFFFF"/>
              <w:right w:val="single" w:sz="8" w:space="0" w:color="FFFFFF"/>
            </w:tcBorders>
            <w:shd w:fill="0171B9" w:val="clear"/>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040" w:type="dxa"/>
            <w:gridSpan w:val="2"/>
            <w:tcBorders>
              <w:bottom w:val="single" w:sz="8" w:space="0" w:color="FFFFFF"/>
            </w:tcBorders>
            <w:shd w:fill="0171B9" w:val="clear"/>
            <w:tcMar>
              <w:bottom w:w="40" w:type="dxa"/>
            </w:tcMar>
            <w:vAlign w:val="center"/>
          </w:tcPr>
          <w:p>
            <w:pPr>
              <w:pStyle w:val="TableContents"/>
              <w:bidi w:val="0"/>
              <w:spacing w:before="0" w:after="0"/>
              <w:jc w:val="center"/>
              <w:rPr>
                <w:rFonts w:ascii="arial" w:hAnsi="arial"/>
                <w:b/>
                <w:color w:val="FFFFFF"/>
                <w:sz w:val="18"/>
              </w:rPr>
            </w:pPr>
            <w:r>
              <w:rPr>
                <w:rFonts w:ascii="arial" w:hAnsi="arial"/>
                <w:b/>
                <w:color w:val="FFFFFF"/>
                <w:sz w:val="18"/>
              </w:rPr>
              <w:t>Aggregate</w:t>
            </w:r>
          </w:p>
          <w:p>
            <w:pPr>
              <w:pStyle w:val="TableContents"/>
              <w:bidi w:val="0"/>
              <w:spacing w:before="0" w:after="0"/>
              <w:jc w:val="center"/>
              <w:rPr>
                <w:rFonts w:ascii="arial" w:hAnsi="arial"/>
                <w:b/>
                <w:color w:val="FFFFFF"/>
                <w:sz w:val="18"/>
              </w:rPr>
            </w:pPr>
            <w:r>
              <w:rPr>
                <w:rFonts w:ascii="arial" w:hAnsi="arial"/>
                <w:b/>
                <w:color w:val="FFFFFF"/>
                <w:sz w:val="18"/>
              </w:rPr>
              <w:t>Incremental</w:t>
            </w:r>
          </w:p>
          <w:p>
            <w:pPr>
              <w:pStyle w:val="TableContents"/>
              <w:bidi w:val="0"/>
              <w:spacing w:before="0" w:after="20"/>
              <w:jc w:val="center"/>
              <w:rPr>
                <w:rFonts w:ascii="arial" w:hAnsi="arial"/>
                <w:b/>
                <w:color w:val="FFFFFF"/>
                <w:sz w:val="18"/>
              </w:rPr>
            </w:pPr>
            <w:r>
              <w:rPr>
                <w:rFonts w:ascii="arial" w:hAnsi="arial"/>
                <w:b/>
                <w:color w:val="FFFFFF"/>
                <w:sz w:val="18"/>
              </w:rPr>
              <w:t>Amounts($)</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549" w:type="dxa"/>
            <w:gridSpan w:val="2"/>
            <w:tcBorders>
              <w:bottom w:val="single" w:sz="8" w:space="0" w:color="FFFFFF"/>
            </w:tcBorders>
            <w:shd w:fill="0171B9" w:val="clear"/>
            <w:tcMar>
              <w:bottom w:w="40" w:type="dxa"/>
            </w:tcMar>
            <w:vAlign w:val="center"/>
          </w:tcPr>
          <w:p>
            <w:pPr>
              <w:pStyle w:val="TableContents"/>
              <w:bidi w:val="0"/>
              <w:spacing w:before="0" w:after="0"/>
              <w:jc w:val="center"/>
              <w:rPr>
                <w:rFonts w:ascii="arial" w:hAnsi="arial"/>
                <w:b/>
                <w:color w:val="FFFFFF"/>
                <w:sz w:val="18"/>
              </w:rPr>
            </w:pPr>
            <w:r>
              <w:rPr>
                <w:rFonts w:ascii="arial" w:hAnsi="arial"/>
                <w:b/>
                <w:color w:val="FFFFFF"/>
                <w:sz w:val="18"/>
              </w:rPr>
              <w:t>Tax</w:t>
              <w:br/>
              <w:t>Gross-</w:t>
            </w:r>
          </w:p>
          <w:p>
            <w:pPr>
              <w:pStyle w:val="TableContents"/>
              <w:bidi w:val="0"/>
              <w:spacing w:before="0" w:after="20"/>
              <w:jc w:val="center"/>
              <w:rPr>
                <w:rFonts w:ascii="arial" w:hAnsi="arial"/>
                <w:b/>
                <w:color w:val="FFFFFF"/>
                <w:sz w:val="18"/>
              </w:rPr>
            </w:pPr>
            <w:r>
              <w:rPr>
                <w:rFonts w:ascii="arial" w:hAnsi="arial"/>
                <w:b/>
                <w:color w:val="FFFFFF"/>
                <w:sz w:val="18"/>
              </w:rPr>
              <w:t>Up ($)</w:t>
            </w:r>
          </w:p>
        </w:tc>
        <w:tc>
          <w:tcPr>
            <w:tcW w:w="60" w:type="dxa"/>
            <w:tcBorders>
              <w:bottom w:val="single" w:sz="8" w:space="0" w:color="FFFFFF"/>
              <w:right w:val="single" w:sz="8" w:space="0" w:color="FFFFFF"/>
            </w:tcBorders>
            <w:shd w:fill="0171B9" w:val="clear"/>
            <w:tcMar>
              <w:bottom w:w="28" w:type="dxa"/>
              <w:right w:w="28" w:type="dxa"/>
            </w:tcMar>
            <w:vAlign w:val="center"/>
          </w:tcPr>
          <w:p>
            <w:pPr>
              <w:pStyle w:val="TableContents"/>
              <w:bidi w:val="0"/>
              <w:spacing w:before="0" w:after="283"/>
              <w:jc w:val="left"/>
              <w:rPr/>
            </w:pPr>
            <w:r>
              <w:rPr/>
              <w:t> </w:t>
            </w:r>
          </w:p>
        </w:tc>
        <w:tc>
          <w:tcPr>
            <w:tcW w:w="60" w:type="dxa"/>
            <w:vMerge w:val="continue"/>
            <w:tcBorders>
              <w:bottom w:val="single" w:sz="8" w:space="0" w:color="FFFFFF"/>
            </w:tcBorders>
            <w:shd w:fill="0171B9" w:val="clear"/>
            <w:tcMar>
              <w:bottom w:w="28" w:type="dxa"/>
            </w:tcMar>
            <w:vAlign w:val="center"/>
          </w:tcPr>
          <w:p>
            <w:pPr>
              <w:pStyle w:val="Normal"/>
              <w:bidi w:val="0"/>
              <w:jc w:val="left"/>
              <w:rPr/>
            </w:pPr>
            <w:r>
              <w:rPr/>
            </w:r>
          </w:p>
        </w:tc>
        <w:tc>
          <w:tcPr>
            <w:tcW w:w="749" w:type="dxa"/>
            <w:gridSpan w:val="2"/>
            <w:vMerge w:val="continue"/>
            <w:tcBorders>
              <w:bottom w:val="single" w:sz="8" w:space="0" w:color="FFFFFF"/>
            </w:tcBorders>
            <w:shd w:fill="0171B9" w:val="clear"/>
            <w:tcMar>
              <w:bottom w:w="40" w:type="dxa"/>
            </w:tcMar>
            <w:vAlign w:val="center"/>
          </w:tcPr>
          <w:p>
            <w:pPr>
              <w:pStyle w:val="Normal"/>
              <w:bidi w:val="0"/>
              <w:jc w:val="left"/>
              <w:rPr/>
            </w:pPr>
            <w:r>
              <w:rPr/>
            </w:r>
          </w:p>
        </w:tc>
        <w:tc>
          <w:tcPr>
            <w:tcW w:w="83" w:type="dxa"/>
            <w:vMerge w:val="continue"/>
            <w:tcBorders>
              <w:bottom w:val="single" w:sz="8" w:space="0" w:color="FFFFFF"/>
            </w:tcBorders>
            <w:shd w:fill="0171B9" w:val="clear"/>
            <w:tcMar>
              <w:bottom w:w="28" w:type="dxa"/>
            </w:tcMar>
            <w:vAlign w:val="center"/>
          </w:tcPr>
          <w:p>
            <w:pPr>
              <w:pStyle w:val="Normal"/>
              <w:bidi w:val="0"/>
              <w:jc w:val="left"/>
              <w:rPr/>
            </w:pPr>
            <w:r>
              <w:rPr/>
            </w:r>
          </w:p>
        </w:tc>
      </w:tr>
      <w:tr>
        <w:trPr/>
        <w:tc>
          <w:tcPr>
            <w:tcW w:w="1341" w:type="dxa"/>
            <w:tcBorders/>
            <w:shd w:fill="CCE2F1" w:val="clear"/>
            <w:vAlign w:val="center"/>
          </w:tcPr>
          <w:p>
            <w:pPr>
              <w:pStyle w:val="TableContents"/>
              <w:bidi w:val="0"/>
              <w:spacing w:before="0" w:after="283"/>
              <w:jc w:val="left"/>
              <w:rPr>
                <w:sz w:val="4"/>
                <w:szCs w:val="4"/>
              </w:rPr>
            </w:pPr>
            <w:r>
              <w:rPr>
                <w:sz w:val="4"/>
                <w:szCs w:val="4"/>
              </w:rPr>
            </w:r>
          </w:p>
        </w:tc>
        <w:tc>
          <w:tcPr>
            <w:tcW w:w="1565" w:type="dxa"/>
            <w:gridSpan w:val="4"/>
            <w:tcBorders/>
            <w:shd w:fill="CCE2F1" w:val="clear"/>
            <w:vAlign w:val="center"/>
          </w:tcPr>
          <w:p>
            <w:pPr>
              <w:pStyle w:val="TableContents"/>
              <w:bidi w:val="0"/>
              <w:spacing w:before="0" w:after="283"/>
              <w:jc w:val="left"/>
              <w:rPr>
                <w:sz w:val="4"/>
                <w:szCs w:val="4"/>
              </w:rPr>
            </w:pPr>
            <w:r>
              <w:rPr>
                <w:sz w:val="4"/>
                <w:szCs w:val="4"/>
              </w:rPr>
            </w:r>
          </w:p>
        </w:tc>
        <w:tc>
          <w:tcPr>
            <w:tcW w:w="1370" w:type="dxa"/>
            <w:gridSpan w:val="4"/>
            <w:tcBorders/>
            <w:shd w:fill="CCE2F1" w:val="clear"/>
            <w:vAlign w:val="center"/>
          </w:tcPr>
          <w:p>
            <w:pPr>
              <w:pStyle w:val="TableContents"/>
              <w:bidi w:val="0"/>
              <w:spacing w:before="0" w:after="283"/>
              <w:jc w:val="left"/>
              <w:rPr>
                <w:sz w:val="4"/>
                <w:szCs w:val="4"/>
              </w:rPr>
            </w:pPr>
            <w:r>
              <w:rPr>
                <w:sz w:val="4"/>
                <w:szCs w:val="4"/>
              </w:rPr>
            </w:r>
          </w:p>
        </w:tc>
        <w:tc>
          <w:tcPr>
            <w:tcW w:w="1115" w:type="dxa"/>
            <w:gridSpan w:val="4"/>
            <w:tcBorders/>
            <w:shd w:fill="CCE2F1" w:val="clear"/>
            <w:vAlign w:val="center"/>
          </w:tcPr>
          <w:p>
            <w:pPr>
              <w:pStyle w:val="TableContents"/>
              <w:bidi w:val="0"/>
              <w:spacing w:before="0" w:after="283"/>
              <w:jc w:val="left"/>
              <w:rPr>
                <w:sz w:val="4"/>
                <w:szCs w:val="4"/>
              </w:rPr>
            </w:pPr>
            <w:r>
              <w:rPr>
                <w:sz w:val="4"/>
                <w:szCs w:val="4"/>
              </w:rPr>
            </w:r>
          </w:p>
        </w:tc>
        <w:tc>
          <w:tcPr>
            <w:tcW w:w="1383" w:type="dxa"/>
            <w:gridSpan w:val="4"/>
            <w:tcBorders/>
            <w:shd w:fill="CCE2F1" w:val="clear"/>
            <w:vAlign w:val="center"/>
          </w:tcPr>
          <w:p>
            <w:pPr>
              <w:pStyle w:val="TableContents"/>
              <w:bidi w:val="0"/>
              <w:spacing w:before="0" w:after="283"/>
              <w:jc w:val="left"/>
              <w:rPr>
                <w:sz w:val="4"/>
                <w:szCs w:val="4"/>
              </w:rPr>
            </w:pPr>
            <w:r>
              <w:rPr>
                <w:sz w:val="4"/>
                <w:szCs w:val="4"/>
              </w:rPr>
            </w:r>
          </w:p>
        </w:tc>
        <w:tc>
          <w:tcPr>
            <w:tcW w:w="710" w:type="dxa"/>
            <w:gridSpan w:val="4"/>
            <w:tcBorders/>
            <w:shd w:fill="CCE2F1" w:val="clear"/>
            <w:vAlign w:val="center"/>
          </w:tcPr>
          <w:p>
            <w:pPr>
              <w:pStyle w:val="TableContents"/>
              <w:bidi w:val="0"/>
              <w:spacing w:before="0" w:after="283"/>
              <w:jc w:val="left"/>
              <w:rPr>
                <w:sz w:val="4"/>
                <w:szCs w:val="4"/>
              </w:rPr>
            </w:pPr>
            <w:r>
              <w:rPr>
                <w:sz w:val="4"/>
                <w:szCs w:val="4"/>
              </w:rPr>
            </w:r>
          </w:p>
        </w:tc>
        <w:tc>
          <w:tcPr>
            <w:tcW w:w="1160" w:type="dxa"/>
            <w:gridSpan w:val="4"/>
            <w:tcBorders/>
            <w:shd w:fill="CCE2F1" w:val="clear"/>
            <w:vAlign w:val="center"/>
          </w:tcPr>
          <w:p>
            <w:pPr>
              <w:pStyle w:val="TableContents"/>
              <w:bidi w:val="0"/>
              <w:spacing w:before="0" w:after="283"/>
              <w:jc w:val="left"/>
              <w:rPr>
                <w:sz w:val="4"/>
                <w:szCs w:val="4"/>
              </w:rPr>
            </w:pPr>
            <w:r>
              <w:rPr>
                <w:sz w:val="4"/>
                <w:szCs w:val="4"/>
              </w:rPr>
            </w:r>
          </w:p>
        </w:tc>
        <w:tc>
          <w:tcPr>
            <w:tcW w:w="669" w:type="dxa"/>
            <w:gridSpan w:val="4"/>
            <w:tcBorders/>
            <w:shd w:fill="CCE2F1" w:val="clear"/>
            <w:vAlign w:val="center"/>
          </w:tcPr>
          <w:p>
            <w:pPr>
              <w:pStyle w:val="TableContents"/>
              <w:bidi w:val="0"/>
              <w:spacing w:before="0" w:after="283"/>
              <w:jc w:val="left"/>
              <w:rPr>
                <w:sz w:val="4"/>
                <w:szCs w:val="4"/>
              </w:rPr>
            </w:pPr>
            <w:r>
              <w:rPr>
                <w:sz w:val="4"/>
                <w:szCs w:val="4"/>
              </w:rPr>
            </w:r>
          </w:p>
        </w:tc>
        <w:tc>
          <w:tcPr>
            <w:tcW w:w="892"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1341" w:type="dxa"/>
            <w:tcBorders/>
            <w:shd w:fill="CCE2F1" w:val="clear"/>
            <w:vAlign w:val="center"/>
          </w:tcPr>
          <w:p>
            <w:pPr>
              <w:pStyle w:val="TableContents"/>
              <w:bidi w:val="0"/>
              <w:spacing w:before="0" w:after="0"/>
              <w:jc w:val="left"/>
              <w:rPr/>
            </w:pPr>
            <w:r>
              <w:rPr/>
              <w:t> </w:t>
            </w:r>
            <w:r>
              <w:rPr>
                <w:rFonts w:ascii="arial" w:hAnsi="arial"/>
                <w:sz w:val="18"/>
              </w:rPr>
              <w:t>Wanda M. Austin</w:t>
            </w:r>
          </w:p>
        </w:tc>
        <w:tc>
          <w:tcPr>
            <w:tcW w:w="60" w:type="dxa"/>
            <w:tcBorders/>
            <w:shd w:fill="CCE2F1" w:val="clear"/>
            <w:vAlign w:val="center"/>
          </w:tcPr>
          <w:p>
            <w:pPr>
              <w:pStyle w:val="TableContents"/>
              <w:bidi w:val="0"/>
              <w:spacing w:before="0" w:after="283"/>
              <w:jc w:val="left"/>
              <w:rPr/>
            </w:pPr>
            <w:r>
              <w:rPr/>
              <w:t> </w:t>
            </w:r>
          </w:p>
        </w:tc>
        <w:tc>
          <w:tcPr>
            <w:tcW w:w="117" w:type="dxa"/>
            <w:tcBorders/>
            <w:shd w:fill="CCE2F1" w:val="clear"/>
            <w:vAlign w:val="center"/>
          </w:tcPr>
          <w:p>
            <w:pPr>
              <w:pStyle w:val="TableContents"/>
              <w:bidi w:val="0"/>
              <w:spacing w:before="0" w:after="283"/>
              <w:jc w:val="left"/>
              <w:rPr/>
            </w:pPr>
            <w:r>
              <w:rPr/>
              <w:t> </w:t>
            </w:r>
          </w:p>
        </w:tc>
        <w:tc>
          <w:tcPr>
            <w:tcW w:w="1328" w:type="dxa"/>
            <w:tcBorders/>
            <w:shd w:fill="CCE2F1" w:val="clear"/>
            <w:vAlign w:val="center"/>
          </w:tcPr>
          <w:p>
            <w:pPr>
              <w:pStyle w:val="TableContents"/>
              <w:bidi w:val="0"/>
              <w:spacing w:before="0" w:after="283"/>
              <w:jc w:val="right"/>
              <w:rPr/>
            </w:pPr>
            <w:r>
              <w:rPr/>
              <w:t>20,000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1130"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96" w:type="dxa"/>
            <w:tcBorders/>
            <w:shd w:fill="CCE2F1" w:val="clear"/>
            <w:vAlign w:val="center"/>
          </w:tcPr>
          <w:p>
            <w:pPr>
              <w:pStyle w:val="TableContents"/>
              <w:bidi w:val="0"/>
              <w:spacing w:before="0" w:after="283"/>
              <w:jc w:val="left"/>
              <w:rPr/>
            </w:pPr>
            <w:r>
              <w:rPr/>
              <w:t> </w:t>
            </w:r>
          </w:p>
        </w:tc>
        <w:tc>
          <w:tcPr>
            <w:tcW w:w="899"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375" w:type="dxa"/>
            <w:tcBorders/>
            <w:shd w:fill="CCE2F1" w:val="clear"/>
            <w:vAlign w:val="center"/>
          </w:tcPr>
          <w:p>
            <w:pPr>
              <w:pStyle w:val="TableContents"/>
              <w:bidi w:val="0"/>
              <w:spacing w:before="0" w:after="283"/>
              <w:jc w:val="left"/>
              <w:rPr/>
            </w:pPr>
            <w:r>
              <w:rPr/>
              <w:t> </w:t>
            </w:r>
          </w:p>
        </w:tc>
        <w:tc>
          <w:tcPr>
            <w:tcW w:w="875" w:type="dxa"/>
            <w:tcBorders/>
            <w:shd w:fill="CCE2F1" w:val="clear"/>
            <w:vAlign w:val="center"/>
          </w:tcPr>
          <w:p>
            <w:pPr>
              <w:pStyle w:val="TableContents"/>
              <w:bidi w:val="0"/>
              <w:spacing w:before="0" w:after="283"/>
              <w:jc w:val="right"/>
              <w:rPr/>
            </w:pPr>
            <w:r>
              <w:rPr/>
              <w:t>0</w:t>
            </w:r>
          </w:p>
        </w:tc>
        <w:tc>
          <w:tcPr>
            <w:tcW w:w="73" w:type="dxa"/>
            <w:tcBorders/>
            <w:shd w:fill="CCE2F1" w:val="clear"/>
            <w:vAlign w:val="center"/>
          </w:tcPr>
          <w:p>
            <w:pPr>
              <w:pStyle w:val="TableContents"/>
              <w:bidi w:val="0"/>
              <w:spacing w:before="0" w:after="283"/>
              <w:jc w:val="left"/>
              <w:rPr/>
            </w:pPr>
            <w:r>
              <w:rPr/>
              <w:t> </w:t>
            </w:r>
          </w:p>
        </w:tc>
        <w:tc>
          <w:tcPr>
            <w:tcW w:w="73"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pPr>
            <w:r>
              <w:rPr/>
              <w:t> </w:t>
            </w:r>
          </w:p>
        </w:tc>
        <w:tc>
          <w:tcPr>
            <w:tcW w:w="469"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41" w:type="dxa"/>
            <w:tcBorders/>
            <w:shd w:fill="CCE2F1" w:val="clear"/>
            <w:vAlign w:val="center"/>
          </w:tcPr>
          <w:p>
            <w:pPr>
              <w:pStyle w:val="TableContents"/>
              <w:bidi w:val="0"/>
              <w:spacing w:before="0" w:after="283"/>
              <w:jc w:val="left"/>
              <w:rPr/>
            </w:pPr>
            <w:r>
              <w:rPr/>
              <w:t> </w:t>
            </w:r>
          </w:p>
        </w:tc>
        <w:tc>
          <w:tcPr>
            <w:tcW w:w="899" w:type="dxa"/>
            <w:tcBorders/>
            <w:shd w:fill="CCE2F1" w:val="clear"/>
            <w:vAlign w:val="center"/>
          </w:tcPr>
          <w:p>
            <w:pPr>
              <w:pStyle w:val="TableContents"/>
              <w:bidi w:val="0"/>
              <w:spacing w:before="0" w:after="283"/>
              <w:jc w:val="right"/>
              <w:rPr/>
            </w:pPr>
            <w:r>
              <w:rPr/>
              <w:t>129</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64" w:type="dxa"/>
            <w:tcBorders/>
            <w:shd w:fill="CCE2F1" w:val="clear"/>
            <w:vAlign w:val="center"/>
          </w:tcPr>
          <w:p>
            <w:pPr>
              <w:pStyle w:val="TableContents"/>
              <w:bidi w:val="0"/>
              <w:spacing w:before="0" w:after="283"/>
              <w:jc w:val="left"/>
              <w:rPr/>
            </w:pPr>
            <w:r>
              <w:rPr/>
              <w:t> </w:t>
            </w:r>
          </w:p>
        </w:tc>
        <w:tc>
          <w:tcPr>
            <w:tcW w:w="385"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689" w:type="dxa"/>
            <w:tcBorders/>
            <w:shd w:fill="CCE2F1" w:val="clear"/>
            <w:vAlign w:val="center"/>
          </w:tcPr>
          <w:p>
            <w:pPr>
              <w:pStyle w:val="TableContents"/>
              <w:bidi w:val="0"/>
              <w:spacing w:before="0" w:after="283"/>
              <w:jc w:val="right"/>
              <w:rPr/>
            </w:pPr>
            <w:r>
              <w:rPr/>
              <w:t>20,129 </w:t>
            </w:r>
          </w:p>
        </w:tc>
        <w:tc>
          <w:tcPr>
            <w:tcW w:w="83" w:type="dxa"/>
            <w:tcBorders/>
            <w:shd w:fill="CCE2F1" w:val="clear"/>
            <w:vAlign w:val="center"/>
          </w:tcPr>
          <w:p>
            <w:pPr>
              <w:pStyle w:val="TableContents"/>
              <w:bidi w:val="0"/>
              <w:spacing w:before="0" w:after="283"/>
              <w:jc w:val="left"/>
              <w:rPr/>
            </w:pPr>
            <w:r>
              <w:rPr/>
              <w:t> </w:t>
            </w:r>
          </w:p>
        </w:tc>
      </w:tr>
      <w:tr>
        <w:trPr/>
        <w:tc>
          <w:tcPr>
            <w:tcW w:w="1341" w:type="dxa"/>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1383" w:type="dxa"/>
            <w:gridSpan w:val="4"/>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669" w:type="dxa"/>
            <w:gridSpan w:val="4"/>
            <w:tcBorders/>
            <w:vAlign w:val="center"/>
          </w:tcPr>
          <w:p>
            <w:pPr>
              <w:pStyle w:val="TableContents"/>
              <w:bidi w:val="0"/>
              <w:spacing w:before="0" w:after="283"/>
              <w:jc w:val="left"/>
              <w:rPr>
                <w:sz w:val="4"/>
                <w:szCs w:val="4"/>
              </w:rPr>
            </w:pPr>
            <w:r>
              <w:rPr>
                <w:sz w:val="4"/>
                <w:szCs w:val="4"/>
              </w:rPr>
            </w:r>
          </w:p>
        </w:tc>
        <w:tc>
          <w:tcPr>
            <w:tcW w:w="892" w:type="dxa"/>
            <w:gridSpan w:val="4"/>
            <w:tcBorders/>
            <w:vAlign w:val="center"/>
          </w:tcPr>
          <w:p>
            <w:pPr>
              <w:pStyle w:val="TableContents"/>
              <w:bidi w:val="0"/>
              <w:spacing w:before="0" w:after="283"/>
              <w:jc w:val="left"/>
              <w:rPr>
                <w:sz w:val="4"/>
                <w:szCs w:val="4"/>
              </w:rPr>
            </w:pPr>
            <w:r>
              <w:rPr>
                <w:sz w:val="4"/>
                <w:szCs w:val="4"/>
              </w:rPr>
            </w:r>
          </w:p>
        </w:tc>
      </w:tr>
      <w:tr>
        <w:trPr/>
        <w:tc>
          <w:tcPr>
            <w:tcW w:w="1341" w:type="dxa"/>
            <w:tcBorders/>
            <w:vAlign w:val="center"/>
          </w:tcPr>
          <w:p>
            <w:pPr>
              <w:pStyle w:val="TableContents"/>
              <w:bidi w:val="0"/>
              <w:spacing w:before="0" w:after="0"/>
              <w:jc w:val="left"/>
              <w:rPr/>
            </w:pPr>
            <w:r>
              <w:rPr/>
              <w:t> </w:t>
            </w:r>
            <w:r>
              <w:rPr>
                <w:rFonts w:ascii="arial" w:hAnsi="arial"/>
                <w:sz w:val="18"/>
              </w:rPr>
              <w:t>Michael Drake</w:t>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129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right"/>
              <w:rPr/>
            </w:pPr>
            <w:r>
              <w:rPr/>
              <w:t>129 </w:t>
            </w:r>
          </w:p>
        </w:tc>
        <w:tc>
          <w:tcPr>
            <w:tcW w:w="83" w:type="dxa"/>
            <w:tcBorders/>
            <w:vAlign w:val="center"/>
          </w:tcPr>
          <w:p>
            <w:pPr>
              <w:pStyle w:val="TableContents"/>
              <w:bidi w:val="0"/>
              <w:spacing w:before="0" w:after="283"/>
              <w:jc w:val="left"/>
              <w:rPr/>
            </w:pPr>
            <w:r>
              <w:rPr/>
              <w:t> </w:t>
            </w:r>
          </w:p>
        </w:tc>
      </w:tr>
      <w:tr>
        <w:trPr/>
        <w:tc>
          <w:tcPr>
            <w:tcW w:w="1341" w:type="dxa"/>
            <w:tcBorders/>
            <w:shd w:fill="CCE2F1" w:val="clear"/>
            <w:vAlign w:val="center"/>
          </w:tcPr>
          <w:p>
            <w:pPr>
              <w:pStyle w:val="TableContents"/>
              <w:bidi w:val="0"/>
              <w:spacing w:before="0" w:after="283"/>
              <w:jc w:val="left"/>
              <w:rPr>
                <w:sz w:val="4"/>
                <w:szCs w:val="4"/>
              </w:rPr>
            </w:pPr>
            <w:r>
              <w:rPr>
                <w:sz w:val="4"/>
                <w:szCs w:val="4"/>
              </w:rPr>
            </w:r>
          </w:p>
        </w:tc>
        <w:tc>
          <w:tcPr>
            <w:tcW w:w="1565" w:type="dxa"/>
            <w:gridSpan w:val="4"/>
            <w:tcBorders/>
            <w:shd w:fill="CCE2F1" w:val="clear"/>
            <w:vAlign w:val="center"/>
          </w:tcPr>
          <w:p>
            <w:pPr>
              <w:pStyle w:val="TableContents"/>
              <w:bidi w:val="0"/>
              <w:spacing w:before="0" w:after="283"/>
              <w:jc w:val="left"/>
              <w:rPr>
                <w:sz w:val="4"/>
                <w:szCs w:val="4"/>
              </w:rPr>
            </w:pPr>
            <w:r>
              <w:rPr>
                <w:sz w:val="4"/>
                <w:szCs w:val="4"/>
              </w:rPr>
            </w:r>
          </w:p>
        </w:tc>
        <w:tc>
          <w:tcPr>
            <w:tcW w:w="1370" w:type="dxa"/>
            <w:gridSpan w:val="4"/>
            <w:tcBorders/>
            <w:shd w:fill="CCE2F1" w:val="clear"/>
            <w:vAlign w:val="center"/>
          </w:tcPr>
          <w:p>
            <w:pPr>
              <w:pStyle w:val="TableContents"/>
              <w:bidi w:val="0"/>
              <w:spacing w:before="0" w:after="283"/>
              <w:jc w:val="left"/>
              <w:rPr>
                <w:sz w:val="4"/>
                <w:szCs w:val="4"/>
              </w:rPr>
            </w:pPr>
            <w:r>
              <w:rPr>
                <w:sz w:val="4"/>
                <w:szCs w:val="4"/>
              </w:rPr>
            </w:r>
          </w:p>
        </w:tc>
        <w:tc>
          <w:tcPr>
            <w:tcW w:w="1115" w:type="dxa"/>
            <w:gridSpan w:val="4"/>
            <w:tcBorders/>
            <w:shd w:fill="CCE2F1" w:val="clear"/>
            <w:vAlign w:val="center"/>
          </w:tcPr>
          <w:p>
            <w:pPr>
              <w:pStyle w:val="TableContents"/>
              <w:bidi w:val="0"/>
              <w:spacing w:before="0" w:after="283"/>
              <w:jc w:val="left"/>
              <w:rPr>
                <w:sz w:val="4"/>
                <w:szCs w:val="4"/>
              </w:rPr>
            </w:pPr>
            <w:r>
              <w:rPr>
                <w:sz w:val="4"/>
                <w:szCs w:val="4"/>
              </w:rPr>
            </w:r>
          </w:p>
        </w:tc>
        <w:tc>
          <w:tcPr>
            <w:tcW w:w="1383" w:type="dxa"/>
            <w:gridSpan w:val="4"/>
            <w:tcBorders/>
            <w:shd w:fill="CCE2F1" w:val="clear"/>
            <w:vAlign w:val="center"/>
          </w:tcPr>
          <w:p>
            <w:pPr>
              <w:pStyle w:val="TableContents"/>
              <w:bidi w:val="0"/>
              <w:spacing w:before="0" w:after="283"/>
              <w:jc w:val="left"/>
              <w:rPr>
                <w:sz w:val="4"/>
                <w:szCs w:val="4"/>
              </w:rPr>
            </w:pPr>
            <w:r>
              <w:rPr>
                <w:sz w:val="4"/>
                <w:szCs w:val="4"/>
              </w:rPr>
            </w:r>
          </w:p>
        </w:tc>
        <w:tc>
          <w:tcPr>
            <w:tcW w:w="710" w:type="dxa"/>
            <w:gridSpan w:val="4"/>
            <w:tcBorders/>
            <w:shd w:fill="CCE2F1" w:val="clear"/>
            <w:vAlign w:val="center"/>
          </w:tcPr>
          <w:p>
            <w:pPr>
              <w:pStyle w:val="TableContents"/>
              <w:bidi w:val="0"/>
              <w:spacing w:before="0" w:after="283"/>
              <w:jc w:val="left"/>
              <w:rPr>
                <w:sz w:val="4"/>
                <w:szCs w:val="4"/>
              </w:rPr>
            </w:pPr>
            <w:r>
              <w:rPr>
                <w:sz w:val="4"/>
                <w:szCs w:val="4"/>
              </w:rPr>
            </w:r>
          </w:p>
        </w:tc>
        <w:tc>
          <w:tcPr>
            <w:tcW w:w="1160" w:type="dxa"/>
            <w:gridSpan w:val="4"/>
            <w:tcBorders/>
            <w:shd w:fill="CCE2F1" w:val="clear"/>
            <w:vAlign w:val="center"/>
          </w:tcPr>
          <w:p>
            <w:pPr>
              <w:pStyle w:val="TableContents"/>
              <w:bidi w:val="0"/>
              <w:spacing w:before="0" w:after="283"/>
              <w:jc w:val="left"/>
              <w:rPr>
                <w:sz w:val="4"/>
                <w:szCs w:val="4"/>
              </w:rPr>
            </w:pPr>
            <w:r>
              <w:rPr>
                <w:sz w:val="4"/>
                <w:szCs w:val="4"/>
              </w:rPr>
            </w:r>
          </w:p>
        </w:tc>
        <w:tc>
          <w:tcPr>
            <w:tcW w:w="669" w:type="dxa"/>
            <w:gridSpan w:val="4"/>
            <w:tcBorders/>
            <w:shd w:fill="CCE2F1" w:val="clear"/>
            <w:vAlign w:val="center"/>
          </w:tcPr>
          <w:p>
            <w:pPr>
              <w:pStyle w:val="TableContents"/>
              <w:bidi w:val="0"/>
              <w:spacing w:before="0" w:after="283"/>
              <w:jc w:val="left"/>
              <w:rPr>
                <w:sz w:val="4"/>
                <w:szCs w:val="4"/>
              </w:rPr>
            </w:pPr>
            <w:r>
              <w:rPr>
                <w:sz w:val="4"/>
                <w:szCs w:val="4"/>
              </w:rPr>
            </w:r>
          </w:p>
        </w:tc>
        <w:tc>
          <w:tcPr>
            <w:tcW w:w="892"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1341" w:type="dxa"/>
            <w:tcBorders/>
            <w:shd w:fill="CCE2F1" w:val="clear"/>
            <w:vAlign w:val="center"/>
          </w:tcPr>
          <w:p>
            <w:pPr>
              <w:pStyle w:val="TableContents"/>
              <w:bidi w:val="0"/>
              <w:spacing w:before="0" w:after="0"/>
              <w:jc w:val="left"/>
              <w:rPr/>
            </w:pPr>
            <w:r>
              <w:rPr/>
              <w:t> </w:t>
            </w:r>
            <w:r>
              <w:rPr>
                <w:rFonts w:ascii="arial" w:hAnsi="arial"/>
                <w:sz w:val="18"/>
              </w:rPr>
              <w:t>Brian J. Druker</w:t>
            </w:r>
          </w:p>
        </w:tc>
        <w:tc>
          <w:tcPr>
            <w:tcW w:w="60" w:type="dxa"/>
            <w:tcBorders/>
            <w:shd w:fill="CCE2F1" w:val="clear"/>
            <w:vAlign w:val="center"/>
          </w:tcPr>
          <w:p>
            <w:pPr>
              <w:pStyle w:val="TableContents"/>
              <w:bidi w:val="0"/>
              <w:spacing w:before="0" w:after="283"/>
              <w:jc w:val="left"/>
              <w:rPr/>
            </w:pPr>
            <w:r>
              <w:rPr/>
              <w:t> </w:t>
            </w:r>
          </w:p>
        </w:tc>
        <w:tc>
          <w:tcPr>
            <w:tcW w:w="117" w:type="dxa"/>
            <w:tcBorders/>
            <w:shd w:fill="CCE2F1" w:val="clear"/>
            <w:vAlign w:val="center"/>
          </w:tcPr>
          <w:p>
            <w:pPr>
              <w:pStyle w:val="TableContents"/>
              <w:bidi w:val="0"/>
              <w:spacing w:before="0" w:after="283"/>
              <w:jc w:val="left"/>
              <w:rPr/>
            </w:pPr>
            <w:r>
              <w:rPr/>
              <w:t> </w:t>
            </w:r>
          </w:p>
        </w:tc>
        <w:tc>
          <w:tcPr>
            <w:tcW w:w="1328" w:type="dxa"/>
            <w:tcBorders/>
            <w:shd w:fill="CCE2F1" w:val="clear"/>
            <w:vAlign w:val="center"/>
          </w:tcPr>
          <w:p>
            <w:pPr>
              <w:pStyle w:val="TableContents"/>
              <w:bidi w:val="0"/>
              <w:spacing w:before="0" w:after="283"/>
              <w:jc w:val="right"/>
              <w:rPr/>
            </w:pPr>
            <w:r>
              <w:rPr/>
              <w:t>20,000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1130"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96" w:type="dxa"/>
            <w:tcBorders/>
            <w:shd w:fill="CCE2F1" w:val="clear"/>
            <w:vAlign w:val="center"/>
          </w:tcPr>
          <w:p>
            <w:pPr>
              <w:pStyle w:val="TableContents"/>
              <w:bidi w:val="0"/>
              <w:spacing w:before="0" w:after="283"/>
              <w:jc w:val="left"/>
              <w:rPr/>
            </w:pPr>
            <w:r>
              <w:rPr/>
              <w:t> </w:t>
            </w:r>
          </w:p>
        </w:tc>
        <w:tc>
          <w:tcPr>
            <w:tcW w:w="899"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375" w:type="dxa"/>
            <w:tcBorders/>
            <w:shd w:fill="CCE2F1" w:val="clear"/>
            <w:vAlign w:val="center"/>
          </w:tcPr>
          <w:p>
            <w:pPr>
              <w:pStyle w:val="TableContents"/>
              <w:bidi w:val="0"/>
              <w:spacing w:before="0" w:after="283"/>
              <w:jc w:val="left"/>
              <w:rPr/>
            </w:pPr>
            <w:r>
              <w:rPr/>
              <w:t> </w:t>
            </w:r>
          </w:p>
        </w:tc>
        <w:tc>
          <w:tcPr>
            <w:tcW w:w="875" w:type="dxa"/>
            <w:tcBorders/>
            <w:shd w:fill="CCE2F1" w:val="clear"/>
            <w:vAlign w:val="center"/>
          </w:tcPr>
          <w:p>
            <w:pPr>
              <w:pStyle w:val="TableContents"/>
              <w:bidi w:val="0"/>
              <w:spacing w:before="0" w:after="283"/>
              <w:jc w:val="right"/>
              <w:rPr/>
            </w:pPr>
            <w:r>
              <w:rPr/>
              <w:t>0</w:t>
            </w:r>
          </w:p>
        </w:tc>
        <w:tc>
          <w:tcPr>
            <w:tcW w:w="73" w:type="dxa"/>
            <w:tcBorders/>
            <w:shd w:fill="CCE2F1" w:val="clear"/>
            <w:vAlign w:val="center"/>
          </w:tcPr>
          <w:p>
            <w:pPr>
              <w:pStyle w:val="TableContents"/>
              <w:bidi w:val="0"/>
              <w:spacing w:before="0" w:after="283"/>
              <w:jc w:val="left"/>
              <w:rPr/>
            </w:pPr>
            <w:r>
              <w:rPr/>
              <w:t> </w:t>
            </w:r>
          </w:p>
        </w:tc>
        <w:tc>
          <w:tcPr>
            <w:tcW w:w="73"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pPr>
            <w:r>
              <w:rPr/>
              <w:t> </w:t>
            </w:r>
          </w:p>
        </w:tc>
        <w:tc>
          <w:tcPr>
            <w:tcW w:w="469"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41" w:type="dxa"/>
            <w:tcBorders/>
            <w:shd w:fill="CCE2F1" w:val="clear"/>
            <w:vAlign w:val="center"/>
          </w:tcPr>
          <w:p>
            <w:pPr>
              <w:pStyle w:val="TableContents"/>
              <w:bidi w:val="0"/>
              <w:spacing w:before="0" w:after="283"/>
              <w:jc w:val="left"/>
              <w:rPr/>
            </w:pPr>
            <w:r>
              <w:rPr/>
              <w:t> </w:t>
            </w:r>
          </w:p>
        </w:tc>
        <w:tc>
          <w:tcPr>
            <w:tcW w:w="899" w:type="dxa"/>
            <w:tcBorders/>
            <w:shd w:fill="CCE2F1" w:val="clear"/>
            <w:vAlign w:val="center"/>
          </w:tcPr>
          <w:p>
            <w:pPr>
              <w:pStyle w:val="TableContents"/>
              <w:bidi w:val="0"/>
              <w:spacing w:before="0" w:after="283"/>
              <w:jc w:val="right"/>
              <w:rPr/>
            </w:pPr>
            <w:r>
              <w:rPr/>
              <w:t>129</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64" w:type="dxa"/>
            <w:tcBorders/>
            <w:shd w:fill="CCE2F1" w:val="clear"/>
            <w:vAlign w:val="center"/>
          </w:tcPr>
          <w:p>
            <w:pPr>
              <w:pStyle w:val="TableContents"/>
              <w:bidi w:val="0"/>
              <w:spacing w:before="0" w:after="283"/>
              <w:jc w:val="left"/>
              <w:rPr/>
            </w:pPr>
            <w:r>
              <w:rPr/>
              <w:t> </w:t>
            </w:r>
          </w:p>
        </w:tc>
        <w:tc>
          <w:tcPr>
            <w:tcW w:w="385"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689" w:type="dxa"/>
            <w:tcBorders/>
            <w:shd w:fill="CCE2F1" w:val="clear"/>
            <w:vAlign w:val="center"/>
          </w:tcPr>
          <w:p>
            <w:pPr>
              <w:pStyle w:val="TableContents"/>
              <w:bidi w:val="0"/>
              <w:spacing w:before="0" w:after="283"/>
              <w:jc w:val="right"/>
              <w:rPr/>
            </w:pPr>
            <w:r>
              <w:rPr/>
              <w:t>20,129 </w:t>
            </w:r>
          </w:p>
        </w:tc>
        <w:tc>
          <w:tcPr>
            <w:tcW w:w="83" w:type="dxa"/>
            <w:tcBorders/>
            <w:shd w:fill="CCE2F1" w:val="clear"/>
            <w:vAlign w:val="center"/>
          </w:tcPr>
          <w:p>
            <w:pPr>
              <w:pStyle w:val="TableContents"/>
              <w:bidi w:val="0"/>
              <w:spacing w:before="0" w:after="283"/>
              <w:jc w:val="left"/>
              <w:rPr/>
            </w:pPr>
            <w:r>
              <w:rPr/>
              <w:t> </w:t>
            </w:r>
          </w:p>
        </w:tc>
      </w:tr>
      <w:tr>
        <w:trPr/>
        <w:tc>
          <w:tcPr>
            <w:tcW w:w="1341" w:type="dxa"/>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1383" w:type="dxa"/>
            <w:gridSpan w:val="4"/>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669" w:type="dxa"/>
            <w:gridSpan w:val="4"/>
            <w:tcBorders/>
            <w:vAlign w:val="center"/>
          </w:tcPr>
          <w:p>
            <w:pPr>
              <w:pStyle w:val="TableContents"/>
              <w:bidi w:val="0"/>
              <w:spacing w:before="0" w:after="283"/>
              <w:jc w:val="left"/>
              <w:rPr>
                <w:sz w:val="4"/>
                <w:szCs w:val="4"/>
              </w:rPr>
            </w:pPr>
            <w:r>
              <w:rPr>
                <w:sz w:val="4"/>
                <w:szCs w:val="4"/>
              </w:rPr>
            </w:r>
          </w:p>
        </w:tc>
        <w:tc>
          <w:tcPr>
            <w:tcW w:w="892" w:type="dxa"/>
            <w:gridSpan w:val="4"/>
            <w:tcBorders/>
            <w:vAlign w:val="center"/>
          </w:tcPr>
          <w:p>
            <w:pPr>
              <w:pStyle w:val="TableContents"/>
              <w:bidi w:val="0"/>
              <w:spacing w:before="0" w:after="283"/>
              <w:jc w:val="left"/>
              <w:rPr>
                <w:sz w:val="4"/>
                <w:szCs w:val="4"/>
              </w:rPr>
            </w:pPr>
            <w:r>
              <w:rPr>
                <w:sz w:val="4"/>
                <w:szCs w:val="4"/>
              </w:rPr>
            </w:r>
          </w:p>
        </w:tc>
      </w:tr>
      <w:tr>
        <w:trPr/>
        <w:tc>
          <w:tcPr>
            <w:tcW w:w="1341" w:type="dxa"/>
            <w:tcBorders/>
            <w:vAlign w:val="center"/>
          </w:tcPr>
          <w:p>
            <w:pPr>
              <w:pStyle w:val="TableContents"/>
              <w:bidi w:val="0"/>
              <w:spacing w:before="0" w:after="0"/>
              <w:jc w:val="left"/>
              <w:rPr/>
            </w:pPr>
            <w:r>
              <w:rPr/>
              <w:t> </w:t>
            </w:r>
            <w:r>
              <w:rPr>
                <w:rFonts w:ascii="arial" w:hAnsi="arial"/>
                <w:sz w:val="18"/>
              </w:rPr>
              <w:t>Robert A. Eckert</w:t>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20,000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129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right"/>
              <w:rPr/>
            </w:pPr>
            <w:r>
              <w:rPr/>
              <w:t>20,129 </w:t>
            </w:r>
          </w:p>
        </w:tc>
        <w:tc>
          <w:tcPr>
            <w:tcW w:w="83" w:type="dxa"/>
            <w:tcBorders/>
            <w:vAlign w:val="center"/>
          </w:tcPr>
          <w:p>
            <w:pPr>
              <w:pStyle w:val="TableContents"/>
              <w:bidi w:val="0"/>
              <w:spacing w:before="0" w:after="283"/>
              <w:jc w:val="left"/>
              <w:rPr/>
            </w:pPr>
            <w:r>
              <w:rPr/>
              <w:t> </w:t>
            </w:r>
          </w:p>
        </w:tc>
      </w:tr>
      <w:tr>
        <w:trPr/>
        <w:tc>
          <w:tcPr>
            <w:tcW w:w="1341" w:type="dxa"/>
            <w:tcBorders/>
            <w:shd w:fill="CCE2F1" w:val="clear"/>
            <w:vAlign w:val="center"/>
          </w:tcPr>
          <w:p>
            <w:pPr>
              <w:pStyle w:val="TableContents"/>
              <w:bidi w:val="0"/>
              <w:spacing w:before="0" w:after="283"/>
              <w:jc w:val="left"/>
              <w:rPr>
                <w:sz w:val="4"/>
                <w:szCs w:val="4"/>
              </w:rPr>
            </w:pPr>
            <w:r>
              <w:rPr>
                <w:sz w:val="4"/>
                <w:szCs w:val="4"/>
              </w:rPr>
            </w:r>
          </w:p>
        </w:tc>
        <w:tc>
          <w:tcPr>
            <w:tcW w:w="1565" w:type="dxa"/>
            <w:gridSpan w:val="4"/>
            <w:tcBorders/>
            <w:shd w:fill="CCE2F1" w:val="clear"/>
            <w:vAlign w:val="center"/>
          </w:tcPr>
          <w:p>
            <w:pPr>
              <w:pStyle w:val="TableContents"/>
              <w:bidi w:val="0"/>
              <w:spacing w:before="0" w:after="283"/>
              <w:jc w:val="left"/>
              <w:rPr>
                <w:sz w:val="4"/>
                <w:szCs w:val="4"/>
              </w:rPr>
            </w:pPr>
            <w:r>
              <w:rPr>
                <w:sz w:val="4"/>
                <w:szCs w:val="4"/>
              </w:rPr>
            </w:r>
          </w:p>
        </w:tc>
        <w:tc>
          <w:tcPr>
            <w:tcW w:w="1370" w:type="dxa"/>
            <w:gridSpan w:val="4"/>
            <w:tcBorders/>
            <w:shd w:fill="CCE2F1" w:val="clear"/>
            <w:vAlign w:val="center"/>
          </w:tcPr>
          <w:p>
            <w:pPr>
              <w:pStyle w:val="TableContents"/>
              <w:bidi w:val="0"/>
              <w:spacing w:before="0" w:after="283"/>
              <w:jc w:val="left"/>
              <w:rPr>
                <w:sz w:val="4"/>
                <w:szCs w:val="4"/>
              </w:rPr>
            </w:pPr>
            <w:r>
              <w:rPr>
                <w:sz w:val="4"/>
                <w:szCs w:val="4"/>
              </w:rPr>
            </w:r>
          </w:p>
        </w:tc>
        <w:tc>
          <w:tcPr>
            <w:tcW w:w="1115" w:type="dxa"/>
            <w:gridSpan w:val="4"/>
            <w:tcBorders/>
            <w:shd w:fill="CCE2F1" w:val="clear"/>
            <w:vAlign w:val="center"/>
          </w:tcPr>
          <w:p>
            <w:pPr>
              <w:pStyle w:val="TableContents"/>
              <w:bidi w:val="0"/>
              <w:spacing w:before="0" w:after="283"/>
              <w:jc w:val="left"/>
              <w:rPr>
                <w:sz w:val="4"/>
                <w:szCs w:val="4"/>
              </w:rPr>
            </w:pPr>
            <w:r>
              <w:rPr>
                <w:sz w:val="4"/>
                <w:szCs w:val="4"/>
              </w:rPr>
            </w:r>
          </w:p>
        </w:tc>
        <w:tc>
          <w:tcPr>
            <w:tcW w:w="1383" w:type="dxa"/>
            <w:gridSpan w:val="4"/>
            <w:tcBorders/>
            <w:shd w:fill="CCE2F1" w:val="clear"/>
            <w:vAlign w:val="center"/>
          </w:tcPr>
          <w:p>
            <w:pPr>
              <w:pStyle w:val="TableContents"/>
              <w:bidi w:val="0"/>
              <w:spacing w:before="0" w:after="283"/>
              <w:jc w:val="left"/>
              <w:rPr>
                <w:sz w:val="4"/>
                <w:szCs w:val="4"/>
              </w:rPr>
            </w:pPr>
            <w:r>
              <w:rPr>
                <w:sz w:val="4"/>
                <w:szCs w:val="4"/>
              </w:rPr>
            </w:r>
          </w:p>
        </w:tc>
        <w:tc>
          <w:tcPr>
            <w:tcW w:w="710" w:type="dxa"/>
            <w:gridSpan w:val="4"/>
            <w:tcBorders/>
            <w:shd w:fill="CCE2F1" w:val="clear"/>
            <w:vAlign w:val="center"/>
          </w:tcPr>
          <w:p>
            <w:pPr>
              <w:pStyle w:val="TableContents"/>
              <w:bidi w:val="0"/>
              <w:spacing w:before="0" w:after="283"/>
              <w:jc w:val="left"/>
              <w:rPr>
                <w:sz w:val="4"/>
                <w:szCs w:val="4"/>
              </w:rPr>
            </w:pPr>
            <w:r>
              <w:rPr>
                <w:sz w:val="4"/>
                <w:szCs w:val="4"/>
              </w:rPr>
            </w:r>
          </w:p>
        </w:tc>
        <w:tc>
          <w:tcPr>
            <w:tcW w:w="1160" w:type="dxa"/>
            <w:gridSpan w:val="4"/>
            <w:tcBorders/>
            <w:shd w:fill="CCE2F1" w:val="clear"/>
            <w:vAlign w:val="center"/>
          </w:tcPr>
          <w:p>
            <w:pPr>
              <w:pStyle w:val="TableContents"/>
              <w:bidi w:val="0"/>
              <w:spacing w:before="0" w:after="283"/>
              <w:jc w:val="left"/>
              <w:rPr>
                <w:sz w:val="4"/>
                <w:szCs w:val="4"/>
              </w:rPr>
            </w:pPr>
            <w:r>
              <w:rPr>
                <w:sz w:val="4"/>
                <w:szCs w:val="4"/>
              </w:rPr>
            </w:r>
          </w:p>
        </w:tc>
        <w:tc>
          <w:tcPr>
            <w:tcW w:w="669" w:type="dxa"/>
            <w:gridSpan w:val="4"/>
            <w:tcBorders/>
            <w:shd w:fill="CCE2F1" w:val="clear"/>
            <w:vAlign w:val="center"/>
          </w:tcPr>
          <w:p>
            <w:pPr>
              <w:pStyle w:val="TableContents"/>
              <w:bidi w:val="0"/>
              <w:spacing w:before="0" w:after="283"/>
              <w:jc w:val="left"/>
              <w:rPr>
                <w:sz w:val="4"/>
                <w:szCs w:val="4"/>
              </w:rPr>
            </w:pPr>
            <w:r>
              <w:rPr>
                <w:sz w:val="4"/>
                <w:szCs w:val="4"/>
              </w:rPr>
            </w:r>
          </w:p>
        </w:tc>
        <w:tc>
          <w:tcPr>
            <w:tcW w:w="892"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1341" w:type="dxa"/>
            <w:tcBorders/>
            <w:shd w:fill="CCE2F1" w:val="clear"/>
            <w:vAlign w:val="center"/>
          </w:tcPr>
          <w:p>
            <w:pPr>
              <w:pStyle w:val="TableContents"/>
              <w:bidi w:val="0"/>
              <w:spacing w:before="0" w:after="0"/>
              <w:jc w:val="left"/>
              <w:rPr/>
            </w:pPr>
            <w:r>
              <w:rPr/>
              <w:t> </w:t>
            </w:r>
            <w:r>
              <w:rPr>
                <w:rFonts w:ascii="arial" w:hAnsi="arial"/>
                <w:sz w:val="18"/>
              </w:rPr>
              <w:t>Greg C. Garland</w:t>
            </w:r>
          </w:p>
        </w:tc>
        <w:tc>
          <w:tcPr>
            <w:tcW w:w="60" w:type="dxa"/>
            <w:tcBorders/>
            <w:shd w:fill="CCE2F1" w:val="clear"/>
            <w:vAlign w:val="center"/>
          </w:tcPr>
          <w:p>
            <w:pPr>
              <w:pStyle w:val="TableContents"/>
              <w:bidi w:val="0"/>
              <w:spacing w:before="0" w:after="283"/>
              <w:jc w:val="left"/>
              <w:rPr/>
            </w:pPr>
            <w:r>
              <w:rPr/>
              <w:t> </w:t>
            </w:r>
          </w:p>
        </w:tc>
        <w:tc>
          <w:tcPr>
            <w:tcW w:w="117" w:type="dxa"/>
            <w:tcBorders/>
            <w:shd w:fill="CCE2F1" w:val="clear"/>
            <w:vAlign w:val="center"/>
          </w:tcPr>
          <w:p>
            <w:pPr>
              <w:pStyle w:val="TableContents"/>
              <w:bidi w:val="0"/>
              <w:spacing w:before="0" w:after="283"/>
              <w:jc w:val="left"/>
              <w:rPr/>
            </w:pPr>
            <w:r>
              <w:rPr/>
              <w:t> </w:t>
            </w:r>
          </w:p>
        </w:tc>
        <w:tc>
          <w:tcPr>
            <w:tcW w:w="1328" w:type="dxa"/>
            <w:tcBorders/>
            <w:shd w:fill="CCE2F1" w:val="clear"/>
            <w:vAlign w:val="center"/>
          </w:tcPr>
          <w:p>
            <w:pPr>
              <w:pStyle w:val="TableContents"/>
              <w:bidi w:val="0"/>
              <w:spacing w:before="0" w:after="283"/>
              <w:jc w:val="right"/>
              <w:rPr/>
            </w:pPr>
            <w:r>
              <w:rPr/>
              <w:t>20,000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1130"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96" w:type="dxa"/>
            <w:tcBorders/>
            <w:shd w:fill="CCE2F1" w:val="clear"/>
            <w:vAlign w:val="center"/>
          </w:tcPr>
          <w:p>
            <w:pPr>
              <w:pStyle w:val="TableContents"/>
              <w:bidi w:val="0"/>
              <w:spacing w:before="0" w:after="283"/>
              <w:jc w:val="left"/>
              <w:rPr/>
            </w:pPr>
            <w:r>
              <w:rPr/>
              <w:t> </w:t>
            </w:r>
          </w:p>
        </w:tc>
        <w:tc>
          <w:tcPr>
            <w:tcW w:w="899"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375" w:type="dxa"/>
            <w:tcBorders/>
            <w:shd w:fill="CCE2F1" w:val="clear"/>
            <w:vAlign w:val="center"/>
          </w:tcPr>
          <w:p>
            <w:pPr>
              <w:pStyle w:val="TableContents"/>
              <w:bidi w:val="0"/>
              <w:spacing w:before="0" w:after="283"/>
              <w:jc w:val="left"/>
              <w:rPr/>
            </w:pPr>
            <w:r>
              <w:rPr/>
              <w:t> </w:t>
            </w:r>
          </w:p>
        </w:tc>
        <w:tc>
          <w:tcPr>
            <w:tcW w:w="875" w:type="dxa"/>
            <w:tcBorders/>
            <w:shd w:fill="CCE2F1" w:val="clear"/>
            <w:vAlign w:val="center"/>
          </w:tcPr>
          <w:p>
            <w:pPr>
              <w:pStyle w:val="TableContents"/>
              <w:bidi w:val="0"/>
              <w:spacing w:before="0" w:after="283"/>
              <w:jc w:val="right"/>
              <w:rPr/>
            </w:pPr>
            <w:r>
              <w:rPr/>
              <w:t>0</w:t>
            </w:r>
          </w:p>
        </w:tc>
        <w:tc>
          <w:tcPr>
            <w:tcW w:w="73" w:type="dxa"/>
            <w:tcBorders/>
            <w:shd w:fill="CCE2F1" w:val="clear"/>
            <w:vAlign w:val="center"/>
          </w:tcPr>
          <w:p>
            <w:pPr>
              <w:pStyle w:val="TableContents"/>
              <w:bidi w:val="0"/>
              <w:spacing w:before="0" w:after="283"/>
              <w:jc w:val="left"/>
              <w:rPr/>
            </w:pPr>
            <w:r>
              <w:rPr/>
              <w:t> </w:t>
            </w:r>
          </w:p>
        </w:tc>
        <w:tc>
          <w:tcPr>
            <w:tcW w:w="73"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pPr>
            <w:r>
              <w:rPr/>
              <w:t> </w:t>
            </w:r>
          </w:p>
        </w:tc>
        <w:tc>
          <w:tcPr>
            <w:tcW w:w="469"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41" w:type="dxa"/>
            <w:tcBorders/>
            <w:shd w:fill="CCE2F1" w:val="clear"/>
            <w:vAlign w:val="center"/>
          </w:tcPr>
          <w:p>
            <w:pPr>
              <w:pStyle w:val="TableContents"/>
              <w:bidi w:val="0"/>
              <w:spacing w:before="0" w:after="283"/>
              <w:jc w:val="left"/>
              <w:rPr/>
            </w:pPr>
            <w:r>
              <w:rPr/>
              <w:t> </w:t>
            </w:r>
          </w:p>
        </w:tc>
        <w:tc>
          <w:tcPr>
            <w:tcW w:w="899" w:type="dxa"/>
            <w:tcBorders/>
            <w:shd w:fill="CCE2F1" w:val="clear"/>
            <w:vAlign w:val="center"/>
          </w:tcPr>
          <w:p>
            <w:pPr>
              <w:pStyle w:val="TableContents"/>
              <w:bidi w:val="0"/>
              <w:spacing w:before="0" w:after="283"/>
              <w:jc w:val="right"/>
              <w:rPr/>
            </w:pPr>
            <w:r>
              <w:rPr/>
              <w:t>129</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64" w:type="dxa"/>
            <w:tcBorders/>
            <w:shd w:fill="CCE2F1" w:val="clear"/>
            <w:vAlign w:val="center"/>
          </w:tcPr>
          <w:p>
            <w:pPr>
              <w:pStyle w:val="TableContents"/>
              <w:bidi w:val="0"/>
              <w:spacing w:before="0" w:after="283"/>
              <w:jc w:val="left"/>
              <w:rPr/>
            </w:pPr>
            <w:r>
              <w:rPr/>
              <w:t> </w:t>
            </w:r>
          </w:p>
        </w:tc>
        <w:tc>
          <w:tcPr>
            <w:tcW w:w="385"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689" w:type="dxa"/>
            <w:tcBorders/>
            <w:shd w:fill="CCE2F1" w:val="clear"/>
            <w:vAlign w:val="center"/>
          </w:tcPr>
          <w:p>
            <w:pPr>
              <w:pStyle w:val="TableContents"/>
              <w:bidi w:val="0"/>
              <w:spacing w:before="0" w:after="283"/>
              <w:jc w:val="right"/>
              <w:rPr/>
            </w:pPr>
            <w:r>
              <w:rPr/>
              <w:t>20,129 </w:t>
            </w:r>
          </w:p>
        </w:tc>
        <w:tc>
          <w:tcPr>
            <w:tcW w:w="83" w:type="dxa"/>
            <w:tcBorders/>
            <w:shd w:fill="CCE2F1" w:val="clear"/>
            <w:vAlign w:val="center"/>
          </w:tcPr>
          <w:p>
            <w:pPr>
              <w:pStyle w:val="TableContents"/>
              <w:bidi w:val="0"/>
              <w:spacing w:before="0" w:after="283"/>
              <w:jc w:val="left"/>
              <w:rPr/>
            </w:pPr>
            <w:r>
              <w:rPr/>
              <w:t> </w:t>
            </w:r>
          </w:p>
        </w:tc>
      </w:tr>
      <w:tr>
        <w:trPr/>
        <w:tc>
          <w:tcPr>
            <w:tcW w:w="1341" w:type="dxa"/>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1383" w:type="dxa"/>
            <w:gridSpan w:val="4"/>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669" w:type="dxa"/>
            <w:gridSpan w:val="4"/>
            <w:tcBorders/>
            <w:vAlign w:val="center"/>
          </w:tcPr>
          <w:p>
            <w:pPr>
              <w:pStyle w:val="TableContents"/>
              <w:bidi w:val="0"/>
              <w:spacing w:before="0" w:after="283"/>
              <w:jc w:val="left"/>
              <w:rPr>
                <w:sz w:val="4"/>
                <w:szCs w:val="4"/>
              </w:rPr>
            </w:pPr>
            <w:r>
              <w:rPr>
                <w:sz w:val="4"/>
                <w:szCs w:val="4"/>
              </w:rPr>
            </w:r>
          </w:p>
        </w:tc>
        <w:tc>
          <w:tcPr>
            <w:tcW w:w="892" w:type="dxa"/>
            <w:gridSpan w:val="4"/>
            <w:tcBorders/>
            <w:vAlign w:val="center"/>
          </w:tcPr>
          <w:p>
            <w:pPr>
              <w:pStyle w:val="TableContents"/>
              <w:bidi w:val="0"/>
              <w:spacing w:before="0" w:after="283"/>
              <w:jc w:val="left"/>
              <w:rPr>
                <w:sz w:val="4"/>
                <w:szCs w:val="4"/>
              </w:rPr>
            </w:pPr>
            <w:r>
              <w:rPr>
                <w:sz w:val="4"/>
                <w:szCs w:val="4"/>
              </w:rPr>
            </w:r>
          </w:p>
        </w:tc>
      </w:tr>
      <w:tr>
        <w:trPr/>
        <w:tc>
          <w:tcPr>
            <w:tcW w:w="1341" w:type="dxa"/>
            <w:tcBorders/>
            <w:vAlign w:val="center"/>
          </w:tcPr>
          <w:p>
            <w:pPr>
              <w:pStyle w:val="TableContents"/>
              <w:bidi w:val="0"/>
              <w:spacing w:before="0" w:after="0"/>
              <w:jc w:val="left"/>
              <w:rPr/>
            </w:pPr>
            <w:r>
              <w:rPr/>
              <w:t> </w:t>
            </w:r>
            <w:r>
              <w:rPr>
                <w:rFonts w:ascii="arial" w:hAnsi="arial"/>
                <w:sz w:val="18"/>
              </w:rPr>
              <w:t>Charles M. Holley, Jr.</w:t>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129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right"/>
              <w:rPr/>
            </w:pPr>
            <w:r>
              <w:rPr/>
              <w:t>129 </w:t>
            </w:r>
          </w:p>
        </w:tc>
        <w:tc>
          <w:tcPr>
            <w:tcW w:w="83" w:type="dxa"/>
            <w:tcBorders/>
            <w:vAlign w:val="center"/>
          </w:tcPr>
          <w:p>
            <w:pPr>
              <w:pStyle w:val="TableContents"/>
              <w:bidi w:val="0"/>
              <w:spacing w:before="0" w:after="283"/>
              <w:jc w:val="left"/>
              <w:rPr/>
            </w:pPr>
            <w:r>
              <w:rPr/>
              <w:t> </w:t>
            </w:r>
          </w:p>
        </w:tc>
      </w:tr>
      <w:tr>
        <w:trPr/>
        <w:tc>
          <w:tcPr>
            <w:tcW w:w="1341" w:type="dxa"/>
            <w:tcBorders/>
            <w:shd w:fill="CCE2F1" w:val="clear"/>
            <w:vAlign w:val="center"/>
          </w:tcPr>
          <w:p>
            <w:pPr>
              <w:pStyle w:val="TableContents"/>
              <w:bidi w:val="0"/>
              <w:spacing w:before="0" w:after="283"/>
              <w:jc w:val="left"/>
              <w:rPr>
                <w:sz w:val="4"/>
                <w:szCs w:val="4"/>
              </w:rPr>
            </w:pPr>
            <w:r>
              <w:rPr>
                <w:sz w:val="4"/>
                <w:szCs w:val="4"/>
              </w:rPr>
            </w:r>
          </w:p>
        </w:tc>
        <w:tc>
          <w:tcPr>
            <w:tcW w:w="1565" w:type="dxa"/>
            <w:gridSpan w:val="4"/>
            <w:tcBorders/>
            <w:shd w:fill="CCE2F1" w:val="clear"/>
            <w:vAlign w:val="center"/>
          </w:tcPr>
          <w:p>
            <w:pPr>
              <w:pStyle w:val="TableContents"/>
              <w:bidi w:val="0"/>
              <w:spacing w:before="0" w:after="283"/>
              <w:jc w:val="left"/>
              <w:rPr>
                <w:sz w:val="4"/>
                <w:szCs w:val="4"/>
              </w:rPr>
            </w:pPr>
            <w:r>
              <w:rPr>
                <w:sz w:val="4"/>
                <w:szCs w:val="4"/>
              </w:rPr>
            </w:r>
          </w:p>
        </w:tc>
        <w:tc>
          <w:tcPr>
            <w:tcW w:w="1370" w:type="dxa"/>
            <w:gridSpan w:val="4"/>
            <w:tcBorders/>
            <w:shd w:fill="CCE2F1" w:val="clear"/>
            <w:vAlign w:val="center"/>
          </w:tcPr>
          <w:p>
            <w:pPr>
              <w:pStyle w:val="TableContents"/>
              <w:bidi w:val="0"/>
              <w:spacing w:before="0" w:after="283"/>
              <w:jc w:val="left"/>
              <w:rPr>
                <w:sz w:val="4"/>
                <w:szCs w:val="4"/>
              </w:rPr>
            </w:pPr>
            <w:r>
              <w:rPr>
                <w:sz w:val="4"/>
                <w:szCs w:val="4"/>
              </w:rPr>
            </w:r>
          </w:p>
        </w:tc>
        <w:tc>
          <w:tcPr>
            <w:tcW w:w="1115" w:type="dxa"/>
            <w:gridSpan w:val="4"/>
            <w:tcBorders/>
            <w:shd w:fill="CCE2F1" w:val="clear"/>
            <w:vAlign w:val="center"/>
          </w:tcPr>
          <w:p>
            <w:pPr>
              <w:pStyle w:val="TableContents"/>
              <w:bidi w:val="0"/>
              <w:spacing w:before="0" w:after="283"/>
              <w:jc w:val="left"/>
              <w:rPr>
                <w:sz w:val="4"/>
                <w:szCs w:val="4"/>
              </w:rPr>
            </w:pPr>
            <w:r>
              <w:rPr>
                <w:sz w:val="4"/>
                <w:szCs w:val="4"/>
              </w:rPr>
            </w:r>
          </w:p>
        </w:tc>
        <w:tc>
          <w:tcPr>
            <w:tcW w:w="1383" w:type="dxa"/>
            <w:gridSpan w:val="4"/>
            <w:tcBorders/>
            <w:shd w:fill="CCE2F1" w:val="clear"/>
            <w:vAlign w:val="center"/>
          </w:tcPr>
          <w:p>
            <w:pPr>
              <w:pStyle w:val="TableContents"/>
              <w:bidi w:val="0"/>
              <w:spacing w:before="0" w:after="283"/>
              <w:jc w:val="left"/>
              <w:rPr>
                <w:sz w:val="4"/>
                <w:szCs w:val="4"/>
              </w:rPr>
            </w:pPr>
            <w:r>
              <w:rPr>
                <w:sz w:val="4"/>
                <w:szCs w:val="4"/>
              </w:rPr>
            </w:r>
          </w:p>
        </w:tc>
        <w:tc>
          <w:tcPr>
            <w:tcW w:w="710" w:type="dxa"/>
            <w:gridSpan w:val="4"/>
            <w:tcBorders/>
            <w:shd w:fill="CCE2F1" w:val="clear"/>
            <w:vAlign w:val="center"/>
          </w:tcPr>
          <w:p>
            <w:pPr>
              <w:pStyle w:val="TableContents"/>
              <w:bidi w:val="0"/>
              <w:spacing w:before="0" w:after="283"/>
              <w:jc w:val="left"/>
              <w:rPr>
                <w:sz w:val="4"/>
                <w:szCs w:val="4"/>
              </w:rPr>
            </w:pPr>
            <w:r>
              <w:rPr>
                <w:sz w:val="4"/>
                <w:szCs w:val="4"/>
              </w:rPr>
            </w:r>
          </w:p>
        </w:tc>
        <w:tc>
          <w:tcPr>
            <w:tcW w:w="1160" w:type="dxa"/>
            <w:gridSpan w:val="4"/>
            <w:tcBorders/>
            <w:shd w:fill="CCE2F1" w:val="clear"/>
            <w:vAlign w:val="center"/>
          </w:tcPr>
          <w:p>
            <w:pPr>
              <w:pStyle w:val="TableContents"/>
              <w:bidi w:val="0"/>
              <w:spacing w:before="0" w:after="283"/>
              <w:jc w:val="left"/>
              <w:rPr>
                <w:sz w:val="4"/>
                <w:szCs w:val="4"/>
              </w:rPr>
            </w:pPr>
            <w:r>
              <w:rPr>
                <w:sz w:val="4"/>
                <w:szCs w:val="4"/>
              </w:rPr>
            </w:r>
          </w:p>
        </w:tc>
        <w:tc>
          <w:tcPr>
            <w:tcW w:w="669" w:type="dxa"/>
            <w:gridSpan w:val="4"/>
            <w:tcBorders/>
            <w:shd w:fill="CCE2F1" w:val="clear"/>
            <w:vAlign w:val="center"/>
          </w:tcPr>
          <w:p>
            <w:pPr>
              <w:pStyle w:val="TableContents"/>
              <w:bidi w:val="0"/>
              <w:spacing w:before="0" w:after="283"/>
              <w:jc w:val="left"/>
              <w:rPr>
                <w:sz w:val="4"/>
                <w:szCs w:val="4"/>
              </w:rPr>
            </w:pPr>
            <w:r>
              <w:rPr>
                <w:sz w:val="4"/>
                <w:szCs w:val="4"/>
              </w:rPr>
            </w:r>
          </w:p>
        </w:tc>
        <w:tc>
          <w:tcPr>
            <w:tcW w:w="892"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1341" w:type="dxa"/>
            <w:tcBorders/>
            <w:shd w:fill="CCE2F1" w:val="clear"/>
            <w:vAlign w:val="center"/>
          </w:tcPr>
          <w:p>
            <w:pPr>
              <w:pStyle w:val="TableContents"/>
              <w:bidi w:val="0"/>
              <w:spacing w:before="0" w:after="0"/>
              <w:jc w:val="left"/>
              <w:rPr/>
            </w:pPr>
            <w:r>
              <w:rPr/>
              <w:t> </w:t>
            </w:r>
            <w:r>
              <w:rPr>
                <w:rFonts w:ascii="arial" w:hAnsi="arial"/>
                <w:sz w:val="18"/>
              </w:rPr>
              <w:t>S. Omar Ishrak</w:t>
            </w:r>
          </w:p>
        </w:tc>
        <w:tc>
          <w:tcPr>
            <w:tcW w:w="60" w:type="dxa"/>
            <w:tcBorders/>
            <w:shd w:fill="CCE2F1" w:val="clear"/>
            <w:vAlign w:val="center"/>
          </w:tcPr>
          <w:p>
            <w:pPr>
              <w:pStyle w:val="TableContents"/>
              <w:bidi w:val="0"/>
              <w:spacing w:before="0" w:after="283"/>
              <w:jc w:val="left"/>
              <w:rPr/>
            </w:pPr>
            <w:r>
              <w:rPr/>
              <w:t> </w:t>
            </w:r>
          </w:p>
        </w:tc>
        <w:tc>
          <w:tcPr>
            <w:tcW w:w="117" w:type="dxa"/>
            <w:tcBorders/>
            <w:shd w:fill="CCE2F1" w:val="clear"/>
            <w:vAlign w:val="center"/>
          </w:tcPr>
          <w:p>
            <w:pPr>
              <w:pStyle w:val="TableContents"/>
              <w:bidi w:val="0"/>
              <w:spacing w:before="0" w:after="283"/>
              <w:jc w:val="left"/>
              <w:rPr/>
            </w:pPr>
            <w:r>
              <w:rPr/>
              <w:t> </w:t>
            </w:r>
          </w:p>
        </w:tc>
        <w:tc>
          <w:tcPr>
            <w:tcW w:w="1328" w:type="dxa"/>
            <w:tcBorders/>
            <w:shd w:fill="CCE2F1" w:val="clear"/>
            <w:vAlign w:val="center"/>
          </w:tcPr>
          <w:p>
            <w:pPr>
              <w:pStyle w:val="TableContents"/>
              <w:bidi w:val="0"/>
              <w:spacing w:before="0" w:after="283"/>
              <w:jc w:val="right"/>
              <w:rPr/>
            </w:pPr>
            <w:r>
              <w:rPr/>
              <w:t>20,000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1130" w:type="dxa"/>
            <w:tcBorders/>
            <w:shd w:fill="CCE2F1" w:val="clear"/>
            <w:vAlign w:val="center"/>
          </w:tcPr>
          <w:p>
            <w:pPr>
              <w:pStyle w:val="TableContents"/>
              <w:bidi w:val="0"/>
              <w:spacing w:before="0" w:after="283"/>
              <w:jc w:val="right"/>
              <w:rPr/>
            </w:pPr>
            <w:r>
              <w:rPr/>
              <w:t>2,751</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96" w:type="dxa"/>
            <w:tcBorders/>
            <w:shd w:fill="CCE2F1" w:val="clear"/>
            <w:vAlign w:val="center"/>
          </w:tcPr>
          <w:p>
            <w:pPr>
              <w:pStyle w:val="TableContents"/>
              <w:bidi w:val="0"/>
              <w:spacing w:before="0" w:after="283"/>
              <w:jc w:val="left"/>
              <w:rPr/>
            </w:pPr>
            <w:r>
              <w:rPr/>
              <w:t> </w:t>
            </w:r>
          </w:p>
        </w:tc>
        <w:tc>
          <w:tcPr>
            <w:tcW w:w="899" w:type="dxa"/>
            <w:tcBorders/>
            <w:shd w:fill="CCE2F1" w:val="clear"/>
            <w:vAlign w:val="center"/>
          </w:tcPr>
          <w:p>
            <w:pPr>
              <w:pStyle w:val="TableContents"/>
              <w:bidi w:val="0"/>
              <w:spacing w:before="0" w:after="283"/>
              <w:jc w:val="right"/>
              <w:rPr/>
            </w:pPr>
            <w:r>
              <w:rPr/>
              <w:t>3,803</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375" w:type="dxa"/>
            <w:tcBorders/>
            <w:shd w:fill="CCE2F1" w:val="clear"/>
            <w:vAlign w:val="center"/>
          </w:tcPr>
          <w:p>
            <w:pPr>
              <w:pStyle w:val="TableContents"/>
              <w:bidi w:val="0"/>
              <w:spacing w:before="0" w:after="283"/>
              <w:jc w:val="left"/>
              <w:rPr/>
            </w:pPr>
            <w:r>
              <w:rPr/>
              <w:t> </w:t>
            </w:r>
          </w:p>
        </w:tc>
        <w:tc>
          <w:tcPr>
            <w:tcW w:w="875" w:type="dxa"/>
            <w:tcBorders/>
            <w:shd w:fill="CCE2F1" w:val="clear"/>
            <w:vAlign w:val="center"/>
          </w:tcPr>
          <w:p>
            <w:pPr>
              <w:pStyle w:val="TableContents"/>
              <w:bidi w:val="0"/>
              <w:spacing w:before="0" w:after="283"/>
              <w:jc w:val="right"/>
              <w:rPr/>
            </w:pPr>
            <w:r>
              <w:rPr/>
              <w:t>0</w:t>
            </w:r>
          </w:p>
        </w:tc>
        <w:tc>
          <w:tcPr>
            <w:tcW w:w="73" w:type="dxa"/>
            <w:tcBorders/>
            <w:shd w:fill="CCE2F1" w:val="clear"/>
            <w:vAlign w:val="center"/>
          </w:tcPr>
          <w:p>
            <w:pPr>
              <w:pStyle w:val="TableContents"/>
              <w:bidi w:val="0"/>
              <w:spacing w:before="0" w:after="283"/>
              <w:jc w:val="left"/>
              <w:rPr/>
            </w:pPr>
            <w:r>
              <w:rPr/>
              <w:t> </w:t>
            </w:r>
          </w:p>
        </w:tc>
        <w:tc>
          <w:tcPr>
            <w:tcW w:w="73"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pPr>
            <w:r>
              <w:rPr/>
              <w:t> </w:t>
            </w:r>
          </w:p>
        </w:tc>
        <w:tc>
          <w:tcPr>
            <w:tcW w:w="469"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41" w:type="dxa"/>
            <w:tcBorders/>
            <w:shd w:fill="CCE2F1" w:val="clear"/>
            <w:vAlign w:val="center"/>
          </w:tcPr>
          <w:p>
            <w:pPr>
              <w:pStyle w:val="TableContents"/>
              <w:bidi w:val="0"/>
              <w:spacing w:before="0" w:after="283"/>
              <w:jc w:val="left"/>
              <w:rPr/>
            </w:pPr>
            <w:r>
              <w:rPr/>
              <w:t> </w:t>
            </w:r>
          </w:p>
        </w:tc>
        <w:tc>
          <w:tcPr>
            <w:tcW w:w="899" w:type="dxa"/>
            <w:tcBorders/>
            <w:shd w:fill="CCE2F1" w:val="clear"/>
            <w:vAlign w:val="center"/>
          </w:tcPr>
          <w:p>
            <w:pPr>
              <w:pStyle w:val="TableContents"/>
              <w:bidi w:val="0"/>
              <w:spacing w:before="0" w:after="283"/>
              <w:jc w:val="right"/>
              <w:rPr/>
            </w:pPr>
            <w:r>
              <w:rPr/>
              <w:t>129</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64" w:type="dxa"/>
            <w:tcBorders/>
            <w:shd w:fill="CCE2F1" w:val="clear"/>
            <w:vAlign w:val="center"/>
          </w:tcPr>
          <w:p>
            <w:pPr>
              <w:pStyle w:val="TableContents"/>
              <w:bidi w:val="0"/>
              <w:spacing w:before="0" w:after="283"/>
              <w:jc w:val="left"/>
              <w:rPr/>
            </w:pPr>
            <w:r>
              <w:rPr/>
              <w:t> </w:t>
            </w:r>
          </w:p>
        </w:tc>
        <w:tc>
          <w:tcPr>
            <w:tcW w:w="385"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689" w:type="dxa"/>
            <w:tcBorders/>
            <w:shd w:fill="CCE2F1" w:val="clear"/>
            <w:vAlign w:val="center"/>
          </w:tcPr>
          <w:p>
            <w:pPr>
              <w:pStyle w:val="TableContents"/>
              <w:bidi w:val="0"/>
              <w:spacing w:before="0" w:after="283"/>
              <w:jc w:val="right"/>
              <w:rPr/>
            </w:pPr>
            <w:r>
              <w:rPr/>
              <w:t>26,683 </w:t>
            </w:r>
          </w:p>
        </w:tc>
        <w:tc>
          <w:tcPr>
            <w:tcW w:w="83" w:type="dxa"/>
            <w:tcBorders/>
            <w:shd w:fill="CCE2F1" w:val="clear"/>
            <w:vAlign w:val="center"/>
          </w:tcPr>
          <w:p>
            <w:pPr>
              <w:pStyle w:val="TableContents"/>
              <w:bidi w:val="0"/>
              <w:spacing w:before="0" w:after="283"/>
              <w:jc w:val="left"/>
              <w:rPr/>
            </w:pPr>
            <w:r>
              <w:rPr/>
              <w:t> </w:t>
            </w:r>
          </w:p>
        </w:tc>
      </w:tr>
      <w:tr>
        <w:trPr/>
        <w:tc>
          <w:tcPr>
            <w:tcW w:w="1341" w:type="dxa"/>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1383" w:type="dxa"/>
            <w:gridSpan w:val="4"/>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669" w:type="dxa"/>
            <w:gridSpan w:val="4"/>
            <w:tcBorders/>
            <w:vAlign w:val="center"/>
          </w:tcPr>
          <w:p>
            <w:pPr>
              <w:pStyle w:val="TableContents"/>
              <w:bidi w:val="0"/>
              <w:spacing w:before="0" w:after="283"/>
              <w:jc w:val="left"/>
              <w:rPr>
                <w:sz w:val="4"/>
                <w:szCs w:val="4"/>
              </w:rPr>
            </w:pPr>
            <w:r>
              <w:rPr>
                <w:sz w:val="4"/>
                <w:szCs w:val="4"/>
              </w:rPr>
            </w:r>
          </w:p>
        </w:tc>
        <w:tc>
          <w:tcPr>
            <w:tcW w:w="892" w:type="dxa"/>
            <w:gridSpan w:val="4"/>
            <w:tcBorders/>
            <w:vAlign w:val="center"/>
          </w:tcPr>
          <w:p>
            <w:pPr>
              <w:pStyle w:val="TableContents"/>
              <w:bidi w:val="0"/>
              <w:spacing w:before="0" w:after="283"/>
              <w:jc w:val="left"/>
              <w:rPr>
                <w:sz w:val="4"/>
                <w:szCs w:val="4"/>
              </w:rPr>
            </w:pPr>
            <w:r>
              <w:rPr>
                <w:sz w:val="4"/>
                <w:szCs w:val="4"/>
              </w:rPr>
            </w:r>
          </w:p>
        </w:tc>
      </w:tr>
      <w:tr>
        <w:trPr/>
        <w:tc>
          <w:tcPr>
            <w:tcW w:w="1341" w:type="dxa"/>
            <w:tcBorders/>
            <w:vAlign w:val="center"/>
          </w:tcPr>
          <w:p>
            <w:pPr>
              <w:pStyle w:val="TableContents"/>
              <w:bidi w:val="0"/>
              <w:spacing w:before="0" w:after="0"/>
              <w:jc w:val="left"/>
              <w:rPr/>
            </w:pPr>
            <w:r>
              <w:rPr/>
              <w:t> </w:t>
            </w:r>
            <w:r>
              <w:rPr>
                <w:rFonts w:ascii="arial" w:hAnsi="arial"/>
                <w:sz w:val="18"/>
              </w:rPr>
              <w:t>Tyler Jacks</w:t>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129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right"/>
              <w:rPr/>
            </w:pPr>
            <w:r>
              <w:rPr/>
              <w:t>129 </w:t>
            </w:r>
          </w:p>
        </w:tc>
        <w:tc>
          <w:tcPr>
            <w:tcW w:w="83" w:type="dxa"/>
            <w:tcBorders/>
            <w:vAlign w:val="center"/>
          </w:tcPr>
          <w:p>
            <w:pPr>
              <w:pStyle w:val="TableContents"/>
              <w:bidi w:val="0"/>
              <w:spacing w:before="0" w:after="283"/>
              <w:jc w:val="left"/>
              <w:rPr/>
            </w:pPr>
            <w:r>
              <w:rPr/>
              <w:t> </w:t>
            </w:r>
          </w:p>
        </w:tc>
      </w:tr>
      <w:tr>
        <w:trPr/>
        <w:tc>
          <w:tcPr>
            <w:tcW w:w="1341" w:type="dxa"/>
            <w:tcBorders/>
            <w:shd w:fill="CCE2F1" w:val="clear"/>
            <w:vAlign w:val="center"/>
          </w:tcPr>
          <w:p>
            <w:pPr>
              <w:pStyle w:val="TableContents"/>
              <w:bidi w:val="0"/>
              <w:spacing w:before="0" w:after="283"/>
              <w:jc w:val="left"/>
              <w:rPr>
                <w:sz w:val="4"/>
                <w:szCs w:val="4"/>
              </w:rPr>
            </w:pPr>
            <w:r>
              <w:rPr>
                <w:sz w:val="4"/>
                <w:szCs w:val="4"/>
              </w:rPr>
            </w:r>
          </w:p>
        </w:tc>
        <w:tc>
          <w:tcPr>
            <w:tcW w:w="1565" w:type="dxa"/>
            <w:gridSpan w:val="4"/>
            <w:tcBorders/>
            <w:shd w:fill="CCE2F1" w:val="clear"/>
            <w:vAlign w:val="center"/>
          </w:tcPr>
          <w:p>
            <w:pPr>
              <w:pStyle w:val="TableContents"/>
              <w:bidi w:val="0"/>
              <w:spacing w:before="0" w:after="283"/>
              <w:jc w:val="left"/>
              <w:rPr>
                <w:sz w:val="4"/>
                <w:szCs w:val="4"/>
              </w:rPr>
            </w:pPr>
            <w:r>
              <w:rPr>
                <w:sz w:val="4"/>
                <w:szCs w:val="4"/>
              </w:rPr>
            </w:r>
          </w:p>
        </w:tc>
        <w:tc>
          <w:tcPr>
            <w:tcW w:w="1370" w:type="dxa"/>
            <w:gridSpan w:val="4"/>
            <w:tcBorders/>
            <w:shd w:fill="CCE2F1" w:val="clear"/>
            <w:vAlign w:val="center"/>
          </w:tcPr>
          <w:p>
            <w:pPr>
              <w:pStyle w:val="TableContents"/>
              <w:bidi w:val="0"/>
              <w:spacing w:before="0" w:after="283"/>
              <w:jc w:val="left"/>
              <w:rPr>
                <w:sz w:val="4"/>
                <w:szCs w:val="4"/>
              </w:rPr>
            </w:pPr>
            <w:r>
              <w:rPr>
                <w:sz w:val="4"/>
                <w:szCs w:val="4"/>
              </w:rPr>
            </w:r>
          </w:p>
        </w:tc>
        <w:tc>
          <w:tcPr>
            <w:tcW w:w="1115" w:type="dxa"/>
            <w:gridSpan w:val="4"/>
            <w:tcBorders/>
            <w:shd w:fill="CCE2F1" w:val="clear"/>
            <w:vAlign w:val="center"/>
          </w:tcPr>
          <w:p>
            <w:pPr>
              <w:pStyle w:val="TableContents"/>
              <w:bidi w:val="0"/>
              <w:spacing w:before="0" w:after="283"/>
              <w:jc w:val="left"/>
              <w:rPr>
                <w:sz w:val="4"/>
                <w:szCs w:val="4"/>
              </w:rPr>
            </w:pPr>
            <w:r>
              <w:rPr>
                <w:sz w:val="4"/>
                <w:szCs w:val="4"/>
              </w:rPr>
            </w:r>
          </w:p>
        </w:tc>
        <w:tc>
          <w:tcPr>
            <w:tcW w:w="1383" w:type="dxa"/>
            <w:gridSpan w:val="4"/>
            <w:tcBorders/>
            <w:shd w:fill="CCE2F1" w:val="clear"/>
            <w:vAlign w:val="center"/>
          </w:tcPr>
          <w:p>
            <w:pPr>
              <w:pStyle w:val="TableContents"/>
              <w:bidi w:val="0"/>
              <w:spacing w:before="0" w:after="283"/>
              <w:jc w:val="left"/>
              <w:rPr>
                <w:sz w:val="4"/>
                <w:szCs w:val="4"/>
              </w:rPr>
            </w:pPr>
            <w:r>
              <w:rPr>
                <w:sz w:val="4"/>
                <w:szCs w:val="4"/>
              </w:rPr>
            </w:r>
          </w:p>
        </w:tc>
        <w:tc>
          <w:tcPr>
            <w:tcW w:w="710" w:type="dxa"/>
            <w:gridSpan w:val="4"/>
            <w:tcBorders/>
            <w:shd w:fill="CCE2F1" w:val="clear"/>
            <w:vAlign w:val="center"/>
          </w:tcPr>
          <w:p>
            <w:pPr>
              <w:pStyle w:val="TableContents"/>
              <w:bidi w:val="0"/>
              <w:spacing w:before="0" w:after="283"/>
              <w:jc w:val="left"/>
              <w:rPr>
                <w:sz w:val="4"/>
                <w:szCs w:val="4"/>
              </w:rPr>
            </w:pPr>
            <w:r>
              <w:rPr>
                <w:sz w:val="4"/>
                <w:szCs w:val="4"/>
              </w:rPr>
            </w:r>
          </w:p>
        </w:tc>
        <w:tc>
          <w:tcPr>
            <w:tcW w:w="1160" w:type="dxa"/>
            <w:gridSpan w:val="4"/>
            <w:tcBorders/>
            <w:shd w:fill="CCE2F1" w:val="clear"/>
            <w:vAlign w:val="center"/>
          </w:tcPr>
          <w:p>
            <w:pPr>
              <w:pStyle w:val="TableContents"/>
              <w:bidi w:val="0"/>
              <w:spacing w:before="0" w:after="283"/>
              <w:jc w:val="left"/>
              <w:rPr>
                <w:sz w:val="4"/>
                <w:szCs w:val="4"/>
              </w:rPr>
            </w:pPr>
            <w:r>
              <w:rPr>
                <w:sz w:val="4"/>
                <w:szCs w:val="4"/>
              </w:rPr>
            </w:r>
          </w:p>
        </w:tc>
        <w:tc>
          <w:tcPr>
            <w:tcW w:w="669" w:type="dxa"/>
            <w:gridSpan w:val="4"/>
            <w:tcBorders/>
            <w:shd w:fill="CCE2F1" w:val="clear"/>
            <w:vAlign w:val="center"/>
          </w:tcPr>
          <w:p>
            <w:pPr>
              <w:pStyle w:val="TableContents"/>
              <w:bidi w:val="0"/>
              <w:spacing w:before="0" w:after="283"/>
              <w:jc w:val="left"/>
              <w:rPr>
                <w:sz w:val="4"/>
                <w:szCs w:val="4"/>
              </w:rPr>
            </w:pPr>
            <w:r>
              <w:rPr>
                <w:sz w:val="4"/>
                <w:szCs w:val="4"/>
              </w:rPr>
            </w:r>
          </w:p>
        </w:tc>
        <w:tc>
          <w:tcPr>
            <w:tcW w:w="892"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1341" w:type="dxa"/>
            <w:tcBorders/>
            <w:shd w:fill="CCE2F1" w:val="clear"/>
            <w:vAlign w:val="center"/>
          </w:tcPr>
          <w:p>
            <w:pPr>
              <w:pStyle w:val="TableContents"/>
              <w:bidi w:val="0"/>
              <w:spacing w:before="0" w:after="0"/>
              <w:jc w:val="left"/>
              <w:rPr/>
            </w:pPr>
            <w:r>
              <w:rPr/>
              <w:t> </w:t>
            </w:r>
            <w:r>
              <w:rPr>
                <w:rFonts w:ascii="arial" w:hAnsi="arial"/>
                <w:sz w:val="18"/>
              </w:rPr>
              <w:t>Ellen J. Kullman</w:t>
            </w:r>
          </w:p>
        </w:tc>
        <w:tc>
          <w:tcPr>
            <w:tcW w:w="60" w:type="dxa"/>
            <w:tcBorders/>
            <w:shd w:fill="CCE2F1" w:val="clear"/>
            <w:vAlign w:val="center"/>
          </w:tcPr>
          <w:p>
            <w:pPr>
              <w:pStyle w:val="TableContents"/>
              <w:bidi w:val="0"/>
              <w:spacing w:before="0" w:after="283"/>
              <w:jc w:val="left"/>
              <w:rPr/>
            </w:pPr>
            <w:r>
              <w:rPr/>
              <w:t> </w:t>
            </w:r>
          </w:p>
        </w:tc>
        <w:tc>
          <w:tcPr>
            <w:tcW w:w="117" w:type="dxa"/>
            <w:tcBorders/>
            <w:shd w:fill="CCE2F1" w:val="clear"/>
            <w:vAlign w:val="center"/>
          </w:tcPr>
          <w:p>
            <w:pPr>
              <w:pStyle w:val="TableContents"/>
              <w:bidi w:val="0"/>
              <w:spacing w:before="0" w:after="283"/>
              <w:jc w:val="left"/>
              <w:rPr/>
            </w:pPr>
            <w:r>
              <w:rPr/>
              <w:t> </w:t>
            </w:r>
          </w:p>
        </w:tc>
        <w:tc>
          <w:tcPr>
            <w:tcW w:w="1328" w:type="dxa"/>
            <w:tcBorders/>
            <w:shd w:fill="CCE2F1" w:val="clear"/>
            <w:vAlign w:val="center"/>
          </w:tcPr>
          <w:p>
            <w:pPr>
              <w:pStyle w:val="TableContents"/>
              <w:bidi w:val="0"/>
              <w:spacing w:before="0" w:after="283"/>
              <w:jc w:val="right"/>
              <w:rPr/>
            </w:pPr>
            <w:r>
              <w:rPr/>
              <w:t>20,000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1130" w:type="dxa"/>
            <w:tcBorders/>
            <w:shd w:fill="CCE2F1" w:val="clear"/>
            <w:vAlign w:val="center"/>
          </w:tcPr>
          <w:p>
            <w:pPr>
              <w:pStyle w:val="TableContents"/>
              <w:bidi w:val="0"/>
              <w:spacing w:before="0" w:after="283"/>
              <w:jc w:val="right"/>
              <w:rPr/>
            </w:pPr>
            <w:r>
              <w:rPr/>
              <w:t>204</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96" w:type="dxa"/>
            <w:tcBorders/>
            <w:shd w:fill="CCE2F1" w:val="clear"/>
            <w:vAlign w:val="center"/>
          </w:tcPr>
          <w:p>
            <w:pPr>
              <w:pStyle w:val="TableContents"/>
              <w:bidi w:val="0"/>
              <w:spacing w:before="0" w:after="283"/>
              <w:jc w:val="left"/>
              <w:rPr/>
            </w:pPr>
            <w:r>
              <w:rPr/>
              <w:t> </w:t>
            </w:r>
          </w:p>
        </w:tc>
        <w:tc>
          <w:tcPr>
            <w:tcW w:w="899" w:type="dxa"/>
            <w:tcBorders/>
            <w:shd w:fill="CCE2F1" w:val="clear"/>
            <w:vAlign w:val="center"/>
          </w:tcPr>
          <w:p>
            <w:pPr>
              <w:pStyle w:val="TableContents"/>
              <w:bidi w:val="0"/>
              <w:spacing w:before="0" w:after="283"/>
              <w:jc w:val="right"/>
              <w:rPr/>
            </w:pPr>
            <w:r>
              <w:rPr/>
              <w:t>26</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375" w:type="dxa"/>
            <w:tcBorders/>
            <w:shd w:fill="CCE2F1" w:val="clear"/>
            <w:vAlign w:val="center"/>
          </w:tcPr>
          <w:p>
            <w:pPr>
              <w:pStyle w:val="TableContents"/>
              <w:bidi w:val="0"/>
              <w:spacing w:before="0" w:after="283"/>
              <w:jc w:val="left"/>
              <w:rPr/>
            </w:pPr>
            <w:r>
              <w:rPr/>
              <w:t> </w:t>
            </w:r>
          </w:p>
        </w:tc>
        <w:tc>
          <w:tcPr>
            <w:tcW w:w="875" w:type="dxa"/>
            <w:tcBorders/>
            <w:shd w:fill="CCE2F1" w:val="clear"/>
            <w:vAlign w:val="center"/>
          </w:tcPr>
          <w:p>
            <w:pPr>
              <w:pStyle w:val="TableContents"/>
              <w:bidi w:val="0"/>
              <w:spacing w:before="0" w:after="283"/>
              <w:jc w:val="right"/>
              <w:rPr/>
            </w:pPr>
            <w:r>
              <w:rPr/>
              <w:t>0</w:t>
            </w:r>
          </w:p>
        </w:tc>
        <w:tc>
          <w:tcPr>
            <w:tcW w:w="73" w:type="dxa"/>
            <w:tcBorders/>
            <w:shd w:fill="CCE2F1" w:val="clear"/>
            <w:vAlign w:val="center"/>
          </w:tcPr>
          <w:p>
            <w:pPr>
              <w:pStyle w:val="TableContents"/>
              <w:bidi w:val="0"/>
              <w:spacing w:before="0" w:after="283"/>
              <w:jc w:val="left"/>
              <w:rPr/>
            </w:pPr>
            <w:r>
              <w:rPr/>
              <w:t> </w:t>
            </w:r>
          </w:p>
        </w:tc>
        <w:tc>
          <w:tcPr>
            <w:tcW w:w="73"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pPr>
            <w:r>
              <w:rPr/>
              <w:t> </w:t>
            </w:r>
          </w:p>
        </w:tc>
        <w:tc>
          <w:tcPr>
            <w:tcW w:w="469" w:type="dxa"/>
            <w:tcBorders/>
            <w:shd w:fill="CCE2F1" w:val="clear"/>
            <w:vAlign w:val="center"/>
          </w:tcPr>
          <w:p>
            <w:pPr>
              <w:pStyle w:val="TableContents"/>
              <w:bidi w:val="0"/>
              <w:spacing w:before="0" w:after="283"/>
              <w:jc w:val="right"/>
              <w:rPr/>
            </w:pPr>
            <w:r>
              <w:rPr/>
              <w:t>137</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41" w:type="dxa"/>
            <w:tcBorders/>
            <w:shd w:fill="CCE2F1" w:val="clear"/>
            <w:vAlign w:val="center"/>
          </w:tcPr>
          <w:p>
            <w:pPr>
              <w:pStyle w:val="TableContents"/>
              <w:bidi w:val="0"/>
              <w:spacing w:before="0" w:after="283"/>
              <w:jc w:val="left"/>
              <w:rPr/>
            </w:pPr>
            <w:r>
              <w:rPr/>
              <w:t> </w:t>
            </w:r>
          </w:p>
        </w:tc>
        <w:tc>
          <w:tcPr>
            <w:tcW w:w="899" w:type="dxa"/>
            <w:tcBorders/>
            <w:shd w:fill="CCE2F1" w:val="clear"/>
            <w:vAlign w:val="center"/>
          </w:tcPr>
          <w:p>
            <w:pPr>
              <w:pStyle w:val="TableContents"/>
              <w:bidi w:val="0"/>
              <w:spacing w:before="0" w:after="283"/>
              <w:jc w:val="right"/>
              <w:rPr/>
            </w:pPr>
            <w:r>
              <w:rPr/>
              <w:t>129</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64" w:type="dxa"/>
            <w:tcBorders/>
            <w:shd w:fill="CCE2F1" w:val="clear"/>
            <w:vAlign w:val="center"/>
          </w:tcPr>
          <w:p>
            <w:pPr>
              <w:pStyle w:val="TableContents"/>
              <w:bidi w:val="0"/>
              <w:spacing w:before="0" w:after="283"/>
              <w:jc w:val="left"/>
              <w:rPr/>
            </w:pPr>
            <w:r>
              <w:rPr/>
              <w:t> </w:t>
            </w:r>
          </w:p>
        </w:tc>
        <w:tc>
          <w:tcPr>
            <w:tcW w:w="385"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689" w:type="dxa"/>
            <w:tcBorders/>
            <w:shd w:fill="CCE2F1" w:val="clear"/>
            <w:vAlign w:val="center"/>
          </w:tcPr>
          <w:p>
            <w:pPr>
              <w:pStyle w:val="TableContents"/>
              <w:bidi w:val="0"/>
              <w:spacing w:before="0" w:after="283"/>
              <w:jc w:val="right"/>
              <w:rPr/>
            </w:pPr>
            <w:r>
              <w:rPr/>
              <w:t>20,496 </w:t>
            </w:r>
          </w:p>
        </w:tc>
        <w:tc>
          <w:tcPr>
            <w:tcW w:w="83" w:type="dxa"/>
            <w:tcBorders/>
            <w:shd w:fill="CCE2F1" w:val="clear"/>
            <w:vAlign w:val="center"/>
          </w:tcPr>
          <w:p>
            <w:pPr>
              <w:pStyle w:val="TableContents"/>
              <w:bidi w:val="0"/>
              <w:spacing w:before="0" w:after="283"/>
              <w:jc w:val="left"/>
              <w:rPr/>
            </w:pPr>
            <w:r>
              <w:rPr/>
              <w:t> </w:t>
            </w:r>
          </w:p>
        </w:tc>
      </w:tr>
      <w:tr>
        <w:trPr/>
        <w:tc>
          <w:tcPr>
            <w:tcW w:w="1341" w:type="dxa"/>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1383" w:type="dxa"/>
            <w:gridSpan w:val="4"/>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669" w:type="dxa"/>
            <w:gridSpan w:val="4"/>
            <w:tcBorders/>
            <w:vAlign w:val="center"/>
          </w:tcPr>
          <w:p>
            <w:pPr>
              <w:pStyle w:val="TableContents"/>
              <w:bidi w:val="0"/>
              <w:spacing w:before="0" w:after="283"/>
              <w:jc w:val="left"/>
              <w:rPr>
                <w:sz w:val="4"/>
                <w:szCs w:val="4"/>
              </w:rPr>
            </w:pPr>
            <w:r>
              <w:rPr>
                <w:sz w:val="4"/>
                <w:szCs w:val="4"/>
              </w:rPr>
            </w:r>
          </w:p>
        </w:tc>
        <w:tc>
          <w:tcPr>
            <w:tcW w:w="892" w:type="dxa"/>
            <w:gridSpan w:val="4"/>
            <w:tcBorders/>
            <w:vAlign w:val="center"/>
          </w:tcPr>
          <w:p>
            <w:pPr>
              <w:pStyle w:val="TableContents"/>
              <w:bidi w:val="0"/>
              <w:spacing w:before="0" w:after="283"/>
              <w:jc w:val="left"/>
              <w:rPr>
                <w:sz w:val="4"/>
                <w:szCs w:val="4"/>
              </w:rPr>
            </w:pPr>
            <w:r>
              <w:rPr>
                <w:sz w:val="4"/>
                <w:szCs w:val="4"/>
              </w:rPr>
            </w:r>
          </w:p>
        </w:tc>
      </w:tr>
      <w:tr>
        <w:trPr/>
        <w:tc>
          <w:tcPr>
            <w:tcW w:w="1341" w:type="dxa"/>
            <w:tcBorders/>
            <w:vAlign w:val="center"/>
          </w:tcPr>
          <w:p>
            <w:pPr>
              <w:pStyle w:val="TableContents"/>
              <w:bidi w:val="0"/>
              <w:spacing w:before="0" w:after="0"/>
              <w:jc w:val="left"/>
              <w:rPr/>
            </w:pPr>
            <w:r>
              <w:rPr/>
              <w:t> </w:t>
            </w:r>
            <w:r>
              <w:rPr>
                <w:rFonts w:ascii="arial" w:hAnsi="arial"/>
                <w:sz w:val="18"/>
              </w:rPr>
              <w:t>Amy E. Miles</w:t>
            </w:r>
          </w:p>
        </w:tc>
        <w:tc>
          <w:tcPr>
            <w:tcW w:w="6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20,000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129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right"/>
              <w:rPr/>
            </w:pPr>
            <w:r>
              <w:rPr/>
              <w:t>20,129 </w:t>
            </w:r>
          </w:p>
        </w:tc>
        <w:tc>
          <w:tcPr>
            <w:tcW w:w="83" w:type="dxa"/>
            <w:tcBorders/>
            <w:vAlign w:val="center"/>
          </w:tcPr>
          <w:p>
            <w:pPr>
              <w:pStyle w:val="TableContents"/>
              <w:bidi w:val="0"/>
              <w:spacing w:before="0" w:after="283"/>
              <w:jc w:val="left"/>
              <w:rPr/>
            </w:pPr>
            <w:r>
              <w:rPr/>
              <w:t> </w:t>
            </w:r>
          </w:p>
        </w:tc>
      </w:tr>
      <w:tr>
        <w:trPr/>
        <w:tc>
          <w:tcPr>
            <w:tcW w:w="1341" w:type="dxa"/>
            <w:tcBorders/>
            <w:shd w:fill="CCE2F1" w:val="clear"/>
            <w:vAlign w:val="center"/>
          </w:tcPr>
          <w:p>
            <w:pPr>
              <w:pStyle w:val="TableContents"/>
              <w:bidi w:val="0"/>
              <w:spacing w:before="0" w:after="283"/>
              <w:jc w:val="left"/>
              <w:rPr>
                <w:sz w:val="4"/>
                <w:szCs w:val="4"/>
              </w:rPr>
            </w:pPr>
            <w:r>
              <w:rPr>
                <w:sz w:val="4"/>
                <w:szCs w:val="4"/>
              </w:rPr>
            </w:r>
          </w:p>
        </w:tc>
        <w:tc>
          <w:tcPr>
            <w:tcW w:w="1565" w:type="dxa"/>
            <w:gridSpan w:val="4"/>
            <w:tcBorders/>
            <w:shd w:fill="CCE2F1" w:val="clear"/>
            <w:vAlign w:val="center"/>
          </w:tcPr>
          <w:p>
            <w:pPr>
              <w:pStyle w:val="TableContents"/>
              <w:bidi w:val="0"/>
              <w:spacing w:before="0" w:after="283"/>
              <w:jc w:val="left"/>
              <w:rPr>
                <w:sz w:val="4"/>
                <w:szCs w:val="4"/>
              </w:rPr>
            </w:pPr>
            <w:r>
              <w:rPr>
                <w:sz w:val="4"/>
                <w:szCs w:val="4"/>
              </w:rPr>
            </w:r>
          </w:p>
        </w:tc>
        <w:tc>
          <w:tcPr>
            <w:tcW w:w="1370" w:type="dxa"/>
            <w:gridSpan w:val="4"/>
            <w:tcBorders/>
            <w:shd w:fill="CCE2F1" w:val="clear"/>
            <w:vAlign w:val="center"/>
          </w:tcPr>
          <w:p>
            <w:pPr>
              <w:pStyle w:val="TableContents"/>
              <w:bidi w:val="0"/>
              <w:spacing w:before="0" w:after="283"/>
              <w:jc w:val="left"/>
              <w:rPr>
                <w:sz w:val="4"/>
                <w:szCs w:val="4"/>
              </w:rPr>
            </w:pPr>
            <w:r>
              <w:rPr>
                <w:sz w:val="4"/>
                <w:szCs w:val="4"/>
              </w:rPr>
            </w:r>
          </w:p>
        </w:tc>
        <w:tc>
          <w:tcPr>
            <w:tcW w:w="1115" w:type="dxa"/>
            <w:gridSpan w:val="4"/>
            <w:tcBorders/>
            <w:shd w:fill="CCE2F1" w:val="clear"/>
            <w:vAlign w:val="center"/>
          </w:tcPr>
          <w:p>
            <w:pPr>
              <w:pStyle w:val="TableContents"/>
              <w:bidi w:val="0"/>
              <w:spacing w:before="0" w:after="283"/>
              <w:jc w:val="left"/>
              <w:rPr>
                <w:sz w:val="4"/>
                <w:szCs w:val="4"/>
              </w:rPr>
            </w:pPr>
            <w:r>
              <w:rPr>
                <w:sz w:val="4"/>
                <w:szCs w:val="4"/>
              </w:rPr>
            </w:r>
          </w:p>
        </w:tc>
        <w:tc>
          <w:tcPr>
            <w:tcW w:w="1383" w:type="dxa"/>
            <w:gridSpan w:val="4"/>
            <w:tcBorders/>
            <w:shd w:fill="CCE2F1" w:val="clear"/>
            <w:vAlign w:val="center"/>
          </w:tcPr>
          <w:p>
            <w:pPr>
              <w:pStyle w:val="TableContents"/>
              <w:bidi w:val="0"/>
              <w:spacing w:before="0" w:after="283"/>
              <w:jc w:val="left"/>
              <w:rPr>
                <w:sz w:val="4"/>
                <w:szCs w:val="4"/>
              </w:rPr>
            </w:pPr>
            <w:r>
              <w:rPr>
                <w:sz w:val="4"/>
                <w:szCs w:val="4"/>
              </w:rPr>
            </w:r>
          </w:p>
        </w:tc>
        <w:tc>
          <w:tcPr>
            <w:tcW w:w="710" w:type="dxa"/>
            <w:gridSpan w:val="4"/>
            <w:tcBorders/>
            <w:shd w:fill="CCE2F1" w:val="clear"/>
            <w:vAlign w:val="center"/>
          </w:tcPr>
          <w:p>
            <w:pPr>
              <w:pStyle w:val="TableContents"/>
              <w:bidi w:val="0"/>
              <w:spacing w:before="0" w:after="283"/>
              <w:jc w:val="left"/>
              <w:rPr>
                <w:sz w:val="4"/>
                <w:szCs w:val="4"/>
              </w:rPr>
            </w:pPr>
            <w:r>
              <w:rPr>
                <w:sz w:val="4"/>
                <w:szCs w:val="4"/>
              </w:rPr>
            </w:r>
          </w:p>
        </w:tc>
        <w:tc>
          <w:tcPr>
            <w:tcW w:w="1160" w:type="dxa"/>
            <w:gridSpan w:val="4"/>
            <w:tcBorders/>
            <w:shd w:fill="CCE2F1" w:val="clear"/>
            <w:vAlign w:val="center"/>
          </w:tcPr>
          <w:p>
            <w:pPr>
              <w:pStyle w:val="TableContents"/>
              <w:bidi w:val="0"/>
              <w:spacing w:before="0" w:after="283"/>
              <w:jc w:val="left"/>
              <w:rPr>
                <w:sz w:val="4"/>
                <w:szCs w:val="4"/>
              </w:rPr>
            </w:pPr>
            <w:r>
              <w:rPr>
                <w:sz w:val="4"/>
                <w:szCs w:val="4"/>
              </w:rPr>
            </w:r>
          </w:p>
        </w:tc>
        <w:tc>
          <w:tcPr>
            <w:tcW w:w="669" w:type="dxa"/>
            <w:gridSpan w:val="4"/>
            <w:tcBorders/>
            <w:shd w:fill="CCE2F1" w:val="clear"/>
            <w:vAlign w:val="center"/>
          </w:tcPr>
          <w:p>
            <w:pPr>
              <w:pStyle w:val="TableContents"/>
              <w:bidi w:val="0"/>
              <w:spacing w:before="0" w:after="283"/>
              <w:jc w:val="left"/>
              <w:rPr>
                <w:sz w:val="4"/>
                <w:szCs w:val="4"/>
              </w:rPr>
            </w:pPr>
            <w:r>
              <w:rPr>
                <w:sz w:val="4"/>
                <w:szCs w:val="4"/>
              </w:rPr>
            </w:r>
          </w:p>
        </w:tc>
        <w:tc>
          <w:tcPr>
            <w:tcW w:w="892"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1341" w:type="dxa"/>
            <w:tcBorders/>
            <w:shd w:fill="CCE2F1" w:val="clear"/>
            <w:vAlign w:val="center"/>
          </w:tcPr>
          <w:p>
            <w:pPr>
              <w:pStyle w:val="TableContents"/>
              <w:bidi w:val="0"/>
              <w:spacing w:before="0" w:after="0"/>
              <w:jc w:val="left"/>
              <w:rPr/>
            </w:pPr>
            <w:r>
              <w:rPr/>
              <w:t> </w:t>
            </w:r>
            <w:r>
              <w:rPr>
                <w:rFonts w:ascii="arial" w:hAnsi="arial"/>
                <w:sz w:val="18"/>
              </w:rPr>
              <w:t>Ronald D. Sugar</w:t>
            </w:r>
          </w:p>
        </w:tc>
        <w:tc>
          <w:tcPr>
            <w:tcW w:w="60" w:type="dxa"/>
            <w:tcBorders/>
            <w:shd w:fill="CCE2F1" w:val="clear"/>
            <w:vAlign w:val="center"/>
          </w:tcPr>
          <w:p>
            <w:pPr>
              <w:pStyle w:val="TableContents"/>
              <w:bidi w:val="0"/>
              <w:spacing w:before="0" w:after="283"/>
              <w:jc w:val="left"/>
              <w:rPr/>
            </w:pPr>
            <w:r>
              <w:rPr/>
              <w:t> </w:t>
            </w:r>
          </w:p>
        </w:tc>
        <w:tc>
          <w:tcPr>
            <w:tcW w:w="117" w:type="dxa"/>
            <w:tcBorders/>
            <w:shd w:fill="CCE2F1" w:val="clear"/>
            <w:vAlign w:val="center"/>
          </w:tcPr>
          <w:p>
            <w:pPr>
              <w:pStyle w:val="TableContents"/>
              <w:bidi w:val="0"/>
              <w:spacing w:before="0" w:after="283"/>
              <w:jc w:val="left"/>
              <w:rPr/>
            </w:pPr>
            <w:r>
              <w:rPr/>
              <w:t> </w:t>
            </w:r>
          </w:p>
        </w:tc>
        <w:tc>
          <w:tcPr>
            <w:tcW w:w="1328" w:type="dxa"/>
            <w:tcBorders/>
            <w:shd w:fill="CCE2F1" w:val="clear"/>
            <w:vAlign w:val="center"/>
          </w:tcPr>
          <w:p>
            <w:pPr>
              <w:pStyle w:val="TableContents"/>
              <w:bidi w:val="0"/>
              <w:spacing w:before="0" w:after="283"/>
              <w:jc w:val="right"/>
              <w:rPr/>
            </w:pPr>
            <w:r>
              <w:rPr/>
              <w:t>20,000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1130"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96" w:type="dxa"/>
            <w:tcBorders/>
            <w:shd w:fill="CCE2F1" w:val="clear"/>
            <w:vAlign w:val="center"/>
          </w:tcPr>
          <w:p>
            <w:pPr>
              <w:pStyle w:val="TableContents"/>
              <w:bidi w:val="0"/>
              <w:spacing w:before="0" w:after="283"/>
              <w:jc w:val="left"/>
              <w:rPr/>
            </w:pPr>
            <w:r>
              <w:rPr/>
              <w:t> </w:t>
            </w:r>
          </w:p>
        </w:tc>
        <w:tc>
          <w:tcPr>
            <w:tcW w:w="899"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375" w:type="dxa"/>
            <w:tcBorders/>
            <w:shd w:fill="CCE2F1" w:val="clear"/>
            <w:vAlign w:val="center"/>
          </w:tcPr>
          <w:p>
            <w:pPr>
              <w:pStyle w:val="TableContents"/>
              <w:bidi w:val="0"/>
              <w:spacing w:before="0" w:after="283"/>
              <w:jc w:val="left"/>
              <w:rPr/>
            </w:pPr>
            <w:r>
              <w:rPr/>
              <w:t> </w:t>
            </w:r>
          </w:p>
        </w:tc>
        <w:tc>
          <w:tcPr>
            <w:tcW w:w="875" w:type="dxa"/>
            <w:tcBorders/>
            <w:shd w:fill="CCE2F1" w:val="clear"/>
            <w:vAlign w:val="center"/>
          </w:tcPr>
          <w:p>
            <w:pPr>
              <w:pStyle w:val="TableContents"/>
              <w:bidi w:val="0"/>
              <w:spacing w:before="0" w:after="283"/>
              <w:jc w:val="right"/>
              <w:rPr/>
            </w:pPr>
            <w:r>
              <w:rPr/>
              <w:t>0</w:t>
            </w:r>
          </w:p>
        </w:tc>
        <w:tc>
          <w:tcPr>
            <w:tcW w:w="73" w:type="dxa"/>
            <w:tcBorders/>
            <w:shd w:fill="CCE2F1" w:val="clear"/>
            <w:vAlign w:val="center"/>
          </w:tcPr>
          <w:p>
            <w:pPr>
              <w:pStyle w:val="TableContents"/>
              <w:bidi w:val="0"/>
              <w:spacing w:before="0" w:after="283"/>
              <w:jc w:val="left"/>
              <w:rPr/>
            </w:pPr>
            <w:r>
              <w:rPr/>
              <w:t> </w:t>
            </w:r>
          </w:p>
        </w:tc>
        <w:tc>
          <w:tcPr>
            <w:tcW w:w="73" w:type="dxa"/>
            <w:tcBorders/>
            <w:shd w:fill="CCE2F1" w:val="clear"/>
            <w:vAlign w:val="center"/>
          </w:tcPr>
          <w:p>
            <w:pPr>
              <w:pStyle w:val="TableContents"/>
              <w:bidi w:val="0"/>
              <w:spacing w:before="0" w:after="283"/>
              <w:jc w:val="left"/>
              <w:rPr/>
            </w:pPr>
            <w:r>
              <w:rPr/>
              <w:t> </w:t>
            </w:r>
          </w:p>
        </w:tc>
        <w:tc>
          <w:tcPr>
            <w:tcW w:w="108" w:type="dxa"/>
            <w:tcBorders/>
            <w:shd w:fill="CCE2F1" w:val="clear"/>
            <w:vAlign w:val="center"/>
          </w:tcPr>
          <w:p>
            <w:pPr>
              <w:pStyle w:val="TableContents"/>
              <w:bidi w:val="0"/>
              <w:spacing w:before="0" w:after="283"/>
              <w:jc w:val="left"/>
              <w:rPr/>
            </w:pPr>
            <w:r>
              <w:rPr/>
              <w:t> </w:t>
            </w:r>
          </w:p>
        </w:tc>
        <w:tc>
          <w:tcPr>
            <w:tcW w:w="469"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41" w:type="dxa"/>
            <w:tcBorders/>
            <w:shd w:fill="CCE2F1" w:val="clear"/>
            <w:vAlign w:val="center"/>
          </w:tcPr>
          <w:p>
            <w:pPr>
              <w:pStyle w:val="TableContents"/>
              <w:bidi w:val="0"/>
              <w:spacing w:before="0" w:after="283"/>
              <w:jc w:val="left"/>
              <w:rPr/>
            </w:pPr>
            <w:r>
              <w:rPr/>
              <w:t> </w:t>
            </w:r>
          </w:p>
        </w:tc>
        <w:tc>
          <w:tcPr>
            <w:tcW w:w="899" w:type="dxa"/>
            <w:tcBorders/>
            <w:shd w:fill="CCE2F1" w:val="clear"/>
            <w:vAlign w:val="center"/>
          </w:tcPr>
          <w:p>
            <w:pPr>
              <w:pStyle w:val="TableContents"/>
              <w:bidi w:val="0"/>
              <w:spacing w:before="0" w:after="283"/>
              <w:jc w:val="right"/>
              <w:rPr/>
            </w:pPr>
            <w:r>
              <w:rPr/>
              <w:t>129</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64" w:type="dxa"/>
            <w:tcBorders/>
            <w:shd w:fill="CCE2F1" w:val="clear"/>
            <w:vAlign w:val="center"/>
          </w:tcPr>
          <w:p>
            <w:pPr>
              <w:pStyle w:val="TableContents"/>
              <w:bidi w:val="0"/>
              <w:spacing w:before="0" w:after="283"/>
              <w:jc w:val="left"/>
              <w:rPr/>
            </w:pPr>
            <w:r>
              <w:rPr/>
              <w:t> </w:t>
            </w:r>
          </w:p>
        </w:tc>
        <w:tc>
          <w:tcPr>
            <w:tcW w:w="385"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689" w:type="dxa"/>
            <w:tcBorders/>
            <w:shd w:fill="CCE2F1" w:val="clear"/>
            <w:vAlign w:val="center"/>
          </w:tcPr>
          <w:p>
            <w:pPr>
              <w:pStyle w:val="TableContents"/>
              <w:bidi w:val="0"/>
              <w:spacing w:before="0" w:after="283"/>
              <w:jc w:val="right"/>
              <w:rPr/>
            </w:pPr>
            <w:r>
              <w:rPr/>
              <w:t>20,129 </w:t>
            </w:r>
          </w:p>
        </w:tc>
        <w:tc>
          <w:tcPr>
            <w:tcW w:w="83" w:type="dxa"/>
            <w:tcBorders/>
            <w:shd w:fill="CCE2F1" w:val="clear"/>
            <w:vAlign w:val="center"/>
          </w:tcPr>
          <w:p>
            <w:pPr>
              <w:pStyle w:val="TableContents"/>
              <w:bidi w:val="0"/>
              <w:spacing w:before="0" w:after="283"/>
              <w:jc w:val="left"/>
              <w:rPr/>
            </w:pPr>
            <w:r>
              <w:rPr/>
              <w:t> </w:t>
            </w:r>
          </w:p>
        </w:tc>
      </w:tr>
      <w:tr>
        <w:trPr/>
        <w:tc>
          <w:tcPr>
            <w:tcW w:w="1341" w:type="dxa"/>
            <w:tcBorders/>
            <w:vAlign w:val="center"/>
          </w:tcPr>
          <w:p>
            <w:pPr>
              <w:pStyle w:val="TableContents"/>
              <w:bidi w:val="0"/>
              <w:spacing w:before="0" w:after="283"/>
              <w:jc w:val="left"/>
              <w:rPr>
                <w:sz w:val="4"/>
                <w:szCs w:val="4"/>
              </w:rPr>
            </w:pPr>
            <w:r>
              <w:rPr>
                <w:sz w:val="4"/>
                <w:szCs w:val="4"/>
              </w:rPr>
            </w:r>
          </w:p>
        </w:tc>
        <w:tc>
          <w:tcPr>
            <w:tcW w:w="1565" w:type="dxa"/>
            <w:gridSpan w:val="4"/>
            <w:tcBorders/>
            <w:vAlign w:val="center"/>
          </w:tcPr>
          <w:p>
            <w:pPr>
              <w:pStyle w:val="TableContents"/>
              <w:bidi w:val="0"/>
              <w:spacing w:before="0" w:after="283"/>
              <w:jc w:val="left"/>
              <w:rPr>
                <w:sz w:val="4"/>
                <w:szCs w:val="4"/>
              </w:rPr>
            </w:pPr>
            <w:r>
              <w:rPr>
                <w:sz w:val="4"/>
                <w:szCs w:val="4"/>
              </w:rPr>
            </w:r>
          </w:p>
        </w:tc>
        <w:tc>
          <w:tcPr>
            <w:tcW w:w="1370" w:type="dxa"/>
            <w:gridSpan w:val="4"/>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1383" w:type="dxa"/>
            <w:gridSpan w:val="4"/>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669" w:type="dxa"/>
            <w:gridSpan w:val="4"/>
            <w:tcBorders/>
            <w:vAlign w:val="center"/>
          </w:tcPr>
          <w:p>
            <w:pPr>
              <w:pStyle w:val="TableContents"/>
              <w:bidi w:val="0"/>
              <w:spacing w:before="0" w:after="283"/>
              <w:jc w:val="left"/>
              <w:rPr>
                <w:sz w:val="4"/>
                <w:szCs w:val="4"/>
              </w:rPr>
            </w:pPr>
            <w:r>
              <w:rPr>
                <w:sz w:val="4"/>
                <w:szCs w:val="4"/>
              </w:rPr>
            </w:r>
          </w:p>
        </w:tc>
        <w:tc>
          <w:tcPr>
            <w:tcW w:w="892" w:type="dxa"/>
            <w:gridSpan w:val="4"/>
            <w:tcBorders/>
            <w:vAlign w:val="center"/>
          </w:tcPr>
          <w:p>
            <w:pPr>
              <w:pStyle w:val="TableContents"/>
              <w:bidi w:val="0"/>
              <w:spacing w:before="0" w:after="283"/>
              <w:jc w:val="left"/>
              <w:rPr>
                <w:sz w:val="4"/>
                <w:szCs w:val="4"/>
              </w:rPr>
            </w:pPr>
            <w:r>
              <w:rPr>
                <w:sz w:val="4"/>
                <w:szCs w:val="4"/>
              </w:rPr>
            </w:r>
          </w:p>
        </w:tc>
      </w:tr>
      <w:tr>
        <w:trPr/>
        <w:tc>
          <w:tcPr>
            <w:tcW w:w="1341" w:type="dxa"/>
            <w:tcBorders>
              <w:bottom w:val="single" w:sz="8" w:space="0" w:color="0171B9"/>
            </w:tcBorders>
            <w:tcMar>
              <w:bottom w:w="80" w:type="dxa"/>
            </w:tcMar>
            <w:vAlign w:val="center"/>
          </w:tcPr>
          <w:p>
            <w:pPr>
              <w:pStyle w:val="TableContents"/>
              <w:bidi w:val="0"/>
              <w:spacing w:before="0" w:after="0"/>
              <w:jc w:val="left"/>
              <w:rPr/>
            </w:pPr>
            <w:r>
              <w:rPr/>
              <w:t> </w:t>
            </w:r>
            <w:r>
              <w:rPr>
                <w:rFonts w:ascii="arial" w:hAnsi="arial"/>
                <w:sz w:val="18"/>
              </w:rPr>
              <w:t>R. Sanders Williams</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117" w:type="dxa"/>
            <w:tcBorders>
              <w:bottom w:val="single" w:sz="8" w:space="0" w:color="0171B9"/>
            </w:tcBorders>
            <w:tcMar>
              <w:bottom w:w="80" w:type="dxa"/>
            </w:tcMar>
            <w:vAlign w:val="center"/>
          </w:tcPr>
          <w:p>
            <w:pPr>
              <w:pStyle w:val="TableContents"/>
              <w:bidi w:val="0"/>
              <w:spacing w:before="0" w:after="283"/>
              <w:jc w:val="left"/>
              <w:rPr/>
            </w:pPr>
            <w:r>
              <w:rPr/>
              <w:t> </w:t>
            </w:r>
          </w:p>
        </w:tc>
        <w:tc>
          <w:tcPr>
            <w:tcW w:w="1328" w:type="dxa"/>
            <w:tcBorders>
              <w:bottom w:val="single" w:sz="8" w:space="0" w:color="0171B9"/>
            </w:tcBorders>
            <w:tcMar>
              <w:bottom w:w="80" w:type="dxa"/>
            </w:tcMar>
            <w:vAlign w:val="center"/>
          </w:tcPr>
          <w:p>
            <w:pPr>
              <w:pStyle w:val="TableContents"/>
              <w:bidi w:val="0"/>
              <w:spacing w:before="0" w:after="283"/>
              <w:jc w:val="right"/>
              <w:rPr/>
            </w:pPr>
            <w:r>
              <w:rPr/>
              <w:t>20,000</w:t>
            </w:r>
          </w:p>
        </w:tc>
        <w:tc>
          <w:tcPr>
            <w:tcW w:w="60" w:type="dxa"/>
            <w:tcBorders>
              <w:bottom w:val="single" w:sz="8" w:space="0" w:color="0171B9"/>
            </w:tcBorders>
            <w:tcMar>
              <w:bottom w:w="80"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120" w:type="dxa"/>
            <w:tcBorders>
              <w:bottom w:val="single" w:sz="8" w:space="0" w:color="0171B9"/>
            </w:tcBorders>
            <w:tcMar>
              <w:bottom w:w="80" w:type="dxa"/>
            </w:tcMar>
            <w:vAlign w:val="center"/>
          </w:tcPr>
          <w:p>
            <w:pPr>
              <w:pStyle w:val="TableContents"/>
              <w:bidi w:val="0"/>
              <w:spacing w:before="0" w:after="283"/>
              <w:jc w:val="left"/>
              <w:rPr/>
            </w:pPr>
            <w:r>
              <w:rPr/>
              <w:t> </w:t>
            </w:r>
          </w:p>
        </w:tc>
        <w:tc>
          <w:tcPr>
            <w:tcW w:w="1130" w:type="dxa"/>
            <w:tcBorders>
              <w:bottom w:val="single" w:sz="8" w:space="0" w:color="0171B9"/>
            </w:tcBorders>
            <w:tcMar>
              <w:bottom w:w="80" w:type="dxa"/>
            </w:tcMar>
            <w:vAlign w:val="center"/>
          </w:tcPr>
          <w:p>
            <w:pPr>
              <w:pStyle w:val="TableContents"/>
              <w:bidi w:val="0"/>
              <w:spacing w:before="0" w:after="283"/>
              <w:jc w:val="right"/>
              <w:rPr/>
            </w:pPr>
            <w:r>
              <w:rPr/>
              <w:t>0</w:t>
            </w:r>
          </w:p>
        </w:tc>
        <w:tc>
          <w:tcPr>
            <w:tcW w:w="60" w:type="dxa"/>
            <w:tcBorders>
              <w:bottom w:val="single" w:sz="8" w:space="0" w:color="0171B9"/>
            </w:tcBorders>
            <w:tcMar>
              <w:bottom w:w="80"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96" w:type="dxa"/>
            <w:tcBorders>
              <w:bottom w:val="single" w:sz="8" w:space="0" w:color="0171B9"/>
            </w:tcBorders>
            <w:tcMar>
              <w:bottom w:w="80" w:type="dxa"/>
            </w:tcMar>
            <w:vAlign w:val="center"/>
          </w:tcPr>
          <w:p>
            <w:pPr>
              <w:pStyle w:val="TableContents"/>
              <w:bidi w:val="0"/>
              <w:spacing w:before="0" w:after="283"/>
              <w:jc w:val="left"/>
              <w:rPr/>
            </w:pPr>
            <w:r>
              <w:rPr/>
              <w:t> </w:t>
            </w:r>
          </w:p>
        </w:tc>
        <w:tc>
          <w:tcPr>
            <w:tcW w:w="899" w:type="dxa"/>
            <w:tcBorders>
              <w:bottom w:val="single" w:sz="8" w:space="0" w:color="0171B9"/>
            </w:tcBorders>
            <w:tcMar>
              <w:bottom w:w="80" w:type="dxa"/>
            </w:tcMar>
            <w:vAlign w:val="center"/>
          </w:tcPr>
          <w:p>
            <w:pPr>
              <w:pStyle w:val="TableContents"/>
              <w:bidi w:val="0"/>
              <w:spacing w:before="0" w:after="283"/>
              <w:jc w:val="right"/>
              <w:rPr/>
            </w:pPr>
            <w:r>
              <w:rPr/>
              <w:t>0</w:t>
            </w:r>
          </w:p>
        </w:tc>
        <w:tc>
          <w:tcPr>
            <w:tcW w:w="60" w:type="dxa"/>
            <w:tcBorders>
              <w:bottom w:val="single" w:sz="8" w:space="0" w:color="0171B9"/>
            </w:tcBorders>
            <w:tcMar>
              <w:bottom w:w="80"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375" w:type="dxa"/>
            <w:tcBorders>
              <w:bottom w:val="single" w:sz="8" w:space="0" w:color="0171B9"/>
            </w:tcBorders>
            <w:tcMar>
              <w:bottom w:w="80" w:type="dxa"/>
            </w:tcMar>
            <w:vAlign w:val="center"/>
          </w:tcPr>
          <w:p>
            <w:pPr>
              <w:pStyle w:val="TableContents"/>
              <w:bidi w:val="0"/>
              <w:spacing w:before="0" w:after="283"/>
              <w:jc w:val="left"/>
              <w:rPr/>
            </w:pPr>
            <w:r>
              <w:rPr/>
              <w:t> </w:t>
            </w:r>
          </w:p>
        </w:tc>
        <w:tc>
          <w:tcPr>
            <w:tcW w:w="875" w:type="dxa"/>
            <w:tcBorders>
              <w:bottom w:val="single" w:sz="8" w:space="0" w:color="0171B9"/>
            </w:tcBorders>
            <w:tcMar>
              <w:bottom w:w="80" w:type="dxa"/>
            </w:tcMar>
            <w:vAlign w:val="center"/>
          </w:tcPr>
          <w:p>
            <w:pPr>
              <w:pStyle w:val="TableContents"/>
              <w:bidi w:val="0"/>
              <w:spacing w:before="0" w:after="283"/>
              <w:jc w:val="right"/>
              <w:rPr/>
            </w:pPr>
            <w:r>
              <w:rPr/>
              <w:t>0</w:t>
            </w:r>
          </w:p>
        </w:tc>
        <w:tc>
          <w:tcPr>
            <w:tcW w:w="73" w:type="dxa"/>
            <w:tcBorders>
              <w:bottom w:val="single" w:sz="8" w:space="0" w:color="0171B9"/>
            </w:tcBorders>
            <w:tcMar>
              <w:bottom w:w="80" w:type="dxa"/>
            </w:tcMar>
            <w:vAlign w:val="center"/>
          </w:tcPr>
          <w:p>
            <w:pPr>
              <w:pStyle w:val="TableContents"/>
              <w:bidi w:val="0"/>
              <w:spacing w:before="0" w:after="283"/>
              <w:jc w:val="left"/>
              <w:rPr/>
            </w:pPr>
            <w:r>
              <w:rPr/>
              <w:t> </w:t>
            </w:r>
          </w:p>
        </w:tc>
        <w:tc>
          <w:tcPr>
            <w:tcW w:w="73" w:type="dxa"/>
            <w:tcBorders>
              <w:bottom w:val="single" w:sz="8" w:space="0" w:color="0171B9"/>
            </w:tcBorders>
            <w:tcMar>
              <w:bottom w:w="28" w:type="dxa"/>
            </w:tcMar>
            <w:vAlign w:val="center"/>
          </w:tcPr>
          <w:p>
            <w:pPr>
              <w:pStyle w:val="TableContents"/>
              <w:bidi w:val="0"/>
              <w:spacing w:before="0" w:after="283"/>
              <w:jc w:val="left"/>
              <w:rPr/>
            </w:pPr>
            <w:r>
              <w:rPr/>
              <w:t> </w:t>
            </w:r>
          </w:p>
        </w:tc>
        <w:tc>
          <w:tcPr>
            <w:tcW w:w="108" w:type="dxa"/>
            <w:tcBorders>
              <w:bottom w:val="single" w:sz="8" w:space="0" w:color="0171B9"/>
            </w:tcBorders>
            <w:tcMar>
              <w:bottom w:w="80" w:type="dxa"/>
            </w:tcMar>
            <w:vAlign w:val="center"/>
          </w:tcPr>
          <w:p>
            <w:pPr>
              <w:pStyle w:val="TableContents"/>
              <w:bidi w:val="0"/>
              <w:spacing w:before="0" w:after="283"/>
              <w:jc w:val="left"/>
              <w:rPr/>
            </w:pPr>
            <w:r>
              <w:rPr/>
              <w:t> </w:t>
            </w:r>
          </w:p>
        </w:tc>
        <w:tc>
          <w:tcPr>
            <w:tcW w:w="469" w:type="dxa"/>
            <w:tcBorders>
              <w:bottom w:val="single" w:sz="8" w:space="0" w:color="0171B9"/>
            </w:tcBorders>
            <w:tcMar>
              <w:bottom w:w="80" w:type="dxa"/>
            </w:tcMar>
            <w:vAlign w:val="center"/>
          </w:tcPr>
          <w:p>
            <w:pPr>
              <w:pStyle w:val="TableContents"/>
              <w:bidi w:val="0"/>
              <w:spacing w:before="0" w:after="283"/>
              <w:jc w:val="right"/>
              <w:rPr/>
            </w:pPr>
            <w:r>
              <w:rPr/>
              <w:t>943</w:t>
            </w:r>
          </w:p>
        </w:tc>
        <w:tc>
          <w:tcPr>
            <w:tcW w:w="60" w:type="dxa"/>
            <w:tcBorders>
              <w:bottom w:val="single" w:sz="8" w:space="0" w:color="0171B9"/>
            </w:tcBorders>
            <w:tcMar>
              <w:bottom w:w="80"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141" w:type="dxa"/>
            <w:tcBorders>
              <w:bottom w:val="single" w:sz="8" w:space="0" w:color="0171B9"/>
            </w:tcBorders>
            <w:tcMar>
              <w:bottom w:w="80" w:type="dxa"/>
            </w:tcMar>
            <w:vAlign w:val="center"/>
          </w:tcPr>
          <w:p>
            <w:pPr>
              <w:pStyle w:val="TableContents"/>
              <w:bidi w:val="0"/>
              <w:spacing w:before="0" w:after="283"/>
              <w:jc w:val="left"/>
              <w:rPr/>
            </w:pPr>
            <w:r>
              <w:rPr/>
              <w:t> </w:t>
            </w:r>
          </w:p>
        </w:tc>
        <w:tc>
          <w:tcPr>
            <w:tcW w:w="899" w:type="dxa"/>
            <w:tcBorders>
              <w:bottom w:val="single" w:sz="8" w:space="0" w:color="0171B9"/>
            </w:tcBorders>
            <w:tcMar>
              <w:bottom w:w="80" w:type="dxa"/>
            </w:tcMar>
            <w:vAlign w:val="center"/>
          </w:tcPr>
          <w:p>
            <w:pPr>
              <w:pStyle w:val="TableContents"/>
              <w:bidi w:val="0"/>
              <w:spacing w:before="0" w:after="283"/>
              <w:jc w:val="right"/>
              <w:rPr/>
            </w:pPr>
            <w:r>
              <w:rPr/>
              <w:t>129</w:t>
            </w:r>
          </w:p>
        </w:tc>
        <w:tc>
          <w:tcPr>
            <w:tcW w:w="60" w:type="dxa"/>
            <w:tcBorders>
              <w:bottom w:val="single" w:sz="8" w:space="0" w:color="0171B9"/>
            </w:tcBorders>
            <w:tcMar>
              <w:bottom w:w="80"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164" w:type="dxa"/>
            <w:tcBorders>
              <w:bottom w:val="single" w:sz="8" w:space="0" w:color="0171B9"/>
            </w:tcBorders>
            <w:tcMar>
              <w:bottom w:w="80" w:type="dxa"/>
            </w:tcMar>
            <w:vAlign w:val="center"/>
          </w:tcPr>
          <w:p>
            <w:pPr>
              <w:pStyle w:val="TableContents"/>
              <w:bidi w:val="0"/>
              <w:spacing w:before="0" w:after="283"/>
              <w:jc w:val="left"/>
              <w:rPr/>
            </w:pPr>
            <w:r>
              <w:rPr/>
              <w:t> </w:t>
            </w:r>
          </w:p>
        </w:tc>
        <w:tc>
          <w:tcPr>
            <w:tcW w:w="385" w:type="dxa"/>
            <w:tcBorders>
              <w:bottom w:val="single" w:sz="8" w:space="0" w:color="0171B9"/>
            </w:tcBorders>
            <w:tcMar>
              <w:bottom w:w="80" w:type="dxa"/>
            </w:tcMar>
            <w:vAlign w:val="center"/>
          </w:tcPr>
          <w:p>
            <w:pPr>
              <w:pStyle w:val="TableContents"/>
              <w:bidi w:val="0"/>
              <w:spacing w:before="0" w:after="283"/>
              <w:jc w:val="right"/>
              <w:rPr/>
            </w:pPr>
            <w:r>
              <w:rPr/>
              <w:t>0</w:t>
            </w:r>
          </w:p>
        </w:tc>
        <w:tc>
          <w:tcPr>
            <w:tcW w:w="60" w:type="dxa"/>
            <w:tcBorders>
              <w:bottom w:val="single" w:sz="8" w:space="0" w:color="0171B9"/>
            </w:tcBorders>
            <w:tcMar>
              <w:bottom w:w="80"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tcMar>
              <w:bottom w:w="80" w:type="dxa"/>
            </w:tcMar>
            <w:vAlign w:val="center"/>
          </w:tcPr>
          <w:p>
            <w:pPr>
              <w:pStyle w:val="TableContents"/>
              <w:bidi w:val="0"/>
              <w:spacing w:before="0" w:after="283"/>
              <w:jc w:val="left"/>
              <w:rPr/>
            </w:pPr>
            <w:r>
              <w:rPr/>
              <w:t> </w:t>
            </w:r>
          </w:p>
        </w:tc>
        <w:tc>
          <w:tcPr>
            <w:tcW w:w="689" w:type="dxa"/>
            <w:tcBorders>
              <w:bottom w:val="single" w:sz="8" w:space="0" w:color="0171B9"/>
            </w:tcBorders>
            <w:tcMar>
              <w:bottom w:w="80" w:type="dxa"/>
            </w:tcMar>
            <w:vAlign w:val="center"/>
          </w:tcPr>
          <w:p>
            <w:pPr>
              <w:pStyle w:val="TableContents"/>
              <w:bidi w:val="0"/>
              <w:spacing w:before="0" w:after="283"/>
              <w:jc w:val="right"/>
              <w:rPr/>
            </w:pPr>
            <w:r>
              <w:rPr/>
              <w:t>21,072 </w:t>
            </w:r>
          </w:p>
        </w:tc>
        <w:tc>
          <w:tcPr>
            <w:tcW w:w="83" w:type="dxa"/>
            <w:tcBorders>
              <w:bottom w:val="single" w:sz="8" w:space="0" w:color="0171B9"/>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106  </w:t>
      </w:r>
      <w:r>
        <w:rPr>
          <w:rFonts w:ascii="arial" w:hAnsi="arial"/>
          <w:b/>
          <w:color w:val="474747"/>
          <w:sz w:val="22"/>
        </w:rPr>
        <w:drawing>
          <wp:inline distT="0" distB="0" distL="0" distR="0">
            <wp:extent cx="64770" cy="15240"/>
            <wp:effectExtent l="0" t="0" r="0" b="0"/>
            <wp:docPr id="367"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Image173" descr=""/>
                    <pic:cNvPicPr>
                      <a:picLocks noChangeAspect="1" noChangeArrowheads="1"/>
                    </pic:cNvPicPr>
                  </pic:nvPicPr>
                  <pic:blipFill>
                    <a:blip r:embed="rId186"/>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315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267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267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Director Compensation</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10075" w:type="dxa"/>
        <w:jc w:val="left"/>
        <w:tblInd w:w="0" w:type="dxa"/>
        <w:tblLayout w:type="fixed"/>
        <w:tblCellMar>
          <w:top w:w="0" w:type="dxa"/>
          <w:left w:w="0" w:type="dxa"/>
          <w:bottom w:w="0" w:type="dxa"/>
          <w:right w:w="0" w:type="dxa"/>
        </w:tblCellMar>
      </w:tblPr>
      <w:tblGrid>
        <w:gridCol w:w="75"/>
        <w:gridCol w:w="335"/>
        <w:gridCol w:w="9590"/>
        <w:gridCol w:w="75"/>
      </w:tblGrid>
      <w:tr>
        <w:trPr/>
        <w:tc>
          <w:tcPr>
            <w:tcW w:w="7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(a) </w:t>
            </w:r>
          </w:p>
        </w:tc>
        <w:tc>
          <w:tcPr>
            <w:tcW w:w="9590" w:type="dxa"/>
            <w:tcBorders/>
            <w:vAlign w:val="center"/>
          </w:tcPr>
          <w:p>
            <w:pPr>
              <w:pStyle w:val="TableContents"/>
              <w:bidi w:val="0"/>
              <w:spacing w:before="0" w:after="0"/>
              <w:jc w:val="both"/>
              <w:rPr>
                <w:rFonts w:ascii="arial" w:hAnsi="arial"/>
                <w:sz w:val="16"/>
              </w:rPr>
            </w:pPr>
            <w:r>
              <w:rPr>
                <w:rFonts w:ascii="arial" w:hAnsi="arial"/>
                <w:sz w:val="16"/>
              </w:rPr>
              <w:t xml:space="preserve">These are charitable contributions of The Amgen Foundation, Inc. that matched the directors’ charitable contributions made in 2023. </w:t>
            </w:r>
          </w:p>
        </w:tc>
        <w:tc>
          <w:tcPr>
            <w:tcW w:w="75"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228"/>
        <w:gridCol w:w="9826"/>
        <w:gridCol w:w="76"/>
      </w:tblGrid>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(b) </w:t>
            </w:r>
          </w:p>
        </w:tc>
        <w:tc>
          <w:tcPr>
            <w:tcW w:w="9826" w:type="dxa"/>
            <w:tcBorders/>
            <w:vAlign w:val="center"/>
          </w:tcPr>
          <w:p>
            <w:pPr>
              <w:pStyle w:val="TableContents"/>
              <w:bidi w:val="0"/>
              <w:spacing w:before="0" w:after="0"/>
              <w:jc w:val="both"/>
              <w:rPr>
                <w:rFonts w:ascii="arial" w:hAnsi="arial"/>
                <w:sz w:val="16"/>
              </w:rPr>
            </w:pPr>
            <w:r>
              <w:rPr>
                <w:rFonts w:ascii="arial" w:hAnsi="arial"/>
                <w:sz w:val="16"/>
              </w:rPr>
              <w:t xml:space="preserve">Where guests accompany directors on our aircraft or where the director, for nonbusiness purposes, accompanies executives using our aircraft for business purposes, we typically incur de minimis incremental costs for transporting that person, but we are required to impute income to the director for his or her income tax purposes. We reimburse the director for the additional income taxes imposed on the director in these circumstances. The aggregate incremental cost of use of our aircraft is calculated based on our variable operating costs, which include crew travel expenses, on-board catering, landing fees, trip-related hangar/parking costs, fuel, maintenance, and other smaller variable costs. In determining the incremental cost relating to fuel and trip related maintenance, we applied an estimate derived from our average costs. We believe that the use of this methodology is a reasonably accurate method for calculating fuel and trip-related maintenance costs. Because our aircraft are used primarily for business travel, we do not include the fixed costs that do not change based on usage, such as pilots’ salaries, our aircraft purchase costs, and the cost of maintenance not related to trips. </w:t>
            </w:r>
          </w:p>
        </w:tc>
        <w:tc>
          <w:tcPr>
            <w:tcW w:w="76"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258"/>
        <w:gridCol w:w="9796"/>
        <w:gridCol w:w="76"/>
      </w:tblGrid>
      <w:tr>
        <w:trPr/>
        <w:tc>
          <w:tcPr>
            <w:tcW w:w="75"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(c) </w:t>
            </w:r>
          </w:p>
        </w:tc>
        <w:tc>
          <w:tcPr>
            <w:tcW w:w="9796" w:type="dxa"/>
            <w:tcBorders/>
            <w:vAlign w:val="center"/>
          </w:tcPr>
          <w:p>
            <w:pPr>
              <w:pStyle w:val="TableContents"/>
              <w:bidi w:val="0"/>
              <w:spacing w:before="0" w:after="0"/>
              <w:jc w:val="both"/>
              <w:rPr>
                <w:rFonts w:ascii="arial" w:hAnsi="arial"/>
                <w:sz w:val="16"/>
              </w:rPr>
            </w:pPr>
            <w:r>
              <w:rPr>
                <w:rFonts w:ascii="arial" w:hAnsi="arial"/>
                <w:sz w:val="16"/>
              </w:rPr>
              <w:t xml:space="preserve">These amounts reflect the incremental costs of personal expenses of directors while on business travel and related imputed income to the director for his or her income tax purposes. We reimburse the director for the additional income taxes imposed on the director in these circumstances. </w:t>
            </w:r>
          </w:p>
        </w:tc>
        <w:tc>
          <w:tcPr>
            <w:tcW w:w="76" w:type="dxa"/>
            <w:tcBorders/>
            <w:vAlign w:val="center"/>
          </w:tcPr>
          <w:p>
            <w:pPr>
              <w:pStyle w:val="TableContents"/>
              <w:bidi w:val="0"/>
              <w:spacing w:before="0" w:after="283"/>
              <w:jc w:val="left"/>
              <w:rPr/>
            </w:pPr>
            <w:r>
              <w:rPr/>
              <w:t> </w:t>
            </w:r>
          </w:p>
        </w:tc>
      </w:tr>
    </w:tbl>
    <w:tbl>
      <w:tblPr>
        <w:tblW w:w="5455" w:type="dxa"/>
        <w:jc w:val="left"/>
        <w:tblInd w:w="0" w:type="dxa"/>
        <w:tblLayout w:type="fixed"/>
        <w:tblCellMar>
          <w:top w:w="0" w:type="dxa"/>
          <w:left w:w="0" w:type="dxa"/>
          <w:bottom w:w="0" w:type="dxa"/>
          <w:right w:w="0" w:type="dxa"/>
        </w:tblCellMar>
      </w:tblPr>
      <w:tblGrid>
        <w:gridCol w:w="75"/>
        <w:gridCol w:w="350"/>
        <w:gridCol w:w="4955"/>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(d) </w:t>
            </w:r>
          </w:p>
        </w:tc>
        <w:tc>
          <w:tcPr>
            <w:tcW w:w="4955" w:type="dxa"/>
            <w:tcBorders/>
            <w:vAlign w:val="center"/>
          </w:tcPr>
          <w:p>
            <w:pPr>
              <w:pStyle w:val="TableContents"/>
              <w:bidi w:val="0"/>
              <w:spacing w:before="0" w:after="0"/>
              <w:jc w:val="both"/>
              <w:rPr>
                <w:rFonts w:ascii="arial" w:hAnsi="arial"/>
                <w:sz w:val="16"/>
              </w:rPr>
            </w:pPr>
            <w:r>
              <w:rPr>
                <w:rFonts w:ascii="arial" w:hAnsi="arial"/>
                <w:sz w:val="16"/>
              </w:rPr>
              <w:t xml:space="preserve">Amounts reflect the incremental costs of gifts given to the directors.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368"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174" descr=""/>
                    <pic:cNvPicPr>
                      <a:picLocks noChangeAspect="1" noChangeArrowheads="1"/>
                    </pic:cNvPicPr>
                  </pic:nvPicPr>
                  <pic:blipFill>
                    <a:blip r:embed="rId187"/>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107</w:t>
      </w:r>
      <w:r>
        <w:rPr>
          <w:rFonts w:ascii="arial" w:hAnsi="arial"/>
          <w:b/>
          <w:sz w:val="22"/>
        </w:rPr>
        <w:t xml:space="preserve"> </w:t>
      </w:r>
      <w:r>
        <w:br w:type="page"/>
      </w:r>
    </w:p>
    <w:p>
      <w:pPr>
        <w:pStyle w:val="HorizontalLine"/>
        <w:bidi w:val="0"/>
        <w:jc w:val="left"/>
        <w:rPr/>
      </w:pPr>
      <w:r>
        <w:rPr/>
      </w:r>
    </w:p>
    <w:tbl>
      <w:tblPr>
        <w:tblW w:w="10321" w:type="dxa"/>
        <w:jc w:val="left"/>
        <w:tblInd w:w="0" w:type="dxa"/>
        <w:tblLayout w:type="fixed"/>
        <w:tblCellMar>
          <w:top w:w="0" w:type="dxa"/>
          <w:left w:w="0" w:type="dxa"/>
          <w:bottom w:w="0" w:type="dxa"/>
          <w:right w:w="0" w:type="dxa"/>
        </w:tblCellMar>
      </w:tblPr>
      <w:tblGrid>
        <w:gridCol w:w="38"/>
        <w:gridCol w:w="23"/>
        <w:gridCol w:w="23"/>
        <w:gridCol w:w="23"/>
        <w:gridCol w:w="23"/>
        <w:gridCol w:w="23"/>
        <w:gridCol w:w="23"/>
        <w:gridCol w:w="60"/>
        <w:gridCol w:w="60"/>
        <w:gridCol w:w="995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6" w:type="dxa"/>
            <w:gridSpan w:val="7"/>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995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Item 3 — Approval of Amgen Inc. Second Amended and Restated 2009 Equity Incentive Plan</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171B9"/>
          <w:sz w:val="44"/>
        </w:rPr>
      </w:pPr>
      <w:bookmarkStart w:id="62" w:name="toc445034_46"/>
      <w:bookmarkEnd w:id="62"/>
      <w:r>
        <w:rPr>
          <w:rFonts w:ascii="arial" w:hAnsi="arial"/>
          <w:b/>
          <w:color w:val="0171B9"/>
          <w:sz w:val="44"/>
        </w:rPr>
        <w:t xml:space="preserve">Item 3 </w:t>
      </w:r>
    </w:p>
    <w:p>
      <w:pPr>
        <w:pStyle w:val="TextBody"/>
        <w:bidi w:val="0"/>
        <w:spacing w:before="120" w:after="0"/>
        <w:jc w:val="left"/>
        <w:rPr>
          <w:rFonts w:ascii="arial" w:hAnsi="arial"/>
          <w:b/>
          <w:color w:val="0171B9"/>
          <w:sz w:val="38"/>
        </w:rPr>
      </w:pPr>
      <w:r>
        <w:rPr>
          <w:rFonts w:ascii="arial" w:hAnsi="arial"/>
          <w:b/>
          <w:color w:val="0171B9"/>
          <w:sz w:val="38"/>
        </w:rPr>
        <w:t xml:space="preserve">Approval of Amgen Inc. Second Amended and Restated 2009 Equity Incentive Plan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420">
                <wp:simplePos x="0" y="0"/>
                <wp:positionH relativeFrom="column">
                  <wp:align>left</wp:align>
                </wp:positionH>
                <wp:positionV relativeFrom="line">
                  <wp:posOffset>635</wp:posOffset>
                </wp:positionV>
                <wp:extent cx="3110230" cy="6297295"/>
                <wp:effectExtent l="0" t="0" r="0" b="0"/>
                <wp:wrapSquare wrapText="right"/>
                <wp:docPr id="369" name="Frame183"/>
                <a:graphic xmlns:a="http://schemas.openxmlformats.org/drawingml/2006/main">
                  <a:graphicData uri="http://schemas.microsoft.com/office/word/2010/wordprocessingShape">
                    <wps:wsp>
                      <wps:cNvSpPr txBox="1"/>
                      <wps:spPr>
                        <a:xfrm>
                          <a:off x="0" y="0"/>
                          <a:ext cx="3110230" cy="6297295"/>
                        </a:xfrm>
                        <a:prstGeom prst="rect"/>
                        <a:solidFill>
                          <a:srgbClr val="FFFFFF"/>
                        </a:solidFill>
                      </wps:spPr>
                      <wps:txbx>
                        <w:txbxContent>
                          <w:p>
                            <w:pPr>
                              <w:pStyle w:val="TextBody"/>
                              <w:bidi w:val="0"/>
                              <w:spacing w:before="0" w:after="0"/>
                              <w:jc w:val="left"/>
                              <w:rPr>
                                <w:rFonts w:ascii="arial" w:hAnsi="arial"/>
                                <w:b/>
                                <w:color w:val="0171B9"/>
                                <w:sz w:val="28"/>
                              </w:rPr>
                            </w:pPr>
                            <w:r>
                              <w:rPr>
                                <w:rFonts w:ascii="arial" w:hAnsi="arial"/>
                                <w:b/>
                                <w:color w:val="0171B9"/>
                                <w:sz w:val="28"/>
                              </w:rPr>
                              <w:t>Background</w:t>
                            </w:r>
                          </w:p>
                          <w:p>
                            <w:pPr>
                              <w:pStyle w:val="TextBody"/>
                              <w:bidi w:val="0"/>
                              <w:spacing w:before="120" w:after="0"/>
                              <w:jc w:val="both"/>
                              <w:rPr>
                                <w:rFonts w:ascii="arial" w:hAnsi="arial"/>
                                <w:sz w:val="19"/>
                              </w:rPr>
                            </w:pPr>
                            <w:r>
                              <w:rPr>
                                <w:rFonts w:ascii="arial" w:hAnsi="arial"/>
                                <w:sz w:val="19"/>
                              </w:rPr>
                              <w:t xml:space="preserve">On March 6, 2024, our Board adopted, subject to stockholder approval, the Amgen Inc. Second Amended and Restated 2009 Equity Incentive Plan, or the Amended Plan, which amends and restates the Amgen Inc. Amended and Restated 2009 Equity Incentive Plan, or the Prior Plan, and includes the following key changes: </w:t>
                            </w:r>
                          </w:p>
                          <w:p>
                            <w:pPr>
                              <w:pStyle w:val="TextBody"/>
                              <w:bidi w:val="0"/>
                              <w:spacing w:before="0" w:after="0"/>
                              <w:jc w:val="left"/>
                              <w:rPr/>
                            </w:pPr>
                            <w:r>
                              <w:rPr/>
                              <w:t> </w:t>
                            </w:r>
                          </w:p>
                          <w:tbl>
                            <w:tblPr>
                              <w:tblW w:w="8950" w:type="dxa"/>
                              <w:jc w:val="left"/>
                              <w:tblInd w:w="0" w:type="dxa"/>
                              <w:tblLayout w:type="fixed"/>
                              <w:tblCellMar>
                                <w:top w:w="0" w:type="dxa"/>
                                <w:left w:w="0" w:type="dxa"/>
                                <w:bottom w:w="0" w:type="dxa"/>
                                <w:right w:w="0" w:type="dxa"/>
                              </w:tblCellMar>
                            </w:tblPr>
                            <w:tblGrid>
                              <w:gridCol w:w="125"/>
                              <w:gridCol w:w="60"/>
                              <w:gridCol w:w="8765"/>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8765" w:type="dxa"/>
                                  <w:tcBorders/>
                                  <w:vAlign w:val="center"/>
                                </w:tcPr>
                                <w:p>
                                  <w:pPr>
                                    <w:pStyle w:val="TableContents"/>
                                    <w:bidi w:val="0"/>
                                    <w:spacing w:before="0" w:after="0"/>
                                    <w:jc w:val="both"/>
                                    <w:rPr>
                                      <w:rFonts w:ascii="arial" w:hAnsi="arial"/>
                                      <w:sz w:val="19"/>
                                    </w:rPr>
                                  </w:pPr>
                                  <w:r>
                                    <w:rPr>
                                      <w:rFonts w:ascii="arial" w:hAnsi="arial"/>
                                      <w:sz w:val="19"/>
                                    </w:rPr>
                                    <w:t xml:space="preserve">Increases the number of shares of our Common Stock available for issuance by 31,297,000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Consistent with our long-standing practices and the terms of our equity award agreements, clarifies that dividend equivalents will be paid out in shares of Common Stock only when, and to the extent that, the underlying award is earned and vested;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Incorporates the change of control definition in our equity award grant agreements and provides that awards not assumed or replaced in a change of control will fully vest and, as applicable, become exercisable;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Removes provisions previously required under Section 162(m) of the Internal Revenue Code, or the Code, prior to its repeal under the Tax Cuts and Jobs Act of 2017. </w:t>
                                  </w:r>
                                </w:p>
                              </w:tc>
                            </w:tr>
                          </w:tbl>
                          <w:p>
                            <w:pPr>
                              <w:pStyle w:val="TextBody"/>
                              <w:bidi w:val="0"/>
                              <w:spacing w:before="120" w:after="0"/>
                              <w:jc w:val="both"/>
                              <w:rPr>
                                <w:rFonts w:ascii="arial" w:hAnsi="arial"/>
                                <w:sz w:val="19"/>
                              </w:rPr>
                            </w:pPr>
                            <w:r>
                              <w:rPr>
                                <w:rFonts w:ascii="arial" w:hAnsi="arial"/>
                                <w:sz w:val="19"/>
                              </w:rPr>
                              <w:t xml:space="preserve">If the Amended Plan is approved by stockholders, it will become effective as of May 31, 2024 (the date of our 2024 Annual Meeting of Stockholders, or Annual Meeting) and no further grants will be made under the Prior Plan. Therefore, equity awards granted on or after May 31, 2024 will be made pursuant to the Amended Plan, and the shares approved and available for issuance under the Amended Plan will be derived from a single, fungible pool of shares (inclusive of the shares remaining available for issuance from the Prior Plan and an increase of 31,297,000 shares). We do not have any other equity incentive plans pursuant to which equity awards can be granted. </w:t>
                            </w:r>
                          </w:p>
                          <w:p>
                            <w:pPr>
                              <w:pStyle w:val="TextBody"/>
                              <w:bidi w:val="0"/>
                              <w:spacing w:before="120" w:after="0"/>
                              <w:jc w:val="both"/>
                              <w:rPr>
                                <w:rFonts w:ascii="arial" w:hAnsi="arial"/>
                                <w:sz w:val="19"/>
                              </w:rPr>
                            </w:pPr>
                            <w:r>
                              <w:rPr>
                                <w:rFonts w:ascii="arial" w:hAnsi="arial"/>
                                <w:sz w:val="19"/>
                              </w:rPr>
                              <w:t xml:space="preserve">The Amended Plan is included as </w:t>
                            </w:r>
                            <w:r>
                              <w:rPr>
                                <w:rFonts w:ascii="arial" w:hAnsi="arial"/>
                                <w:b/>
                                <w:sz w:val="19"/>
                              </w:rPr>
                              <w:t xml:space="preserve">Appendix C </w:t>
                            </w:r>
                            <w:r>
                              <w:rPr>
                                <w:rFonts w:ascii="arial" w:hAnsi="arial"/>
                                <w:sz w:val="19"/>
                              </w:rPr>
                              <w:t>to this proxy statement.</w:t>
                            </w:r>
                          </w:p>
                          <w:p>
                            <w:pPr>
                              <w:pStyle w:val="TextBody"/>
                              <w:bidi w:val="0"/>
                              <w:spacing w:before="240" w:after="0"/>
                              <w:jc w:val="left"/>
                              <w:rPr>
                                <w:rFonts w:ascii="arial" w:hAnsi="arial"/>
                                <w:b/>
                                <w:color w:val="0171B9"/>
                                <w:sz w:val="28"/>
                              </w:rPr>
                            </w:pPr>
                            <w:r>
                              <w:rPr>
                                <w:rFonts w:ascii="arial" w:hAnsi="arial"/>
                                <w:b/>
                                <w:color w:val="0171B9"/>
                                <w:sz w:val="28"/>
                              </w:rPr>
                              <w:t>Purpose of Proposed Share Reserve Increase</w:t>
                            </w:r>
                          </w:p>
                          <w:p>
                            <w:pPr>
                              <w:pStyle w:val="TextBody"/>
                              <w:bidi w:val="0"/>
                              <w:spacing w:before="120" w:after="0"/>
                              <w:jc w:val="both"/>
                              <w:rPr>
                                <w:rFonts w:ascii="arial" w:hAnsi="arial"/>
                                <w:sz w:val="19"/>
                              </w:rPr>
                            </w:pPr>
                            <w:r>
                              <w:rPr>
                                <w:rFonts w:ascii="arial" w:hAnsi="arial"/>
                                <w:sz w:val="19"/>
                              </w:rPr>
                              <w:t xml:space="preserve">We are asking our stockholders to approve the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95.8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0171B9"/>
                          <w:sz w:val="28"/>
                        </w:rPr>
                      </w:pPr>
                      <w:r>
                        <w:rPr>
                          <w:rFonts w:ascii="arial" w:hAnsi="arial"/>
                          <w:b/>
                          <w:color w:val="0171B9"/>
                          <w:sz w:val="28"/>
                        </w:rPr>
                        <w:t>Background</w:t>
                      </w:r>
                    </w:p>
                    <w:p>
                      <w:pPr>
                        <w:pStyle w:val="TextBody"/>
                        <w:bidi w:val="0"/>
                        <w:spacing w:before="120" w:after="0"/>
                        <w:jc w:val="both"/>
                        <w:rPr>
                          <w:rFonts w:ascii="arial" w:hAnsi="arial"/>
                          <w:sz w:val="19"/>
                        </w:rPr>
                      </w:pPr>
                      <w:r>
                        <w:rPr>
                          <w:rFonts w:ascii="arial" w:hAnsi="arial"/>
                          <w:sz w:val="19"/>
                        </w:rPr>
                        <w:t xml:space="preserve">On March 6, 2024, our Board adopted, subject to stockholder approval, the Amgen Inc. Second Amended and Restated 2009 Equity Incentive Plan, or the Amended Plan, which amends and restates the Amgen Inc. Amended and Restated 2009 Equity Incentive Plan, or the Prior Plan, and includes the following key changes: </w:t>
                      </w:r>
                    </w:p>
                    <w:p>
                      <w:pPr>
                        <w:pStyle w:val="TextBody"/>
                        <w:bidi w:val="0"/>
                        <w:spacing w:before="0" w:after="0"/>
                        <w:jc w:val="left"/>
                        <w:rPr/>
                      </w:pPr>
                      <w:r>
                        <w:rPr/>
                        <w:t> </w:t>
                      </w:r>
                    </w:p>
                    <w:tbl>
                      <w:tblPr>
                        <w:tblW w:w="8950" w:type="dxa"/>
                        <w:jc w:val="left"/>
                        <w:tblInd w:w="0" w:type="dxa"/>
                        <w:tblLayout w:type="fixed"/>
                        <w:tblCellMar>
                          <w:top w:w="0" w:type="dxa"/>
                          <w:left w:w="0" w:type="dxa"/>
                          <w:bottom w:w="0" w:type="dxa"/>
                          <w:right w:w="0" w:type="dxa"/>
                        </w:tblCellMar>
                      </w:tblPr>
                      <w:tblGrid>
                        <w:gridCol w:w="125"/>
                        <w:gridCol w:w="60"/>
                        <w:gridCol w:w="8765"/>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8765" w:type="dxa"/>
                            <w:tcBorders/>
                            <w:vAlign w:val="center"/>
                          </w:tcPr>
                          <w:p>
                            <w:pPr>
                              <w:pStyle w:val="TableContents"/>
                              <w:bidi w:val="0"/>
                              <w:spacing w:before="0" w:after="0"/>
                              <w:jc w:val="both"/>
                              <w:rPr>
                                <w:rFonts w:ascii="arial" w:hAnsi="arial"/>
                                <w:sz w:val="19"/>
                              </w:rPr>
                            </w:pPr>
                            <w:r>
                              <w:rPr>
                                <w:rFonts w:ascii="arial" w:hAnsi="arial"/>
                                <w:sz w:val="19"/>
                              </w:rPr>
                              <w:t xml:space="preserve">Increases the number of shares of our Common Stock available for issuance by 31,297,000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Consistent with our long-standing practices and the terms of our equity award agreements, clarifies that dividend equivalents will be paid out in shares of Common Stock only when, and to the extent that, the underlying award is earned and vested;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Incorporates the change of control definition in our equity award grant agreements and provides that awards not assumed or replaced in a change of control will fully vest and, as applicable, become exercisable;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Removes provisions previously required under Section 162(m) of the Internal Revenue Code, or the Code, prior to its repeal under the Tax Cuts and Jobs Act of 2017. </w:t>
                            </w:r>
                          </w:p>
                        </w:tc>
                      </w:tr>
                    </w:tbl>
                    <w:p>
                      <w:pPr>
                        <w:pStyle w:val="TextBody"/>
                        <w:bidi w:val="0"/>
                        <w:spacing w:before="120" w:after="0"/>
                        <w:jc w:val="both"/>
                        <w:rPr>
                          <w:rFonts w:ascii="arial" w:hAnsi="arial"/>
                          <w:sz w:val="19"/>
                        </w:rPr>
                      </w:pPr>
                      <w:r>
                        <w:rPr>
                          <w:rFonts w:ascii="arial" w:hAnsi="arial"/>
                          <w:sz w:val="19"/>
                        </w:rPr>
                        <w:t xml:space="preserve">If the Amended Plan is approved by stockholders, it will become effective as of May 31, 2024 (the date of our 2024 Annual Meeting of Stockholders, or Annual Meeting) and no further grants will be made under the Prior Plan. Therefore, equity awards granted on or after May 31, 2024 will be made pursuant to the Amended Plan, and the shares approved and available for issuance under the Amended Plan will be derived from a single, fungible pool of shares (inclusive of the shares remaining available for issuance from the Prior Plan and an increase of 31,297,000 shares). We do not have any other equity incentive plans pursuant to which equity awards can be granted. </w:t>
                      </w:r>
                    </w:p>
                    <w:p>
                      <w:pPr>
                        <w:pStyle w:val="TextBody"/>
                        <w:bidi w:val="0"/>
                        <w:spacing w:before="120" w:after="0"/>
                        <w:jc w:val="both"/>
                        <w:rPr>
                          <w:rFonts w:ascii="arial" w:hAnsi="arial"/>
                          <w:sz w:val="19"/>
                        </w:rPr>
                      </w:pPr>
                      <w:r>
                        <w:rPr>
                          <w:rFonts w:ascii="arial" w:hAnsi="arial"/>
                          <w:sz w:val="19"/>
                        </w:rPr>
                        <w:t xml:space="preserve">The Amended Plan is included as </w:t>
                      </w:r>
                      <w:r>
                        <w:rPr>
                          <w:rFonts w:ascii="arial" w:hAnsi="arial"/>
                          <w:b/>
                          <w:sz w:val="19"/>
                        </w:rPr>
                        <w:t xml:space="preserve">Appendix C </w:t>
                      </w:r>
                      <w:r>
                        <w:rPr>
                          <w:rFonts w:ascii="arial" w:hAnsi="arial"/>
                          <w:sz w:val="19"/>
                        </w:rPr>
                        <w:t>to this proxy statement.</w:t>
                      </w:r>
                    </w:p>
                    <w:p>
                      <w:pPr>
                        <w:pStyle w:val="TextBody"/>
                        <w:bidi w:val="0"/>
                        <w:spacing w:before="240" w:after="0"/>
                        <w:jc w:val="left"/>
                        <w:rPr>
                          <w:rFonts w:ascii="arial" w:hAnsi="arial"/>
                          <w:b/>
                          <w:color w:val="0171B9"/>
                          <w:sz w:val="28"/>
                        </w:rPr>
                      </w:pPr>
                      <w:r>
                        <w:rPr>
                          <w:rFonts w:ascii="arial" w:hAnsi="arial"/>
                          <w:b/>
                          <w:color w:val="0171B9"/>
                          <w:sz w:val="28"/>
                        </w:rPr>
                        <w:t>Purpose of Proposed Share Reserve Increase</w:t>
                      </w:r>
                    </w:p>
                    <w:p>
                      <w:pPr>
                        <w:pStyle w:val="TextBody"/>
                        <w:bidi w:val="0"/>
                        <w:spacing w:before="120" w:after="0"/>
                        <w:jc w:val="both"/>
                        <w:rPr>
                          <w:rFonts w:ascii="arial" w:hAnsi="arial"/>
                          <w:sz w:val="19"/>
                        </w:rPr>
                      </w:pPr>
                      <w:r>
                        <w:rPr>
                          <w:rFonts w:ascii="arial" w:hAnsi="arial"/>
                          <w:sz w:val="19"/>
                        </w:rPr>
                        <w:t xml:space="preserve">We are asking our stockholders to approve the </w:t>
                      </w:r>
                    </w:p>
                  </w:txbxContent>
                </v:textbox>
                <w10:wrap type="square" side="right"/>
              </v:rect>
            </w:pict>
          </mc:Fallback>
        </mc:AlternateContent>
      </w:r>
      <w:r>
        <mc:AlternateContent>
          <mc:Choice Requires="wps">
            <w:drawing>
              <wp:anchor behindDoc="0" distT="0" distB="0" distL="0" distR="0" simplePos="0" locked="0" layoutInCell="1" allowOverlap="1" relativeHeight="421">
                <wp:simplePos x="0" y="0"/>
                <wp:positionH relativeFrom="column">
                  <wp:align>left</wp:align>
                </wp:positionH>
                <wp:positionV relativeFrom="line">
                  <wp:posOffset>635</wp:posOffset>
                </wp:positionV>
                <wp:extent cx="3175000" cy="5984240"/>
                <wp:effectExtent l="0" t="0" r="0" b="0"/>
                <wp:wrapSquare wrapText="right"/>
                <wp:docPr id="370" name="Frame184"/>
                <a:graphic xmlns:a="http://schemas.openxmlformats.org/drawingml/2006/main">
                  <a:graphicData uri="http://schemas.microsoft.com/office/word/2010/wordprocessingShape">
                    <wps:wsp>
                      <wps:cNvSpPr txBox="1"/>
                      <wps:spPr>
                        <a:xfrm>
                          <a:off x="0" y="0"/>
                          <a:ext cx="3175000" cy="598424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Amended Plan because we believe the availability of an adequate reserve of shares under an equity incentive plan is an integral part of our compensation program and contributes to our continued growth and success. </w:t>
                            </w:r>
                          </w:p>
                          <w:p>
                            <w:pPr>
                              <w:pStyle w:val="TextBody"/>
                              <w:bidi w:val="0"/>
                              <w:spacing w:before="120" w:after="0"/>
                              <w:jc w:val="both"/>
                              <w:rPr>
                                <w:rFonts w:ascii="arial" w:hAnsi="arial"/>
                                <w:sz w:val="19"/>
                              </w:rPr>
                            </w:pPr>
                            <w:r>
                              <w:rPr>
                                <w:rFonts w:ascii="arial" w:hAnsi="arial"/>
                                <w:sz w:val="19"/>
                              </w:rPr>
                              <w:t xml:space="preserve">The purpose of the Amended Plan is to promote the success and enhance the value of the Company by linking the interests of the members of the Board and our employees to those of our stockholders and by providing such individuals with an incentive for outstanding performance to generate superior returns to our stockholders. The Amended Plan also provides us with flexibility in our ability to motivate, attract, and retain the services of members of the Board and employees upon whose judgment, interest, and special effort the successful conduct of the Company’s operation is dependent. </w:t>
                            </w:r>
                          </w:p>
                          <w:p>
                            <w:pPr>
                              <w:pStyle w:val="TextBody"/>
                              <w:bidi w:val="0"/>
                              <w:spacing w:before="120" w:after="0"/>
                              <w:jc w:val="both"/>
                              <w:rPr>
                                <w:rFonts w:ascii="arial" w:hAnsi="arial"/>
                                <w:sz w:val="19"/>
                              </w:rPr>
                            </w:pPr>
                            <w:r>
                              <w:rPr>
                                <w:rFonts w:ascii="arial" w:hAnsi="arial"/>
                                <w:sz w:val="19"/>
                              </w:rPr>
                              <w:t xml:space="preserve">We believe grants of long-term equity incentive awards are important to our success as we compete for talent in an industry in which equity compensation is market practice and expected by many prospective candidates, existing employees and legacy employees of companies we have acquired, including Horizon Therapeutics Limited (formerly, Horizon Therapeutics plc), a wholly owned subsidiary of the Company acquired on October 6, 2023. By maintaining a long-term equity incentive plan such as the Amended Plan, our Board, with the assistance of the Compensation Committee, will be able to design and implement long-term incentive compensation programs that retain our key employees, compensate those employees based on the performance of the Company, align the goals and objectives of our employees with the interests of our stockholders, and promote a focus on long-term value creation. </w:t>
                            </w:r>
                          </w:p>
                          <w:p>
                            <w:pPr>
                              <w:pStyle w:val="TextBody"/>
                              <w:bidi w:val="0"/>
                              <w:spacing w:before="240" w:after="0"/>
                              <w:jc w:val="left"/>
                              <w:rPr>
                                <w:rFonts w:ascii="arial" w:hAnsi="arial"/>
                                <w:b/>
                                <w:color w:val="0171B9"/>
                                <w:sz w:val="28"/>
                              </w:rPr>
                            </w:pPr>
                            <w:r>
                              <w:rPr>
                                <w:rFonts w:ascii="arial" w:hAnsi="arial"/>
                                <w:b/>
                                <w:color w:val="0171B9"/>
                                <w:sz w:val="28"/>
                              </w:rPr>
                              <w:t>Shares Available for Issuance</w:t>
                            </w:r>
                          </w:p>
                          <w:p>
                            <w:pPr>
                              <w:pStyle w:val="TextBody"/>
                              <w:bidi w:val="0"/>
                              <w:spacing w:before="120" w:after="0"/>
                              <w:jc w:val="both"/>
                              <w:rPr>
                                <w:rFonts w:ascii="arial" w:hAnsi="arial"/>
                                <w:sz w:val="19"/>
                              </w:rPr>
                            </w:pPr>
                            <w:r>
                              <w:rPr>
                                <w:rFonts w:ascii="arial" w:hAnsi="arial"/>
                                <w:sz w:val="19"/>
                              </w:rPr>
                              <w:t xml:space="preserve">As of April 1, 2024, there were 11,545,168 shares remaining available for future grants under the Prior Plan. The Prior Plan was originally adopted by our Board on March 6, 2013, and was approved by stockholders at our 2013 Annual Meeting of Stockholders. We do not have any other equity incentive plans pursuant to which equity awards can be granted.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71.2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Amended Plan because we believe the availability of an adequate reserve of shares under an equity incentive plan is an integral part of our compensation program and contributes to our continued growth and success. </w:t>
                      </w:r>
                    </w:p>
                    <w:p>
                      <w:pPr>
                        <w:pStyle w:val="TextBody"/>
                        <w:bidi w:val="0"/>
                        <w:spacing w:before="120" w:after="0"/>
                        <w:jc w:val="both"/>
                        <w:rPr>
                          <w:rFonts w:ascii="arial" w:hAnsi="arial"/>
                          <w:sz w:val="19"/>
                        </w:rPr>
                      </w:pPr>
                      <w:r>
                        <w:rPr>
                          <w:rFonts w:ascii="arial" w:hAnsi="arial"/>
                          <w:sz w:val="19"/>
                        </w:rPr>
                        <w:t xml:space="preserve">The purpose of the Amended Plan is to promote the success and enhance the value of the Company by linking the interests of the members of the Board and our employees to those of our stockholders and by providing such individuals with an incentive for outstanding performance to generate superior returns to our stockholders. The Amended Plan also provides us with flexibility in our ability to motivate, attract, and retain the services of members of the Board and employees upon whose judgment, interest, and special effort the successful conduct of the Company’s operation is dependent. </w:t>
                      </w:r>
                    </w:p>
                    <w:p>
                      <w:pPr>
                        <w:pStyle w:val="TextBody"/>
                        <w:bidi w:val="0"/>
                        <w:spacing w:before="120" w:after="0"/>
                        <w:jc w:val="both"/>
                        <w:rPr>
                          <w:rFonts w:ascii="arial" w:hAnsi="arial"/>
                          <w:sz w:val="19"/>
                        </w:rPr>
                      </w:pPr>
                      <w:r>
                        <w:rPr>
                          <w:rFonts w:ascii="arial" w:hAnsi="arial"/>
                          <w:sz w:val="19"/>
                        </w:rPr>
                        <w:t xml:space="preserve">We believe grants of long-term equity incentive awards are important to our success as we compete for talent in an industry in which equity compensation is market practice and expected by many prospective candidates, existing employees and legacy employees of companies we have acquired, including Horizon Therapeutics Limited (formerly, Horizon Therapeutics plc), a wholly owned subsidiary of the Company acquired on October 6, 2023. By maintaining a long-term equity incentive plan such as the Amended Plan, our Board, with the assistance of the Compensation Committee, will be able to design and implement long-term incentive compensation programs that retain our key employees, compensate those employees based on the performance of the Company, align the goals and objectives of our employees with the interests of our stockholders, and promote a focus on long-term value creation. </w:t>
                      </w:r>
                    </w:p>
                    <w:p>
                      <w:pPr>
                        <w:pStyle w:val="TextBody"/>
                        <w:bidi w:val="0"/>
                        <w:spacing w:before="240" w:after="0"/>
                        <w:jc w:val="left"/>
                        <w:rPr>
                          <w:rFonts w:ascii="arial" w:hAnsi="arial"/>
                          <w:b/>
                          <w:color w:val="0171B9"/>
                          <w:sz w:val="28"/>
                        </w:rPr>
                      </w:pPr>
                      <w:r>
                        <w:rPr>
                          <w:rFonts w:ascii="arial" w:hAnsi="arial"/>
                          <w:b/>
                          <w:color w:val="0171B9"/>
                          <w:sz w:val="28"/>
                        </w:rPr>
                        <w:t>Shares Available for Issuance</w:t>
                      </w:r>
                    </w:p>
                    <w:p>
                      <w:pPr>
                        <w:pStyle w:val="TextBody"/>
                        <w:bidi w:val="0"/>
                        <w:spacing w:before="120" w:after="0"/>
                        <w:jc w:val="both"/>
                        <w:rPr>
                          <w:rFonts w:ascii="arial" w:hAnsi="arial"/>
                          <w:sz w:val="19"/>
                        </w:rPr>
                      </w:pPr>
                      <w:r>
                        <w:rPr>
                          <w:rFonts w:ascii="arial" w:hAnsi="arial"/>
                          <w:sz w:val="19"/>
                        </w:rPr>
                        <w:t xml:space="preserve">As of April 1, 2024, there were 11,545,168 shares remaining available for future grants under the Prior Plan. The Prior Plan was originally adopted by our Board on March 6, 2013, and was approved by stockholders at our 2013 Annual Meeting of Stockholders. We do not have any other equity incentive plans pursuant to which equity awards can be granted.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108  </w:t>
      </w:r>
      <w:r>
        <w:rPr>
          <w:rFonts w:ascii="arial" w:hAnsi="arial"/>
          <w:b/>
          <w:color w:val="474747"/>
          <w:sz w:val="22"/>
        </w:rPr>
        <w:drawing>
          <wp:inline distT="0" distB="0" distL="0" distR="0">
            <wp:extent cx="64770" cy="15240"/>
            <wp:effectExtent l="0" t="0" r="0" b="0"/>
            <wp:docPr id="371"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Image175" descr=""/>
                    <pic:cNvPicPr>
                      <a:picLocks noChangeAspect="1" noChangeArrowheads="1"/>
                    </pic:cNvPicPr>
                  </pic:nvPicPr>
                  <pic:blipFill>
                    <a:blip r:embed="rId188"/>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p>
      <w:pPr>
        <w:pStyle w:val="TextBody"/>
        <w:bidi w:val="0"/>
        <w:spacing w:before="0" w:after="0"/>
        <w:jc w:val="left"/>
        <w:rPr/>
      </w:pPr>
      <w:r>
        <w:rPr/>
        <w:t> </w:t>
      </w:r>
    </w:p>
    <w:tbl>
      <w:tblPr>
        <w:tblW w:w="1043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995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995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Item 3 — Approval of Amgen Inc. Second Amended and Restated 2009 Equity Incentive Plan</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422">
                <wp:simplePos x="0" y="0"/>
                <wp:positionH relativeFrom="column">
                  <wp:align>left</wp:align>
                </wp:positionH>
                <wp:positionV relativeFrom="line">
                  <wp:posOffset>635</wp:posOffset>
                </wp:positionV>
                <wp:extent cx="3110230" cy="2214880"/>
                <wp:effectExtent l="0" t="0" r="0" b="0"/>
                <wp:wrapSquare wrapText="right"/>
                <wp:docPr id="372" name="Frame185"/>
                <a:graphic xmlns:a="http://schemas.openxmlformats.org/drawingml/2006/main">
                  <a:graphicData uri="http://schemas.microsoft.com/office/word/2010/wordprocessingShape">
                    <wps:wsp>
                      <wps:cNvSpPr txBox="1"/>
                      <wps:spPr>
                        <a:xfrm>
                          <a:off x="0" y="0"/>
                          <a:ext cx="3110230" cy="221488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The Amended Plan increases the number of shares of our Common Stock available for issuance under the Amended Plan by 31,297,000 shares (and increases the number of shares which may be granted as incentive stock options under the Amended Plan by 31,297,000 shares). Therefore, if approved by stockholders on May 31, 2024, the single, fungible pool of shares approved and available for issuance under the Amended Plan as of April 1, 2024 would be 42,842,168 shares (which includes the shares remaining available for issuance from the Prior Plan as of April 1, 2024 and an increase of 31,297,000 shares). Between April 1, 2024 and the date of the Annual Meeting, we expect to grant awards of restricted stock units (RSUs), performance units (PUs), and non-qualified stock options (NQSOs) pursuant to the Prior Plan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74.4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The Amended Plan increases the number of shares of our Common Stock available for issuance under the Amended Plan by 31,297,000 shares (and increases the number of shares which may be granted as incentive stock options under the Amended Plan by 31,297,000 shares). Therefore, if approved by stockholders on May 31, 2024, the single, fungible pool of shares approved and available for issuance under the Amended Plan as of April 1, 2024 would be 42,842,168 shares (which includes the shares remaining available for issuance from the Prior Plan as of April 1, 2024 and an increase of 31,297,000 shares). Between April 1, 2024 and the date of the Annual Meeting, we expect to grant awards of restricted stock units (RSUs), performance units (PUs), and non-qualified stock options (NQSOs) pursuant to the Prior Plan </w:t>
                      </w:r>
                    </w:p>
                  </w:txbxContent>
                </v:textbox>
                <w10:wrap type="square" side="right"/>
              </v:rect>
            </w:pict>
          </mc:Fallback>
        </mc:AlternateContent>
      </w:r>
      <w:r>
        <mc:AlternateContent>
          <mc:Choice Requires="wps">
            <w:drawing>
              <wp:anchor behindDoc="0" distT="0" distB="0" distL="0" distR="0" simplePos="0" locked="0" layoutInCell="1" allowOverlap="1" relativeHeight="423">
                <wp:simplePos x="0" y="0"/>
                <wp:positionH relativeFrom="column">
                  <wp:align>left</wp:align>
                </wp:positionH>
                <wp:positionV relativeFrom="line">
                  <wp:posOffset>635</wp:posOffset>
                </wp:positionV>
                <wp:extent cx="3175000" cy="2152650"/>
                <wp:effectExtent l="0" t="0" r="0" b="0"/>
                <wp:wrapSquare wrapText="right"/>
                <wp:docPr id="373" name="Frame186"/>
                <a:graphic xmlns:a="http://schemas.openxmlformats.org/drawingml/2006/main">
                  <a:graphicData uri="http://schemas.microsoft.com/office/word/2010/wordprocessingShape">
                    <wps:wsp>
                      <wps:cNvSpPr txBox="1"/>
                      <wps:spPr>
                        <a:xfrm>
                          <a:off x="0" y="0"/>
                          <a:ext cx="3175000" cy="215265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(collectively, the 2024 Prior Plan Awards). To the extent we do so, the shares remaining available under the Prior Plan as of April 1, 2024 will be reduced by one share for every share subject to a NQSO and 1.9 shares for every one share subject to a RSU or PU. It is currently expected that any 2024 Prior Plan Awards we grant between April 1, 2024 and the date of the Annual Meeting will not exceed, but will reduce, the remaining number of shares available for future grants under the Prior Plan. By increasing the shares available for issuance, we will be able to continue to use equity awards to motivate, attract, and retain the services of members of the Board and employees in alignment with the interests of our stockholders. </w:t>
                            </w:r>
                          </w:p>
                          <w:p>
                            <w:pPr>
                              <w:pStyle w:val="TextBody"/>
                              <w:bidi w:val="0"/>
                              <w:spacing w:before="120" w:after="0"/>
                              <w:jc w:val="both"/>
                              <w:rPr>
                                <w:rFonts w:ascii="arial" w:hAnsi="arial"/>
                                <w:sz w:val="19"/>
                              </w:rPr>
                            </w:pPr>
                            <w:r>
                              <w:rPr>
                                <w:rFonts w:ascii="arial" w:hAnsi="arial"/>
                                <w:sz w:val="19"/>
                              </w:rPr>
                              <w:t xml:space="preserve">As of April 1, 2024, there were 536,375,548 shares of Common Stock outstanding.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69.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(collectively, the 2024 Prior Plan Awards). To the extent we do so, the shares remaining available under the Prior Plan as of April 1, 2024 will be reduced by one share for every share subject to a NQSO and 1.9 shares for every one share subject to a RSU or PU. It is currently expected that any 2024 Prior Plan Awards we grant between April 1, 2024 and the date of the Annual Meeting will not exceed, but will reduce, the remaining number of shares available for future grants under the Prior Plan. By increasing the shares available for issuance, we will be able to continue to use equity awards to motivate, attract, and retain the services of members of the Board and employees in alignment with the interests of our stockholders. </w:t>
                      </w:r>
                    </w:p>
                    <w:p>
                      <w:pPr>
                        <w:pStyle w:val="TextBody"/>
                        <w:bidi w:val="0"/>
                        <w:spacing w:before="120" w:after="0"/>
                        <w:jc w:val="both"/>
                        <w:rPr>
                          <w:rFonts w:ascii="arial" w:hAnsi="arial"/>
                          <w:sz w:val="19"/>
                        </w:rPr>
                      </w:pPr>
                      <w:r>
                        <w:rPr>
                          <w:rFonts w:ascii="arial" w:hAnsi="arial"/>
                          <w:sz w:val="19"/>
                        </w:rPr>
                        <w:t xml:space="preserve">As of April 1, 2024, there were 536,375,548 shares of Common Stock outstanding.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b/>
          <w:color w:val="0171B9"/>
          <w:sz w:val="28"/>
        </w:rPr>
      </w:pPr>
      <w:r>
        <w:rPr>
          <w:rFonts w:ascii="arial" w:hAnsi="arial"/>
          <w:b/>
          <w:color w:val="0171B9"/>
          <w:sz w:val="28"/>
        </w:rPr>
        <w:t>Burn Rate and Overhang</w:t>
      </w:r>
    </w:p>
    <w:p>
      <w:pPr>
        <w:pStyle w:val="TextBody"/>
        <w:bidi w:val="0"/>
        <w:spacing w:before="120" w:after="0"/>
        <w:jc w:val="both"/>
        <w:rPr>
          <w:rFonts w:ascii="arial" w:hAnsi="arial"/>
          <w:sz w:val="20"/>
        </w:rPr>
      </w:pPr>
      <w:r>
        <w:rPr>
          <w:rFonts w:ascii="arial" w:hAnsi="arial"/>
          <w:sz w:val="20"/>
        </w:rPr>
        <w:t xml:space="preserve">While long-term equity awards are an important part of our incentive compensation program, we are mindful of our responsibility to exercise sound judgment in granting the appropriate number of equity awards necessary to motivate, attract, and retain our employees and limiting dilution. </w:t>
      </w:r>
    </w:p>
    <w:p>
      <w:pPr>
        <w:pStyle w:val="TextBody"/>
        <w:bidi w:val="0"/>
        <w:spacing w:before="240" w:after="0"/>
        <w:jc w:val="left"/>
        <w:rPr>
          <w:rFonts w:ascii="arial" w:hAnsi="arial"/>
          <w:b/>
          <w:sz w:val="22"/>
        </w:rPr>
      </w:pPr>
      <w:r>
        <w:rPr>
          <w:rFonts w:ascii="arial" w:hAnsi="arial"/>
          <w:b/>
          <w:sz w:val="22"/>
        </w:rPr>
        <w:t xml:space="preserve">Burn Rate </w:t>
      </w:r>
    </w:p>
    <w:p>
      <w:pPr>
        <w:pStyle w:val="TextBody"/>
        <w:bidi w:val="0"/>
        <w:spacing w:before="120" w:after="0"/>
        <w:jc w:val="both"/>
        <w:rPr>
          <w:rFonts w:ascii="arial" w:hAnsi="arial"/>
          <w:sz w:val="19"/>
        </w:rPr>
      </w:pPr>
      <w:r>
        <w:rPr>
          <w:rFonts w:ascii="arial" w:hAnsi="arial"/>
          <w:sz w:val="19"/>
        </w:rPr>
        <w:t>The table below sets forth information regarding historical awards granted for the period 2021 through 2023, and the corresponding burn rate, which is defined as the number of shares subject to NQSOs, RSUs and PUs (assuming target performance) granted under the Prior Plan in a fiscal year, divided by the weighted average shares outstanding for that fiscal year, for each of the last three fiscal years.</w:t>
      </w:r>
    </w:p>
    <w:p>
      <w:pPr>
        <w:pStyle w:val="TextBody"/>
        <w:bidi w:val="0"/>
        <w:spacing w:before="0" w:after="0"/>
        <w:jc w:val="left"/>
        <w:rPr/>
      </w:pPr>
      <w:r>
        <w:rPr/>
        <w:t> </w:t>
      </w:r>
    </w:p>
    <w:tbl>
      <w:tblPr>
        <w:tblW w:w="10144" w:type="dxa"/>
        <w:jc w:val="left"/>
        <w:tblInd w:w="0" w:type="dxa"/>
        <w:tblLayout w:type="fixed"/>
        <w:tblCellMar>
          <w:top w:w="0" w:type="dxa"/>
          <w:left w:w="0" w:type="dxa"/>
          <w:bottom w:w="0" w:type="dxa"/>
          <w:right w:w="0" w:type="dxa"/>
        </w:tblCellMar>
      </w:tblPr>
      <w:tblGrid>
        <w:gridCol w:w="665"/>
        <w:gridCol w:w="120"/>
        <w:gridCol w:w="60"/>
        <w:gridCol w:w="1460"/>
        <w:gridCol w:w="60"/>
        <w:gridCol w:w="120"/>
        <w:gridCol w:w="60"/>
        <w:gridCol w:w="1220"/>
        <w:gridCol w:w="60"/>
        <w:gridCol w:w="120"/>
        <w:gridCol w:w="72"/>
        <w:gridCol w:w="1403"/>
        <w:gridCol w:w="60"/>
        <w:gridCol w:w="120"/>
        <w:gridCol w:w="86"/>
        <w:gridCol w:w="1419"/>
        <w:gridCol w:w="60"/>
        <w:gridCol w:w="120"/>
        <w:gridCol w:w="60"/>
        <w:gridCol w:w="1220"/>
        <w:gridCol w:w="60"/>
        <w:gridCol w:w="120"/>
        <w:gridCol w:w="67"/>
        <w:gridCol w:w="1257"/>
        <w:gridCol w:w="75"/>
      </w:tblGrid>
      <w:tr>
        <w:trPr/>
        <w:tc>
          <w:tcPr>
            <w:tcW w:w="6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65" w:type="dxa"/>
            <w:tcBorders/>
            <w:shd w:fill="0171B9" w:val="clear"/>
            <w:vAlign w:val="center"/>
          </w:tcPr>
          <w:p>
            <w:pPr>
              <w:pStyle w:val="TableContents"/>
              <w:bidi w:val="0"/>
              <w:spacing w:before="0" w:after="283"/>
              <w:jc w:val="left"/>
              <w:rPr>
                <w:color w:val="FFFFFF"/>
              </w:rPr>
            </w:pPr>
            <w:r>
              <w:rPr>
                <w:color w:val="FFFFFF"/>
              </w:rPr>
              <w:t> </w:t>
            </w:r>
            <w:r>
              <w:rPr>
                <w:b/>
                <w:color w:val="FFFFFF"/>
              </w:rPr>
              <w:t>Year</w:t>
            </w:r>
          </w:p>
        </w:tc>
        <w:tc>
          <w:tcPr>
            <w:tcW w:w="120" w:type="dxa"/>
            <w:tcBorders/>
            <w:shd w:fill="0171B9" w:val="clear"/>
            <w:vAlign w:val="center"/>
          </w:tcPr>
          <w:p>
            <w:pPr>
              <w:pStyle w:val="TableContents"/>
              <w:bidi w:val="0"/>
              <w:spacing w:before="0" w:after="283"/>
              <w:jc w:val="left"/>
              <w:rPr/>
            </w:pPr>
            <w:r>
              <w:rPr/>
              <w:t>  </w:t>
            </w:r>
          </w:p>
        </w:tc>
        <w:tc>
          <w:tcPr>
            <w:tcW w:w="1520" w:type="dxa"/>
            <w:gridSpan w:val="2"/>
            <w:tcBorders/>
            <w:shd w:fill="0171B9" w:val="clear"/>
            <w:vAlign w:val="center"/>
          </w:tcPr>
          <w:p>
            <w:pPr>
              <w:pStyle w:val="TableContents"/>
              <w:bidi w:val="0"/>
              <w:spacing w:before="0" w:after="283"/>
              <w:jc w:val="right"/>
              <w:rPr>
                <w:b/>
                <w:color w:val="FFFFFF"/>
              </w:rPr>
            </w:pPr>
            <w:r>
              <w:rPr>
                <w:b/>
                <w:color w:val="FFFFFF"/>
              </w:rPr>
              <w:t>Non-Qualified</w:t>
              <w:br/>
              <w:t>Stock Options</w:t>
              <w:br/>
              <w:t>Granted</w:t>
            </w:r>
          </w:p>
        </w:tc>
        <w:tc>
          <w:tcPr>
            <w:tcW w:w="60" w:type="dxa"/>
            <w:tcBorders/>
            <w:shd w:fill="0171B9" w:val="clear"/>
            <w:vAlign w:val="center"/>
          </w:tcPr>
          <w:p>
            <w:pPr>
              <w:pStyle w:val="TableContents"/>
              <w:bidi w:val="0"/>
              <w:spacing w:before="0" w:after="283"/>
              <w:jc w:val="left"/>
              <w:rPr/>
            </w:pPr>
            <w:r>
              <w:rPr/>
              <w:t> </w:t>
            </w:r>
          </w:p>
        </w:tc>
        <w:tc>
          <w:tcPr>
            <w:tcW w:w="120" w:type="dxa"/>
            <w:tcBorders/>
            <w:shd w:fill="0171B9" w:val="clear"/>
            <w:vAlign w:val="center"/>
          </w:tcPr>
          <w:p>
            <w:pPr>
              <w:pStyle w:val="TableContents"/>
              <w:bidi w:val="0"/>
              <w:spacing w:before="0" w:after="283"/>
              <w:jc w:val="left"/>
              <w:rPr/>
            </w:pPr>
            <w:r>
              <w:rPr/>
              <w:t>  </w:t>
            </w:r>
          </w:p>
        </w:tc>
        <w:tc>
          <w:tcPr>
            <w:tcW w:w="1280" w:type="dxa"/>
            <w:gridSpan w:val="2"/>
            <w:tcBorders/>
            <w:shd w:fill="0171B9" w:val="clear"/>
            <w:vAlign w:val="center"/>
          </w:tcPr>
          <w:p>
            <w:pPr>
              <w:pStyle w:val="TableContents"/>
              <w:bidi w:val="0"/>
              <w:spacing w:before="0" w:after="283"/>
              <w:jc w:val="right"/>
              <w:rPr>
                <w:b/>
                <w:color w:val="FFFFFF"/>
              </w:rPr>
            </w:pPr>
            <w:r>
              <w:rPr>
                <w:b/>
                <w:color w:val="FFFFFF"/>
              </w:rPr>
              <w:t>Restricted</w:t>
              <w:br/>
              <w:t>Stock Units</w:t>
              <w:br/>
              <w:t>Granted</w:t>
            </w:r>
          </w:p>
        </w:tc>
        <w:tc>
          <w:tcPr>
            <w:tcW w:w="60" w:type="dxa"/>
            <w:tcBorders/>
            <w:shd w:fill="0171B9" w:val="clear"/>
            <w:vAlign w:val="center"/>
          </w:tcPr>
          <w:p>
            <w:pPr>
              <w:pStyle w:val="TableContents"/>
              <w:bidi w:val="0"/>
              <w:spacing w:before="0" w:after="283"/>
              <w:jc w:val="left"/>
              <w:rPr/>
            </w:pPr>
            <w:r>
              <w:rPr/>
              <w:t> </w:t>
            </w:r>
          </w:p>
        </w:tc>
        <w:tc>
          <w:tcPr>
            <w:tcW w:w="120" w:type="dxa"/>
            <w:tcBorders/>
            <w:shd w:fill="0171B9" w:val="clear"/>
            <w:vAlign w:val="center"/>
          </w:tcPr>
          <w:p>
            <w:pPr>
              <w:pStyle w:val="TableContents"/>
              <w:bidi w:val="0"/>
              <w:spacing w:before="0" w:after="283"/>
              <w:jc w:val="left"/>
              <w:rPr/>
            </w:pPr>
            <w:r>
              <w:rPr/>
              <w:t>  </w:t>
            </w:r>
          </w:p>
        </w:tc>
        <w:tc>
          <w:tcPr>
            <w:tcW w:w="1475" w:type="dxa"/>
            <w:gridSpan w:val="2"/>
            <w:tcBorders/>
            <w:shd w:fill="0171B9" w:val="clear"/>
            <w:vAlign w:val="center"/>
          </w:tcPr>
          <w:p>
            <w:pPr>
              <w:pStyle w:val="TableContents"/>
              <w:bidi w:val="0"/>
              <w:spacing w:before="0" w:after="283"/>
              <w:jc w:val="right"/>
              <w:rPr>
                <w:b/>
                <w:color w:val="FFFFFF"/>
              </w:rPr>
            </w:pPr>
            <w:r>
              <w:rPr>
                <w:b/>
                <w:color w:val="FFFFFF"/>
              </w:rPr>
              <w:t>Performance</w:t>
              <w:br/>
              <w:t>Units Granted</w:t>
            </w:r>
          </w:p>
        </w:tc>
        <w:tc>
          <w:tcPr>
            <w:tcW w:w="60" w:type="dxa"/>
            <w:tcBorders/>
            <w:shd w:fill="0171B9" w:val="clear"/>
            <w:vAlign w:val="center"/>
          </w:tcPr>
          <w:p>
            <w:pPr>
              <w:pStyle w:val="TableContents"/>
              <w:bidi w:val="0"/>
              <w:spacing w:before="0" w:after="283"/>
              <w:jc w:val="left"/>
              <w:rPr/>
            </w:pPr>
            <w:r>
              <w:rPr/>
              <w:t> </w:t>
            </w:r>
          </w:p>
        </w:tc>
        <w:tc>
          <w:tcPr>
            <w:tcW w:w="120" w:type="dxa"/>
            <w:tcBorders/>
            <w:shd w:fill="0171B9" w:val="clear"/>
            <w:vAlign w:val="center"/>
          </w:tcPr>
          <w:p>
            <w:pPr>
              <w:pStyle w:val="TableContents"/>
              <w:bidi w:val="0"/>
              <w:spacing w:before="0" w:after="283"/>
              <w:jc w:val="left"/>
              <w:rPr/>
            </w:pPr>
            <w:r>
              <w:rPr/>
              <w:t>  </w:t>
            </w:r>
          </w:p>
        </w:tc>
        <w:tc>
          <w:tcPr>
            <w:tcW w:w="1505" w:type="dxa"/>
            <w:gridSpan w:val="2"/>
            <w:tcBorders/>
            <w:shd w:fill="0171B9" w:val="clear"/>
            <w:vAlign w:val="center"/>
          </w:tcPr>
          <w:p>
            <w:pPr>
              <w:pStyle w:val="TableContents"/>
              <w:bidi w:val="0"/>
              <w:spacing w:before="0" w:after="283"/>
              <w:jc w:val="right"/>
              <w:rPr>
                <w:b/>
                <w:color w:val="FFFFFF"/>
              </w:rPr>
            </w:pPr>
            <w:r>
              <w:rPr>
                <w:b/>
                <w:color w:val="FFFFFF"/>
              </w:rPr>
              <w:t>Total Share-</w:t>
              <w:br/>
              <w:t>Based Awards</w:t>
              <w:br/>
              <w:t>Shares(1)</w:t>
            </w:r>
          </w:p>
        </w:tc>
        <w:tc>
          <w:tcPr>
            <w:tcW w:w="60" w:type="dxa"/>
            <w:tcBorders/>
            <w:shd w:fill="0171B9" w:val="clear"/>
            <w:vAlign w:val="center"/>
          </w:tcPr>
          <w:p>
            <w:pPr>
              <w:pStyle w:val="TableContents"/>
              <w:bidi w:val="0"/>
              <w:spacing w:before="0" w:after="283"/>
              <w:jc w:val="left"/>
              <w:rPr/>
            </w:pPr>
            <w:r>
              <w:rPr/>
              <w:t> </w:t>
            </w:r>
          </w:p>
        </w:tc>
        <w:tc>
          <w:tcPr>
            <w:tcW w:w="120" w:type="dxa"/>
            <w:tcBorders/>
            <w:shd w:fill="0171B9" w:val="clear"/>
            <w:vAlign w:val="center"/>
          </w:tcPr>
          <w:p>
            <w:pPr>
              <w:pStyle w:val="TableContents"/>
              <w:bidi w:val="0"/>
              <w:spacing w:before="0" w:after="283"/>
              <w:jc w:val="left"/>
              <w:rPr/>
            </w:pPr>
            <w:r>
              <w:rPr/>
              <w:t>  </w:t>
            </w:r>
          </w:p>
        </w:tc>
        <w:tc>
          <w:tcPr>
            <w:tcW w:w="1280" w:type="dxa"/>
            <w:gridSpan w:val="2"/>
            <w:tcBorders/>
            <w:shd w:fill="0171B9" w:val="clear"/>
            <w:vAlign w:val="center"/>
          </w:tcPr>
          <w:p>
            <w:pPr>
              <w:pStyle w:val="TableContents"/>
              <w:bidi w:val="0"/>
              <w:spacing w:before="0" w:after="283"/>
              <w:jc w:val="right"/>
              <w:rPr>
                <w:b/>
                <w:color w:val="FFFFFF"/>
              </w:rPr>
            </w:pPr>
            <w:r>
              <w:rPr>
                <w:b/>
                <w:color w:val="FFFFFF"/>
              </w:rPr>
              <w:t>Weighted</w:t>
              <w:br/>
              <w:t>Average</w:t>
              <w:br/>
              <w:t>Shares</w:t>
              <w:br/>
              <w:t>Outstanding</w:t>
            </w:r>
          </w:p>
        </w:tc>
        <w:tc>
          <w:tcPr>
            <w:tcW w:w="60" w:type="dxa"/>
            <w:tcBorders/>
            <w:shd w:fill="0171B9" w:val="clear"/>
            <w:vAlign w:val="center"/>
          </w:tcPr>
          <w:p>
            <w:pPr>
              <w:pStyle w:val="TableContents"/>
              <w:bidi w:val="0"/>
              <w:spacing w:before="0" w:after="283"/>
              <w:jc w:val="left"/>
              <w:rPr/>
            </w:pPr>
            <w:r>
              <w:rPr/>
              <w:t> </w:t>
            </w:r>
          </w:p>
        </w:tc>
        <w:tc>
          <w:tcPr>
            <w:tcW w:w="120" w:type="dxa"/>
            <w:tcBorders/>
            <w:shd w:fill="0171B9" w:val="clear"/>
            <w:vAlign w:val="center"/>
          </w:tcPr>
          <w:p>
            <w:pPr>
              <w:pStyle w:val="TableContents"/>
              <w:bidi w:val="0"/>
              <w:spacing w:before="0" w:after="283"/>
              <w:jc w:val="left"/>
              <w:rPr/>
            </w:pPr>
            <w:r>
              <w:rPr/>
              <w:t>  </w:t>
            </w:r>
          </w:p>
        </w:tc>
        <w:tc>
          <w:tcPr>
            <w:tcW w:w="1324" w:type="dxa"/>
            <w:gridSpan w:val="2"/>
            <w:tcBorders/>
            <w:shd w:fill="0171B9" w:val="clear"/>
            <w:vAlign w:val="center"/>
          </w:tcPr>
          <w:p>
            <w:pPr>
              <w:pStyle w:val="TableContents"/>
              <w:bidi w:val="0"/>
              <w:spacing w:before="0" w:after="0"/>
              <w:jc w:val="right"/>
              <w:rPr>
                <w:rFonts w:ascii="arial" w:hAnsi="arial"/>
                <w:b/>
                <w:color w:val="FFFFFF"/>
                <w:sz w:val="18"/>
              </w:rPr>
            </w:pPr>
            <w:r>
              <w:rPr>
                <w:rFonts w:ascii="arial" w:hAnsi="arial"/>
                <w:b/>
                <w:color w:val="FFFFFF"/>
                <w:sz w:val="18"/>
              </w:rPr>
              <w:t>Current Burn </w:t>
            </w:r>
          </w:p>
          <w:p>
            <w:pPr>
              <w:pStyle w:val="TableContents"/>
              <w:bidi w:val="0"/>
              <w:spacing w:before="0" w:after="20"/>
              <w:jc w:val="right"/>
              <w:rPr>
                <w:rFonts w:ascii="arial" w:hAnsi="arial"/>
                <w:b/>
                <w:color w:val="FFFFFF"/>
                <w:sz w:val="18"/>
              </w:rPr>
            </w:pPr>
            <w:r>
              <w:rPr>
                <w:rFonts w:ascii="arial" w:hAnsi="arial"/>
                <w:b/>
                <w:color w:val="FFFFFF"/>
                <w:sz w:val="18"/>
              </w:rPr>
              <w:t>Rate(2) </w:t>
            </w:r>
          </w:p>
        </w:tc>
        <w:tc>
          <w:tcPr>
            <w:tcW w:w="75" w:type="dxa"/>
            <w:tcBorders/>
            <w:shd w:fill="0171B9" w:val="clear"/>
            <w:vAlign w:val="center"/>
          </w:tcPr>
          <w:p>
            <w:pPr>
              <w:pStyle w:val="TableContents"/>
              <w:bidi w:val="0"/>
              <w:spacing w:before="0" w:after="283"/>
              <w:jc w:val="left"/>
              <w:rPr/>
            </w:pPr>
            <w:r>
              <w:rPr/>
              <w:t> </w:t>
            </w:r>
          </w:p>
        </w:tc>
      </w:tr>
      <w:tr>
        <w:trPr/>
        <w:tc>
          <w:tcPr>
            <w:tcW w:w="665" w:type="dxa"/>
            <w:tcBorders/>
            <w:shd w:fill="CCE2F1" w:val="clear"/>
            <w:vAlign w:val="center"/>
          </w:tcPr>
          <w:p>
            <w:pPr>
              <w:pStyle w:val="TableContents"/>
              <w:bidi w:val="0"/>
              <w:spacing w:before="0" w:after="283"/>
              <w:jc w:val="left"/>
              <w:rPr>
                <w:sz w:val="4"/>
                <w:szCs w:val="4"/>
              </w:rPr>
            </w:pPr>
            <w:r>
              <w:rPr>
                <w:sz w:val="4"/>
                <w:szCs w:val="4"/>
              </w:rPr>
            </w:r>
          </w:p>
        </w:tc>
        <w:tc>
          <w:tcPr>
            <w:tcW w:w="1700" w:type="dxa"/>
            <w:gridSpan w:val="4"/>
            <w:tcBorders/>
            <w:shd w:fill="CCE2F1" w:val="clear"/>
            <w:vAlign w:val="center"/>
          </w:tcPr>
          <w:p>
            <w:pPr>
              <w:pStyle w:val="TableContents"/>
              <w:bidi w:val="0"/>
              <w:spacing w:before="0" w:after="283"/>
              <w:jc w:val="left"/>
              <w:rPr>
                <w:sz w:val="4"/>
                <w:szCs w:val="4"/>
              </w:rPr>
            </w:pPr>
            <w:r>
              <w:rPr>
                <w:sz w:val="4"/>
                <w:szCs w:val="4"/>
              </w:rPr>
            </w:r>
          </w:p>
        </w:tc>
        <w:tc>
          <w:tcPr>
            <w:tcW w:w="1460" w:type="dxa"/>
            <w:gridSpan w:val="4"/>
            <w:tcBorders/>
            <w:shd w:fill="CCE2F1" w:val="clear"/>
            <w:vAlign w:val="center"/>
          </w:tcPr>
          <w:p>
            <w:pPr>
              <w:pStyle w:val="TableContents"/>
              <w:bidi w:val="0"/>
              <w:spacing w:before="0" w:after="283"/>
              <w:jc w:val="left"/>
              <w:rPr>
                <w:sz w:val="4"/>
                <w:szCs w:val="4"/>
              </w:rPr>
            </w:pPr>
            <w:r>
              <w:rPr>
                <w:sz w:val="4"/>
                <w:szCs w:val="4"/>
              </w:rPr>
            </w:r>
          </w:p>
        </w:tc>
        <w:tc>
          <w:tcPr>
            <w:tcW w:w="1655" w:type="dxa"/>
            <w:gridSpan w:val="4"/>
            <w:tcBorders/>
            <w:shd w:fill="CCE2F1" w:val="clear"/>
            <w:vAlign w:val="center"/>
          </w:tcPr>
          <w:p>
            <w:pPr>
              <w:pStyle w:val="TableContents"/>
              <w:bidi w:val="0"/>
              <w:spacing w:before="0" w:after="283"/>
              <w:jc w:val="left"/>
              <w:rPr>
                <w:sz w:val="4"/>
                <w:szCs w:val="4"/>
              </w:rPr>
            </w:pPr>
            <w:r>
              <w:rPr>
                <w:sz w:val="4"/>
                <w:szCs w:val="4"/>
              </w:rPr>
            </w:r>
          </w:p>
        </w:tc>
        <w:tc>
          <w:tcPr>
            <w:tcW w:w="1685" w:type="dxa"/>
            <w:gridSpan w:val="4"/>
            <w:tcBorders/>
            <w:shd w:fill="CCE2F1" w:val="clear"/>
            <w:vAlign w:val="center"/>
          </w:tcPr>
          <w:p>
            <w:pPr>
              <w:pStyle w:val="TableContents"/>
              <w:bidi w:val="0"/>
              <w:spacing w:before="0" w:after="283"/>
              <w:jc w:val="left"/>
              <w:rPr>
                <w:sz w:val="4"/>
                <w:szCs w:val="4"/>
              </w:rPr>
            </w:pPr>
            <w:r>
              <w:rPr>
                <w:sz w:val="4"/>
                <w:szCs w:val="4"/>
              </w:rPr>
            </w:r>
          </w:p>
        </w:tc>
        <w:tc>
          <w:tcPr>
            <w:tcW w:w="1460" w:type="dxa"/>
            <w:gridSpan w:val="4"/>
            <w:tcBorders/>
            <w:shd w:fill="CCE2F1" w:val="clear"/>
            <w:vAlign w:val="center"/>
          </w:tcPr>
          <w:p>
            <w:pPr>
              <w:pStyle w:val="TableContents"/>
              <w:bidi w:val="0"/>
              <w:spacing w:before="0" w:after="283"/>
              <w:jc w:val="left"/>
              <w:rPr>
                <w:sz w:val="4"/>
                <w:szCs w:val="4"/>
              </w:rPr>
            </w:pPr>
            <w:r>
              <w:rPr>
                <w:sz w:val="4"/>
                <w:szCs w:val="4"/>
              </w:rPr>
            </w:r>
          </w:p>
        </w:tc>
        <w:tc>
          <w:tcPr>
            <w:tcW w:w="1519"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665" w:type="dxa"/>
            <w:tcBorders/>
            <w:shd w:fill="CCE2F1" w:val="clear"/>
            <w:vAlign w:val="center"/>
          </w:tcPr>
          <w:p>
            <w:pPr>
              <w:pStyle w:val="TableContents"/>
              <w:bidi w:val="0"/>
              <w:spacing w:before="0" w:after="0"/>
              <w:jc w:val="left"/>
              <w:rPr/>
            </w:pPr>
            <w:r>
              <w:rPr/>
              <w:t> </w:t>
            </w:r>
            <w:r>
              <w:rPr>
                <w:rFonts w:ascii="arial" w:hAnsi="arial"/>
                <w:sz w:val="18"/>
              </w:rPr>
              <w:t>2023</w:t>
            </w:r>
          </w:p>
        </w:tc>
        <w:tc>
          <w:tcPr>
            <w:tcW w:w="12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460" w:type="dxa"/>
            <w:tcBorders/>
            <w:shd w:fill="CCE2F1" w:val="clear"/>
            <w:vAlign w:val="center"/>
          </w:tcPr>
          <w:p>
            <w:pPr>
              <w:pStyle w:val="TableContents"/>
              <w:bidi w:val="0"/>
              <w:spacing w:before="0" w:after="283"/>
              <w:jc w:val="right"/>
              <w:rPr/>
            </w:pPr>
            <w:r>
              <w:rPr/>
              <w:t>    </w:t>
            </w:r>
            <w:r>
              <w:rPr/>
              <w:t>1,147,870</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220" w:type="dxa"/>
            <w:tcBorders/>
            <w:shd w:fill="CCE2F1" w:val="clear"/>
            <w:vAlign w:val="center"/>
          </w:tcPr>
          <w:p>
            <w:pPr>
              <w:pStyle w:val="TableContents"/>
              <w:bidi w:val="0"/>
              <w:spacing w:before="0" w:after="283"/>
              <w:jc w:val="right"/>
              <w:rPr/>
            </w:pPr>
            <w:r>
              <w:rPr/>
              <w:t>  </w:t>
            </w:r>
            <w:r>
              <w:rPr/>
              <w:t>1,005,159</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72" w:type="dxa"/>
            <w:tcBorders/>
            <w:shd w:fill="CCE2F1" w:val="clear"/>
            <w:vAlign w:val="center"/>
          </w:tcPr>
          <w:p>
            <w:pPr>
              <w:pStyle w:val="TableContents"/>
              <w:bidi w:val="0"/>
              <w:spacing w:before="0" w:after="283"/>
              <w:jc w:val="left"/>
              <w:rPr/>
            </w:pPr>
            <w:r>
              <w:rPr/>
              <w:t> </w:t>
            </w:r>
          </w:p>
        </w:tc>
        <w:tc>
          <w:tcPr>
            <w:tcW w:w="1403" w:type="dxa"/>
            <w:tcBorders/>
            <w:shd w:fill="CCE2F1" w:val="clear"/>
            <w:vAlign w:val="center"/>
          </w:tcPr>
          <w:p>
            <w:pPr>
              <w:pStyle w:val="TableContents"/>
              <w:bidi w:val="0"/>
              <w:spacing w:before="0" w:after="283"/>
              <w:jc w:val="right"/>
              <w:rPr/>
            </w:pPr>
            <w:r>
              <w:rPr/>
              <w:t>   </w:t>
            </w:r>
            <w:r>
              <w:rPr/>
              <w:t>666,633</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86" w:type="dxa"/>
            <w:tcBorders/>
            <w:shd w:fill="CCE2F1" w:val="clear"/>
            <w:vAlign w:val="center"/>
          </w:tcPr>
          <w:p>
            <w:pPr>
              <w:pStyle w:val="TableContents"/>
              <w:bidi w:val="0"/>
              <w:spacing w:before="0" w:after="283"/>
              <w:jc w:val="left"/>
              <w:rPr/>
            </w:pPr>
            <w:r>
              <w:rPr/>
              <w:t> </w:t>
            </w:r>
          </w:p>
        </w:tc>
        <w:tc>
          <w:tcPr>
            <w:tcW w:w="1419" w:type="dxa"/>
            <w:tcBorders/>
            <w:shd w:fill="CCE2F1" w:val="clear"/>
            <w:vAlign w:val="center"/>
          </w:tcPr>
          <w:p>
            <w:pPr>
              <w:pStyle w:val="TableContents"/>
              <w:bidi w:val="0"/>
              <w:spacing w:before="0" w:after="283"/>
              <w:jc w:val="right"/>
              <w:rPr/>
            </w:pPr>
            <w:r>
              <w:rPr/>
              <w:t>2,819,662</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220" w:type="dxa"/>
            <w:tcBorders/>
            <w:shd w:fill="CCE2F1" w:val="clear"/>
            <w:vAlign w:val="center"/>
          </w:tcPr>
          <w:p>
            <w:pPr>
              <w:pStyle w:val="TableContents"/>
              <w:bidi w:val="0"/>
              <w:spacing w:before="0" w:after="283"/>
              <w:jc w:val="right"/>
              <w:rPr/>
            </w:pPr>
            <w:r>
              <w:rPr/>
              <w:t>534,964,356</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7" w:type="dxa"/>
            <w:tcBorders/>
            <w:shd w:fill="CCE2F1" w:val="clear"/>
            <w:vAlign w:val="center"/>
          </w:tcPr>
          <w:p>
            <w:pPr>
              <w:pStyle w:val="TableContents"/>
              <w:bidi w:val="0"/>
              <w:spacing w:before="0" w:after="283"/>
              <w:jc w:val="left"/>
              <w:rPr/>
            </w:pPr>
            <w:r>
              <w:rPr/>
              <w:t> </w:t>
            </w:r>
          </w:p>
        </w:tc>
        <w:tc>
          <w:tcPr>
            <w:tcW w:w="1257" w:type="dxa"/>
            <w:tcBorders/>
            <w:shd w:fill="CCE2F1" w:val="clear"/>
            <w:vAlign w:val="center"/>
          </w:tcPr>
          <w:p>
            <w:pPr>
              <w:pStyle w:val="TableContents"/>
              <w:bidi w:val="0"/>
              <w:spacing w:before="0" w:after="283"/>
              <w:jc w:val="right"/>
              <w:rPr/>
            </w:pPr>
            <w:r>
              <w:rPr/>
              <w:t>  </w:t>
            </w:r>
            <w:r>
              <w:rPr/>
              <w:t>0.53% </w:t>
            </w:r>
          </w:p>
        </w:tc>
        <w:tc>
          <w:tcPr>
            <w:tcW w:w="75" w:type="dxa"/>
            <w:tcBorders/>
            <w:shd w:fill="CCE2F1" w:val="clear"/>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sz w:val="4"/>
                <w:szCs w:val="4"/>
              </w:rPr>
            </w:pPr>
            <w:r>
              <w:rPr>
                <w:sz w:val="4"/>
                <w:szCs w:val="4"/>
              </w:rPr>
            </w:r>
          </w:p>
        </w:tc>
        <w:tc>
          <w:tcPr>
            <w:tcW w:w="1700" w:type="dxa"/>
            <w:gridSpan w:val="4"/>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655" w:type="dxa"/>
            <w:gridSpan w:val="4"/>
            <w:tcBorders/>
            <w:vAlign w:val="center"/>
          </w:tcPr>
          <w:p>
            <w:pPr>
              <w:pStyle w:val="TableContents"/>
              <w:bidi w:val="0"/>
              <w:spacing w:before="0" w:after="283"/>
              <w:jc w:val="left"/>
              <w:rPr>
                <w:sz w:val="4"/>
                <w:szCs w:val="4"/>
              </w:rPr>
            </w:pPr>
            <w:r>
              <w:rPr>
                <w:sz w:val="4"/>
                <w:szCs w:val="4"/>
              </w:rPr>
            </w:r>
          </w:p>
        </w:tc>
        <w:tc>
          <w:tcPr>
            <w:tcW w:w="1685" w:type="dxa"/>
            <w:gridSpan w:val="4"/>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519" w:type="dxa"/>
            <w:gridSpan w:val="4"/>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0"/>
              <w:jc w:val="left"/>
              <w:rPr/>
            </w:pPr>
            <w:r>
              <w:rPr/>
              <w:t> </w:t>
            </w:r>
            <w:r>
              <w:rPr>
                <w:rFonts w:ascii="arial" w:hAnsi="arial"/>
                <w:sz w:val="18"/>
              </w:rPr>
              <w:t>2022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right"/>
              <w:rPr/>
            </w:pPr>
            <w:r>
              <w:rPr/>
              <w:t>    </w:t>
            </w:r>
            <w:r>
              <w:rPr/>
              <w:t>1,115,232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r>
              <w:rPr/>
              <w:t>1,013,308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right"/>
              <w:rPr/>
            </w:pPr>
            <w:r>
              <w:rPr/>
              <w:t>   </w:t>
            </w:r>
            <w:r>
              <w:rPr/>
              <w:t>651,811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419" w:type="dxa"/>
            <w:tcBorders/>
            <w:vAlign w:val="center"/>
          </w:tcPr>
          <w:p>
            <w:pPr>
              <w:pStyle w:val="TableContents"/>
              <w:bidi w:val="0"/>
              <w:spacing w:before="0" w:after="283"/>
              <w:jc w:val="right"/>
              <w:rPr/>
            </w:pPr>
            <w:r>
              <w:rPr/>
              <w:t>2,780,351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537,849,518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right"/>
              <w:rPr/>
            </w:pPr>
            <w:r>
              <w:rPr/>
              <w:t>  </w:t>
            </w:r>
            <w:r>
              <w:rPr/>
              <w:t>0.52% </w:t>
            </w:r>
          </w:p>
        </w:tc>
        <w:tc>
          <w:tcPr>
            <w:tcW w:w="75" w:type="dxa"/>
            <w:tcBorders/>
            <w:vAlign w:val="center"/>
          </w:tcPr>
          <w:p>
            <w:pPr>
              <w:pStyle w:val="TableContents"/>
              <w:bidi w:val="0"/>
              <w:spacing w:before="0" w:after="283"/>
              <w:jc w:val="left"/>
              <w:rPr/>
            </w:pPr>
            <w:r>
              <w:rPr/>
              <w:t> </w:t>
            </w:r>
          </w:p>
        </w:tc>
      </w:tr>
      <w:tr>
        <w:trPr/>
        <w:tc>
          <w:tcPr>
            <w:tcW w:w="665" w:type="dxa"/>
            <w:tcBorders/>
            <w:shd w:fill="CCE2F1" w:val="clear"/>
            <w:vAlign w:val="center"/>
          </w:tcPr>
          <w:p>
            <w:pPr>
              <w:pStyle w:val="TableContents"/>
              <w:bidi w:val="0"/>
              <w:spacing w:before="0" w:after="283"/>
              <w:jc w:val="left"/>
              <w:rPr>
                <w:sz w:val="4"/>
                <w:szCs w:val="4"/>
              </w:rPr>
            </w:pPr>
            <w:r>
              <w:rPr>
                <w:sz w:val="4"/>
                <w:szCs w:val="4"/>
              </w:rPr>
            </w:r>
          </w:p>
        </w:tc>
        <w:tc>
          <w:tcPr>
            <w:tcW w:w="1700" w:type="dxa"/>
            <w:gridSpan w:val="4"/>
            <w:tcBorders/>
            <w:shd w:fill="CCE2F1" w:val="clear"/>
            <w:vAlign w:val="center"/>
          </w:tcPr>
          <w:p>
            <w:pPr>
              <w:pStyle w:val="TableContents"/>
              <w:bidi w:val="0"/>
              <w:spacing w:before="0" w:after="283"/>
              <w:jc w:val="left"/>
              <w:rPr>
                <w:sz w:val="4"/>
                <w:szCs w:val="4"/>
              </w:rPr>
            </w:pPr>
            <w:r>
              <w:rPr>
                <w:sz w:val="4"/>
                <w:szCs w:val="4"/>
              </w:rPr>
            </w:r>
          </w:p>
        </w:tc>
        <w:tc>
          <w:tcPr>
            <w:tcW w:w="1460" w:type="dxa"/>
            <w:gridSpan w:val="4"/>
            <w:tcBorders/>
            <w:shd w:fill="CCE2F1" w:val="clear"/>
            <w:vAlign w:val="center"/>
          </w:tcPr>
          <w:p>
            <w:pPr>
              <w:pStyle w:val="TableContents"/>
              <w:bidi w:val="0"/>
              <w:spacing w:before="0" w:after="283"/>
              <w:jc w:val="left"/>
              <w:rPr>
                <w:sz w:val="4"/>
                <w:szCs w:val="4"/>
              </w:rPr>
            </w:pPr>
            <w:r>
              <w:rPr>
                <w:sz w:val="4"/>
                <w:szCs w:val="4"/>
              </w:rPr>
            </w:r>
          </w:p>
        </w:tc>
        <w:tc>
          <w:tcPr>
            <w:tcW w:w="1655" w:type="dxa"/>
            <w:gridSpan w:val="4"/>
            <w:tcBorders/>
            <w:shd w:fill="CCE2F1" w:val="clear"/>
            <w:vAlign w:val="center"/>
          </w:tcPr>
          <w:p>
            <w:pPr>
              <w:pStyle w:val="TableContents"/>
              <w:bidi w:val="0"/>
              <w:spacing w:before="0" w:after="283"/>
              <w:jc w:val="left"/>
              <w:rPr>
                <w:sz w:val="4"/>
                <w:szCs w:val="4"/>
              </w:rPr>
            </w:pPr>
            <w:r>
              <w:rPr>
                <w:sz w:val="4"/>
                <w:szCs w:val="4"/>
              </w:rPr>
            </w:r>
          </w:p>
        </w:tc>
        <w:tc>
          <w:tcPr>
            <w:tcW w:w="1685" w:type="dxa"/>
            <w:gridSpan w:val="4"/>
            <w:tcBorders/>
            <w:shd w:fill="CCE2F1" w:val="clear"/>
            <w:vAlign w:val="center"/>
          </w:tcPr>
          <w:p>
            <w:pPr>
              <w:pStyle w:val="TableContents"/>
              <w:bidi w:val="0"/>
              <w:spacing w:before="0" w:after="283"/>
              <w:jc w:val="left"/>
              <w:rPr>
                <w:sz w:val="4"/>
                <w:szCs w:val="4"/>
              </w:rPr>
            </w:pPr>
            <w:r>
              <w:rPr>
                <w:sz w:val="4"/>
                <w:szCs w:val="4"/>
              </w:rPr>
            </w:r>
          </w:p>
        </w:tc>
        <w:tc>
          <w:tcPr>
            <w:tcW w:w="1460" w:type="dxa"/>
            <w:gridSpan w:val="4"/>
            <w:tcBorders/>
            <w:shd w:fill="CCE2F1" w:val="clear"/>
            <w:vAlign w:val="center"/>
          </w:tcPr>
          <w:p>
            <w:pPr>
              <w:pStyle w:val="TableContents"/>
              <w:bidi w:val="0"/>
              <w:spacing w:before="0" w:after="283"/>
              <w:jc w:val="left"/>
              <w:rPr>
                <w:sz w:val="4"/>
                <w:szCs w:val="4"/>
              </w:rPr>
            </w:pPr>
            <w:r>
              <w:rPr>
                <w:sz w:val="4"/>
                <w:szCs w:val="4"/>
              </w:rPr>
            </w:r>
          </w:p>
        </w:tc>
        <w:tc>
          <w:tcPr>
            <w:tcW w:w="1519"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665" w:type="dxa"/>
            <w:tcBorders/>
            <w:shd w:fill="CCE2F1" w:val="clear"/>
            <w:vAlign w:val="center"/>
          </w:tcPr>
          <w:p>
            <w:pPr>
              <w:pStyle w:val="TableContents"/>
              <w:bidi w:val="0"/>
              <w:spacing w:before="0" w:after="0"/>
              <w:jc w:val="left"/>
              <w:rPr/>
            </w:pPr>
            <w:r>
              <w:rPr/>
              <w:t> </w:t>
            </w:r>
            <w:r>
              <w:rPr>
                <w:rFonts w:ascii="arial" w:hAnsi="arial"/>
                <w:sz w:val="18"/>
              </w:rPr>
              <w:t>2021</w:t>
            </w:r>
          </w:p>
        </w:tc>
        <w:tc>
          <w:tcPr>
            <w:tcW w:w="12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460" w:type="dxa"/>
            <w:tcBorders/>
            <w:shd w:fill="CCE2F1" w:val="clear"/>
            <w:vAlign w:val="center"/>
          </w:tcPr>
          <w:p>
            <w:pPr>
              <w:pStyle w:val="TableContents"/>
              <w:bidi w:val="0"/>
              <w:spacing w:before="0" w:after="283"/>
              <w:jc w:val="right"/>
              <w:rPr/>
            </w:pPr>
            <w:r>
              <w:rPr/>
              <w:t>1,333,040</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220" w:type="dxa"/>
            <w:tcBorders/>
            <w:shd w:fill="CCE2F1" w:val="clear"/>
            <w:vAlign w:val="center"/>
          </w:tcPr>
          <w:p>
            <w:pPr>
              <w:pStyle w:val="TableContents"/>
              <w:bidi w:val="0"/>
              <w:spacing w:before="0" w:after="283"/>
              <w:jc w:val="right"/>
              <w:rPr/>
            </w:pPr>
            <w:r>
              <w:rPr/>
              <w:t>  </w:t>
            </w:r>
            <w:r>
              <w:rPr/>
              <w:t>1,324,374</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72" w:type="dxa"/>
            <w:tcBorders/>
            <w:shd w:fill="CCE2F1" w:val="clear"/>
            <w:vAlign w:val="center"/>
          </w:tcPr>
          <w:p>
            <w:pPr>
              <w:pStyle w:val="TableContents"/>
              <w:bidi w:val="0"/>
              <w:spacing w:before="0" w:after="283"/>
              <w:jc w:val="left"/>
              <w:rPr/>
            </w:pPr>
            <w:r>
              <w:rPr/>
              <w:t> </w:t>
            </w:r>
          </w:p>
        </w:tc>
        <w:tc>
          <w:tcPr>
            <w:tcW w:w="1403" w:type="dxa"/>
            <w:tcBorders/>
            <w:shd w:fill="CCE2F1" w:val="clear"/>
            <w:vAlign w:val="center"/>
          </w:tcPr>
          <w:p>
            <w:pPr>
              <w:pStyle w:val="TableContents"/>
              <w:bidi w:val="0"/>
              <w:spacing w:before="0" w:after="283"/>
              <w:jc w:val="right"/>
              <w:rPr/>
            </w:pPr>
            <w:r>
              <w:rPr/>
              <w:t>   </w:t>
            </w:r>
            <w:r>
              <w:rPr/>
              <w:t>605,970</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86" w:type="dxa"/>
            <w:tcBorders/>
            <w:shd w:fill="CCE2F1" w:val="clear"/>
            <w:vAlign w:val="center"/>
          </w:tcPr>
          <w:p>
            <w:pPr>
              <w:pStyle w:val="TableContents"/>
              <w:bidi w:val="0"/>
              <w:spacing w:before="0" w:after="283"/>
              <w:jc w:val="left"/>
              <w:rPr/>
            </w:pPr>
            <w:r>
              <w:rPr/>
              <w:t> </w:t>
            </w:r>
          </w:p>
        </w:tc>
        <w:tc>
          <w:tcPr>
            <w:tcW w:w="1419" w:type="dxa"/>
            <w:tcBorders/>
            <w:shd w:fill="CCE2F1" w:val="clear"/>
            <w:vAlign w:val="center"/>
          </w:tcPr>
          <w:p>
            <w:pPr>
              <w:pStyle w:val="TableContents"/>
              <w:bidi w:val="0"/>
              <w:spacing w:before="0" w:after="283"/>
              <w:jc w:val="right"/>
              <w:rPr/>
            </w:pPr>
            <w:r>
              <w:rPr/>
              <w:t>3,263,384</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1220" w:type="dxa"/>
            <w:tcBorders/>
            <w:shd w:fill="CCE2F1" w:val="clear"/>
            <w:vAlign w:val="center"/>
          </w:tcPr>
          <w:p>
            <w:pPr>
              <w:pStyle w:val="TableContents"/>
              <w:bidi w:val="0"/>
              <w:spacing w:before="0" w:after="283"/>
              <w:jc w:val="right"/>
              <w:rPr/>
            </w:pPr>
            <w:r>
              <w:rPr/>
              <w:t>569,809,364</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7" w:type="dxa"/>
            <w:tcBorders/>
            <w:shd w:fill="CCE2F1" w:val="clear"/>
            <w:vAlign w:val="center"/>
          </w:tcPr>
          <w:p>
            <w:pPr>
              <w:pStyle w:val="TableContents"/>
              <w:bidi w:val="0"/>
              <w:spacing w:before="0" w:after="283"/>
              <w:jc w:val="left"/>
              <w:rPr/>
            </w:pPr>
            <w:r>
              <w:rPr/>
              <w:t> </w:t>
            </w:r>
          </w:p>
        </w:tc>
        <w:tc>
          <w:tcPr>
            <w:tcW w:w="1257" w:type="dxa"/>
            <w:tcBorders/>
            <w:shd w:fill="CCE2F1" w:val="clear"/>
            <w:vAlign w:val="center"/>
          </w:tcPr>
          <w:p>
            <w:pPr>
              <w:pStyle w:val="TableContents"/>
              <w:bidi w:val="0"/>
              <w:spacing w:before="0" w:after="283"/>
              <w:jc w:val="right"/>
              <w:rPr/>
            </w:pPr>
            <w:r>
              <w:rPr/>
              <w:t>  </w:t>
            </w:r>
            <w:r>
              <w:rPr/>
              <w:t>0.57% </w:t>
            </w:r>
          </w:p>
        </w:tc>
        <w:tc>
          <w:tcPr>
            <w:tcW w:w="75" w:type="dxa"/>
            <w:tcBorders/>
            <w:shd w:fill="CCE2F1" w:val="clear"/>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sz w:val="4"/>
                <w:szCs w:val="4"/>
              </w:rPr>
            </w:pPr>
            <w:r>
              <w:rPr>
                <w:sz w:val="4"/>
                <w:szCs w:val="4"/>
              </w:rPr>
            </w:r>
          </w:p>
        </w:tc>
        <w:tc>
          <w:tcPr>
            <w:tcW w:w="1700" w:type="dxa"/>
            <w:gridSpan w:val="4"/>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655" w:type="dxa"/>
            <w:gridSpan w:val="4"/>
            <w:tcBorders/>
            <w:vAlign w:val="center"/>
          </w:tcPr>
          <w:p>
            <w:pPr>
              <w:pStyle w:val="TableContents"/>
              <w:bidi w:val="0"/>
              <w:spacing w:before="0" w:after="283"/>
              <w:jc w:val="left"/>
              <w:rPr>
                <w:sz w:val="4"/>
                <w:szCs w:val="4"/>
              </w:rPr>
            </w:pPr>
            <w:r>
              <w:rPr>
                <w:sz w:val="4"/>
                <w:szCs w:val="4"/>
              </w:rPr>
            </w:r>
          </w:p>
        </w:tc>
        <w:tc>
          <w:tcPr>
            <w:tcW w:w="3145" w:type="dxa"/>
            <w:gridSpan w:val="8"/>
            <w:tcBorders/>
            <w:vAlign w:val="center"/>
          </w:tcPr>
          <w:p>
            <w:pPr>
              <w:pStyle w:val="TableContents"/>
              <w:bidi w:val="0"/>
              <w:spacing w:before="0" w:after="283"/>
              <w:jc w:val="left"/>
              <w:rPr>
                <w:sz w:val="4"/>
                <w:szCs w:val="4"/>
              </w:rPr>
            </w:pPr>
            <w:r>
              <w:rPr>
                <w:sz w:val="4"/>
                <w:szCs w:val="4"/>
              </w:rPr>
            </w:r>
          </w:p>
        </w:tc>
        <w:tc>
          <w:tcPr>
            <w:tcW w:w="1519" w:type="dxa"/>
            <w:gridSpan w:val="4"/>
            <w:tcBorders/>
            <w:vAlign w:val="center"/>
          </w:tcPr>
          <w:p>
            <w:pPr>
              <w:pStyle w:val="TableContents"/>
              <w:bidi w:val="0"/>
              <w:spacing w:before="0" w:after="283"/>
              <w:jc w:val="left"/>
              <w:rPr>
                <w:sz w:val="4"/>
                <w:szCs w:val="4"/>
              </w:rPr>
            </w:pPr>
            <w:r>
              <w:rPr>
                <w:sz w:val="4"/>
                <w:szCs w:val="4"/>
              </w:rPr>
            </w:r>
          </w:p>
        </w:tc>
      </w:tr>
      <w:tr>
        <w:trPr/>
        <w:tc>
          <w:tcPr>
            <w:tcW w:w="665" w:type="dxa"/>
            <w:tcBorders>
              <w:bottom w:val="single" w:sz="8" w:space="0" w:color="0171B9"/>
            </w:tcBorders>
            <w:tcMar>
              <w:bottom w:w="28" w:type="dxa"/>
            </w:tcMar>
            <w:vAlign w:val="center"/>
          </w:tcPr>
          <w:p>
            <w:pPr>
              <w:pStyle w:val="TableContents"/>
              <w:bidi w:val="0"/>
              <w:spacing w:before="0" w:after="283"/>
              <w:jc w:val="left"/>
              <w:rPr/>
            </w:pPr>
            <w:r>
              <w:rPr/>
              <w:t> </w:t>
            </w:r>
          </w:p>
        </w:tc>
        <w:tc>
          <w:tcPr>
            <w:tcW w:w="120" w:type="dxa"/>
            <w:tcBorders>
              <w:bottom w:val="single" w:sz="8" w:space="0" w:color="0171B9"/>
            </w:tcBorders>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1460" w:type="dxa"/>
            <w:tcBorders>
              <w:bottom w:val="single" w:sz="8" w:space="0" w:color="0171B9"/>
            </w:tcBorders>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120" w:type="dxa"/>
            <w:tcBorders>
              <w:bottom w:val="single" w:sz="8" w:space="0" w:color="0171B9"/>
            </w:tcBorders>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1220" w:type="dxa"/>
            <w:tcBorders>
              <w:bottom w:val="single" w:sz="8" w:space="0" w:color="0171B9"/>
            </w:tcBorders>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120" w:type="dxa"/>
            <w:tcBorders>
              <w:bottom w:val="single" w:sz="8" w:space="0" w:color="0171B9"/>
            </w:tcBorders>
            <w:tcMar>
              <w:bottom w:w="28" w:type="dxa"/>
            </w:tcMar>
            <w:vAlign w:val="center"/>
          </w:tcPr>
          <w:p>
            <w:pPr>
              <w:pStyle w:val="TableContents"/>
              <w:bidi w:val="0"/>
              <w:spacing w:before="0" w:after="283"/>
              <w:jc w:val="left"/>
              <w:rPr/>
            </w:pPr>
            <w:r>
              <w:rPr/>
              <w:t>  </w:t>
            </w:r>
          </w:p>
        </w:tc>
        <w:tc>
          <w:tcPr>
            <w:tcW w:w="72" w:type="dxa"/>
            <w:tcBorders>
              <w:bottom w:val="single" w:sz="8" w:space="0" w:color="0171B9"/>
            </w:tcBorders>
            <w:tcMar>
              <w:bottom w:w="28" w:type="dxa"/>
            </w:tcMar>
            <w:vAlign w:val="center"/>
          </w:tcPr>
          <w:p>
            <w:pPr>
              <w:pStyle w:val="TableContents"/>
              <w:bidi w:val="0"/>
              <w:spacing w:before="0" w:after="283"/>
              <w:jc w:val="left"/>
              <w:rPr/>
            </w:pPr>
            <w:r>
              <w:rPr/>
              <w:t> </w:t>
            </w:r>
          </w:p>
        </w:tc>
        <w:tc>
          <w:tcPr>
            <w:tcW w:w="1403" w:type="dxa"/>
            <w:tcBorders>
              <w:bottom w:val="single" w:sz="8" w:space="0" w:color="0171B9"/>
            </w:tcBorders>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120" w:type="dxa"/>
            <w:tcBorders>
              <w:bottom w:val="single" w:sz="8" w:space="0" w:color="0171B9"/>
            </w:tcBorders>
            <w:tcMar>
              <w:bottom w:w="28" w:type="dxa"/>
            </w:tcMar>
            <w:vAlign w:val="center"/>
          </w:tcPr>
          <w:p>
            <w:pPr>
              <w:pStyle w:val="TableContents"/>
              <w:bidi w:val="0"/>
              <w:spacing w:before="0" w:after="283"/>
              <w:jc w:val="left"/>
              <w:rPr/>
            </w:pPr>
            <w:r>
              <w:rPr/>
              <w:t>  </w:t>
            </w:r>
          </w:p>
        </w:tc>
        <w:tc>
          <w:tcPr>
            <w:tcW w:w="86" w:type="dxa"/>
            <w:tcBorders>
              <w:bottom w:val="single" w:sz="8" w:space="0" w:color="0171B9"/>
            </w:tcBorders>
            <w:tcMar>
              <w:bottom w:w="80" w:type="dxa"/>
            </w:tcMar>
            <w:vAlign w:val="center"/>
          </w:tcPr>
          <w:p>
            <w:pPr>
              <w:pStyle w:val="TableContents"/>
              <w:bidi w:val="0"/>
              <w:spacing w:before="0" w:after="283"/>
              <w:jc w:val="right"/>
              <w:rPr/>
            </w:pPr>
            <w:r>
              <w:rPr/>
              <w:t> </w:t>
            </w:r>
          </w:p>
        </w:tc>
        <w:tc>
          <w:tcPr>
            <w:tcW w:w="2879" w:type="dxa"/>
            <w:gridSpan w:val="5"/>
            <w:tcBorders>
              <w:bottom w:val="single" w:sz="8" w:space="0" w:color="0171B9"/>
            </w:tcBorders>
            <w:tcMar>
              <w:bottom w:w="80" w:type="dxa"/>
            </w:tcMar>
            <w:vAlign w:val="center"/>
          </w:tcPr>
          <w:p>
            <w:pPr>
              <w:pStyle w:val="TableContents"/>
              <w:bidi w:val="0"/>
              <w:spacing w:before="0" w:after="283"/>
              <w:jc w:val="right"/>
              <w:rPr>
                <w:b/>
              </w:rPr>
            </w:pPr>
            <w:r>
              <w:rPr>
                <w:b/>
              </w:rPr>
              <w:t>Three Year Average</w:t>
            </w:r>
          </w:p>
        </w:tc>
        <w:tc>
          <w:tcPr>
            <w:tcW w:w="60" w:type="dxa"/>
            <w:tcBorders>
              <w:bottom w:val="single" w:sz="8" w:space="0" w:color="0171B9"/>
            </w:tcBorders>
            <w:tcMar>
              <w:bottom w:w="80" w:type="dxa"/>
            </w:tcMar>
            <w:vAlign w:val="center"/>
          </w:tcPr>
          <w:p>
            <w:pPr>
              <w:pStyle w:val="TableContents"/>
              <w:bidi w:val="0"/>
              <w:spacing w:before="0" w:after="283"/>
              <w:jc w:val="left"/>
              <w:rPr/>
            </w:pPr>
            <w:r>
              <w:rPr/>
              <w:t> </w:t>
            </w:r>
          </w:p>
        </w:tc>
        <w:tc>
          <w:tcPr>
            <w:tcW w:w="120" w:type="dxa"/>
            <w:tcBorders>
              <w:bottom w:val="single" w:sz="8" w:space="0" w:color="0171B9"/>
            </w:tcBorders>
            <w:tcMar>
              <w:bottom w:w="28" w:type="dxa"/>
            </w:tcMar>
            <w:vAlign w:val="center"/>
          </w:tcPr>
          <w:p>
            <w:pPr>
              <w:pStyle w:val="TableContents"/>
              <w:bidi w:val="0"/>
              <w:spacing w:before="0" w:after="283"/>
              <w:jc w:val="left"/>
              <w:rPr/>
            </w:pPr>
            <w:r>
              <w:rPr/>
              <w:t>  </w:t>
            </w:r>
          </w:p>
        </w:tc>
        <w:tc>
          <w:tcPr>
            <w:tcW w:w="67" w:type="dxa"/>
            <w:tcBorders>
              <w:bottom w:val="single" w:sz="8" w:space="0" w:color="0171B9"/>
            </w:tcBorders>
            <w:tcMar>
              <w:bottom w:w="80" w:type="dxa"/>
            </w:tcMar>
            <w:vAlign w:val="center"/>
          </w:tcPr>
          <w:p>
            <w:pPr>
              <w:pStyle w:val="TableContents"/>
              <w:bidi w:val="0"/>
              <w:spacing w:before="0" w:after="283"/>
              <w:jc w:val="left"/>
              <w:rPr/>
            </w:pPr>
            <w:r>
              <w:rPr/>
              <w:t> </w:t>
            </w:r>
          </w:p>
        </w:tc>
        <w:tc>
          <w:tcPr>
            <w:tcW w:w="1257" w:type="dxa"/>
            <w:tcBorders>
              <w:bottom w:val="single" w:sz="8" w:space="0" w:color="0171B9"/>
            </w:tcBorders>
            <w:tcMar>
              <w:bottom w:w="80" w:type="dxa"/>
            </w:tcMar>
            <w:vAlign w:val="center"/>
          </w:tcPr>
          <w:p>
            <w:pPr>
              <w:pStyle w:val="TableContents"/>
              <w:bidi w:val="0"/>
              <w:spacing w:before="0" w:after="283"/>
              <w:jc w:val="right"/>
              <w:rPr/>
            </w:pPr>
            <w:r>
              <w:rPr/>
              <w:t>  </w:t>
            </w:r>
            <w:r>
              <w:rPr/>
              <w:t>0.54% </w:t>
            </w:r>
          </w:p>
        </w:tc>
        <w:tc>
          <w:tcPr>
            <w:tcW w:w="75" w:type="dxa"/>
            <w:tcBorders>
              <w:bottom w:val="single" w:sz="8" w:space="0" w:color="0171B9"/>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283"/>
              <w:jc w:val="left"/>
              <w:rPr/>
            </w:pPr>
            <w:r>
              <w:rPr/>
              <w:t>(1) </w:t>
            </w:r>
          </w:p>
        </w:tc>
        <w:tc>
          <w:tcPr>
            <w:tcW w:w="9849" w:type="dxa"/>
            <w:tcBorders/>
            <w:vAlign w:val="center"/>
          </w:tcPr>
          <w:p>
            <w:pPr>
              <w:pStyle w:val="TableContents"/>
              <w:bidi w:val="0"/>
              <w:spacing w:before="0" w:after="0"/>
              <w:jc w:val="both"/>
              <w:rPr>
                <w:rFonts w:ascii="arial" w:hAnsi="arial"/>
                <w:sz w:val="16"/>
              </w:rPr>
            </w:pPr>
            <w:r>
              <w:rPr>
                <w:rFonts w:ascii="arial" w:hAnsi="arial"/>
                <w:sz w:val="16"/>
              </w:rPr>
              <w:t>Reflects the aggregate amount of NQSOs, RSUs and PUs (assuming target performance) granted under the Prior Plan during each fiscal year.</w:t>
            </w:r>
          </w:p>
        </w:tc>
      </w:tr>
    </w:tbl>
    <w:tbl>
      <w:tblPr>
        <w:tblW w:w="10205" w:type="dxa"/>
        <w:jc w:val="left"/>
        <w:tblInd w:w="0" w:type="dxa"/>
        <w:tblLayout w:type="fixed"/>
        <w:tblCellMar>
          <w:top w:w="0" w:type="dxa"/>
          <w:left w:w="0" w:type="dxa"/>
          <w:bottom w:w="0" w:type="dxa"/>
          <w:right w:w="0" w:type="dxa"/>
        </w:tblCellMar>
      </w:tblPr>
      <w:tblGrid>
        <w:gridCol w:w="336"/>
        <w:gridCol w:w="9869"/>
      </w:tblGrid>
      <w:tr>
        <w:trPr/>
        <w:tc>
          <w:tcPr>
            <w:tcW w:w="336" w:type="dxa"/>
            <w:tcBorders/>
            <w:vAlign w:val="center"/>
          </w:tcPr>
          <w:p>
            <w:pPr>
              <w:pStyle w:val="TableContents"/>
              <w:bidi w:val="0"/>
              <w:spacing w:before="0" w:after="283"/>
              <w:jc w:val="left"/>
              <w:rPr/>
            </w:pPr>
            <w:r>
              <w:rPr/>
              <w:t>(2) </w:t>
            </w:r>
          </w:p>
        </w:tc>
        <w:tc>
          <w:tcPr>
            <w:tcW w:w="9869" w:type="dxa"/>
            <w:tcBorders/>
            <w:vAlign w:val="center"/>
          </w:tcPr>
          <w:p>
            <w:pPr>
              <w:pStyle w:val="TableContents"/>
              <w:bidi w:val="0"/>
              <w:spacing w:before="0" w:after="0"/>
              <w:jc w:val="both"/>
              <w:rPr>
                <w:rFonts w:ascii="arial" w:hAnsi="arial"/>
                <w:sz w:val="16"/>
              </w:rPr>
            </w:pPr>
            <w:r>
              <w:rPr>
                <w:rFonts w:ascii="arial" w:hAnsi="arial"/>
                <w:sz w:val="16"/>
              </w:rPr>
              <w:t xml:space="preserve">The current burn rate reflects NQSOs, RSUs and PUs (assuming target performance) granted divided by Weighted Average Shares Outstanding in the applicable year. </w:t>
            </w:r>
          </w:p>
        </w:tc>
      </w:tr>
    </w:tbl>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374"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176" descr=""/>
                    <pic:cNvPicPr>
                      <a:picLocks noChangeAspect="1" noChangeArrowheads="1"/>
                    </pic:cNvPicPr>
                  </pic:nvPicPr>
                  <pic:blipFill>
                    <a:blip r:embed="rId189"/>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109</w:t>
      </w:r>
      <w:r>
        <w:rPr>
          <w:rFonts w:ascii="arial" w:hAnsi="arial"/>
          <w:b/>
          <w:sz w:val="22"/>
        </w:rPr>
        <w:t xml:space="preserve"> </w:t>
      </w:r>
      <w:r>
        <w:br w:type="page"/>
      </w:r>
    </w:p>
    <w:p>
      <w:pPr>
        <w:pStyle w:val="HorizontalLine"/>
        <w:bidi w:val="0"/>
        <w:jc w:val="left"/>
        <w:rPr/>
      </w:pPr>
      <w:r>
        <w:rPr/>
      </w:r>
    </w:p>
    <w:p>
      <w:pPr>
        <w:pStyle w:val="TextBody"/>
        <w:bidi w:val="0"/>
        <w:spacing w:before="0" w:after="0"/>
        <w:jc w:val="left"/>
        <w:rPr/>
      </w:pPr>
      <w:r>
        <w:rPr/>
        <w:t> </w:t>
      </w:r>
    </w:p>
    <w:tbl>
      <w:tblPr>
        <w:tblW w:w="10321" w:type="dxa"/>
        <w:jc w:val="left"/>
        <w:tblInd w:w="0" w:type="dxa"/>
        <w:tblLayout w:type="fixed"/>
        <w:tblCellMar>
          <w:top w:w="0" w:type="dxa"/>
          <w:left w:w="0" w:type="dxa"/>
          <w:bottom w:w="0" w:type="dxa"/>
          <w:right w:w="0" w:type="dxa"/>
        </w:tblCellMar>
      </w:tblPr>
      <w:tblGrid>
        <w:gridCol w:w="38"/>
        <w:gridCol w:w="23"/>
        <w:gridCol w:w="23"/>
        <w:gridCol w:w="23"/>
        <w:gridCol w:w="23"/>
        <w:gridCol w:w="23"/>
        <w:gridCol w:w="23"/>
        <w:gridCol w:w="60"/>
        <w:gridCol w:w="60"/>
        <w:gridCol w:w="995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6" w:type="dxa"/>
            <w:gridSpan w:val="7"/>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995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Item 3 — Approval of Amgen Inc. Second Amended and Restated 2009 Equity Incentive Plan</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sz w:val="22"/>
        </w:rPr>
      </w:pPr>
      <w:r>
        <w:rPr>
          <w:rFonts w:ascii="arial" w:hAnsi="arial"/>
          <w:b/>
          <w:sz w:val="22"/>
        </w:rPr>
        <w:t xml:space="preserve">Overhang </w:t>
      </w:r>
    </w:p>
    <w:p>
      <w:pPr>
        <w:pStyle w:val="TextBody"/>
        <w:bidi w:val="0"/>
        <w:spacing w:before="120" w:after="0"/>
        <w:jc w:val="both"/>
        <w:rPr>
          <w:rFonts w:ascii="arial" w:hAnsi="arial"/>
          <w:sz w:val="19"/>
        </w:rPr>
      </w:pPr>
      <w:r>
        <w:rPr>
          <w:rFonts w:ascii="arial" w:hAnsi="arial"/>
          <w:sz w:val="19"/>
        </w:rPr>
        <w:t xml:space="preserve">As of December 31, 2023, we had approximately 24 million shares of our Common Stock subject to outstanding equity awards (including outstanding RSUs issued under the Horizon stock plans that were converted into Amgen RSUs) or available for future grants under the Prior Plan, which represented approximately 4.5% of fully diluted Common Stock outstanding, as calculated below. If the Amended Plan is approved by stockholders, the additional 31,297,000 shares available for issuance under the Amended Plan would provide a fully-diluted overhang of 10.4%. </w:t>
      </w:r>
    </w:p>
    <w:p>
      <w:pPr>
        <w:pStyle w:val="TextBody"/>
        <w:bidi w:val="0"/>
        <w:spacing w:before="0" w:after="0"/>
        <w:jc w:val="left"/>
        <w:rPr/>
      </w:pPr>
      <w:r>
        <w:rPr/>
        <w:t> </w:t>
      </w:r>
    </w:p>
    <w:tbl>
      <w:tblPr>
        <w:tblW w:w="7014" w:type="dxa"/>
        <w:jc w:val="left"/>
        <w:tblInd w:w="0" w:type="dxa"/>
        <w:tblLayout w:type="fixed"/>
        <w:tblCellMar>
          <w:top w:w="0" w:type="dxa"/>
          <w:left w:w="0" w:type="dxa"/>
          <w:bottom w:w="0" w:type="dxa"/>
          <w:right w:w="0" w:type="dxa"/>
        </w:tblCellMar>
      </w:tblPr>
      <w:tblGrid>
        <w:gridCol w:w="5135"/>
        <w:gridCol w:w="120"/>
        <w:gridCol w:w="78"/>
        <w:gridCol w:w="1606"/>
        <w:gridCol w:w="75"/>
      </w:tblGrid>
      <w:tr>
        <w:trPr/>
        <w:tc>
          <w:tcPr>
            <w:tcW w:w="5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135"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684" w:type="dxa"/>
            <w:gridSpan w:val="2"/>
            <w:tcBorders>
              <w:bottom w:val="single" w:sz="8" w:space="0" w:color="FFFFFF"/>
            </w:tcBorders>
            <w:shd w:fill="0171B9" w:val="clear"/>
            <w:tcMar>
              <w:bottom w:w="28" w:type="dxa"/>
            </w:tcMar>
            <w:vAlign w:val="center"/>
          </w:tcPr>
          <w:p>
            <w:pPr>
              <w:pStyle w:val="TableContents"/>
              <w:bidi w:val="0"/>
              <w:spacing w:before="0" w:after="283"/>
              <w:jc w:val="right"/>
              <w:rPr>
                <w:b/>
                <w:color w:val="FFFFFF"/>
              </w:rPr>
            </w:pPr>
            <w:r>
              <w:rPr>
                <w:b/>
                <w:color w:val="FFFFFF"/>
              </w:rPr>
              <w:t>As of 12/31/2023</w:t>
            </w:r>
          </w:p>
        </w:tc>
        <w:tc>
          <w:tcPr>
            <w:tcW w:w="75"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r>
      <w:tr>
        <w:trPr/>
        <w:tc>
          <w:tcPr>
            <w:tcW w:w="5135" w:type="dxa"/>
            <w:tcBorders/>
            <w:shd w:fill="CCE2F1" w:val="clear"/>
            <w:vAlign w:val="center"/>
          </w:tcPr>
          <w:p>
            <w:pPr>
              <w:pStyle w:val="TableContents"/>
              <w:bidi w:val="0"/>
              <w:spacing w:before="0" w:after="283"/>
              <w:jc w:val="left"/>
              <w:rPr>
                <w:sz w:val="4"/>
                <w:szCs w:val="4"/>
              </w:rPr>
            </w:pPr>
            <w:r>
              <w:rPr>
                <w:sz w:val="4"/>
                <w:szCs w:val="4"/>
              </w:rPr>
            </w:r>
          </w:p>
        </w:tc>
        <w:tc>
          <w:tcPr>
            <w:tcW w:w="1879"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5135" w:type="dxa"/>
            <w:tcBorders/>
            <w:shd w:fill="CCE2F1" w:val="clear"/>
            <w:vAlign w:val="center"/>
          </w:tcPr>
          <w:p>
            <w:pPr>
              <w:pStyle w:val="TableContents"/>
              <w:bidi w:val="0"/>
              <w:spacing w:before="0" w:after="0"/>
              <w:jc w:val="left"/>
              <w:rPr>
                <w:rFonts w:ascii="arial" w:hAnsi="arial"/>
                <w:sz w:val="18"/>
              </w:rPr>
            </w:pPr>
            <w:r>
              <w:rPr>
                <w:rFonts w:ascii="arial" w:hAnsi="arial"/>
                <w:sz w:val="18"/>
              </w:rPr>
              <w:t>(a) Stock options outstanding</w:t>
            </w:r>
          </w:p>
        </w:tc>
        <w:tc>
          <w:tcPr>
            <w:tcW w:w="120" w:type="dxa"/>
            <w:tcBorders/>
            <w:shd w:fill="CCE2F1" w:val="clear"/>
            <w:vAlign w:val="center"/>
          </w:tcPr>
          <w:p>
            <w:pPr>
              <w:pStyle w:val="TableContents"/>
              <w:bidi w:val="0"/>
              <w:spacing w:before="0" w:after="283"/>
              <w:jc w:val="left"/>
              <w:rPr/>
            </w:pPr>
            <w:r>
              <w:rPr/>
              <w:t>  </w:t>
            </w:r>
          </w:p>
        </w:tc>
        <w:tc>
          <w:tcPr>
            <w:tcW w:w="78" w:type="dxa"/>
            <w:tcBorders/>
            <w:shd w:fill="CCE2F1" w:val="clear"/>
            <w:vAlign w:val="center"/>
          </w:tcPr>
          <w:p>
            <w:pPr>
              <w:pStyle w:val="TableContents"/>
              <w:bidi w:val="0"/>
              <w:spacing w:before="0" w:after="283"/>
              <w:jc w:val="left"/>
              <w:rPr/>
            </w:pPr>
            <w:r>
              <w:rPr/>
              <w:t> </w:t>
            </w:r>
          </w:p>
        </w:tc>
        <w:tc>
          <w:tcPr>
            <w:tcW w:w="1606" w:type="dxa"/>
            <w:tcBorders/>
            <w:shd w:fill="CCE2F1" w:val="clear"/>
            <w:vAlign w:val="center"/>
          </w:tcPr>
          <w:p>
            <w:pPr>
              <w:pStyle w:val="TableContents"/>
              <w:bidi w:val="0"/>
              <w:spacing w:before="0" w:after="283"/>
              <w:jc w:val="right"/>
              <w:rPr/>
            </w:pPr>
            <w:r>
              <w:rPr/>
              <w:t>5,900,964</w:t>
            </w:r>
          </w:p>
        </w:tc>
        <w:tc>
          <w:tcPr>
            <w:tcW w:w="75" w:type="dxa"/>
            <w:tcBorders/>
            <w:shd w:fill="CCE2F1" w:val="clear"/>
            <w:vAlign w:val="center"/>
          </w:tcPr>
          <w:p>
            <w:pPr>
              <w:pStyle w:val="TableContents"/>
              <w:bidi w:val="0"/>
              <w:spacing w:before="0" w:after="283"/>
              <w:jc w:val="left"/>
              <w:rPr/>
            </w:pPr>
            <w:r>
              <w:rPr/>
              <w:t> </w:t>
            </w:r>
          </w:p>
        </w:tc>
      </w:tr>
      <w:tr>
        <w:trPr/>
        <w:tc>
          <w:tcPr>
            <w:tcW w:w="5135" w:type="dxa"/>
            <w:tcBorders/>
            <w:vAlign w:val="center"/>
          </w:tcPr>
          <w:p>
            <w:pPr>
              <w:pStyle w:val="TableContents"/>
              <w:bidi w:val="0"/>
              <w:spacing w:before="0" w:after="283"/>
              <w:jc w:val="left"/>
              <w:rPr>
                <w:sz w:val="4"/>
                <w:szCs w:val="4"/>
              </w:rPr>
            </w:pPr>
            <w:r>
              <w:rPr>
                <w:sz w:val="4"/>
                <w:szCs w:val="4"/>
              </w:rPr>
            </w:r>
          </w:p>
        </w:tc>
        <w:tc>
          <w:tcPr>
            <w:tcW w:w="1879" w:type="dxa"/>
            <w:gridSpan w:val="4"/>
            <w:tcBorders/>
            <w:vAlign w:val="center"/>
          </w:tcPr>
          <w:p>
            <w:pPr>
              <w:pStyle w:val="TableContents"/>
              <w:bidi w:val="0"/>
              <w:spacing w:before="0" w:after="283"/>
              <w:jc w:val="left"/>
              <w:rPr>
                <w:sz w:val="4"/>
                <w:szCs w:val="4"/>
              </w:rPr>
            </w:pPr>
            <w:r>
              <w:rPr>
                <w:sz w:val="4"/>
                <w:szCs w:val="4"/>
              </w:rPr>
            </w:r>
          </w:p>
        </w:tc>
      </w:tr>
      <w:tr>
        <w:trPr/>
        <w:tc>
          <w:tcPr>
            <w:tcW w:w="5135" w:type="dxa"/>
            <w:tcBorders/>
            <w:vAlign w:val="center"/>
          </w:tcPr>
          <w:p>
            <w:pPr>
              <w:pStyle w:val="TableContents"/>
              <w:bidi w:val="0"/>
              <w:spacing w:before="0" w:after="0"/>
              <w:jc w:val="left"/>
              <w:rPr>
                <w:rFonts w:ascii="arial" w:hAnsi="arial"/>
                <w:sz w:val="18"/>
              </w:rPr>
            </w:pPr>
            <w:r>
              <w:rPr>
                <w:rFonts w:ascii="arial" w:hAnsi="arial"/>
                <w:sz w:val="18"/>
              </w:rPr>
              <w:t>Weighted-average exercise price of stock options outstanding</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606" w:type="dxa"/>
            <w:tcBorders/>
            <w:vAlign w:val="center"/>
          </w:tcPr>
          <w:p>
            <w:pPr>
              <w:pStyle w:val="TableContents"/>
              <w:bidi w:val="0"/>
              <w:spacing w:before="0" w:after="283"/>
              <w:jc w:val="right"/>
              <w:rPr/>
            </w:pPr>
            <w:r>
              <w:rPr/>
              <w:t>$213.90</w:t>
            </w:r>
          </w:p>
        </w:tc>
        <w:tc>
          <w:tcPr>
            <w:tcW w:w="75" w:type="dxa"/>
            <w:tcBorders/>
            <w:vAlign w:val="center"/>
          </w:tcPr>
          <w:p>
            <w:pPr>
              <w:pStyle w:val="TableContents"/>
              <w:bidi w:val="0"/>
              <w:spacing w:before="0" w:after="283"/>
              <w:jc w:val="left"/>
              <w:rPr/>
            </w:pPr>
            <w:r>
              <w:rPr/>
              <w:t> </w:t>
            </w:r>
          </w:p>
        </w:tc>
      </w:tr>
      <w:tr>
        <w:trPr/>
        <w:tc>
          <w:tcPr>
            <w:tcW w:w="5135" w:type="dxa"/>
            <w:tcBorders/>
            <w:shd w:fill="CCE2F1" w:val="clear"/>
            <w:vAlign w:val="center"/>
          </w:tcPr>
          <w:p>
            <w:pPr>
              <w:pStyle w:val="TableContents"/>
              <w:bidi w:val="0"/>
              <w:spacing w:before="0" w:after="283"/>
              <w:jc w:val="left"/>
              <w:rPr>
                <w:sz w:val="4"/>
                <w:szCs w:val="4"/>
              </w:rPr>
            </w:pPr>
            <w:r>
              <w:rPr>
                <w:sz w:val="4"/>
                <w:szCs w:val="4"/>
              </w:rPr>
            </w:r>
          </w:p>
        </w:tc>
        <w:tc>
          <w:tcPr>
            <w:tcW w:w="1879"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5135" w:type="dxa"/>
            <w:tcBorders/>
            <w:shd w:fill="CCE2F1" w:val="clear"/>
            <w:vAlign w:val="center"/>
          </w:tcPr>
          <w:p>
            <w:pPr>
              <w:pStyle w:val="TableContents"/>
              <w:bidi w:val="0"/>
              <w:spacing w:before="0" w:after="0"/>
              <w:jc w:val="left"/>
              <w:rPr>
                <w:rFonts w:ascii="arial" w:hAnsi="arial"/>
                <w:sz w:val="18"/>
              </w:rPr>
            </w:pPr>
            <w:r>
              <w:rPr>
                <w:rFonts w:ascii="arial" w:hAnsi="arial"/>
                <w:sz w:val="18"/>
              </w:rPr>
              <w:t>Weighted-average remaining term of stock options outstanding</w:t>
            </w:r>
          </w:p>
        </w:tc>
        <w:tc>
          <w:tcPr>
            <w:tcW w:w="120" w:type="dxa"/>
            <w:tcBorders/>
            <w:shd w:fill="CCE2F1" w:val="clear"/>
            <w:vAlign w:val="center"/>
          </w:tcPr>
          <w:p>
            <w:pPr>
              <w:pStyle w:val="TableContents"/>
              <w:bidi w:val="0"/>
              <w:spacing w:before="0" w:after="283"/>
              <w:jc w:val="left"/>
              <w:rPr/>
            </w:pPr>
            <w:r>
              <w:rPr/>
              <w:t>  </w:t>
            </w:r>
          </w:p>
        </w:tc>
        <w:tc>
          <w:tcPr>
            <w:tcW w:w="78" w:type="dxa"/>
            <w:tcBorders/>
            <w:shd w:fill="CCE2F1" w:val="clear"/>
            <w:vAlign w:val="center"/>
          </w:tcPr>
          <w:p>
            <w:pPr>
              <w:pStyle w:val="TableContents"/>
              <w:bidi w:val="0"/>
              <w:spacing w:before="0" w:after="283"/>
              <w:jc w:val="left"/>
              <w:rPr/>
            </w:pPr>
            <w:r>
              <w:rPr/>
              <w:t> </w:t>
            </w:r>
          </w:p>
        </w:tc>
        <w:tc>
          <w:tcPr>
            <w:tcW w:w="1606" w:type="dxa"/>
            <w:tcBorders/>
            <w:shd w:fill="CCE2F1" w:val="clear"/>
            <w:vAlign w:val="center"/>
          </w:tcPr>
          <w:p>
            <w:pPr>
              <w:pStyle w:val="TableContents"/>
              <w:bidi w:val="0"/>
              <w:spacing w:before="0" w:after="283"/>
              <w:jc w:val="right"/>
              <w:rPr/>
            </w:pPr>
            <w:r>
              <w:rPr/>
              <w:t>6.7 years</w:t>
            </w:r>
          </w:p>
        </w:tc>
        <w:tc>
          <w:tcPr>
            <w:tcW w:w="75" w:type="dxa"/>
            <w:tcBorders/>
            <w:shd w:fill="CCE2F1" w:val="clear"/>
            <w:vAlign w:val="center"/>
          </w:tcPr>
          <w:p>
            <w:pPr>
              <w:pStyle w:val="TableContents"/>
              <w:bidi w:val="0"/>
              <w:spacing w:before="0" w:after="283"/>
              <w:jc w:val="left"/>
              <w:rPr/>
            </w:pPr>
            <w:r>
              <w:rPr/>
              <w:t> </w:t>
            </w:r>
          </w:p>
        </w:tc>
      </w:tr>
      <w:tr>
        <w:trPr/>
        <w:tc>
          <w:tcPr>
            <w:tcW w:w="5135" w:type="dxa"/>
            <w:tcBorders/>
            <w:vAlign w:val="center"/>
          </w:tcPr>
          <w:p>
            <w:pPr>
              <w:pStyle w:val="TableContents"/>
              <w:bidi w:val="0"/>
              <w:spacing w:before="0" w:after="283"/>
              <w:jc w:val="left"/>
              <w:rPr>
                <w:sz w:val="4"/>
                <w:szCs w:val="4"/>
              </w:rPr>
            </w:pPr>
            <w:r>
              <w:rPr>
                <w:sz w:val="4"/>
                <w:szCs w:val="4"/>
              </w:rPr>
            </w:r>
          </w:p>
        </w:tc>
        <w:tc>
          <w:tcPr>
            <w:tcW w:w="1879" w:type="dxa"/>
            <w:gridSpan w:val="4"/>
            <w:tcBorders/>
            <w:vAlign w:val="center"/>
          </w:tcPr>
          <w:p>
            <w:pPr>
              <w:pStyle w:val="TableContents"/>
              <w:bidi w:val="0"/>
              <w:spacing w:before="0" w:after="283"/>
              <w:jc w:val="left"/>
              <w:rPr>
                <w:sz w:val="4"/>
                <w:szCs w:val="4"/>
              </w:rPr>
            </w:pPr>
            <w:r>
              <w:rPr>
                <w:sz w:val="4"/>
                <w:szCs w:val="4"/>
              </w:rPr>
            </w:r>
          </w:p>
        </w:tc>
      </w:tr>
      <w:tr>
        <w:trPr/>
        <w:tc>
          <w:tcPr>
            <w:tcW w:w="5135" w:type="dxa"/>
            <w:tcBorders/>
            <w:vAlign w:val="center"/>
          </w:tcPr>
          <w:p>
            <w:pPr>
              <w:pStyle w:val="TableContents"/>
              <w:bidi w:val="0"/>
              <w:spacing w:before="0" w:after="0"/>
              <w:jc w:val="left"/>
              <w:rPr>
                <w:rFonts w:ascii="arial" w:hAnsi="arial"/>
                <w:sz w:val="18"/>
              </w:rPr>
            </w:pPr>
            <w:r>
              <w:rPr>
                <w:rFonts w:ascii="arial" w:hAnsi="arial"/>
                <w:sz w:val="18"/>
              </w:rPr>
              <w:t>(b) Full-value awards outstanding(1)</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606" w:type="dxa"/>
            <w:tcBorders/>
            <w:vAlign w:val="center"/>
          </w:tcPr>
          <w:p>
            <w:pPr>
              <w:pStyle w:val="TableContents"/>
              <w:bidi w:val="0"/>
              <w:spacing w:before="0" w:after="283"/>
              <w:jc w:val="right"/>
              <w:rPr/>
            </w:pPr>
            <w:r>
              <w:rPr/>
              <w:t>6,014,837</w:t>
            </w:r>
          </w:p>
        </w:tc>
        <w:tc>
          <w:tcPr>
            <w:tcW w:w="75" w:type="dxa"/>
            <w:tcBorders/>
            <w:vAlign w:val="center"/>
          </w:tcPr>
          <w:p>
            <w:pPr>
              <w:pStyle w:val="TableContents"/>
              <w:bidi w:val="0"/>
              <w:spacing w:before="0" w:after="283"/>
              <w:jc w:val="left"/>
              <w:rPr/>
            </w:pPr>
            <w:r>
              <w:rPr/>
              <w:t> </w:t>
            </w:r>
          </w:p>
        </w:tc>
      </w:tr>
      <w:tr>
        <w:trPr/>
        <w:tc>
          <w:tcPr>
            <w:tcW w:w="5135" w:type="dxa"/>
            <w:tcBorders/>
            <w:shd w:fill="CCE2F1" w:val="clear"/>
            <w:vAlign w:val="center"/>
          </w:tcPr>
          <w:p>
            <w:pPr>
              <w:pStyle w:val="TableContents"/>
              <w:bidi w:val="0"/>
              <w:spacing w:before="0" w:after="283"/>
              <w:jc w:val="left"/>
              <w:rPr>
                <w:sz w:val="4"/>
                <w:szCs w:val="4"/>
              </w:rPr>
            </w:pPr>
            <w:r>
              <w:rPr>
                <w:sz w:val="4"/>
                <w:szCs w:val="4"/>
              </w:rPr>
            </w:r>
          </w:p>
        </w:tc>
        <w:tc>
          <w:tcPr>
            <w:tcW w:w="1879"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5135" w:type="dxa"/>
            <w:tcBorders/>
            <w:shd w:fill="CCE2F1" w:val="clear"/>
            <w:vAlign w:val="center"/>
          </w:tcPr>
          <w:p>
            <w:pPr>
              <w:pStyle w:val="TableContents"/>
              <w:bidi w:val="0"/>
              <w:spacing w:before="0" w:after="0"/>
              <w:jc w:val="left"/>
              <w:rPr>
                <w:rFonts w:ascii="arial" w:hAnsi="arial"/>
                <w:sz w:val="18"/>
              </w:rPr>
            </w:pPr>
            <w:r>
              <w:rPr>
                <w:rFonts w:ascii="arial" w:hAnsi="arial"/>
                <w:sz w:val="18"/>
              </w:rPr>
              <w:t>(c) Shares available for grant under the Prior Plan</w:t>
            </w:r>
          </w:p>
        </w:tc>
        <w:tc>
          <w:tcPr>
            <w:tcW w:w="120" w:type="dxa"/>
            <w:tcBorders/>
            <w:shd w:fill="CCE2F1" w:val="clear"/>
            <w:vAlign w:val="center"/>
          </w:tcPr>
          <w:p>
            <w:pPr>
              <w:pStyle w:val="TableContents"/>
              <w:bidi w:val="0"/>
              <w:spacing w:before="0" w:after="283"/>
              <w:jc w:val="left"/>
              <w:rPr/>
            </w:pPr>
            <w:r>
              <w:rPr/>
              <w:t>  </w:t>
            </w:r>
          </w:p>
        </w:tc>
        <w:tc>
          <w:tcPr>
            <w:tcW w:w="78" w:type="dxa"/>
            <w:tcBorders/>
            <w:shd w:fill="CCE2F1" w:val="clear"/>
            <w:vAlign w:val="center"/>
          </w:tcPr>
          <w:p>
            <w:pPr>
              <w:pStyle w:val="TableContents"/>
              <w:bidi w:val="0"/>
              <w:spacing w:before="0" w:after="283"/>
              <w:jc w:val="left"/>
              <w:rPr/>
            </w:pPr>
            <w:r>
              <w:rPr/>
              <w:t> </w:t>
            </w:r>
          </w:p>
        </w:tc>
        <w:tc>
          <w:tcPr>
            <w:tcW w:w="1606" w:type="dxa"/>
            <w:tcBorders/>
            <w:shd w:fill="CCE2F1" w:val="clear"/>
            <w:vAlign w:val="center"/>
          </w:tcPr>
          <w:p>
            <w:pPr>
              <w:pStyle w:val="TableContents"/>
              <w:bidi w:val="0"/>
              <w:spacing w:before="0" w:after="283"/>
              <w:jc w:val="right"/>
              <w:rPr/>
            </w:pPr>
            <w:r>
              <w:rPr/>
              <w:t>12,345,301</w:t>
            </w:r>
          </w:p>
        </w:tc>
        <w:tc>
          <w:tcPr>
            <w:tcW w:w="75" w:type="dxa"/>
            <w:tcBorders/>
            <w:shd w:fill="CCE2F1" w:val="clear"/>
            <w:vAlign w:val="center"/>
          </w:tcPr>
          <w:p>
            <w:pPr>
              <w:pStyle w:val="TableContents"/>
              <w:bidi w:val="0"/>
              <w:spacing w:before="0" w:after="283"/>
              <w:jc w:val="left"/>
              <w:rPr/>
            </w:pPr>
            <w:r>
              <w:rPr/>
              <w:t> </w:t>
            </w:r>
          </w:p>
        </w:tc>
      </w:tr>
      <w:tr>
        <w:trPr/>
        <w:tc>
          <w:tcPr>
            <w:tcW w:w="5135" w:type="dxa"/>
            <w:tcBorders/>
            <w:vAlign w:val="center"/>
          </w:tcPr>
          <w:p>
            <w:pPr>
              <w:pStyle w:val="TableContents"/>
              <w:bidi w:val="0"/>
              <w:spacing w:before="0" w:after="283"/>
              <w:jc w:val="left"/>
              <w:rPr>
                <w:sz w:val="4"/>
                <w:szCs w:val="4"/>
              </w:rPr>
            </w:pPr>
            <w:r>
              <w:rPr>
                <w:sz w:val="4"/>
                <w:szCs w:val="4"/>
              </w:rPr>
            </w:r>
          </w:p>
        </w:tc>
        <w:tc>
          <w:tcPr>
            <w:tcW w:w="1879" w:type="dxa"/>
            <w:gridSpan w:val="4"/>
            <w:tcBorders/>
            <w:vAlign w:val="center"/>
          </w:tcPr>
          <w:p>
            <w:pPr>
              <w:pStyle w:val="TableContents"/>
              <w:bidi w:val="0"/>
              <w:spacing w:before="0" w:after="283"/>
              <w:jc w:val="left"/>
              <w:rPr>
                <w:sz w:val="4"/>
                <w:szCs w:val="4"/>
              </w:rPr>
            </w:pPr>
            <w:r>
              <w:rPr>
                <w:sz w:val="4"/>
                <w:szCs w:val="4"/>
              </w:rPr>
            </w:r>
          </w:p>
        </w:tc>
      </w:tr>
      <w:tr>
        <w:trPr/>
        <w:tc>
          <w:tcPr>
            <w:tcW w:w="5135" w:type="dxa"/>
            <w:tcBorders/>
            <w:vAlign w:val="center"/>
          </w:tcPr>
          <w:p>
            <w:pPr>
              <w:pStyle w:val="TableContents"/>
              <w:bidi w:val="0"/>
              <w:spacing w:before="0" w:after="0"/>
              <w:jc w:val="left"/>
              <w:rPr>
                <w:rFonts w:ascii="arial" w:hAnsi="arial"/>
                <w:sz w:val="18"/>
              </w:rPr>
            </w:pPr>
            <w:r>
              <w:rPr>
                <w:rFonts w:ascii="arial" w:hAnsi="arial"/>
                <w:sz w:val="18"/>
              </w:rPr>
              <w:t>(d) Common Stock outstanding</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606" w:type="dxa"/>
            <w:tcBorders/>
            <w:vAlign w:val="center"/>
          </w:tcPr>
          <w:p>
            <w:pPr>
              <w:pStyle w:val="TableContents"/>
              <w:bidi w:val="0"/>
              <w:spacing w:before="0" w:after="283"/>
              <w:jc w:val="right"/>
              <w:rPr/>
            </w:pPr>
            <w:r>
              <w:rPr/>
              <w:t>535,374,198</w:t>
            </w:r>
          </w:p>
        </w:tc>
        <w:tc>
          <w:tcPr>
            <w:tcW w:w="75" w:type="dxa"/>
            <w:tcBorders/>
            <w:vAlign w:val="center"/>
          </w:tcPr>
          <w:p>
            <w:pPr>
              <w:pStyle w:val="TableContents"/>
              <w:bidi w:val="0"/>
              <w:spacing w:before="0" w:after="283"/>
              <w:jc w:val="left"/>
              <w:rPr/>
            </w:pPr>
            <w:r>
              <w:rPr/>
              <w:t> </w:t>
            </w:r>
          </w:p>
        </w:tc>
      </w:tr>
      <w:tr>
        <w:trPr/>
        <w:tc>
          <w:tcPr>
            <w:tcW w:w="5135" w:type="dxa"/>
            <w:tcBorders/>
            <w:shd w:fill="CCE2F1" w:val="clear"/>
            <w:vAlign w:val="center"/>
          </w:tcPr>
          <w:p>
            <w:pPr>
              <w:pStyle w:val="TableContents"/>
              <w:bidi w:val="0"/>
              <w:spacing w:before="0" w:after="283"/>
              <w:jc w:val="left"/>
              <w:rPr>
                <w:sz w:val="4"/>
                <w:szCs w:val="4"/>
              </w:rPr>
            </w:pPr>
            <w:r>
              <w:rPr>
                <w:sz w:val="4"/>
                <w:szCs w:val="4"/>
              </w:rPr>
            </w:r>
          </w:p>
        </w:tc>
        <w:tc>
          <w:tcPr>
            <w:tcW w:w="1879"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5135" w:type="dxa"/>
            <w:tcBorders>
              <w:bottom w:val="single" w:sz="8" w:space="0" w:color="0171B9"/>
            </w:tcBorders>
            <w:shd w:fill="CCE2F1" w:val="clear"/>
            <w:tcMar>
              <w:bottom w:w="80" w:type="dxa"/>
            </w:tcMar>
            <w:vAlign w:val="center"/>
          </w:tcPr>
          <w:p>
            <w:pPr>
              <w:pStyle w:val="TableContents"/>
              <w:bidi w:val="0"/>
              <w:spacing w:before="0" w:after="0"/>
              <w:jc w:val="left"/>
              <w:rPr>
                <w:rFonts w:ascii="arial" w:hAnsi="arial"/>
                <w:sz w:val="18"/>
              </w:rPr>
            </w:pPr>
            <w:r>
              <w:rPr>
                <w:rFonts w:ascii="arial" w:hAnsi="arial"/>
                <w:sz w:val="18"/>
              </w:rPr>
              <w:t>(e) Fully-diluted overhang (a+b+c) / d</w:t>
            </w:r>
          </w:p>
        </w:tc>
        <w:tc>
          <w:tcPr>
            <w:tcW w:w="12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78" w:type="dxa"/>
            <w:tcBorders>
              <w:bottom w:val="single" w:sz="8" w:space="0" w:color="0171B9"/>
            </w:tcBorders>
            <w:shd w:fill="CCE2F1" w:val="clear"/>
            <w:tcMar>
              <w:bottom w:w="80" w:type="dxa"/>
            </w:tcMar>
            <w:vAlign w:val="center"/>
          </w:tcPr>
          <w:p>
            <w:pPr>
              <w:pStyle w:val="TableContents"/>
              <w:bidi w:val="0"/>
              <w:spacing w:before="0" w:after="283"/>
              <w:jc w:val="left"/>
              <w:rPr/>
            </w:pPr>
            <w:r>
              <w:rPr/>
              <w:t> </w:t>
            </w:r>
          </w:p>
        </w:tc>
        <w:tc>
          <w:tcPr>
            <w:tcW w:w="1606" w:type="dxa"/>
            <w:tcBorders>
              <w:bottom w:val="single" w:sz="8" w:space="0" w:color="0171B9"/>
            </w:tcBorders>
            <w:shd w:fill="CCE2F1" w:val="clear"/>
            <w:tcMar>
              <w:bottom w:w="80" w:type="dxa"/>
            </w:tcMar>
            <w:vAlign w:val="center"/>
          </w:tcPr>
          <w:p>
            <w:pPr>
              <w:pStyle w:val="TableContents"/>
              <w:bidi w:val="0"/>
              <w:spacing w:before="0" w:after="283"/>
              <w:jc w:val="right"/>
              <w:rPr/>
            </w:pPr>
            <w:r>
              <w:rPr/>
              <w:t>4.5%</w:t>
            </w:r>
          </w:p>
        </w:tc>
        <w:tc>
          <w:tcPr>
            <w:tcW w:w="75" w:type="dxa"/>
            <w:tcBorders>
              <w:bottom w:val="single" w:sz="8" w:space="0" w:color="0171B9"/>
            </w:tcBorders>
            <w:shd w:fill="CCE2F1" w:val="clear"/>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270" w:type="dxa"/>
        <w:jc w:val="left"/>
        <w:tblInd w:w="0" w:type="dxa"/>
        <w:tblLayout w:type="fixed"/>
        <w:tblCellMar>
          <w:top w:w="0" w:type="dxa"/>
          <w:left w:w="0" w:type="dxa"/>
          <w:bottom w:w="0" w:type="dxa"/>
          <w:right w:w="0" w:type="dxa"/>
        </w:tblCellMar>
      </w:tblPr>
      <w:tblGrid>
        <w:gridCol w:w="305"/>
        <w:gridCol w:w="3965"/>
      </w:tblGrid>
      <w:tr>
        <w:trPr/>
        <w:tc>
          <w:tcPr>
            <w:tcW w:w="305" w:type="dxa"/>
            <w:tcBorders/>
            <w:vAlign w:val="center"/>
          </w:tcPr>
          <w:p>
            <w:pPr>
              <w:pStyle w:val="TableContents"/>
              <w:bidi w:val="0"/>
              <w:spacing w:before="0" w:after="283"/>
              <w:jc w:val="left"/>
              <w:rPr/>
            </w:pPr>
            <w:r>
              <w:rPr/>
              <w:t>(1)</w:t>
            </w:r>
          </w:p>
        </w:tc>
        <w:tc>
          <w:tcPr>
            <w:tcW w:w="3965" w:type="dxa"/>
            <w:tcBorders/>
            <w:vAlign w:val="center"/>
          </w:tcPr>
          <w:p>
            <w:pPr>
              <w:pStyle w:val="TableContents"/>
              <w:bidi w:val="0"/>
              <w:spacing w:before="0" w:after="0"/>
              <w:jc w:val="both"/>
              <w:rPr>
                <w:rFonts w:ascii="arial" w:hAnsi="arial"/>
                <w:sz w:val="16"/>
              </w:rPr>
            </w:pPr>
            <w:r>
              <w:rPr>
                <w:rFonts w:ascii="arial" w:hAnsi="arial"/>
                <w:sz w:val="16"/>
              </w:rPr>
              <w:t xml:space="preserve">Assumes target performance under outstanding PUs. </w:t>
            </w:r>
          </w:p>
        </w:tc>
      </w:tr>
    </w:tbl>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424">
                <wp:simplePos x="0" y="0"/>
                <wp:positionH relativeFrom="column">
                  <wp:align>left</wp:align>
                </wp:positionH>
                <wp:positionV relativeFrom="line">
                  <wp:posOffset>635</wp:posOffset>
                </wp:positionV>
                <wp:extent cx="3110230" cy="6220460"/>
                <wp:effectExtent l="0" t="0" r="0" b="0"/>
                <wp:wrapSquare wrapText="right"/>
                <wp:docPr id="375" name="Frame187"/>
                <a:graphic xmlns:a="http://schemas.openxmlformats.org/drawingml/2006/main">
                  <a:graphicData uri="http://schemas.microsoft.com/office/word/2010/wordprocessingShape">
                    <wps:wsp>
                      <wps:cNvSpPr txBox="1"/>
                      <wps:spPr>
                        <a:xfrm>
                          <a:off x="0" y="0"/>
                          <a:ext cx="3110230" cy="6220460"/>
                        </a:xfrm>
                        <a:prstGeom prst="rect"/>
                        <a:solidFill>
                          <a:srgbClr val="FFFFFF"/>
                        </a:solidFill>
                      </wps:spPr>
                      <wps:txbx>
                        <w:txbxContent>
                          <w:p>
                            <w:pPr>
                              <w:pStyle w:val="TextBody"/>
                              <w:bidi w:val="0"/>
                              <w:spacing w:before="0" w:after="0"/>
                              <w:jc w:val="left"/>
                              <w:rPr>
                                <w:rFonts w:ascii="arial" w:hAnsi="arial"/>
                                <w:b/>
                                <w:color w:val="0171B9"/>
                                <w:sz w:val="28"/>
                              </w:rPr>
                            </w:pPr>
                            <w:r>
                              <w:rPr>
                                <w:rFonts w:ascii="arial" w:hAnsi="arial"/>
                                <w:b/>
                                <w:color w:val="0171B9"/>
                                <w:sz w:val="28"/>
                              </w:rPr>
                              <w:t xml:space="preserve">Reasons for and the Determination of Share Reserve Under the Amended Plan </w:t>
                            </w:r>
                          </w:p>
                          <w:p>
                            <w:pPr>
                              <w:pStyle w:val="TextBody"/>
                              <w:bidi w:val="0"/>
                              <w:spacing w:before="120" w:after="0"/>
                              <w:jc w:val="both"/>
                              <w:rPr>
                                <w:rFonts w:ascii="arial" w:hAnsi="arial"/>
                                <w:sz w:val="19"/>
                              </w:rPr>
                            </w:pPr>
                            <w:r>
                              <w:rPr>
                                <w:rFonts w:ascii="arial" w:hAnsi="arial"/>
                                <w:sz w:val="19"/>
                              </w:rPr>
                              <w:t xml:space="preserve">In its determination to approve the Amended Plan, the Board was primarily motivated by a desire to ensure the Company has an available pool of shares from which to grant long-term equity incentive awards, which the Board believes promotes the success and enhances the value of the Company by linking the interests of the members of the Board and our employees to those of our stockholders and by providing such individuals with an incentive for outstanding performance to generate superior returns to Company stockholders. </w:t>
                            </w:r>
                          </w:p>
                          <w:p>
                            <w:pPr>
                              <w:pStyle w:val="TextBody"/>
                              <w:bidi w:val="0"/>
                              <w:spacing w:before="120" w:after="0"/>
                              <w:jc w:val="both"/>
                              <w:rPr>
                                <w:rFonts w:ascii="arial" w:hAnsi="arial"/>
                                <w:sz w:val="19"/>
                              </w:rPr>
                            </w:pPr>
                            <w:r>
                              <w:rPr>
                                <w:rFonts w:ascii="arial" w:hAnsi="arial"/>
                                <w:sz w:val="19"/>
                              </w:rPr>
                              <w:t>In determining the number of shares by which to increase the reserve under the Amended Plan, the Board reviewed the Compensation Committee’s recommendations, which were based on an analysis prepared by, and recommendations of, FW Cook, the Compensation Committee’s independent compensation consultant.</w:t>
                            </w:r>
                          </w:p>
                          <w:p>
                            <w:pPr>
                              <w:pStyle w:val="TextBody"/>
                              <w:bidi w:val="0"/>
                              <w:spacing w:before="120" w:after="0"/>
                              <w:jc w:val="both"/>
                              <w:rPr>
                                <w:rFonts w:ascii="arial" w:hAnsi="arial"/>
                                <w:sz w:val="19"/>
                              </w:rPr>
                            </w:pPr>
                            <w:r>
                              <w:rPr>
                                <w:rFonts w:ascii="arial" w:hAnsi="arial"/>
                                <w:sz w:val="19"/>
                              </w:rPr>
                              <w:t>This review included a consideration of the following key metrics and features that reflect our compensation principles and approach:</w:t>
                            </w:r>
                          </w:p>
                          <w:p>
                            <w:pPr>
                              <w:pStyle w:val="TextBody"/>
                              <w:bidi w:val="0"/>
                              <w:spacing w:before="240" w:after="0"/>
                              <w:jc w:val="left"/>
                              <w:rPr>
                                <w:rFonts w:ascii="arial" w:hAnsi="arial"/>
                                <w:b/>
                                <w:sz w:val="22"/>
                              </w:rPr>
                            </w:pPr>
                            <w:r>
                              <w:rPr>
                                <w:rFonts w:ascii="arial" w:hAnsi="arial"/>
                                <w:b/>
                                <w:sz w:val="22"/>
                              </w:rPr>
                              <w:t xml:space="preserve">Reasonable Plan Cost and Grant Practices </w:t>
                            </w:r>
                          </w:p>
                          <w:p>
                            <w:pPr>
                              <w:pStyle w:val="TextBody"/>
                              <w:bidi w:val="0"/>
                              <w:spacing w:before="0" w:after="0"/>
                              <w:jc w:val="left"/>
                              <w:rPr/>
                            </w:pPr>
                            <w:r>
                              <w:rPr/>
                              <w:t> </w:t>
                            </w:r>
                          </w:p>
                          <w:p>
                            <w:pPr>
                              <w:pStyle w:val="TextBody"/>
                              <w:pBdr/>
                              <w:bidi w:val="0"/>
                              <w:spacing w:before="0" w:after="0"/>
                              <w:ind w:left="60" w:right="60" w:hanging="0"/>
                              <w:jc w:val="both"/>
                              <w:rPr>
                                <w:rFonts w:ascii="arial" w:hAnsi="arial"/>
                                <w:sz w:val="19"/>
                                <w:bdr w:val="single" w:sz="8" w:space="2" w:color="0171B9"/>
                              </w:rPr>
                            </w:pPr>
                            <w:r>
                              <w:rPr>
                                <w:rFonts w:ascii="arial" w:hAnsi="arial"/>
                                <w:sz w:val="19"/>
                                <w:bdr w:val="single" w:sz="8" w:space="2" w:color="0171B9"/>
                              </w:rPr>
                              <w:t xml:space="preserve">Key Metrics: </w:t>
                            </w:r>
                          </w:p>
                          <w:p>
                            <w:pPr>
                              <w:pStyle w:val="TextBody"/>
                              <w:bidi w:val="0"/>
                              <w:spacing w:before="0" w:after="0"/>
                              <w:jc w:val="left"/>
                              <w:rPr>
                                <w:bdr w:val="single" w:sz="8" w:space="2" w:color="0171B9"/>
                              </w:rPr>
                            </w:pPr>
                            <w:r>
                              <w:rPr>
                                <w:bdr w:val="single" w:sz="8" w:space="2" w:color="0171B9"/>
                              </w:rPr>
                              <w:t> </w:t>
                            </w:r>
                          </w:p>
                          <w:tbl>
                            <w:tblPr>
                              <w:tblW w:w="5935" w:type="dxa"/>
                              <w:jc w:val="left"/>
                              <w:tblInd w:w="0" w:type="dxa"/>
                              <w:tblLayout w:type="fixed"/>
                              <w:tblCellMar>
                                <w:top w:w="0" w:type="dxa"/>
                                <w:left w:w="0" w:type="dxa"/>
                                <w:bottom w:w="0" w:type="dxa"/>
                                <w:right w:w="0" w:type="dxa"/>
                              </w:tblCellMar>
                            </w:tblPr>
                            <w:tblGrid>
                              <w:gridCol w:w="75"/>
                              <w:gridCol w:w="110"/>
                              <w:gridCol w:w="60"/>
                              <w:gridCol w:w="5615"/>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0"/>
                                    <w:jc w:val="both"/>
                                    <w:rPr>
                                      <w:rFonts w:ascii="arial" w:hAnsi="arial"/>
                                      <w:sz w:val="19"/>
                                    </w:rPr>
                                  </w:pPr>
                                  <w:r>
                                    <w:rPr>
                                      <w:rFonts w:ascii="arial" w:hAnsi="arial"/>
                                      <w:sz w:val="19"/>
                                    </w:rPr>
                                    <w:t xml:space="preserve">Reasonable number of additional shares requested: 31,297,000.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8" w:space="2" w:color="0171B9"/>
                              </w:rPr>
                            </w:pPr>
                            <w:r>
                              <w:rPr>
                                <w:bdr w:val="single" w:sz="8" w:space="2" w:color="0171B9"/>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885"/>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9885" w:type="dxa"/>
                                  <w:tcBorders/>
                                  <w:vAlign w:val="center"/>
                                </w:tcPr>
                                <w:p>
                                  <w:pPr>
                                    <w:pStyle w:val="TableContents"/>
                                    <w:bidi w:val="0"/>
                                    <w:spacing w:before="0" w:after="0"/>
                                    <w:jc w:val="both"/>
                                    <w:rPr>
                                      <w:rFonts w:ascii="arial" w:hAnsi="arial"/>
                                      <w:sz w:val="19"/>
                                    </w:rPr>
                                  </w:pPr>
                                  <w:r>
                                    <w:rPr>
                                      <w:rFonts w:ascii="arial" w:hAnsi="arial"/>
                                      <w:sz w:val="19"/>
                                    </w:rPr>
                                    <w:t xml:space="preserve">Awards would not have a substantially dilutive effect (our fully-diluted overhang with the additional 31,297,000 shares requested is 10.4%).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8" w:space="2" w:color="0171B9"/>
                              </w:rPr>
                            </w:pPr>
                            <w:r>
                              <w:rPr>
                                <w:bdr w:val="single" w:sz="8" w:space="2" w:color="0171B9"/>
                              </w:rPr>
                              <w:t> </w:t>
                            </w:r>
                          </w:p>
                          <w:tbl>
                            <w:tblPr>
                              <w:tblW w:w="3520" w:type="dxa"/>
                              <w:jc w:val="left"/>
                              <w:tblInd w:w="0" w:type="dxa"/>
                              <w:tblLayout w:type="fixed"/>
                              <w:tblCellMar>
                                <w:top w:w="0" w:type="dxa"/>
                                <w:left w:w="0" w:type="dxa"/>
                                <w:bottom w:w="0" w:type="dxa"/>
                                <w:right w:w="0" w:type="dxa"/>
                              </w:tblCellMar>
                            </w:tblPr>
                            <w:tblGrid>
                              <w:gridCol w:w="75"/>
                              <w:gridCol w:w="110"/>
                              <w:gridCol w:w="60"/>
                              <w:gridCol w:w="3200"/>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0"/>
                                    <w:jc w:val="both"/>
                                    <w:rPr>
                                      <w:rFonts w:ascii="arial" w:hAnsi="arial"/>
                                      <w:sz w:val="19"/>
                                    </w:rPr>
                                  </w:pPr>
                                  <w:r>
                                    <w:rPr>
                                      <w:rFonts w:ascii="arial" w:hAnsi="arial"/>
                                      <w:sz w:val="19"/>
                                    </w:rPr>
                                    <w:t xml:space="preserve">0.54% three-year average burn rate.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89.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0171B9"/>
                          <w:sz w:val="28"/>
                        </w:rPr>
                      </w:pPr>
                      <w:r>
                        <w:rPr>
                          <w:rFonts w:ascii="arial" w:hAnsi="arial"/>
                          <w:b/>
                          <w:color w:val="0171B9"/>
                          <w:sz w:val="28"/>
                        </w:rPr>
                        <w:t xml:space="preserve">Reasons for and the Determination of Share Reserve Under the Amended Plan </w:t>
                      </w:r>
                    </w:p>
                    <w:p>
                      <w:pPr>
                        <w:pStyle w:val="TextBody"/>
                        <w:bidi w:val="0"/>
                        <w:spacing w:before="120" w:after="0"/>
                        <w:jc w:val="both"/>
                        <w:rPr>
                          <w:rFonts w:ascii="arial" w:hAnsi="arial"/>
                          <w:sz w:val="19"/>
                        </w:rPr>
                      </w:pPr>
                      <w:r>
                        <w:rPr>
                          <w:rFonts w:ascii="arial" w:hAnsi="arial"/>
                          <w:sz w:val="19"/>
                        </w:rPr>
                        <w:t xml:space="preserve">In its determination to approve the Amended Plan, the Board was primarily motivated by a desire to ensure the Company has an available pool of shares from which to grant long-term equity incentive awards, which the Board believes promotes the success and enhances the value of the Company by linking the interests of the members of the Board and our employees to those of our stockholders and by providing such individuals with an incentive for outstanding performance to generate superior returns to Company stockholders. </w:t>
                      </w:r>
                    </w:p>
                    <w:p>
                      <w:pPr>
                        <w:pStyle w:val="TextBody"/>
                        <w:bidi w:val="0"/>
                        <w:spacing w:before="120" w:after="0"/>
                        <w:jc w:val="both"/>
                        <w:rPr>
                          <w:rFonts w:ascii="arial" w:hAnsi="arial"/>
                          <w:sz w:val="19"/>
                        </w:rPr>
                      </w:pPr>
                      <w:r>
                        <w:rPr>
                          <w:rFonts w:ascii="arial" w:hAnsi="arial"/>
                          <w:sz w:val="19"/>
                        </w:rPr>
                        <w:t>In determining the number of shares by which to increase the reserve under the Amended Plan, the Board reviewed the Compensation Committee’s recommendations, which were based on an analysis prepared by, and recommendations of, FW Cook, the Compensation Committee’s independent compensation consultant.</w:t>
                      </w:r>
                    </w:p>
                    <w:p>
                      <w:pPr>
                        <w:pStyle w:val="TextBody"/>
                        <w:bidi w:val="0"/>
                        <w:spacing w:before="120" w:after="0"/>
                        <w:jc w:val="both"/>
                        <w:rPr>
                          <w:rFonts w:ascii="arial" w:hAnsi="arial"/>
                          <w:sz w:val="19"/>
                        </w:rPr>
                      </w:pPr>
                      <w:r>
                        <w:rPr>
                          <w:rFonts w:ascii="arial" w:hAnsi="arial"/>
                          <w:sz w:val="19"/>
                        </w:rPr>
                        <w:t>This review included a consideration of the following key metrics and features that reflect our compensation principles and approach:</w:t>
                      </w:r>
                    </w:p>
                    <w:p>
                      <w:pPr>
                        <w:pStyle w:val="TextBody"/>
                        <w:bidi w:val="0"/>
                        <w:spacing w:before="240" w:after="0"/>
                        <w:jc w:val="left"/>
                        <w:rPr>
                          <w:rFonts w:ascii="arial" w:hAnsi="arial"/>
                          <w:b/>
                          <w:sz w:val="22"/>
                        </w:rPr>
                      </w:pPr>
                      <w:r>
                        <w:rPr>
                          <w:rFonts w:ascii="arial" w:hAnsi="arial"/>
                          <w:b/>
                          <w:sz w:val="22"/>
                        </w:rPr>
                        <w:t xml:space="preserve">Reasonable Plan Cost and Grant Practices </w:t>
                      </w:r>
                    </w:p>
                    <w:p>
                      <w:pPr>
                        <w:pStyle w:val="TextBody"/>
                        <w:bidi w:val="0"/>
                        <w:spacing w:before="0" w:after="0"/>
                        <w:jc w:val="left"/>
                        <w:rPr/>
                      </w:pPr>
                      <w:r>
                        <w:rPr/>
                        <w:t> </w:t>
                      </w:r>
                    </w:p>
                    <w:p>
                      <w:pPr>
                        <w:pStyle w:val="TextBody"/>
                        <w:pBdr/>
                        <w:bidi w:val="0"/>
                        <w:spacing w:before="0" w:after="0"/>
                        <w:ind w:left="60" w:right="60" w:hanging="0"/>
                        <w:jc w:val="both"/>
                        <w:rPr>
                          <w:rFonts w:ascii="arial" w:hAnsi="arial"/>
                          <w:sz w:val="19"/>
                          <w:bdr w:val="single" w:sz="8" w:space="2" w:color="0171B9"/>
                        </w:rPr>
                      </w:pPr>
                      <w:r>
                        <w:rPr>
                          <w:rFonts w:ascii="arial" w:hAnsi="arial"/>
                          <w:sz w:val="19"/>
                          <w:bdr w:val="single" w:sz="8" w:space="2" w:color="0171B9"/>
                        </w:rPr>
                        <w:t xml:space="preserve">Key Metrics: </w:t>
                      </w:r>
                    </w:p>
                    <w:p>
                      <w:pPr>
                        <w:pStyle w:val="TextBody"/>
                        <w:bidi w:val="0"/>
                        <w:spacing w:before="0" w:after="0"/>
                        <w:jc w:val="left"/>
                        <w:rPr>
                          <w:bdr w:val="single" w:sz="8" w:space="2" w:color="0171B9"/>
                        </w:rPr>
                      </w:pPr>
                      <w:r>
                        <w:rPr>
                          <w:bdr w:val="single" w:sz="8" w:space="2" w:color="0171B9"/>
                        </w:rPr>
                        <w:t> </w:t>
                      </w:r>
                    </w:p>
                    <w:tbl>
                      <w:tblPr>
                        <w:tblW w:w="5935" w:type="dxa"/>
                        <w:jc w:val="left"/>
                        <w:tblInd w:w="0" w:type="dxa"/>
                        <w:tblLayout w:type="fixed"/>
                        <w:tblCellMar>
                          <w:top w:w="0" w:type="dxa"/>
                          <w:left w:w="0" w:type="dxa"/>
                          <w:bottom w:w="0" w:type="dxa"/>
                          <w:right w:w="0" w:type="dxa"/>
                        </w:tblCellMar>
                      </w:tblPr>
                      <w:tblGrid>
                        <w:gridCol w:w="75"/>
                        <w:gridCol w:w="110"/>
                        <w:gridCol w:w="60"/>
                        <w:gridCol w:w="5615"/>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0"/>
                              <w:jc w:val="both"/>
                              <w:rPr>
                                <w:rFonts w:ascii="arial" w:hAnsi="arial"/>
                                <w:sz w:val="19"/>
                              </w:rPr>
                            </w:pPr>
                            <w:r>
                              <w:rPr>
                                <w:rFonts w:ascii="arial" w:hAnsi="arial"/>
                                <w:sz w:val="19"/>
                              </w:rPr>
                              <w:t xml:space="preserve">Reasonable number of additional shares requested: 31,297,000.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8" w:space="2" w:color="0171B9"/>
                        </w:rPr>
                      </w:pPr>
                      <w:r>
                        <w:rPr>
                          <w:bdr w:val="single" w:sz="8" w:space="2" w:color="0171B9"/>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885"/>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9885" w:type="dxa"/>
                            <w:tcBorders/>
                            <w:vAlign w:val="center"/>
                          </w:tcPr>
                          <w:p>
                            <w:pPr>
                              <w:pStyle w:val="TableContents"/>
                              <w:bidi w:val="0"/>
                              <w:spacing w:before="0" w:after="0"/>
                              <w:jc w:val="both"/>
                              <w:rPr>
                                <w:rFonts w:ascii="arial" w:hAnsi="arial"/>
                                <w:sz w:val="19"/>
                              </w:rPr>
                            </w:pPr>
                            <w:r>
                              <w:rPr>
                                <w:rFonts w:ascii="arial" w:hAnsi="arial"/>
                                <w:sz w:val="19"/>
                              </w:rPr>
                              <w:t xml:space="preserve">Awards would not have a substantially dilutive effect (our fully-diluted overhang with the additional 31,297,000 shares requested is 10.4%).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8" w:space="2" w:color="0171B9"/>
                        </w:rPr>
                      </w:pPr>
                      <w:r>
                        <w:rPr>
                          <w:bdr w:val="single" w:sz="8" w:space="2" w:color="0171B9"/>
                        </w:rPr>
                        <w:t> </w:t>
                      </w:r>
                    </w:p>
                    <w:tbl>
                      <w:tblPr>
                        <w:tblW w:w="3520" w:type="dxa"/>
                        <w:jc w:val="left"/>
                        <w:tblInd w:w="0" w:type="dxa"/>
                        <w:tblLayout w:type="fixed"/>
                        <w:tblCellMar>
                          <w:top w:w="0" w:type="dxa"/>
                          <w:left w:w="0" w:type="dxa"/>
                          <w:bottom w:w="0" w:type="dxa"/>
                          <w:right w:w="0" w:type="dxa"/>
                        </w:tblCellMar>
                      </w:tblPr>
                      <w:tblGrid>
                        <w:gridCol w:w="75"/>
                        <w:gridCol w:w="110"/>
                        <w:gridCol w:w="60"/>
                        <w:gridCol w:w="3200"/>
                        <w:gridCol w:w="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0"/>
                              <w:jc w:val="both"/>
                              <w:rPr>
                                <w:rFonts w:ascii="arial" w:hAnsi="arial"/>
                                <w:sz w:val="19"/>
                              </w:rPr>
                            </w:pPr>
                            <w:r>
                              <w:rPr>
                                <w:rFonts w:ascii="arial" w:hAnsi="arial"/>
                                <w:sz w:val="19"/>
                              </w:rPr>
                              <w:t xml:space="preserve">0.54% three-year average burn rate.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25">
                <wp:simplePos x="0" y="0"/>
                <wp:positionH relativeFrom="column">
                  <wp:align>left</wp:align>
                </wp:positionH>
                <wp:positionV relativeFrom="line">
                  <wp:posOffset>635</wp:posOffset>
                </wp:positionV>
                <wp:extent cx="3175000" cy="3303905"/>
                <wp:effectExtent l="0" t="0" r="0" b="0"/>
                <wp:wrapSquare wrapText="right"/>
                <wp:docPr id="376" name="Frame188"/>
                <a:graphic xmlns:a="http://schemas.openxmlformats.org/drawingml/2006/main">
                  <a:graphicData uri="http://schemas.microsoft.com/office/word/2010/wordprocessingShape">
                    <wps:wsp>
                      <wps:cNvSpPr txBox="1"/>
                      <wps:spPr>
                        <a:xfrm>
                          <a:off x="0" y="0"/>
                          <a:ext cx="3175000" cy="330390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color w:val="0171B9"/>
                                      <w:sz w:val="19"/>
                                    </w:rPr>
                                    <w:t>Minimum vesting period:</w:t>
                                  </w:r>
                                  <w:r>
                                    <w:rPr>
                                      <w:rFonts w:ascii="arial" w:hAnsi="arial"/>
                                      <w:sz w:val="19"/>
                                    </w:rPr>
                                    <w:t xml:space="preserve"> The Amended Plan mandates a vesting period of at least a year for all equity-based awards granted on or after March 2, 2016, which applies to no less than 95% of the shares authorized for grant (subject to certain limited exceptions), with most equity grants vesting over four years (with no vesting in the first year and vesting in three approximately equal installments thereafter).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color w:val="0171B9"/>
                                      <w:sz w:val="19"/>
                                    </w:rPr>
                                    <w:t>No discount stock options or stock appreciation rights:</w:t>
                                  </w:r>
                                  <w:r>
                                    <w:rPr>
                                      <w:rFonts w:ascii="arial" w:hAnsi="arial"/>
                                      <w:sz w:val="19"/>
                                    </w:rPr>
                                    <w:t xml:space="preserve"> All stock options and stock appreciation rights will have an exercise price equal to or greater than the fair market value of our Common Stock on the date of grant.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color w:val="0171B9"/>
                                      <w:sz w:val="19"/>
                                    </w:rPr>
                                    <w:t>Careful management of equity award usage:</w:t>
                                  </w:r>
                                  <w:r>
                                    <w:rPr>
                                      <w:rFonts w:ascii="arial" w:hAnsi="arial"/>
                                      <w:sz w:val="19"/>
                                    </w:rPr>
                                    <w:t xml:space="preserve"> Our Compensation Committee conducts an annual review of our equity award usage to help ensure that we maximize stockholder value by granting the appropriate number of equity awards necessary to motivate, attract, and retain our employees. </w:t>
                                  </w:r>
                                </w:p>
                              </w:tc>
                            </w:tr>
                          </w:tbl>
                          <w:p>
                            <w:pPr>
                              <w:pStyle w:val="TextBody"/>
                              <w:bidi w:val="0"/>
                              <w:spacing w:before="200" w:after="0"/>
                              <w:jc w:val="left"/>
                              <w:rPr>
                                <w:rFonts w:ascii="arial" w:hAnsi="arial"/>
                                <w:b/>
                                <w:sz w:val="22"/>
                              </w:rPr>
                            </w:pPr>
                            <w:r>
                              <w:rPr>
                                <w:rFonts w:ascii="arial" w:hAnsi="arial"/>
                                <w:b/>
                                <w:sz w:val="22"/>
                              </w:rPr>
                              <w:t xml:space="preserve">Stockholder-Friendly Plan Features and Compensation Practices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color w:val="0171B9"/>
                                      <w:sz w:val="19"/>
                                    </w:rPr>
                                    <w:t>Stockholder approval required to increase the share reserve (i.e., no “evergreen” features):</w:t>
                                  </w:r>
                                  <w:r>
                                    <w:rPr>
                                      <w:rFonts w:ascii="arial" w:hAnsi="arial"/>
                                      <w:sz w:val="19"/>
                                    </w:rPr>
                                    <w:t xml:space="preserve"> The Amended Plan authorizes a fixed number of shares, so that stockholder approval is required to increase the maximum number of shares of Common Stock that may be issued under the Amended Plan. If approved by stockholders on May 31, 2024, the single, fungible pool of shares approved and available for issuance under the Amended Plan as of April 1, 2024 would be 42,842,168 shares (which includes the shares remaining available for issuance from the Prior Plan as of April 1, 2024 and an increase of 31,297,000 shares).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60.1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color w:val="0171B9"/>
                                <w:sz w:val="19"/>
                              </w:rPr>
                              <w:t>Minimum vesting period:</w:t>
                            </w:r>
                            <w:r>
                              <w:rPr>
                                <w:rFonts w:ascii="arial" w:hAnsi="arial"/>
                                <w:sz w:val="19"/>
                              </w:rPr>
                              <w:t xml:space="preserve"> The Amended Plan mandates a vesting period of at least a year for all equity-based awards granted on or after March 2, 2016, which applies to no less than 95% of the shares authorized for grant (subject to certain limited exceptions), with most equity grants vesting over four years (with no vesting in the first year and vesting in three approximately equal installments thereafter).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color w:val="0171B9"/>
                                <w:sz w:val="19"/>
                              </w:rPr>
                              <w:t>No discount stock options or stock appreciation rights:</w:t>
                            </w:r>
                            <w:r>
                              <w:rPr>
                                <w:rFonts w:ascii="arial" w:hAnsi="arial"/>
                                <w:sz w:val="19"/>
                              </w:rPr>
                              <w:t xml:space="preserve"> All stock options and stock appreciation rights will have an exercise price equal to or greater than the fair market value of our Common Stock on the date of grant.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color w:val="0171B9"/>
                                <w:sz w:val="19"/>
                              </w:rPr>
                              <w:t>Careful management of equity award usage:</w:t>
                            </w:r>
                            <w:r>
                              <w:rPr>
                                <w:rFonts w:ascii="arial" w:hAnsi="arial"/>
                                <w:sz w:val="19"/>
                              </w:rPr>
                              <w:t xml:space="preserve"> Our Compensation Committee conducts an annual review of our equity award usage to help ensure that we maximize stockholder value by granting the appropriate number of equity awards necessary to motivate, attract, and retain our employees. </w:t>
                            </w:r>
                          </w:p>
                        </w:tc>
                      </w:tr>
                    </w:tbl>
                    <w:p>
                      <w:pPr>
                        <w:pStyle w:val="TextBody"/>
                        <w:bidi w:val="0"/>
                        <w:spacing w:before="200" w:after="0"/>
                        <w:jc w:val="left"/>
                        <w:rPr>
                          <w:rFonts w:ascii="arial" w:hAnsi="arial"/>
                          <w:b/>
                          <w:sz w:val="22"/>
                        </w:rPr>
                      </w:pPr>
                      <w:r>
                        <w:rPr>
                          <w:rFonts w:ascii="arial" w:hAnsi="arial"/>
                          <w:b/>
                          <w:sz w:val="22"/>
                        </w:rPr>
                        <w:t xml:space="preserve">Stockholder-Friendly Plan Features and Compensation Practices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color w:val="0171B9"/>
                                <w:sz w:val="19"/>
                              </w:rPr>
                              <w:t>Stockholder approval required to increase the share reserve (i.e., no “evergreen” features):</w:t>
                            </w:r>
                            <w:r>
                              <w:rPr>
                                <w:rFonts w:ascii="arial" w:hAnsi="arial"/>
                                <w:sz w:val="19"/>
                              </w:rPr>
                              <w:t xml:space="preserve"> The Amended Plan authorizes a fixed number of shares, so that stockholder approval is required to increase the maximum number of shares of Common Stock that may be issued under the Amended Plan. If approved by stockholders on May 31, 2024, the single, fungible pool of shares approved and available for issuance under the Amended Plan as of April 1, 2024 would be 42,842,168 shares (which includes the shares remaining available for issuance from the Prior Plan as of April 1, 2024 and an increase of 31,297,000 shares).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110  </w:t>
      </w:r>
      <w:r>
        <w:rPr>
          <w:rFonts w:ascii="arial" w:hAnsi="arial"/>
          <w:b/>
          <w:color w:val="474747"/>
          <w:sz w:val="22"/>
        </w:rPr>
        <w:drawing>
          <wp:inline distT="0" distB="0" distL="0" distR="0">
            <wp:extent cx="64770" cy="15240"/>
            <wp:effectExtent l="0" t="0" r="0" b="0"/>
            <wp:docPr id="377"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mage177" descr=""/>
                    <pic:cNvPicPr>
                      <a:picLocks noChangeAspect="1" noChangeArrowheads="1"/>
                    </pic:cNvPicPr>
                  </pic:nvPicPr>
                  <pic:blipFill>
                    <a:blip r:embed="rId190"/>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p>
      <w:pPr>
        <w:pStyle w:val="TextBody"/>
        <w:bidi w:val="0"/>
        <w:spacing w:before="0" w:after="0"/>
        <w:jc w:val="left"/>
        <w:rPr/>
      </w:pPr>
      <w:r>
        <w:rPr/>
        <w:t> </w:t>
      </w:r>
    </w:p>
    <w:tbl>
      <w:tblPr>
        <w:tblW w:w="10321" w:type="dxa"/>
        <w:jc w:val="left"/>
        <w:tblInd w:w="0" w:type="dxa"/>
        <w:tblLayout w:type="fixed"/>
        <w:tblCellMar>
          <w:top w:w="0" w:type="dxa"/>
          <w:left w:w="0" w:type="dxa"/>
          <w:bottom w:w="0" w:type="dxa"/>
          <w:right w:w="0" w:type="dxa"/>
        </w:tblCellMar>
      </w:tblPr>
      <w:tblGrid>
        <w:gridCol w:w="38"/>
        <w:gridCol w:w="23"/>
        <w:gridCol w:w="23"/>
        <w:gridCol w:w="23"/>
        <w:gridCol w:w="23"/>
        <w:gridCol w:w="23"/>
        <w:gridCol w:w="23"/>
        <w:gridCol w:w="60"/>
        <w:gridCol w:w="60"/>
        <w:gridCol w:w="995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6" w:type="dxa"/>
            <w:gridSpan w:val="7"/>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995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Item 3 — Approval of Amgen Inc. Second Amended and Restated 2009 Equity Incentive Plan</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426">
                <wp:simplePos x="0" y="0"/>
                <wp:positionH relativeFrom="column">
                  <wp:align>left</wp:align>
                </wp:positionH>
                <wp:positionV relativeFrom="line">
                  <wp:posOffset>635</wp:posOffset>
                </wp:positionV>
                <wp:extent cx="3110230" cy="5060950"/>
                <wp:effectExtent l="0" t="0" r="0" b="0"/>
                <wp:wrapSquare wrapText="right"/>
                <wp:docPr id="378" name="Frame189"/>
                <a:graphic xmlns:a="http://schemas.openxmlformats.org/drawingml/2006/main">
                  <a:graphicData uri="http://schemas.microsoft.com/office/word/2010/wordprocessingShape">
                    <wps:wsp>
                      <wps:cNvSpPr txBox="1"/>
                      <wps:spPr>
                        <a:xfrm>
                          <a:off x="0" y="0"/>
                          <a:ext cx="3110230" cy="506095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color w:val="0171B9"/>
                                      <w:sz w:val="19"/>
                                    </w:rPr>
                                    <w:t>No single-trigger equity vesting and no gross-ups in the event of a change of control:</w:t>
                                  </w:r>
                                  <w:r>
                                    <w:rPr>
                                      <w:rFonts w:ascii="arial" w:hAnsi="arial"/>
                                      <w:sz w:val="19"/>
                                    </w:rPr>
                                    <w:t xml:space="preserve"> We do not have “single-trigger” equity vesting acceleration upon a change of control for RSUs and stock options and do not provide tax gross-ups on change of control payments.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color w:val="0171B9"/>
                                      <w:sz w:val="19"/>
                                    </w:rPr>
                                    <w:t>No re-pricing or exchanges:</w:t>
                                  </w:r>
                                  <w:r>
                                    <w:rPr>
                                      <w:rFonts w:ascii="arial" w:hAnsi="arial"/>
                                      <w:sz w:val="19"/>
                                    </w:rPr>
                                    <w:t xml:space="preserve"> The Amended Plan and our policies prohibit the re-pricing or other similar exchanges of stock options and stock appreciation awards without prior stockholder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color w:val="0171B9"/>
                                      <w:sz w:val="19"/>
                                    </w:rPr>
                                    <w:t>No dividends paid on unvested equity:</w:t>
                                  </w:r>
                                  <w:r>
                                    <w:rPr>
                                      <w:rFonts w:ascii="arial" w:hAnsi="arial"/>
                                      <w:sz w:val="19"/>
                                    </w:rPr>
                                    <w:t xml:space="preserve"> Dividends equivalents accrue on our PUs and RSUs but are paid out in shares of our Common Stock only when, and to the extent that, the underlying award is earned and vested. Stock options do not have dividend equivalent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color w:val="0171B9"/>
                                      <w:sz w:val="19"/>
                                    </w:rPr>
                                    <w:t>Robust stock ownership and retention guidelines:</w:t>
                                  </w:r>
                                  <w:r>
                                    <w:rPr>
                                      <w:rFonts w:ascii="arial" w:hAnsi="arial"/>
                                      <w:sz w:val="19"/>
                                    </w:rPr>
                                    <w:t xml:space="preserve"> We have stock ownership guidelines for vice presidents and above (6x for the Chief Executive Officer) that require significant investment by these individuals in our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color w:val="0171B9"/>
                                      <w:sz w:val="19"/>
                                    </w:rPr>
                                    <w:t>Clawback Policy:</w:t>
                                  </w:r>
                                  <w:r>
                                    <w:rPr>
                                      <w:rFonts w:ascii="arial" w:hAnsi="arial"/>
                                      <w:sz w:val="19"/>
                                    </w:rPr>
                                    <w:t xml:space="preserve"> In compliance with new NASDAQ Stock Market listing standards approved by the Securities and Exchange Commission, our Compensation Committee has adopted a policy providing for the mandatory recovery of erroneously awarded incentive-based executive compensation, including cash bonuses and PU payouts, if it is subsequently determined that the amounts of such compensation were based on financial results that are later restated.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color w:val="0171B9"/>
                                      <w:sz w:val="19"/>
                                    </w:rPr>
                                    <w:t>Equity Recoupment Policy:</w:t>
                                  </w:r>
                                  <w:r>
                                    <w:rPr>
                                      <w:rFonts w:ascii="arial" w:hAnsi="arial"/>
                                      <w:sz w:val="19"/>
                                    </w:rPr>
                                    <w:t xml:space="preserve"> Our executive officer equity recoupment policy provides the Compensation Committee with the ability to cause the forfeiture and cancellation of unvested equity awards and any unexercised portion of any stock options (granted after December 31, 2020) should an executive officer be terminated for engaging in misconduct that caused serious financial or reputational damage to the Company. </w:t>
                                  </w:r>
                                </w:p>
                              </w:tc>
                            </w:tr>
                          </w:tbl>
                          <w:p>
                            <w:pPr>
                              <w:pStyle w:val="TextBody"/>
                              <w:bidi w:val="0"/>
                              <w:spacing w:before="240" w:after="0"/>
                              <w:jc w:val="both"/>
                              <w:rPr>
                                <w:rFonts w:ascii="arial" w:hAnsi="arial"/>
                                <w:sz w:val="19"/>
                              </w:rPr>
                            </w:pPr>
                            <w:r>
                              <w:rPr>
                                <w:rFonts w:ascii="arial" w:hAnsi="arial"/>
                                <w:sz w:val="19"/>
                              </w:rPr>
                              <w:t>In light of the factors described above, and the fact that the ability to continue to grant equity incentive compensation is vital to our ability to continue to motivate, attract, and retain employees in the competitive labor markets in which we compete (using incentives that align the interests of our employees with that of our investors), the Board has determined that the size of the proposed share reserve under the Amended Plan is reasonable and appropriate at this time.</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98.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color w:val="0171B9"/>
                                <w:sz w:val="19"/>
                              </w:rPr>
                              <w:t>No single-trigger equity vesting and no gross-ups in the event of a change of control:</w:t>
                            </w:r>
                            <w:r>
                              <w:rPr>
                                <w:rFonts w:ascii="arial" w:hAnsi="arial"/>
                                <w:sz w:val="19"/>
                              </w:rPr>
                              <w:t xml:space="preserve"> We do not have “single-trigger” equity vesting acceleration upon a change of control for RSUs and stock options and do not provide tax gross-ups on change of control payments.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color w:val="0171B9"/>
                                <w:sz w:val="19"/>
                              </w:rPr>
                              <w:t>No re-pricing or exchanges:</w:t>
                            </w:r>
                            <w:r>
                              <w:rPr>
                                <w:rFonts w:ascii="arial" w:hAnsi="arial"/>
                                <w:sz w:val="19"/>
                              </w:rPr>
                              <w:t xml:space="preserve"> The Amended Plan and our policies prohibit the re-pricing or other similar exchanges of stock options and stock appreciation awards without prior stockholder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color w:val="0171B9"/>
                                <w:sz w:val="19"/>
                              </w:rPr>
                              <w:t>No dividends paid on unvested equity:</w:t>
                            </w:r>
                            <w:r>
                              <w:rPr>
                                <w:rFonts w:ascii="arial" w:hAnsi="arial"/>
                                <w:sz w:val="19"/>
                              </w:rPr>
                              <w:t xml:space="preserve"> Dividends equivalents accrue on our PUs and RSUs but are paid out in shares of our Common Stock only when, and to the extent that, the underlying award is earned and vested. Stock options do not have dividend equivalent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color w:val="0171B9"/>
                                <w:sz w:val="19"/>
                              </w:rPr>
                              <w:t>Robust stock ownership and retention guidelines:</w:t>
                            </w:r>
                            <w:r>
                              <w:rPr>
                                <w:rFonts w:ascii="arial" w:hAnsi="arial"/>
                                <w:sz w:val="19"/>
                              </w:rPr>
                              <w:t xml:space="preserve"> We have stock ownership guidelines for vice presidents and above (6x for the Chief Executive Officer) that require significant investment by these individuals in our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color w:val="0171B9"/>
                                <w:sz w:val="19"/>
                              </w:rPr>
                              <w:t>Clawback Policy:</w:t>
                            </w:r>
                            <w:r>
                              <w:rPr>
                                <w:rFonts w:ascii="arial" w:hAnsi="arial"/>
                                <w:sz w:val="19"/>
                              </w:rPr>
                              <w:t xml:space="preserve"> In compliance with new NASDAQ Stock Market listing standards approved by the Securities and Exchange Commission, our Compensation Committee has adopted a policy providing for the mandatory recovery of erroneously awarded incentive-based executive compensation, including cash bonuses and PU payouts, if it is subsequently determined that the amounts of such compensation were based on financial results that are later restated.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b/>
                                <w:color w:val="0171B9"/>
                                <w:sz w:val="19"/>
                              </w:rPr>
                              <w:t>Equity Recoupment Policy:</w:t>
                            </w:r>
                            <w:r>
                              <w:rPr>
                                <w:rFonts w:ascii="arial" w:hAnsi="arial"/>
                                <w:sz w:val="19"/>
                              </w:rPr>
                              <w:t xml:space="preserve"> Our executive officer equity recoupment policy provides the Compensation Committee with the ability to cause the forfeiture and cancellation of unvested equity awards and any unexercised portion of any stock options (granted after December 31, 2020) should an executive officer be terminated for engaging in misconduct that caused serious financial or reputational damage to the Company. </w:t>
                            </w:r>
                          </w:p>
                        </w:tc>
                      </w:tr>
                    </w:tbl>
                    <w:p>
                      <w:pPr>
                        <w:pStyle w:val="TextBody"/>
                        <w:bidi w:val="0"/>
                        <w:spacing w:before="240" w:after="0"/>
                        <w:jc w:val="both"/>
                        <w:rPr>
                          <w:rFonts w:ascii="arial" w:hAnsi="arial"/>
                          <w:sz w:val="19"/>
                        </w:rPr>
                      </w:pPr>
                      <w:r>
                        <w:rPr>
                          <w:rFonts w:ascii="arial" w:hAnsi="arial"/>
                          <w:sz w:val="19"/>
                        </w:rPr>
                        <w:t>In light of the factors described above, and the fact that the ability to continue to grant equity incentive compensation is vital to our ability to continue to motivate, attract, and retain employees in the competitive labor markets in which we compete (using incentives that align the interests of our employees with that of our investors), the Board has determined that the size of the proposed share reserve under the Amended Plan is reasonable and appropriate at this time.</w:t>
                      </w:r>
                    </w:p>
                  </w:txbxContent>
                </v:textbox>
                <w10:wrap type="square" side="right"/>
              </v:rect>
            </w:pict>
          </mc:Fallback>
        </mc:AlternateContent>
      </w:r>
      <w:r>
        <mc:AlternateContent>
          <mc:Choice Requires="wps">
            <w:drawing>
              <wp:anchor behindDoc="0" distT="0" distB="0" distL="0" distR="0" simplePos="0" locked="0" layoutInCell="1" allowOverlap="1" relativeHeight="427">
                <wp:simplePos x="0" y="0"/>
                <wp:positionH relativeFrom="column">
                  <wp:align>left</wp:align>
                </wp:positionH>
                <wp:positionV relativeFrom="line">
                  <wp:posOffset>635</wp:posOffset>
                </wp:positionV>
                <wp:extent cx="3175000" cy="7131685"/>
                <wp:effectExtent l="0" t="0" r="0" b="0"/>
                <wp:wrapSquare wrapText="right"/>
                <wp:docPr id="379" name="Frame190"/>
                <a:graphic xmlns:a="http://schemas.openxmlformats.org/drawingml/2006/main">
                  <a:graphicData uri="http://schemas.microsoft.com/office/word/2010/wordprocessingShape">
                    <wps:wsp>
                      <wps:cNvSpPr txBox="1"/>
                      <wps:spPr>
                        <a:xfrm>
                          <a:off x="0" y="0"/>
                          <a:ext cx="3175000" cy="7131685"/>
                        </a:xfrm>
                        <a:prstGeom prst="rect"/>
                        <a:solidFill>
                          <a:srgbClr val="FFFFFF"/>
                        </a:solidFill>
                      </wps:spPr>
                      <wps:txbx>
                        <w:txbxContent>
                          <w:p>
                            <w:pPr>
                              <w:pStyle w:val="TextBody"/>
                              <w:bidi w:val="0"/>
                              <w:spacing w:before="0" w:after="0"/>
                              <w:jc w:val="left"/>
                              <w:rPr>
                                <w:rFonts w:ascii="arial" w:hAnsi="arial"/>
                                <w:b/>
                                <w:color w:val="0171B9"/>
                                <w:sz w:val="28"/>
                              </w:rPr>
                            </w:pPr>
                            <w:r>
                              <w:rPr>
                                <w:rFonts w:ascii="arial" w:hAnsi="arial"/>
                                <w:b/>
                                <w:color w:val="0171B9"/>
                                <w:sz w:val="28"/>
                              </w:rPr>
                              <w:t xml:space="preserve">Stockholder Approval  </w:t>
                            </w:r>
                          </w:p>
                          <w:p>
                            <w:pPr>
                              <w:pStyle w:val="TextBody"/>
                              <w:bidi w:val="0"/>
                              <w:spacing w:before="120" w:after="0"/>
                              <w:jc w:val="both"/>
                              <w:rPr>
                                <w:rFonts w:ascii="arial" w:hAnsi="arial"/>
                                <w:sz w:val="19"/>
                              </w:rPr>
                            </w:pPr>
                            <w:r>
                              <w:rPr>
                                <w:rFonts w:ascii="arial" w:hAnsi="arial"/>
                                <w:sz w:val="19"/>
                              </w:rPr>
                              <w:t>If stockholders do not approve the Amended Plan, then the proposed additional shares will not become available for issuance and the original terms of the Prior Plan as currently in place will continue in full force and effect. Approval of the Amended Plan will constitute approval pursuant to NASDAQ Stock Exchange listing shareholder approval requirements applicable to equity compensation plans and approval pursuant to the stockholder approval requirements of Section 422 of the Code relating to ISOs (to the extent required by the Code).</w:t>
                            </w:r>
                          </w:p>
                          <w:p>
                            <w:pPr>
                              <w:pStyle w:val="TextBody"/>
                              <w:bidi w:val="0"/>
                              <w:spacing w:before="120" w:after="0"/>
                              <w:jc w:val="both"/>
                              <w:rPr>
                                <w:rFonts w:ascii="arial" w:hAnsi="arial"/>
                                <w:sz w:val="19"/>
                              </w:rPr>
                            </w:pPr>
                            <w:r>
                              <w:rPr>
                                <w:rFonts w:ascii="arial" w:hAnsi="arial"/>
                                <w:sz w:val="19"/>
                              </w:rPr>
                              <w:t xml:space="preserve">The material terms of the Amended Plan are summarized below and qualified in their entirety by reference to the Amended Plan included in this proxy statement as </w:t>
                            </w:r>
                            <w:r>
                              <w:rPr>
                                <w:rFonts w:ascii="arial" w:hAnsi="arial"/>
                                <w:b/>
                                <w:sz w:val="19"/>
                              </w:rPr>
                              <w:t>Appendix C</w:t>
                            </w:r>
                            <w:r>
                              <w:rPr>
                                <w:rFonts w:ascii="arial" w:hAnsi="arial"/>
                                <w:sz w:val="19"/>
                              </w:rPr>
                              <w:t>.</w:t>
                            </w:r>
                          </w:p>
                          <w:p>
                            <w:pPr>
                              <w:pStyle w:val="TextBody"/>
                              <w:bidi w:val="0"/>
                              <w:spacing w:before="240" w:after="0"/>
                              <w:jc w:val="left"/>
                              <w:rPr>
                                <w:rFonts w:ascii="arial" w:hAnsi="arial"/>
                                <w:b/>
                                <w:color w:val="0171B9"/>
                                <w:sz w:val="28"/>
                              </w:rPr>
                            </w:pPr>
                            <w:r>
                              <w:rPr>
                                <w:rFonts w:ascii="arial" w:hAnsi="arial"/>
                                <w:b/>
                                <w:color w:val="0171B9"/>
                                <w:sz w:val="28"/>
                              </w:rPr>
                              <w:t>Material Terms of the Amended Plan</w:t>
                            </w:r>
                          </w:p>
                          <w:p>
                            <w:pPr>
                              <w:pStyle w:val="TextBody"/>
                              <w:bidi w:val="0"/>
                              <w:spacing w:before="120" w:after="0"/>
                              <w:jc w:val="left"/>
                              <w:rPr>
                                <w:rFonts w:ascii="arial" w:hAnsi="arial"/>
                                <w:b/>
                                <w:sz w:val="22"/>
                              </w:rPr>
                            </w:pPr>
                            <w:r>
                              <w:rPr>
                                <w:rFonts w:ascii="arial" w:hAnsi="arial"/>
                                <w:b/>
                                <w:sz w:val="22"/>
                              </w:rPr>
                              <w:t xml:space="preserve">Eligibility and Administration  </w:t>
                            </w:r>
                          </w:p>
                          <w:p>
                            <w:pPr>
                              <w:pStyle w:val="TextBody"/>
                              <w:bidi w:val="0"/>
                              <w:spacing w:before="120" w:after="0"/>
                              <w:jc w:val="both"/>
                              <w:rPr>
                                <w:rFonts w:ascii="arial" w:hAnsi="arial"/>
                                <w:sz w:val="19"/>
                              </w:rPr>
                            </w:pPr>
                            <w:r>
                              <w:rPr>
                                <w:rFonts w:ascii="arial" w:hAnsi="arial"/>
                                <w:sz w:val="19"/>
                              </w:rPr>
                              <w:t>As of April 1, 2024, approximately 23,700 employees and twelve non-employee directors are eligible to receive awards under the Amended Plan.</w:t>
                            </w:r>
                          </w:p>
                          <w:p>
                            <w:pPr>
                              <w:pStyle w:val="TextBody"/>
                              <w:bidi w:val="0"/>
                              <w:spacing w:before="240" w:after="0"/>
                              <w:jc w:val="both"/>
                              <w:rPr>
                                <w:rFonts w:ascii="arial" w:hAnsi="arial"/>
                                <w:sz w:val="19"/>
                              </w:rPr>
                            </w:pPr>
                            <w:r>
                              <w:rPr>
                                <w:rFonts w:ascii="arial" w:hAnsi="arial"/>
                                <w:sz w:val="19"/>
                              </w:rPr>
                              <w:t>The Amended Plan is generally administered by the Compensation Committee and our Board (with the assistance of its Governance and Nominating Committee, which has the authority to evaluate and make recommendations to our Board regarding non-employee director compensation) conducts the administration of the Amended Plan with respect to awards to non-employee directors, each of which may delegate its authority under the Amended Plan to committees of our directors and/or officers (referred to collectively as the Administrator), subject to limitations that may be imposed under applicable securities law or stock exchange rules, as applicable, or by committee charter, and provided that no officer of the Company may be delegated authority to grant or amend awards held by individuals who are subject to Section 16 of the Securities Exchange Act of 1934 (Section 16 Officers). The Compensation Committee has delegated certain responsibilities to the Equity Award Committee of the Board, including approval of equity-based awards to non-Section 16 Officers and employees at the level of vice president or below. Further, the Compensation Committee, has the authority to make all interpretations under, and adopt rules for the administration of, the Amended Plan, in accordance with its provisions. The Administrator sets the terms and conditions of all awards under the Amended Plan, including any vesting and acceleration conditions.</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61.5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color w:val="0171B9"/>
                          <w:sz w:val="28"/>
                        </w:rPr>
                      </w:pPr>
                      <w:r>
                        <w:rPr>
                          <w:rFonts w:ascii="arial" w:hAnsi="arial"/>
                          <w:b/>
                          <w:color w:val="0171B9"/>
                          <w:sz w:val="28"/>
                        </w:rPr>
                        <w:t xml:space="preserve">Stockholder Approval  </w:t>
                      </w:r>
                    </w:p>
                    <w:p>
                      <w:pPr>
                        <w:pStyle w:val="TextBody"/>
                        <w:bidi w:val="0"/>
                        <w:spacing w:before="120" w:after="0"/>
                        <w:jc w:val="both"/>
                        <w:rPr>
                          <w:rFonts w:ascii="arial" w:hAnsi="arial"/>
                          <w:sz w:val="19"/>
                        </w:rPr>
                      </w:pPr>
                      <w:r>
                        <w:rPr>
                          <w:rFonts w:ascii="arial" w:hAnsi="arial"/>
                          <w:sz w:val="19"/>
                        </w:rPr>
                        <w:t>If stockholders do not approve the Amended Plan, then the proposed additional shares will not become available for issuance and the original terms of the Prior Plan as currently in place will continue in full force and effect. Approval of the Amended Plan will constitute approval pursuant to NASDAQ Stock Exchange listing shareholder approval requirements applicable to equity compensation plans and approval pursuant to the stockholder approval requirements of Section 422 of the Code relating to ISOs (to the extent required by the Code).</w:t>
                      </w:r>
                    </w:p>
                    <w:p>
                      <w:pPr>
                        <w:pStyle w:val="TextBody"/>
                        <w:bidi w:val="0"/>
                        <w:spacing w:before="120" w:after="0"/>
                        <w:jc w:val="both"/>
                        <w:rPr>
                          <w:rFonts w:ascii="arial" w:hAnsi="arial"/>
                          <w:sz w:val="19"/>
                        </w:rPr>
                      </w:pPr>
                      <w:r>
                        <w:rPr>
                          <w:rFonts w:ascii="arial" w:hAnsi="arial"/>
                          <w:sz w:val="19"/>
                        </w:rPr>
                        <w:t xml:space="preserve">The material terms of the Amended Plan are summarized below and qualified in their entirety by reference to the Amended Plan included in this proxy statement as </w:t>
                      </w:r>
                      <w:r>
                        <w:rPr>
                          <w:rFonts w:ascii="arial" w:hAnsi="arial"/>
                          <w:b/>
                          <w:sz w:val="19"/>
                        </w:rPr>
                        <w:t>Appendix C</w:t>
                      </w:r>
                      <w:r>
                        <w:rPr>
                          <w:rFonts w:ascii="arial" w:hAnsi="arial"/>
                          <w:sz w:val="19"/>
                        </w:rPr>
                        <w:t>.</w:t>
                      </w:r>
                    </w:p>
                    <w:p>
                      <w:pPr>
                        <w:pStyle w:val="TextBody"/>
                        <w:bidi w:val="0"/>
                        <w:spacing w:before="240" w:after="0"/>
                        <w:jc w:val="left"/>
                        <w:rPr>
                          <w:rFonts w:ascii="arial" w:hAnsi="arial"/>
                          <w:b/>
                          <w:color w:val="0171B9"/>
                          <w:sz w:val="28"/>
                        </w:rPr>
                      </w:pPr>
                      <w:r>
                        <w:rPr>
                          <w:rFonts w:ascii="arial" w:hAnsi="arial"/>
                          <w:b/>
                          <w:color w:val="0171B9"/>
                          <w:sz w:val="28"/>
                        </w:rPr>
                        <w:t>Material Terms of the Amended Plan</w:t>
                      </w:r>
                    </w:p>
                    <w:p>
                      <w:pPr>
                        <w:pStyle w:val="TextBody"/>
                        <w:bidi w:val="0"/>
                        <w:spacing w:before="120" w:after="0"/>
                        <w:jc w:val="left"/>
                        <w:rPr>
                          <w:rFonts w:ascii="arial" w:hAnsi="arial"/>
                          <w:b/>
                          <w:sz w:val="22"/>
                        </w:rPr>
                      </w:pPr>
                      <w:r>
                        <w:rPr>
                          <w:rFonts w:ascii="arial" w:hAnsi="arial"/>
                          <w:b/>
                          <w:sz w:val="22"/>
                        </w:rPr>
                        <w:t xml:space="preserve">Eligibility and Administration  </w:t>
                      </w:r>
                    </w:p>
                    <w:p>
                      <w:pPr>
                        <w:pStyle w:val="TextBody"/>
                        <w:bidi w:val="0"/>
                        <w:spacing w:before="120" w:after="0"/>
                        <w:jc w:val="both"/>
                        <w:rPr>
                          <w:rFonts w:ascii="arial" w:hAnsi="arial"/>
                          <w:sz w:val="19"/>
                        </w:rPr>
                      </w:pPr>
                      <w:r>
                        <w:rPr>
                          <w:rFonts w:ascii="arial" w:hAnsi="arial"/>
                          <w:sz w:val="19"/>
                        </w:rPr>
                        <w:t>As of April 1, 2024, approximately 23,700 employees and twelve non-employee directors are eligible to receive awards under the Amended Plan.</w:t>
                      </w:r>
                    </w:p>
                    <w:p>
                      <w:pPr>
                        <w:pStyle w:val="TextBody"/>
                        <w:bidi w:val="0"/>
                        <w:spacing w:before="240" w:after="0"/>
                        <w:jc w:val="both"/>
                        <w:rPr>
                          <w:rFonts w:ascii="arial" w:hAnsi="arial"/>
                          <w:sz w:val="19"/>
                        </w:rPr>
                      </w:pPr>
                      <w:r>
                        <w:rPr>
                          <w:rFonts w:ascii="arial" w:hAnsi="arial"/>
                          <w:sz w:val="19"/>
                        </w:rPr>
                        <w:t>The Amended Plan is generally administered by the Compensation Committee and our Board (with the assistance of its Governance and Nominating Committee, which has the authority to evaluate and make recommendations to our Board regarding non-employee director compensation) conducts the administration of the Amended Plan with respect to awards to non-employee directors, each of which may delegate its authority under the Amended Plan to committees of our directors and/or officers (referred to collectively as the Administrator), subject to limitations that may be imposed under applicable securities law or stock exchange rules, as applicable, or by committee charter, and provided that no officer of the Company may be delegated authority to grant or amend awards held by individuals who are subject to Section 16 of the Securities Exchange Act of 1934 (Section 16 Officers). The Compensation Committee has delegated certain responsibilities to the Equity Award Committee of the Board, including approval of equity-based awards to non-Section 16 Officers and employees at the level of vice president or below. Further, the Compensation Committee, has the authority to make all interpretations under, and adopt rules for the administration of, the Amended Plan, in accordance with its provisions. The Administrator sets the terms and conditions of all awards under the Amended Plan, including any vesting and acceleration conditions.</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380"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178" descr=""/>
                    <pic:cNvPicPr>
                      <a:picLocks noChangeAspect="1" noChangeArrowheads="1"/>
                    </pic:cNvPicPr>
                  </pic:nvPicPr>
                  <pic:blipFill>
                    <a:blip r:embed="rId191"/>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111</w:t>
      </w:r>
      <w:r>
        <w:rPr>
          <w:rFonts w:ascii="arial" w:hAnsi="arial"/>
          <w:b/>
          <w:sz w:val="22"/>
        </w:rPr>
        <w:t xml:space="preserve"> </w:t>
      </w:r>
      <w:r>
        <w:br w:type="page"/>
      </w:r>
    </w:p>
    <w:p>
      <w:pPr>
        <w:pStyle w:val="HorizontalLine"/>
        <w:bidi w:val="0"/>
        <w:jc w:val="left"/>
        <w:rPr/>
      </w:pPr>
      <w:r>
        <w:rPr/>
      </w:r>
    </w:p>
    <w:p>
      <w:pPr>
        <w:pStyle w:val="TextBody"/>
        <w:bidi w:val="0"/>
        <w:spacing w:before="0" w:after="0"/>
        <w:jc w:val="left"/>
        <w:rPr/>
      </w:pPr>
      <w:r>
        <w:rPr/>
        <w:t> </w:t>
      </w:r>
    </w:p>
    <w:tbl>
      <w:tblPr>
        <w:tblW w:w="10321" w:type="dxa"/>
        <w:jc w:val="left"/>
        <w:tblInd w:w="0" w:type="dxa"/>
        <w:tblLayout w:type="fixed"/>
        <w:tblCellMar>
          <w:top w:w="0" w:type="dxa"/>
          <w:left w:w="0" w:type="dxa"/>
          <w:bottom w:w="0" w:type="dxa"/>
          <w:right w:w="0" w:type="dxa"/>
        </w:tblCellMar>
      </w:tblPr>
      <w:tblGrid>
        <w:gridCol w:w="38"/>
        <w:gridCol w:w="23"/>
        <w:gridCol w:w="23"/>
        <w:gridCol w:w="23"/>
        <w:gridCol w:w="23"/>
        <w:gridCol w:w="23"/>
        <w:gridCol w:w="23"/>
        <w:gridCol w:w="60"/>
        <w:gridCol w:w="60"/>
        <w:gridCol w:w="995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6" w:type="dxa"/>
            <w:gridSpan w:val="7"/>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995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Item 3 — Approval of Amgen Inc. Second Amended and Restated 2009 Equity Incentive Plan</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428">
                <wp:simplePos x="0" y="0"/>
                <wp:positionH relativeFrom="column">
                  <wp:align>left</wp:align>
                </wp:positionH>
                <wp:positionV relativeFrom="line">
                  <wp:posOffset>635</wp:posOffset>
                </wp:positionV>
                <wp:extent cx="3110230" cy="7061835"/>
                <wp:effectExtent l="0" t="0" r="0" b="0"/>
                <wp:wrapSquare wrapText="right"/>
                <wp:docPr id="381" name="Frame191"/>
                <a:graphic xmlns:a="http://schemas.openxmlformats.org/drawingml/2006/main">
                  <a:graphicData uri="http://schemas.microsoft.com/office/word/2010/wordprocessingShape">
                    <wps:wsp>
                      <wps:cNvSpPr txBox="1"/>
                      <wps:spPr>
                        <a:xfrm>
                          <a:off x="0" y="0"/>
                          <a:ext cx="3110230" cy="7061835"/>
                        </a:xfrm>
                        <a:prstGeom prst="rect"/>
                        <a:solidFill>
                          <a:srgbClr val="FFFFFF"/>
                        </a:solidFill>
                      </wps:spPr>
                      <wps:txbx>
                        <w:txbxContent>
                          <w:p>
                            <w:pPr>
                              <w:pStyle w:val="TextBody"/>
                              <w:bidi w:val="0"/>
                              <w:spacing w:before="0" w:after="0"/>
                              <w:jc w:val="left"/>
                              <w:rPr>
                                <w:rFonts w:ascii="arial" w:hAnsi="arial"/>
                                <w:b/>
                                <w:sz w:val="22"/>
                              </w:rPr>
                            </w:pPr>
                            <w:r>
                              <w:rPr>
                                <w:rFonts w:ascii="arial" w:hAnsi="arial"/>
                                <w:b/>
                                <w:sz w:val="22"/>
                              </w:rPr>
                              <w:t xml:space="preserve">Limitation on Awards and Shares Available  </w:t>
                            </w:r>
                          </w:p>
                          <w:p>
                            <w:pPr>
                              <w:pStyle w:val="TextBody"/>
                              <w:bidi w:val="0"/>
                              <w:spacing w:before="120" w:after="0"/>
                              <w:jc w:val="both"/>
                              <w:rPr>
                                <w:rFonts w:ascii="arial" w:hAnsi="arial"/>
                                <w:sz w:val="19"/>
                              </w:rPr>
                            </w:pPr>
                            <w:r>
                              <w:rPr>
                                <w:rFonts w:ascii="arial" w:hAnsi="arial"/>
                                <w:sz w:val="19"/>
                              </w:rPr>
                              <w:t>As of April 1, 2024, there were 11,545,168 shares available for grant under the Prior Plan (assuming target performance under our outstanding performance unit awards). If stockholders approve the Amended Plan, then an additional 31,297,000 shares will be available for issuance under awards granted pursuant to the Amended Plan (i.e., in addition to the remaining number of shares available from the Prior Plan as of the effective date of the Amended Plan).</w:t>
                            </w:r>
                          </w:p>
                          <w:p>
                            <w:pPr>
                              <w:pStyle w:val="TextBody"/>
                              <w:bidi w:val="0"/>
                              <w:spacing w:before="240" w:after="0"/>
                              <w:jc w:val="both"/>
                              <w:rPr>
                                <w:rFonts w:ascii="arial" w:hAnsi="arial"/>
                                <w:sz w:val="19"/>
                              </w:rPr>
                            </w:pPr>
                            <w:r>
                              <w:rPr>
                                <w:rFonts w:ascii="arial" w:hAnsi="arial"/>
                                <w:sz w:val="19"/>
                              </w:rPr>
                              <w:t>Shares issued pursuant to the Amended Plan may consist, in whole or in part, of authorized but unissued shares, treasury shares, or shares purchased in the open market.</w:t>
                            </w:r>
                          </w:p>
                          <w:p>
                            <w:pPr>
                              <w:pStyle w:val="TextBody"/>
                              <w:bidi w:val="0"/>
                              <w:spacing w:before="240" w:after="0"/>
                              <w:jc w:val="both"/>
                              <w:rPr>
                                <w:rFonts w:ascii="arial" w:hAnsi="arial"/>
                                <w:sz w:val="19"/>
                              </w:rPr>
                            </w:pPr>
                            <w:r>
                              <w:rPr>
                                <w:rFonts w:ascii="arial" w:hAnsi="arial"/>
                                <w:sz w:val="19"/>
                              </w:rPr>
                              <w:t xml:space="preserve">If an award is forfeited, expires or is settled for cash, any shares subject to such award may, to the extent of such forfeiture, expiration or cash settlement, be used again for new grants under the Amended Plan. However, the following shares may not be used again for grant under the Amended Plan: (i) shares tendered or withheld to satisfy grant or exercise price or tax withholding obligations associated with a stock option or stock appreciation right, or SAR; (ii) shares subject to a SAR that are not issued in connection with the stock settlement of the SAR on its exercise; and (iii) shares purchased on the open market with the cash proceeds from the exercise of options. Shares tendered or withheld to satisfy tax withholding obligations with respect to full value awards may be used again for new grants under the Amended Plan. Shares that again become available for issuance in accordance with the foregoing will be added back to the share limit as one share (if such shares were subject to a stock option or SAR) or as 1.9 shares (if such shares were subject to full value awards, including RSUs and PUs). </w:t>
                            </w:r>
                          </w:p>
                          <w:p>
                            <w:pPr>
                              <w:pStyle w:val="TextBody"/>
                              <w:bidi w:val="0"/>
                              <w:spacing w:before="240" w:after="0"/>
                              <w:jc w:val="both"/>
                              <w:rPr>
                                <w:rFonts w:ascii="arial" w:hAnsi="arial"/>
                                <w:sz w:val="19"/>
                              </w:rPr>
                            </w:pPr>
                            <w:r>
                              <w:rPr>
                                <w:rFonts w:ascii="arial" w:hAnsi="arial"/>
                                <w:sz w:val="19"/>
                              </w:rPr>
                              <w:t>Awards granted under the Amended Plan upon the assumption of, or in substitution for, outstanding awards of an entity with which we enter into a merger or similar corporate transaction will not reduce the shares available for grant under the Amended Plan. The maximum number of shares of our Common Stock that may be subject to one or more awards granted to any one participant pursuant to the Amended Plan during any calendar year is 4,000,000 and the maximum amount that may be paid under a cash award pursuant to the Amended Plan to any one participant during any calendar year period is $15,000,000.</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56.0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sz w:val="22"/>
                        </w:rPr>
                      </w:pPr>
                      <w:r>
                        <w:rPr>
                          <w:rFonts w:ascii="arial" w:hAnsi="arial"/>
                          <w:b/>
                          <w:sz w:val="22"/>
                        </w:rPr>
                        <w:t xml:space="preserve">Limitation on Awards and Shares Available  </w:t>
                      </w:r>
                    </w:p>
                    <w:p>
                      <w:pPr>
                        <w:pStyle w:val="TextBody"/>
                        <w:bidi w:val="0"/>
                        <w:spacing w:before="120" w:after="0"/>
                        <w:jc w:val="both"/>
                        <w:rPr>
                          <w:rFonts w:ascii="arial" w:hAnsi="arial"/>
                          <w:sz w:val="19"/>
                        </w:rPr>
                      </w:pPr>
                      <w:r>
                        <w:rPr>
                          <w:rFonts w:ascii="arial" w:hAnsi="arial"/>
                          <w:sz w:val="19"/>
                        </w:rPr>
                        <w:t>As of April 1, 2024, there were 11,545,168 shares available for grant under the Prior Plan (assuming target performance under our outstanding performance unit awards). If stockholders approve the Amended Plan, then an additional 31,297,000 shares will be available for issuance under awards granted pursuant to the Amended Plan (i.e., in addition to the remaining number of shares available from the Prior Plan as of the effective date of the Amended Plan).</w:t>
                      </w:r>
                    </w:p>
                    <w:p>
                      <w:pPr>
                        <w:pStyle w:val="TextBody"/>
                        <w:bidi w:val="0"/>
                        <w:spacing w:before="240" w:after="0"/>
                        <w:jc w:val="both"/>
                        <w:rPr>
                          <w:rFonts w:ascii="arial" w:hAnsi="arial"/>
                          <w:sz w:val="19"/>
                        </w:rPr>
                      </w:pPr>
                      <w:r>
                        <w:rPr>
                          <w:rFonts w:ascii="arial" w:hAnsi="arial"/>
                          <w:sz w:val="19"/>
                        </w:rPr>
                        <w:t>Shares issued pursuant to the Amended Plan may consist, in whole or in part, of authorized but unissued shares, treasury shares, or shares purchased in the open market.</w:t>
                      </w:r>
                    </w:p>
                    <w:p>
                      <w:pPr>
                        <w:pStyle w:val="TextBody"/>
                        <w:bidi w:val="0"/>
                        <w:spacing w:before="240" w:after="0"/>
                        <w:jc w:val="both"/>
                        <w:rPr>
                          <w:rFonts w:ascii="arial" w:hAnsi="arial"/>
                          <w:sz w:val="19"/>
                        </w:rPr>
                      </w:pPr>
                      <w:r>
                        <w:rPr>
                          <w:rFonts w:ascii="arial" w:hAnsi="arial"/>
                          <w:sz w:val="19"/>
                        </w:rPr>
                        <w:t xml:space="preserve">If an award is forfeited, expires or is settled for cash, any shares subject to such award may, to the extent of such forfeiture, expiration or cash settlement, be used again for new grants under the Amended Plan. However, the following shares may not be used again for grant under the Amended Plan: (i) shares tendered or withheld to satisfy grant or exercise price or tax withholding obligations associated with a stock option or stock appreciation right, or SAR; (ii) shares subject to a SAR that are not issued in connection with the stock settlement of the SAR on its exercise; and (iii) shares purchased on the open market with the cash proceeds from the exercise of options. Shares tendered or withheld to satisfy tax withholding obligations with respect to full value awards may be used again for new grants under the Amended Plan. Shares that again become available for issuance in accordance with the foregoing will be added back to the share limit as one share (if such shares were subject to a stock option or SAR) or as 1.9 shares (if such shares were subject to full value awards, including RSUs and PUs). </w:t>
                      </w:r>
                    </w:p>
                    <w:p>
                      <w:pPr>
                        <w:pStyle w:val="TextBody"/>
                        <w:bidi w:val="0"/>
                        <w:spacing w:before="240" w:after="0"/>
                        <w:jc w:val="both"/>
                        <w:rPr>
                          <w:rFonts w:ascii="arial" w:hAnsi="arial"/>
                          <w:sz w:val="19"/>
                        </w:rPr>
                      </w:pPr>
                      <w:r>
                        <w:rPr>
                          <w:rFonts w:ascii="arial" w:hAnsi="arial"/>
                          <w:sz w:val="19"/>
                        </w:rPr>
                        <w:t>Awards granted under the Amended Plan upon the assumption of, or in substitution for, outstanding awards of an entity with which we enter into a merger or similar corporate transaction will not reduce the shares available for grant under the Amended Plan. The maximum number of shares of our Common Stock that may be subject to one or more awards granted to any one participant pursuant to the Amended Plan during any calendar year is 4,000,000 and the maximum amount that may be paid under a cash award pursuant to the Amended Plan to any one participant during any calendar year period is $15,000,000.</w:t>
                      </w:r>
                    </w:p>
                  </w:txbxContent>
                </v:textbox>
                <w10:wrap type="square" side="right"/>
              </v:rect>
            </w:pict>
          </mc:Fallback>
        </mc:AlternateContent>
      </w:r>
      <w:r>
        <mc:AlternateContent>
          <mc:Choice Requires="wps">
            <w:drawing>
              <wp:anchor behindDoc="0" distT="0" distB="0" distL="0" distR="0" simplePos="0" locked="0" layoutInCell="1" allowOverlap="1" relativeHeight="429">
                <wp:simplePos x="0" y="0"/>
                <wp:positionH relativeFrom="column">
                  <wp:align>left</wp:align>
                </wp:positionH>
                <wp:positionV relativeFrom="line">
                  <wp:posOffset>635</wp:posOffset>
                </wp:positionV>
                <wp:extent cx="3175000" cy="5053965"/>
                <wp:effectExtent l="0" t="0" r="0" b="0"/>
                <wp:wrapSquare wrapText="right"/>
                <wp:docPr id="382" name="Frame192"/>
                <a:graphic xmlns:a="http://schemas.openxmlformats.org/drawingml/2006/main">
                  <a:graphicData uri="http://schemas.microsoft.com/office/word/2010/wordprocessingShape">
                    <wps:wsp>
                      <wps:cNvSpPr txBox="1"/>
                      <wps:spPr>
                        <a:xfrm>
                          <a:off x="0" y="0"/>
                          <a:ext cx="3175000" cy="5053965"/>
                        </a:xfrm>
                        <a:prstGeom prst="rect"/>
                        <a:solidFill>
                          <a:srgbClr val="FFFFFF"/>
                        </a:solidFill>
                      </wps:spPr>
                      <wps:txbx>
                        <w:txbxContent>
                          <w:p>
                            <w:pPr>
                              <w:pStyle w:val="TextBody"/>
                              <w:bidi w:val="0"/>
                              <w:spacing w:before="0" w:after="0"/>
                              <w:jc w:val="left"/>
                              <w:rPr>
                                <w:rFonts w:ascii="arial" w:hAnsi="arial"/>
                                <w:b/>
                                <w:sz w:val="22"/>
                              </w:rPr>
                            </w:pPr>
                            <w:r>
                              <w:rPr>
                                <w:rFonts w:ascii="arial" w:hAnsi="arial"/>
                                <w:b/>
                                <w:sz w:val="22"/>
                              </w:rPr>
                              <w:t xml:space="preserve">Awards  </w:t>
                            </w:r>
                          </w:p>
                          <w:p>
                            <w:pPr>
                              <w:pStyle w:val="TextBody"/>
                              <w:bidi w:val="0"/>
                              <w:spacing w:before="120" w:after="0"/>
                              <w:jc w:val="both"/>
                              <w:rPr>
                                <w:rFonts w:ascii="arial" w:hAnsi="arial"/>
                                <w:sz w:val="19"/>
                              </w:rPr>
                            </w:pPr>
                            <w:r>
                              <w:rPr>
                                <w:rFonts w:ascii="arial" w:hAnsi="arial"/>
                                <w:sz w:val="19"/>
                              </w:rPr>
                              <w:t>The Amended Plan provides for the grant of stock options, including incentive stock options (ISOs), NQSOs, restricted stock, RSUs, performance awards (including PUs), dividend equivalents, deferred stock, stock payments and SARs. Certain awards under the Amended Plan may constitute or provide for a deferral of compensation, subject to Section 409A of the Code, which may impose additional requirements on the terms and conditions of such awards. Awards will generally be settled in shares of our Common Stock, but the terms of the award agreement or the Administrator may provide for cash settlement of any award. A brief description of each award type follows.</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i/>
                                      <w:sz w:val="19"/>
                                    </w:rPr>
                                    <w:t>Stock Options</w:t>
                                  </w:r>
                                  <w:r>
                                    <w:rPr>
                                      <w:rFonts w:ascii="arial" w:hAnsi="arial"/>
                                      <w:sz w:val="19"/>
                                    </w:rPr>
                                    <w:t xml:space="preserve">. Stock options provide for the purchase of shares of our Common Stock in the future at an exercise price set on the grant date. ISOs, in contrast to NQSOs, may provide tax deferral beyond exercise and favorable capital gains tax treatment to their holders if certain holding period and other requirements of the Code are satisfied. The exercise price of a stock option may not be less than 100% of the fair market value of the underlying share on the date of grant (or 110% in the case of ISOs granted to certain significant stockholders), except with respect to certain substitute options granted in connection with a corporate transaction. The term of a stock option may not be longer than ten years (or five years in the case of ISOs granted to certain significant stockholders). Vesting conditions determined by the Administrator may apply to stock options and may include continued service, performance and/or other conditions.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i/>
                                      <w:sz w:val="19"/>
                                    </w:rPr>
                                    <w:t>Restricted Stock, Restricted Stock Units, and Performance Units.</w:t>
                                  </w:r>
                                  <w:r>
                                    <w:rPr>
                                      <w:rFonts w:ascii="arial" w:hAnsi="arial"/>
                                      <w:sz w:val="19"/>
                                    </w:rPr>
                                    <w:t xml:space="preserve"> Restricted stock is an award of nontransferable shares of our Common Stock that remain forfeitable unless and until specified conditions are met, and which may be subject to a purchase price. RSUs are contractual promises to deliver shares of our Common Stock in the future, which may also remain forfeitable unless and until specified conditions are met. Delivery of the shares underlying RSUs granted to members of the Board may be deferred at the election of the participant under the terms of our 2009 Director Equity Incentive Program, or Director Program. PUs are contractual rights to receive a number of shares of our Common Stock in the future based on the attainment of performance goals, in addition to other conditions that may apply to these awards. Conditions applicable to restricted stock, RSUs and PUs may be based on continuing service with us or our affiliates, the attainment of performance goals and/or such other conditions as the Administrator may determine.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97.9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sz w:val="22"/>
                        </w:rPr>
                      </w:pPr>
                      <w:r>
                        <w:rPr>
                          <w:rFonts w:ascii="arial" w:hAnsi="arial"/>
                          <w:b/>
                          <w:sz w:val="22"/>
                        </w:rPr>
                        <w:t xml:space="preserve">Awards  </w:t>
                      </w:r>
                    </w:p>
                    <w:p>
                      <w:pPr>
                        <w:pStyle w:val="TextBody"/>
                        <w:bidi w:val="0"/>
                        <w:spacing w:before="120" w:after="0"/>
                        <w:jc w:val="both"/>
                        <w:rPr>
                          <w:rFonts w:ascii="arial" w:hAnsi="arial"/>
                          <w:sz w:val="19"/>
                        </w:rPr>
                      </w:pPr>
                      <w:r>
                        <w:rPr>
                          <w:rFonts w:ascii="arial" w:hAnsi="arial"/>
                          <w:sz w:val="19"/>
                        </w:rPr>
                        <w:t>The Amended Plan provides for the grant of stock options, including incentive stock options (ISOs), NQSOs, restricted stock, RSUs, performance awards (including PUs), dividend equivalents, deferred stock, stock payments and SARs. Certain awards under the Amended Plan may constitute or provide for a deferral of compensation, subject to Section 409A of the Code, which may impose additional requirements on the terms and conditions of such awards. Awards will generally be settled in shares of our Common Stock, but the terms of the award agreement or the Administrator may provide for cash settlement of any award. A brief description of each award type follows.</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i/>
                                <w:sz w:val="19"/>
                              </w:rPr>
                              <w:t>Stock Options</w:t>
                            </w:r>
                            <w:r>
                              <w:rPr>
                                <w:rFonts w:ascii="arial" w:hAnsi="arial"/>
                                <w:sz w:val="19"/>
                              </w:rPr>
                              <w:t xml:space="preserve">. Stock options provide for the purchase of shares of our Common Stock in the future at an exercise price set on the grant date. ISOs, in contrast to NQSOs, may provide tax deferral beyond exercise and favorable capital gains tax treatment to their holders if certain holding period and other requirements of the Code are satisfied. The exercise price of a stock option may not be less than 100% of the fair market value of the underlying share on the date of grant (or 110% in the case of ISOs granted to certain significant stockholders), except with respect to certain substitute options granted in connection with a corporate transaction. The term of a stock option may not be longer than ten years (or five years in the case of ISOs granted to certain significant stockholders). Vesting conditions determined by the Administrator may apply to stock options and may include continued service, performance and/or other conditions.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i/>
                                <w:sz w:val="19"/>
                              </w:rPr>
                              <w:t>Restricted Stock, Restricted Stock Units, and Performance Units.</w:t>
                            </w:r>
                            <w:r>
                              <w:rPr>
                                <w:rFonts w:ascii="arial" w:hAnsi="arial"/>
                                <w:sz w:val="19"/>
                              </w:rPr>
                              <w:t xml:space="preserve"> Restricted stock is an award of nontransferable shares of our Common Stock that remain forfeitable unless and until specified conditions are met, and which may be subject to a purchase price. RSUs are contractual promises to deliver shares of our Common Stock in the future, which may also remain forfeitable unless and until specified conditions are met. Delivery of the shares underlying RSUs granted to members of the Board may be deferred at the election of the participant under the terms of our 2009 Director Equity Incentive Program, or Director Program. PUs are contractual rights to receive a number of shares of our Common Stock in the future based on the attainment of performance goals, in addition to other conditions that may apply to these awards. Conditions applicable to restricted stock, RSUs and PUs may be based on continuing service with us or our affiliates, the attainment of performance goals and/or such other conditions as the Administrator may determine.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112  </w:t>
      </w:r>
      <w:r>
        <w:rPr>
          <w:rFonts w:ascii="arial" w:hAnsi="arial"/>
          <w:b/>
          <w:color w:val="474747"/>
          <w:sz w:val="22"/>
        </w:rPr>
        <w:drawing>
          <wp:inline distT="0" distB="0" distL="0" distR="0">
            <wp:extent cx="64770" cy="15240"/>
            <wp:effectExtent l="0" t="0" r="0" b="0"/>
            <wp:docPr id="383"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Image179" descr=""/>
                    <pic:cNvPicPr>
                      <a:picLocks noChangeAspect="1" noChangeArrowheads="1"/>
                    </pic:cNvPicPr>
                  </pic:nvPicPr>
                  <pic:blipFill>
                    <a:blip r:embed="rId192"/>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p>
      <w:pPr>
        <w:pStyle w:val="TextBody"/>
        <w:bidi w:val="0"/>
        <w:spacing w:before="0" w:after="0"/>
        <w:jc w:val="left"/>
        <w:rPr/>
      </w:pPr>
      <w:r>
        <w:rPr/>
        <w:t> </w:t>
      </w:r>
    </w:p>
    <w:tbl>
      <w:tblPr>
        <w:tblW w:w="10321" w:type="dxa"/>
        <w:jc w:val="left"/>
        <w:tblInd w:w="0" w:type="dxa"/>
        <w:tblLayout w:type="fixed"/>
        <w:tblCellMar>
          <w:top w:w="0" w:type="dxa"/>
          <w:left w:w="0" w:type="dxa"/>
          <w:bottom w:w="0" w:type="dxa"/>
          <w:right w:w="0" w:type="dxa"/>
        </w:tblCellMar>
      </w:tblPr>
      <w:tblGrid>
        <w:gridCol w:w="38"/>
        <w:gridCol w:w="23"/>
        <w:gridCol w:w="23"/>
        <w:gridCol w:w="23"/>
        <w:gridCol w:w="23"/>
        <w:gridCol w:w="23"/>
        <w:gridCol w:w="23"/>
        <w:gridCol w:w="60"/>
        <w:gridCol w:w="60"/>
        <w:gridCol w:w="995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6" w:type="dxa"/>
            <w:gridSpan w:val="7"/>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995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Item 3 — Approval of Amgen Inc. Second Amended and Restated 2009 Equity Incentive Plan</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430">
                <wp:simplePos x="0" y="0"/>
                <wp:positionH relativeFrom="column">
                  <wp:align>left</wp:align>
                </wp:positionH>
                <wp:positionV relativeFrom="line">
                  <wp:posOffset>635</wp:posOffset>
                </wp:positionV>
                <wp:extent cx="3110230" cy="4754245"/>
                <wp:effectExtent l="0" t="0" r="0" b="0"/>
                <wp:wrapSquare wrapText="right"/>
                <wp:docPr id="384" name="Frame193"/>
                <a:graphic xmlns:a="http://schemas.openxmlformats.org/drawingml/2006/main">
                  <a:graphicData uri="http://schemas.microsoft.com/office/word/2010/wordprocessingShape">
                    <wps:wsp>
                      <wps:cNvSpPr txBox="1"/>
                      <wps:spPr>
                        <a:xfrm>
                          <a:off x="0" y="0"/>
                          <a:ext cx="3110230" cy="475424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i/>
                                      <w:sz w:val="19"/>
                                    </w:rPr>
                                    <w:t>Dividend Equivalents</w:t>
                                  </w:r>
                                  <w:r>
                                    <w:rPr>
                                      <w:rFonts w:ascii="arial" w:hAnsi="arial"/>
                                      <w:sz w:val="19"/>
                                    </w:rPr>
                                    <w:t xml:space="preserve">. Dividend equivalents represent the right to receive the equivalent value of dividends paid on shares of our Common Stock granted in tandem with awards other than stock options or SARs. Dividend equivalents are credited as of dividend payment dates during the period between the date an award is granted and the date such award vests, is exercised, is distributed or expires, as determined by the Administrator. Dividend equivalents are subject to vesting to the same extent as the underlying award and paid out only to the extent that such award vests and becomes non-forfeitable.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i/>
                                      <w:sz w:val="19"/>
                                    </w:rPr>
                                    <w:t>Stock Appreciation Rights</w:t>
                                  </w:r>
                                  <w:r>
                                    <w:rPr>
                                      <w:rFonts w:ascii="arial" w:hAnsi="arial"/>
                                      <w:sz w:val="19"/>
                                    </w:rPr>
                                    <w:t>. SARs entitle their holder, upon exercise, to receive from us an amount equal to the appreciation of the shares subject to the award between the grant date and the exercise date. The exercise price of a SAR may not be less than 100% of the fair market value of the underlying share on the date of grant (except with respect to certain substitute SARs granted in connection with a corporate transaction) and the term of a SAR may not be longer than ten years. Vesting conditions determined by the Administrator will apply to SARs and may include continued service, performance and/or other conditions.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i/>
                                      <w:sz w:val="19"/>
                                    </w:rPr>
                                    <w:t>Deferred Stock and Stock Payments.</w:t>
                                  </w:r>
                                  <w:r>
                                    <w:rPr>
                                      <w:rFonts w:ascii="arial" w:hAnsi="arial"/>
                                      <w:sz w:val="19"/>
                                    </w:rPr>
                                    <w:t xml:space="preserve"> Deferred stock is a right to receive shares of our Common Stock at some future date. Conditions applicable to deferred stock may be based on continuing service with us or our affiliates, the attainment of performance goals and/or such other conditions as the Administrator may determine. Stock payments are awards of our Common Stock that may but are not required to be made in lieu of base salary, bonus, fees or other cash compensation otherwise payable to any individual who is eligible to receive awards. Vesting conditions determined by the Administrator may apply to stock payments.</w:t>
                                  </w:r>
                                </w:p>
                              </w:tc>
                            </w:tr>
                          </w:tbl>
                          <w:p>
                            <w:pPr>
                              <w:pStyle w:val="TextBody"/>
                              <w:bidi w:val="0"/>
                              <w:spacing w:before="240" w:after="0"/>
                              <w:jc w:val="left"/>
                              <w:rPr>
                                <w:rFonts w:ascii="arial" w:hAnsi="arial"/>
                                <w:b/>
                                <w:sz w:val="22"/>
                              </w:rPr>
                            </w:pPr>
                            <w:r>
                              <w:rPr>
                                <w:rFonts w:ascii="arial" w:hAnsi="arial"/>
                                <w:b/>
                                <w:sz w:val="22"/>
                              </w:rPr>
                              <w:t xml:space="preserve">Performance Awards  </w:t>
                            </w:r>
                          </w:p>
                          <w:p>
                            <w:pPr>
                              <w:pStyle w:val="TextBody"/>
                              <w:bidi w:val="0"/>
                              <w:spacing w:before="120" w:after="0"/>
                              <w:jc w:val="both"/>
                              <w:rPr>
                                <w:rFonts w:ascii="arial" w:hAnsi="arial"/>
                                <w:sz w:val="19"/>
                              </w:rPr>
                            </w:pPr>
                            <w:r>
                              <w:rPr>
                                <w:rFonts w:ascii="arial" w:hAnsi="arial"/>
                                <w:sz w:val="19"/>
                              </w:rPr>
                              <w:t xml:space="preserve">Performance awards include PUs and any awards under the Amended Plan that are granted subject to vesting and/or payment based on the attainment of performance goals or such other criteria established by the Administrator. Performance awards may be granted in the form of a cash bonus. For purposes of the Amended Plan, one or more of the following performance criteria may include, without limitation: (i) net earnings (either before or after one or more of the following: (A) interest expense or interest income or net interest income/expense, (B) taxes, (C) depreciation, (D) amortization and (E) non-cash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74.3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i/>
                                <w:sz w:val="19"/>
                              </w:rPr>
                              <w:t>Dividend Equivalents</w:t>
                            </w:r>
                            <w:r>
                              <w:rPr>
                                <w:rFonts w:ascii="arial" w:hAnsi="arial"/>
                                <w:sz w:val="19"/>
                              </w:rPr>
                              <w:t xml:space="preserve">. Dividend equivalents represent the right to receive the equivalent value of dividends paid on shares of our Common Stock granted in tandem with awards other than stock options or SARs. Dividend equivalents are credited as of dividend payment dates during the period between the date an award is granted and the date such award vests, is exercised, is distributed or expires, as determined by the Administrator. Dividend equivalents are subject to vesting to the same extent as the underlying award and paid out only to the extent that such award vests and becomes non-forfeitable.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i/>
                                <w:sz w:val="19"/>
                              </w:rPr>
                              <w:t>Stock Appreciation Rights</w:t>
                            </w:r>
                            <w:r>
                              <w:rPr>
                                <w:rFonts w:ascii="arial" w:hAnsi="arial"/>
                                <w:sz w:val="19"/>
                              </w:rPr>
                              <w:t>. SARs entitle their holder, upon exercise, to receive from us an amount equal to the appreciation of the shares subject to the award between the grant date and the exercise date. The exercise price of a SAR may not be less than 100% of the fair market value of the underlying share on the date of grant (except with respect to certain substitute SARs granted in connection with a corporate transaction) and the term of a SAR may not be longer than ten years. Vesting conditions determined by the Administrator will apply to SARs and may include continued service, performance and/or other conditions.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i/>
                                <w:sz w:val="19"/>
                              </w:rPr>
                              <w:t>Deferred Stock and Stock Payments.</w:t>
                            </w:r>
                            <w:r>
                              <w:rPr>
                                <w:rFonts w:ascii="arial" w:hAnsi="arial"/>
                                <w:sz w:val="19"/>
                              </w:rPr>
                              <w:t xml:space="preserve"> Deferred stock is a right to receive shares of our Common Stock at some future date. Conditions applicable to deferred stock may be based on continuing service with us or our affiliates, the attainment of performance goals and/or such other conditions as the Administrator may determine. Stock payments are awards of our Common Stock that may but are not required to be made in lieu of base salary, bonus, fees or other cash compensation otherwise payable to any individual who is eligible to receive awards. Vesting conditions determined by the Administrator may apply to stock payments.</w:t>
                            </w:r>
                          </w:p>
                        </w:tc>
                      </w:tr>
                    </w:tbl>
                    <w:p>
                      <w:pPr>
                        <w:pStyle w:val="TextBody"/>
                        <w:bidi w:val="0"/>
                        <w:spacing w:before="240" w:after="0"/>
                        <w:jc w:val="left"/>
                        <w:rPr>
                          <w:rFonts w:ascii="arial" w:hAnsi="arial"/>
                          <w:b/>
                          <w:sz w:val="22"/>
                        </w:rPr>
                      </w:pPr>
                      <w:r>
                        <w:rPr>
                          <w:rFonts w:ascii="arial" w:hAnsi="arial"/>
                          <w:b/>
                          <w:sz w:val="22"/>
                        </w:rPr>
                        <w:t xml:space="preserve">Performance Awards  </w:t>
                      </w:r>
                    </w:p>
                    <w:p>
                      <w:pPr>
                        <w:pStyle w:val="TextBody"/>
                        <w:bidi w:val="0"/>
                        <w:spacing w:before="120" w:after="0"/>
                        <w:jc w:val="both"/>
                        <w:rPr>
                          <w:rFonts w:ascii="arial" w:hAnsi="arial"/>
                          <w:sz w:val="19"/>
                        </w:rPr>
                      </w:pPr>
                      <w:r>
                        <w:rPr>
                          <w:rFonts w:ascii="arial" w:hAnsi="arial"/>
                          <w:sz w:val="19"/>
                        </w:rPr>
                        <w:t xml:space="preserve">Performance awards include PUs and any awards under the Amended Plan that are granted subject to vesting and/or payment based on the attainment of performance goals or such other criteria established by the Administrator. Performance awards may be granted in the form of a cash bonus. For purposes of the Amended Plan, one or more of the following performance criteria may include, without limitation: (i) net earnings (either before or after one or more of the following: (A) interest expense or interest income or net interest income/expense, (B) taxes, (C) depreciation, (D) amortization and (E) non-cash </w:t>
                      </w:r>
                    </w:p>
                  </w:txbxContent>
                </v:textbox>
                <w10:wrap type="square" side="right"/>
              </v:rect>
            </w:pict>
          </mc:Fallback>
        </mc:AlternateContent>
      </w:r>
      <w:r>
        <mc:AlternateContent>
          <mc:Choice Requires="wps">
            <w:drawing>
              <wp:anchor behindDoc="0" distT="0" distB="0" distL="0" distR="0" simplePos="0" locked="0" layoutInCell="1" allowOverlap="1" relativeHeight="431">
                <wp:simplePos x="0" y="0"/>
                <wp:positionH relativeFrom="column">
                  <wp:align>left</wp:align>
                </wp:positionH>
                <wp:positionV relativeFrom="line">
                  <wp:posOffset>635</wp:posOffset>
                </wp:positionV>
                <wp:extent cx="3175000" cy="7172325"/>
                <wp:effectExtent l="0" t="0" r="0" b="0"/>
                <wp:wrapSquare wrapText="right"/>
                <wp:docPr id="385" name="Frame194"/>
                <a:graphic xmlns:a="http://schemas.openxmlformats.org/drawingml/2006/main">
                  <a:graphicData uri="http://schemas.microsoft.com/office/word/2010/wordprocessingShape">
                    <wps:wsp>
                      <wps:cNvSpPr txBox="1"/>
                      <wps:spPr>
                        <a:xfrm>
                          <a:off x="0" y="0"/>
                          <a:ext cx="3175000" cy="7172325"/>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equity-based compensation expense); (ii) gross or net product sales or revenue or product sales or revenue growth, including, without limitation, product sales or revenue growth rates for individual or multiple products or therapeutic areas by region, country or other geographic subdivision; (iii) net income (either before or after taxes); (iv) operating earnings or profit (either before or after taxes); (v) cash flow (including, but not limited to, operating cash flow and free cash flow); (vi) return of cash; (vii) return on assets; (viii) return on capital (or invested capital) and cost of capital; (ix) return on stockholders’ equity; (x) total stockholder return; (xi) return on sales; (xii) gross or net profit or operating margin; (xiii) costs, reductions in costs or cost control measures; (xiv) expenses; (xv) working capital; (xvi) earnings per share; (xvii) price or dividends per share (or appreciation in, maintenance of, and/or growth rates of such price or dividends); (xviii) credit ratings; (xix) leverage ratio or other financial ratios; (xx) regulatory achievements or compliance; (xxi) implementation or completion of critical projects; (xxii) segment or market share for products or therapeutic areas; (xxiii) geographic expansion or market entry; (xxiv) economic value or economic value added; (xxv) product development, including, without limitation, scientific innovations and advancements; (xxvi) manufacturing; (xxvii) manufacturing capacity; (xxviii) mergers or other transactions; (xxix) acquisitions or sales of assets or subsidiaries; (xxx) headcount or workforce size or composition; (xxxi) environmental, corporate sustainability, or governance activities or performance; (xxxii) operating efficiencies (or other measures of efficiency); or (xxxiii) any other subjective or objective metric selected by the Compensation Committee, any of which may be measured either in absolute terms or as compared to any incremental increase or decrease or as compared to results of a peer group or to market performance indicators or indices or adjusted to include or exclude any items otherwise includable or excludable under generally accepted accounting principles. The Amended Plan also permits the Administrator to provide for adjustments to the applicable performance criteria in setting performance goals.</w:t>
                            </w:r>
                          </w:p>
                          <w:p>
                            <w:pPr>
                              <w:pStyle w:val="TextBody"/>
                              <w:bidi w:val="0"/>
                              <w:spacing w:before="240" w:after="0"/>
                              <w:jc w:val="left"/>
                              <w:rPr>
                                <w:rFonts w:ascii="arial" w:hAnsi="arial"/>
                                <w:b/>
                                <w:sz w:val="22"/>
                              </w:rPr>
                            </w:pPr>
                            <w:r>
                              <w:rPr>
                                <w:rFonts w:ascii="arial" w:hAnsi="arial"/>
                                <w:b/>
                                <w:sz w:val="22"/>
                              </w:rPr>
                              <w:t xml:space="preserve">Certain Transactions  </w:t>
                            </w:r>
                          </w:p>
                          <w:p>
                            <w:pPr>
                              <w:pStyle w:val="TextBody"/>
                              <w:bidi w:val="0"/>
                              <w:spacing w:before="120" w:after="0"/>
                              <w:jc w:val="both"/>
                              <w:rPr>
                                <w:rFonts w:ascii="arial" w:hAnsi="arial"/>
                                <w:sz w:val="19"/>
                              </w:rPr>
                            </w:pPr>
                            <w:r>
                              <w:rPr>
                                <w:rFonts w:ascii="arial" w:hAnsi="arial"/>
                                <w:sz w:val="19"/>
                              </w:rPr>
                              <w:t xml:space="preserve">The Administrator has broad discretion to take action under the Amended Plan, as well as make adjustments to the terms and conditions of existing and future awards, to prevent the dilution or enlargement of intended benefits and facilitate necessary or desirable changes in the event of certain transactions and events affecting our Common Stock, such as stock dividends, stock splits, combination or exchange of stock, mergers,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64.7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equity-based compensation expense); (ii) gross or net product sales or revenue or product sales or revenue growth, including, without limitation, product sales or revenue growth rates for individual or multiple products or therapeutic areas by region, country or other geographic subdivision; (iii) net income (either before or after taxes); (iv) operating earnings or profit (either before or after taxes); (v) cash flow (including, but not limited to, operating cash flow and free cash flow); (vi) return of cash; (vii) return on assets; (viii) return on capital (or invested capital) and cost of capital; (ix) return on stockholders’ equity; (x) total stockholder return; (xi) return on sales; (xii) gross or net profit or operating margin; (xiii) costs, reductions in costs or cost control measures; (xiv) expenses; (xv) working capital; (xvi) earnings per share; (xvii) price or dividends per share (or appreciation in, maintenance of, and/or growth rates of such price or dividends); (xviii) credit ratings; (xix) leverage ratio or other financial ratios; (xx) regulatory achievements or compliance; (xxi) implementation or completion of critical projects; (xxii) segment or market share for products or therapeutic areas; (xxiii) geographic expansion or market entry; (xxiv) economic value or economic value added; (xxv) product development, including, without limitation, scientific innovations and advancements; (xxvi) manufacturing; (xxvii) manufacturing capacity; (xxviii) mergers or other transactions; (xxix) acquisitions or sales of assets or subsidiaries; (xxx) headcount or workforce size or composition; (xxxi) environmental, corporate sustainability, or governance activities or performance; (xxxii) operating efficiencies (or other measures of efficiency); or (xxxiii) any other subjective or objective metric selected by the Compensation Committee, any of which may be measured either in absolute terms or as compared to any incremental increase or decrease or as compared to results of a peer group or to market performance indicators or indices or adjusted to include or exclude any items otherwise includable or excludable under generally accepted accounting principles. The Amended Plan also permits the Administrator to provide for adjustments to the applicable performance criteria in setting performance goals.</w:t>
                      </w:r>
                    </w:p>
                    <w:p>
                      <w:pPr>
                        <w:pStyle w:val="TextBody"/>
                        <w:bidi w:val="0"/>
                        <w:spacing w:before="240" w:after="0"/>
                        <w:jc w:val="left"/>
                        <w:rPr>
                          <w:rFonts w:ascii="arial" w:hAnsi="arial"/>
                          <w:b/>
                          <w:sz w:val="22"/>
                        </w:rPr>
                      </w:pPr>
                      <w:r>
                        <w:rPr>
                          <w:rFonts w:ascii="arial" w:hAnsi="arial"/>
                          <w:b/>
                          <w:sz w:val="22"/>
                        </w:rPr>
                        <w:t xml:space="preserve">Certain Transactions  </w:t>
                      </w:r>
                    </w:p>
                    <w:p>
                      <w:pPr>
                        <w:pStyle w:val="TextBody"/>
                        <w:bidi w:val="0"/>
                        <w:spacing w:before="120" w:after="0"/>
                        <w:jc w:val="both"/>
                        <w:rPr>
                          <w:rFonts w:ascii="arial" w:hAnsi="arial"/>
                          <w:sz w:val="19"/>
                        </w:rPr>
                      </w:pPr>
                      <w:r>
                        <w:rPr>
                          <w:rFonts w:ascii="arial" w:hAnsi="arial"/>
                          <w:sz w:val="19"/>
                        </w:rPr>
                        <w:t xml:space="preserve">The Administrator has broad discretion to take action under the Amended Plan, as well as make adjustments to the terms and conditions of existing and future awards, to prevent the dilution or enlargement of intended benefits and facilitate necessary or desirable changes in the event of certain transactions and events affecting our Common Stock, such as stock dividends, stock splits, combination or exchange of stock, mergers,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386"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180" descr=""/>
                    <pic:cNvPicPr>
                      <a:picLocks noChangeAspect="1" noChangeArrowheads="1"/>
                    </pic:cNvPicPr>
                  </pic:nvPicPr>
                  <pic:blipFill>
                    <a:blip r:embed="rId193"/>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113</w:t>
      </w:r>
      <w:r>
        <w:rPr>
          <w:rFonts w:ascii="arial" w:hAnsi="arial"/>
          <w:b/>
          <w:sz w:val="22"/>
        </w:rPr>
        <w:t xml:space="preserve"> </w:t>
      </w:r>
      <w:r>
        <w:br w:type="page"/>
      </w:r>
    </w:p>
    <w:p>
      <w:pPr>
        <w:pStyle w:val="HorizontalLine"/>
        <w:bidi w:val="0"/>
        <w:jc w:val="left"/>
        <w:rPr/>
      </w:pPr>
      <w:r>
        <w:rPr/>
      </w:r>
    </w:p>
    <w:p>
      <w:pPr>
        <w:pStyle w:val="TextBody"/>
        <w:bidi w:val="0"/>
        <w:spacing w:before="0" w:after="0"/>
        <w:jc w:val="left"/>
        <w:rPr/>
      </w:pPr>
      <w:r>
        <w:rPr/>
        <w:t> </w:t>
      </w:r>
    </w:p>
    <w:tbl>
      <w:tblPr>
        <w:tblW w:w="10321" w:type="dxa"/>
        <w:jc w:val="left"/>
        <w:tblInd w:w="0" w:type="dxa"/>
        <w:tblLayout w:type="fixed"/>
        <w:tblCellMar>
          <w:top w:w="0" w:type="dxa"/>
          <w:left w:w="0" w:type="dxa"/>
          <w:bottom w:w="0" w:type="dxa"/>
          <w:right w:w="0" w:type="dxa"/>
        </w:tblCellMar>
      </w:tblPr>
      <w:tblGrid>
        <w:gridCol w:w="38"/>
        <w:gridCol w:w="23"/>
        <w:gridCol w:w="23"/>
        <w:gridCol w:w="23"/>
        <w:gridCol w:w="23"/>
        <w:gridCol w:w="23"/>
        <w:gridCol w:w="23"/>
        <w:gridCol w:w="60"/>
        <w:gridCol w:w="60"/>
        <w:gridCol w:w="995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6" w:type="dxa"/>
            <w:gridSpan w:val="7"/>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995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Item 3 — Approval of Amgen Inc. Second Amended and Restated 2009 Equity Incentive Plan</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432">
                <wp:simplePos x="0" y="0"/>
                <wp:positionH relativeFrom="column">
                  <wp:align>left</wp:align>
                </wp:positionH>
                <wp:positionV relativeFrom="line">
                  <wp:posOffset>635</wp:posOffset>
                </wp:positionV>
                <wp:extent cx="3110230" cy="7399655"/>
                <wp:effectExtent l="0" t="0" r="0" b="0"/>
                <wp:wrapSquare wrapText="right"/>
                <wp:docPr id="387" name="Frame195"/>
                <a:graphic xmlns:a="http://schemas.openxmlformats.org/drawingml/2006/main">
                  <a:graphicData uri="http://schemas.microsoft.com/office/word/2010/wordprocessingShape">
                    <wps:wsp>
                      <wps:cNvSpPr txBox="1"/>
                      <wps:spPr>
                        <a:xfrm>
                          <a:off x="0" y="0"/>
                          <a:ext cx="3110230" cy="7399655"/>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consolidations and other distributions. In addition, in the event of certain non-reciprocal transactions with our stockholders known as “equity restructurings,” the Administrator will make equitable adjustments to the Amended Plan and outstanding awards. In the event of a Change of Control (as defined in the Amended Plan), if the surviving entity does not assume or substitute any of the outstanding awards, then such awards will vest in full and be exercisable, as applicable, immediately prior to the Change of Control. For additional information on the treatment of awards in the event of a change of control of the Company, see “Non-Direct Compensation and Payouts in Certain Circumstances—</w:t>
                            </w:r>
                            <w:r>
                              <w:rPr>
                                <w:rFonts w:ascii="arial" w:hAnsi="arial"/>
                                <w:i/>
                                <w:sz w:val="19"/>
                              </w:rPr>
                              <w:t>Change of Control Benefits and Offer Letter with Limited Severance Benefits</w:t>
                            </w:r>
                            <w:r>
                              <w:rPr>
                                <w:rFonts w:ascii="arial" w:hAnsi="arial"/>
                                <w:sz w:val="19"/>
                              </w:rPr>
                              <w:t>—</w:t>
                            </w:r>
                            <w:r>
                              <w:rPr>
                                <w:rFonts w:ascii="arial" w:hAnsi="arial"/>
                                <w:i/>
                                <w:sz w:val="19"/>
                              </w:rPr>
                              <w:t>Change of Control and Severance Treatment of Long-Term Incentive Equity Awards</w:t>
                            </w:r>
                            <w:r>
                              <w:rPr>
                                <w:rFonts w:ascii="arial" w:hAnsi="arial"/>
                                <w:sz w:val="19"/>
                              </w:rPr>
                              <w:t xml:space="preserve">” in our Compensation Discussion and Analysis. </w:t>
                            </w:r>
                          </w:p>
                          <w:p>
                            <w:pPr>
                              <w:pStyle w:val="TextBody"/>
                              <w:bidi w:val="0"/>
                              <w:spacing w:before="240" w:after="0"/>
                              <w:jc w:val="left"/>
                              <w:rPr>
                                <w:rFonts w:ascii="arial" w:hAnsi="arial"/>
                                <w:b/>
                                <w:sz w:val="22"/>
                              </w:rPr>
                            </w:pPr>
                            <w:r>
                              <w:rPr>
                                <w:rFonts w:ascii="arial" w:hAnsi="arial"/>
                                <w:b/>
                                <w:sz w:val="22"/>
                              </w:rPr>
                              <w:t>Clawback and Forfeiture Provisions, Foreign Participants, Transferability and Participant Payments</w:t>
                            </w:r>
                          </w:p>
                          <w:p>
                            <w:pPr>
                              <w:pStyle w:val="TextBody"/>
                              <w:bidi w:val="0"/>
                              <w:spacing w:before="120" w:after="0"/>
                              <w:jc w:val="both"/>
                              <w:rPr>
                                <w:rFonts w:ascii="arial" w:hAnsi="arial"/>
                                <w:sz w:val="19"/>
                              </w:rPr>
                            </w:pPr>
                            <w:r>
                              <w:rPr>
                                <w:rFonts w:ascii="arial" w:hAnsi="arial"/>
                                <w:sz w:val="19"/>
                              </w:rPr>
                              <w:t xml:space="preserve">All awards will be subject to any Company clawback policy as set forth in such clawback policy, the applicable award agreement, or program document. In 2023, we adopted a policy on recovery of erroneously awarded compensation that requires our Board to recapture incentive-based compensation, including PUs, received by our executive officers and our Chief Accounting Officer. Further, our executive officer equity recoupment policy provides the Compensation Committee with the ability to cause the forfeiture and cancellation of unvested equity awards and any unexercised portion of any stock options (granted after December 31, 2020) if an executive officer is terminated for engaging in misconduct that caused serious financial or reputational damage to the Company (including, but not limited to, a financial restatement). </w:t>
                            </w:r>
                          </w:p>
                          <w:p>
                            <w:pPr>
                              <w:pStyle w:val="TextBody"/>
                              <w:bidi w:val="0"/>
                              <w:spacing w:before="120" w:after="0"/>
                              <w:jc w:val="both"/>
                              <w:rPr>
                                <w:rFonts w:ascii="arial" w:hAnsi="arial"/>
                                <w:sz w:val="20"/>
                              </w:rPr>
                            </w:pPr>
                            <w:r>
                              <w:rPr>
                                <w:rFonts w:ascii="arial" w:hAnsi="arial"/>
                                <w:sz w:val="20"/>
                              </w:rPr>
                              <w:t xml:space="preserve">The Administrator may modify award terms, establish subplans and/or adjust other terms and conditions of awards, subject to the share limits described above, in order to facilitate grants of awards subject to the laws and/or stock exchange rules of countries outside of the United States. With limited exceptions for estate planning, domestic relations orders, and the laws of descent and distribution, awards under the Amended Plan are generally non-transferable prior to vesting and are exercisable only by the participant. The Amended Plan authorizes the Company to deduct or withhold from the award, or require the participant to remit, all applicable taxes and, with regard to tax withholding, exercise price and purchase price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82.6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consolidations and other distributions. In addition, in the event of certain non-reciprocal transactions with our stockholders known as “equity restructurings,” the Administrator will make equitable adjustments to the Amended Plan and outstanding awards. In the event of a Change of Control (as defined in the Amended Plan), if the surviving entity does not assume or substitute any of the outstanding awards, then such awards will vest in full and be exercisable, as applicable, immediately prior to the Change of Control. For additional information on the treatment of awards in the event of a change of control of the Company, see “Non-Direct Compensation and Payouts in Certain Circumstances—</w:t>
                      </w:r>
                      <w:r>
                        <w:rPr>
                          <w:rFonts w:ascii="arial" w:hAnsi="arial"/>
                          <w:i/>
                          <w:sz w:val="19"/>
                        </w:rPr>
                        <w:t>Change of Control Benefits and Offer Letter with Limited Severance Benefits</w:t>
                      </w:r>
                      <w:r>
                        <w:rPr>
                          <w:rFonts w:ascii="arial" w:hAnsi="arial"/>
                          <w:sz w:val="19"/>
                        </w:rPr>
                        <w:t>—</w:t>
                      </w:r>
                      <w:r>
                        <w:rPr>
                          <w:rFonts w:ascii="arial" w:hAnsi="arial"/>
                          <w:i/>
                          <w:sz w:val="19"/>
                        </w:rPr>
                        <w:t>Change of Control and Severance Treatment of Long-Term Incentive Equity Awards</w:t>
                      </w:r>
                      <w:r>
                        <w:rPr>
                          <w:rFonts w:ascii="arial" w:hAnsi="arial"/>
                          <w:sz w:val="19"/>
                        </w:rPr>
                        <w:t xml:space="preserve">” in our Compensation Discussion and Analysis. </w:t>
                      </w:r>
                    </w:p>
                    <w:p>
                      <w:pPr>
                        <w:pStyle w:val="TextBody"/>
                        <w:bidi w:val="0"/>
                        <w:spacing w:before="240" w:after="0"/>
                        <w:jc w:val="left"/>
                        <w:rPr>
                          <w:rFonts w:ascii="arial" w:hAnsi="arial"/>
                          <w:b/>
                          <w:sz w:val="22"/>
                        </w:rPr>
                      </w:pPr>
                      <w:r>
                        <w:rPr>
                          <w:rFonts w:ascii="arial" w:hAnsi="arial"/>
                          <w:b/>
                          <w:sz w:val="22"/>
                        </w:rPr>
                        <w:t>Clawback and Forfeiture Provisions, Foreign Participants, Transferability and Participant Payments</w:t>
                      </w:r>
                    </w:p>
                    <w:p>
                      <w:pPr>
                        <w:pStyle w:val="TextBody"/>
                        <w:bidi w:val="0"/>
                        <w:spacing w:before="120" w:after="0"/>
                        <w:jc w:val="both"/>
                        <w:rPr>
                          <w:rFonts w:ascii="arial" w:hAnsi="arial"/>
                          <w:sz w:val="19"/>
                        </w:rPr>
                      </w:pPr>
                      <w:r>
                        <w:rPr>
                          <w:rFonts w:ascii="arial" w:hAnsi="arial"/>
                          <w:sz w:val="19"/>
                        </w:rPr>
                        <w:t xml:space="preserve">All awards will be subject to any Company clawback policy as set forth in such clawback policy, the applicable award agreement, or program document. In 2023, we adopted a policy on recovery of erroneously awarded compensation that requires our Board to recapture incentive-based compensation, including PUs, received by our executive officers and our Chief Accounting Officer. Further, our executive officer equity recoupment policy provides the Compensation Committee with the ability to cause the forfeiture and cancellation of unvested equity awards and any unexercised portion of any stock options (granted after December 31, 2020) if an executive officer is terminated for engaging in misconduct that caused serious financial or reputational damage to the Company (including, but not limited to, a financial restatement). </w:t>
                      </w:r>
                    </w:p>
                    <w:p>
                      <w:pPr>
                        <w:pStyle w:val="TextBody"/>
                        <w:bidi w:val="0"/>
                        <w:spacing w:before="120" w:after="0"/>
                        <w:jc w:val="both"/>
                        <w:rPr>
                          <w:rFonts w:ascii="arial" w:hAnsi="arial"/>
                          <w:sz w:val="20"/>
                        </w:rPr>
                      </w:pPr>
                      <w:r>
                        <w:rPr>
                          <w:rFonts w:ascii="arial" w:hAnsi="arial"/>
                          <w:sz w:val="20"/>
                        </w:rPr>
                        <w:t xml:space="preserve">The Administrator may modify award terms, establish subplans and/or adjust other terms and conditions of awards, subject to the share limits described above, in order to facilitate grants of awards subject to the laws and/or stock exchange rules of countries outside of the United States. With limited exceptions for estate planning, domestic relations orders, and the laws of descent and distribution, awards under the Amended Plan are generally non-transferable prior to vesting and are exercisable only by the participant. The Amended Plan authorizes the Company to deduct or withhold from the award, or require the participant to remit, all applicable taxes and, with regard to tax withholding, exercise price and purchase price </w:t>
                      </w:r>
                    </w:p>
                  </w:txbxContent>
                </v:textbox>
                <w10:wrap type="square" side="right"/>
              </v:rect>
            </w:pict>
          </mc:Fallback>
        </mc:AlternateContent>
      </w:r>
      <w:r>
        <mc:AlternateContent>
          <mc:Choice Requires="wps">
            <w:drawing>
              <wp:anchor behindDoc="0" distT="0" distB="0" distL="0" distR="0" simplePos="0" locked="0" layoutInCell="1" allowOverlap="1" relativeHeight="433">
                <wp:simplePos x="0" y="0"/>
                <wp:positionH relativeFrom="column">
                  <wp:align>left</wp:align>
                </wp:positionH>
                <wp:positionV relativeFrom="line">
                  <wp:posOffset>635</wp:posOffset>
                </wp:positionV>
                <wp:extent cx="3175000" cy="6881495"/>
                <wp:effectExtent l="0" t="0" r="0" b="0"/>
                <wp:wrapSquare wrapText="right"/>
                <wp:docPr id="388" name="Frame196"/>
                <a:graphic xmlns:a="http://schemas.openxmlformats.org/drawingml/2006/main">
                  <a:graphicData uri="http://schemas.microsoft.com/office/word/2010/wordprocessingShape">
                    <wps:wsp>
                      <wps:cNvSpPr txBox="1"/>
                      <wps:spPr>
                        <a:xfrm>
                          <a:off x="0" y="0"/>
                          <a:ext cx="3175000" cy="6881495"/>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obligations arising in connection with awards under the Amended Plan, the Administrator may, in its discretion, accept cash or check, shares of our Common Stock that meet specified conditions, a “market sell order” with a broker, or such other consideration as it deems suitable.</w:t>
                            </w:r>
                          </w:p>
                          <w:p>
                            <w:pPr>
                              <w:pStyle w:val="TextBody"/>
                              <w:bidi w:val="0"/>
                              <w:spacing w:before="240" w:after="0"/>
                              <w:jc w:val="left"/>
                              <w:rPr>
                                <w:rFonts w:ascii="arial" w:hAnsi="arial"/>
                                <w:b/>
                                <w:sz w:val="22"/>
                              </w:rPr>
                            </w:pPr>
                            <w:r>
                              <w:rPr>
                                <w:rFonts w:ascii="arial" w:hAnsi="arial"/>
                                <w:b/>
                                <w:sz w:val="22"/>
                              </w:rPr>
                              <w:t xml:space="preserve">Minimum Vesting </w:t>
                            </w:r>
                          </w:p>
                          <w:p>
                            <w:pPr>
                              <w:pStyle w:val="TextBody"/>
                              <w:bidi w:val="0"/>
                              <w:spacing w:before="120" w:after="0"/>
                              <w:jc w:val="both"/>
                              <w:rPr>
                                <w:rFonts w:ascii="arial" w:hAnsi="arial"/>
                                <w:sz w:val="19"/>
                              </w:rPr>
                            </w:pPr>
                            <w:r>
                              <w:rPr>
                                <w:rFonts w:ascii="arial" w:hAnsi="arial"/>
                                <w:sz w:val="19"/>
                              </w:rPr>
                              <w:t xml:space="preserve">The Amended Plan mandates a minimum vesting period of at least one year for all equity-based awards granted (on or after March 2, 2016), subject to limited exceptions, which applies to no less than 95% of the shares authorized for grant. The limited exceptions allow the issuance of awards in an aggregate of up to 5% of the shares available for issuance under the Amended Plan without minimum vesting provisions, as well as the issuance of (i) substitute awards, (ii) awards delivered in lieu of cash compensation, (iii) awards delivered in lieu of cash compensation payable to a non-employee director, and (iv) awards to non-employee directors that vest on the earlier of the one-year anniversary of the date of grant and the next annual meeting of the Company’s stockholders which is at least 50 weeks after the immediately preceding year’s annual meeting. The plan administrator has the authority to waive the one-year vesting restrictions upon the participant’s termination of service or in connection with a change in control. </w:t>
                            </w:r>
                          </w:p>
                          <w:p>
                            <w:pPr>
                              <w:pStyle w:val="TextBody"/>
                              <w:bidi w:val="0"/>
                              <w:spacing w:before="240" w:after="0"/>
                              <w:jc w:val="left"/>
                              <w:rPr>
                                <w:rFonts w:ascii="arial" w:hAnsi="arial"/>
                                <w:b/>
                                <w:sz w:val="22"/>
                              </w:rPr>
                            </w:pPr>
                            <w:r>
                              <w:rPr>
                                <w:rFonts w:ascii="arial" w:hAnsi="arial"/>
                                <w:b/>
                                <w:sz w:val="22"/>
                              </w:rPr>
                              <w:t xml:space="preserve">No Repricing or Cash Buyouts </w:t>
                            </w:r>
                          </w:p>
                          <w:p>
                            <w:pPr>
                              <w:pStyle w:val="TextBody"/>
                              <w:bidi w:val="0"/>
                              <w:spacing w:before="120" w:after="0"/>
                              <w:jc w:val="both"/>
                              <w:rPr>
                                <w:rFonts w:ascii="arial" w:hAnsi="arial"/>
                                <w:sz w:val="19"/>
                              </w:rPr>
                            </w:pPr>
                            <w:r>
                              <w:rPr>
                                <w:rFonts w:ascii="arial" w:hAnsi="arial"/>
                                <w:sz w:val="19"/>
                              </w:rPr>
                              <w:t xml:space="preserve">The Amended Plan expressly provides that, without the approval of stockholders, the Administrator will not have the authority to reduce the exercise price of any stock option or SAR, or cancel any stock option or SAR in exchange for cash, other awards, or a stock option or SAR with an exercise price per share that is less than the exercise price per share of the original stock option or SAR. </w:t>
                            </w:r>
                          </w:p>
                          <w:p>
                            <w:pPr>
                              <w:pStyle w:val="TextBody"/>
                              <w:bidi w:val="0"/>
                              <w:spacing w:before="240" w:after="0"/>
                              <w:jc w:val="left"/>
                              <w:rPr>
                                <w:rFonts w:ascii="arial" w:hAnsi="arial"/>
                                <w:b/>
                                <w:sz w:val="22"/>
                              </w:rPr>
                            </w:pPr>
                            <w:r>
                              <w:rPr>
                                <w:rFonts w:ascii="arial" w:hAnsi="arial"/>
                                <w:b/>
                                <w:sz w:val="22"/>
                              </w:rPr>
                              <w:t xml:space="preserve">Plan Amendment and Termination  </w:t>
                            </w:r>
                          </w:p>
                          <w:p>
                            <w:pPr>
                              <w:pStyle w:val="TextBody"/>
                              <w:bidi w:val="0"/>
                              <w:spacing w:before="120" w:after="0"/>
                              <w:jc w:val="both"/>
                              <w:rPr>
                                <w:rFonts w:ascii="arial" w:hAnsi="arial"/>
                                <w:sz w:val="19"/>
                              </w:rPr>
                            </w:pPr>
                            <w:r>
                              <w:rPr>
                                <w:rFonts w:ascii="arial" w:hAnsi="arial"/>
                                <w:sz w:val="19"/>
                              </w:rPr>
                              <w:t xml:space="preserve">Our Board may amend or terminate the Amended Plan at any time; however, except in connection with certain changes in our capital structure, stockholder approval will be required for any amendment that increases the number of shares available under the Amended Plan, “reprices” any stock option or SAR or cancels any stock option or SAR in exchange for cash or another award when the option or SAR price per share exceeds the fair market value of the underlying shares.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41.8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obligations arising in connection with awards under the Amended Plan, the Administrator may, in its discretion, accept cash or check, shares of our Common Stock that meet specified conditions, a “market sell order” with a broker, or such other consideration as it deems suitable.</w:t>
                      </w:r>
                    </w:p>
                    <w:p>
                      <w:pPr>
                        <w:pStyle w:val="TextBody"/>
                        <w:bidi w:val="0"/>
                        <w:spacing w:before="240" w:after="0"/>
                        <w:jc w:val="left"/>
                        <w:rPr>
                          <w:rFonts w:ascii="arial" w:hAnsi="arial"/>
                          <w:b/>
                          <w:sz w:val="22"/>
                        </w:rPr>
                      </w:pPr>
                      <w:r>
                        <w:rPr>
                          <w:rFonts w:ascii="arial" w:hAnsi="arial"/>
                          <w:b/>
                          <w:sz w:val="22"/>
                        </w:rPr>
                        <w:t xml:space="preserve">Minimum Vesting </w:t>
                      </w:r>
                    </w:p>
                    <w:p>
                      <w:pPr>
                        <w:pStyle w:val="TextBody"/>
                        <w:bidi w:val="0"/>
                        <w:spacing w:before="120" w:after="0"/>
                        <w:jc w:val="both"/>
                        <w:rPr>
                          <w:rFonts w:ascii="arial" w:hAnsi="arial"/>
                          <w:sz w:val="19"/>
                        </w:rPr>
                      </w:pPr>
                      <w:r>
                        <w:rPr>
                          <w:rFonts w:ascii="arial" w:hAnsi="arial"/>
                          <w:sz w:val="19"/>
                        </w:rPr>
                        <w:t xml:space="preserve">The Amended Plan mandates a minimum vesting period of at least one year for all equity-based awards granted (on or after March 2, 2016), subject to limited exceptions, which applies to no less than 95% of the shares authorized for grant. The limited exceptions allow the issuance of awards in an aggregate of up to 5% of the shares available for issuance under the Amended Plan without minimum vesting provisions, as well as the issuance of (i) substitute awards, (ii) awards delivered in lieu of cash compensation, (iii) awards delivered in lieu of cash compensation payable to a non-employee director, and (iv) awards to non-employee directors that vest on the earlier of the one-year anniversary of the date of grant and the next annual meeting of the Company’s stockholders which is at least 50 weeks after the immediately preceding year’s annual meeting. The plan administrator has the authority to waive the one-year vesting restrictions upon the participant’s termination of service or in connection with a change in control. </w:t>
                      </w:r>
                    </w:p>
                    <w:p>
                      <w:pPr>
                        <w:pStyle w:val="TextBody"/>
                        <w:bidi w:val="0"/>
                        <w:spacing w:before="240" w:after="0"/>
                        <w:jc w:val="left"/>
                        <w:rPr>
                          <w:rFonts w:ascii="arial" w:hAnsi="arial"/>
                          <w:b/>
                          <w:sz w:val="22"/>
                        </w:rPr>
                      </w:pPr>
                      <w:r>
                        <w:rPr>
                          <w:rFonts w:ascii="arial" w:hAnsi="arial"/>
                          <w:b/>
                          <w:sz w:val="22"/>
                        </w:rPr>
                        <w:t xml:space="preserve">No Repricing or Cash Buyouts </w:t>
                      </w:r>
                    </w:p>
                    <w:p>
                      <w:pPr>
                        <w:pStyle w:val="TextBody"/>
                        <w:bidi w:val="0"/>
                        <w:spacing w:before="120" w:after="0"/>
                        <w:jc w:val="both"/>
                        <w:rPr>
                          <w:rFonts w:ascii="arial" w:hAnsi="arial"/>
                          <w:sz w:val="19"/>
                        </w:rPr>
                      </w:pPr>
                      <w:r>
                        <w:rPr>
                          <w:rFonts w:ascii="arial" w:hAnsi="arial"/>
                          <w:sz w:val="19"/>
                        </w:rPr>
                        <w:t xml:space="preserve">The Amended Plan expressly provides that, without the approval of stockholders, the Administrator will not have the authority to reduce the exercise price of any stock option or SAR, or cancel any stock option or SAR in exchange for cash, other awards, or a stock option or SAR with an exercise price per share that is less than the exercise price per share of the original stock option or SAR. </w:t>
                      </w:r>
                    </w:p>
                    <w:p>
                      <w:pPr>
                        <w:pStyle w:val="TextBody"/>
                        <w:bidi w:val="0"/>
                        <w:spacing w:before="240" w:after="0"/>
                        <w:jc w:val="left"/>
                        <w:rPr>
                          <w:rFonts w:ascii="arial" w:hAnsi="arial"/>
                          <w:b/>
                          <w:sz w:val="22"/>
                        </w:rPr>
                      </w:pPr>
                      <w:r>
                        <w:rPr>
                          <w:rFonts w:ascii="arial" w:hAnsi="arial"/>
                          <w:b/>
                          <w:sz w:val="22"/>
                        </w:rPr>
                        <w:t xml:space="preserve">Plan Amendment and Termination  </w:t>
                      </w:r>
                    </w:p>
                    <w:p>
                      <w:pPr>
                        <w:pStyle w:val="TextBody"/>
                        <w:bidi w:val="0"/>
                        <w:spacing w:before="120" w:after="0"/>
                        <w:jc w:val="both"/>
                        <w:rPr>
                          <w:rFonts w:ascii="arial" w:hAnsi="arial"/>
                          <w:sz w:val="19"/>
                        </w:rPr>
                      </w:pPr>
                      <w:r>
                        <w:rPr>
                          <w:rFonts w:ascii="arial" w:hAnsi="arial"/>
                          <w:sz w:val="19"/>
                        </w:rPr>
                        <w:t xml:space="preserve">Our Board may amend or terminate the Amended Plan at any time; however, except in connection with certain changes in our capital structure, stockholder approval will be required for any amendment that increases the number of shares available under the Amended Plan, “reprices” any stock option or SAR or cancels any stock option or SAR in exchange for cash or another award when the option or SAR price per share exceeds the fair market value of the underlying shares.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114  </w:t>
      </w:r>
      <w:r>
        <w:rPr>
          <w:rFonts w:ascii="arial" w:hAnsi="arial"/>
          <w:b/>
          <w:color w:val="474747"/>
          <w:sz w:val="22"/>
        </w:rPr>
        <w:drawing>
          <wp:inline distT="0" distB="0" distL="0" distR="0">
            <wp:extent cx="64770" cy="15240"/>
            <wp:effectExtent l="0" t="0" r="0" b="0"/>
            <wp:docPr id="389"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Image181" descr=""/>
                    <pic:cNvPicPr>
                      <a:picLocks noChangeAspect="1" noChangeArrowheads="1"/>
                    </pic:cNvPicPr>
                  </pic:nvPicPr>
                  <pic:blipFill>
                    <a:blip r:embed="rId194"/>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10321" w:type="dxa"/>
        <w:jc w:val="left"/>
        <w:tblInd w:w="0" w:type="dxa"/>
        <w:tblLayout w:type="fixed"/>
        <w:tblCellMar>
          <w:top w:w="0" w:type="dxa"/>
          <w:left w:w="0" w:type="dxa"/>
          <w:bottom w:w="0" w:type="dxa"/>
          <w:right w:w="0" w:type="dxa"/>
        </w:tblCellMar>
      </w:tblPr>
      <w:tblGrid>
        <w:gridCol w:w="38"/>
        <w:gridCol w:w="23"/>
        <w:gridCol w:w="23"/>
        <w:gridCol w:w="23"/>
        <w:gridCol w:w="23"/>
        <w:gridCol w:w="23"/>
        <w:gridCol w:w="23"/>
        <w:gridCol w:w="60"/>
        <w:gridCol w:w="60"/>
        <w:gridCol w:w="995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6" w:type="dxa"/>
            <w:gridSpan w:val="7"/>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995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Item 3 — Approval of Amgen Inc. Second Amended and Restated 2009 Equity Incentive Plan</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434">
                <wp:simplePos x="0" y="0"/>
                <wp:positionH relativeFrom="column">
                  <wp:align>left</wp:align>
                </wp:positionH>
                <wp:positionV relativeFrom="line">
                  <wp:posOffset>635</wp:posOffset>
                </wp:positionV>
                <wp:extent cx="3110230" cy="7288530"/>
                <wp:effectExtent l="0" t="0" r="0" b="0"/>
                <wp:wrapSquare wrapText="right"/>
                <wp:docPr id="390" name="Frame197"/>
                <a:graphic xmlns:a="http://schemas.openxmlformats.org/drawingml/2006/main">
                  <a:graphicData uri="http://schemas.microsoft.com/office/word/2010/wordprocessingShape">
                    <wps:wsp>
                      <wps:cNvSpPr txBox="1"/>
                      <wps:spPr>
                        <a:xfrm>
                          <a:off x="0" y="0"/>
                          <a:ext cx="3110230" cy="7288530"/>
                        </a:xfrm>
                        <a:prstGeom prst="rect"/>
                        <a:solidFill>
                          <a:srgbClr val="FFFFFF"/>
                        </a:solidFill>
                      </wps:spPr>
                      <wps:txbx>
                        <w:txbxContent>
                          <w:p>
                            <w:pPr>
                              <w:pStyle w:val="TextBody"/>
                              <w:bidi w:val="0"/>
                              <w:spacing w:before="0" w:after="0"/>
                              <w:jc w:val="left"/>
                              <w:rPr>
                                <w:rFonts w:ascii="arial" w:hAnsi="arial"/>
                                <w:b/>
                                <w:color w:val="0171B9"/>
                                <w:sz w:val="28"/>
                              </w:rPr>
                            </w:pPr>
                            <w:r>
                              <w:rPr>
                                <w:rFonts w:ascii="arial" w:hAnsi="arial"/>
                                <w:b/>
                                <w:color w:val="0171B9"/>
                                <w:sz w:val="28"/>
                              </w:rPr>
                              <w:t xml:space="preserve">Federal Income Tax Consequences </w:t>
                            </w:r>
                          </w:p>
                          <w:p>
                            <w:pPr>
                              <w:pStyle w:val="TextBody"/>
                              <w:bidi w:val="0"/>
                              <w:spacing w:before="120" w:after="0"/>
                              <w:jc w:val="both"/>
                              <w:rPr>
                                <w:rFonts w:ascii="arial" w:hAnsi="arial"/>
                                <w:sz w:val="19"/>
                              </w:rPr>
                            </w:pPr>
                            <w:r>
                              <w:rPr>
                                <w:rFonts w:ascii="arial" w:hAnsi="arial"/>
                                <w:sz w:val="19"/>
                              </w:rPr>
                              <w:t>The U.S. federal income tax consequences of the Amended Plan under current federal law, which is subject to change, are summarized in the following discussion of the general tax principles applicable to the Amended Plan. This summary is not intended to be exhaustive and, among other considerations, does not describe state, local, or foreign tax consequences. Tax considerations may vary from locality to locality and depending on individual circumstances.</w:t>
                            </w:r>
                          </w:p>
                          <w:p>
                            <w:pPr>
                              <w:pStyle w:val="TextBody"/>
                              <w:bidi w:val="0"/>
                              <w:spacing w:before="240" w:after="0"/>
                              <w:jc w:val="left"/>
                              <w:rPr>
                                <w:rFonts w:ascii="arial" w:hAnsi="arial"/>
                                <w:b/>
                                <w:sz w:val="22"/>
                              </w:rPr>
                            </w:pPr>
                            <w:r>
                              <w:rPr>
                                <w:rFonts w:ascii="arial" w:hAnsi="arial"/>
                                <w:b/>
                                <w:sz w:val="22"/>
                              </w:rPr>
                              <w:t xml:space="preserve">Non-Qualified Stock Options </w:t>
                            </w:r>
                          </w:p>
                          <w:p>
                            <w:pPr>
                              <w:pStyle w:val="TextBody"/>
                              <w:bidi w:val="0"/>
                              <w:spacing w:before="120" w:after="0"/>
                              <w:jc w:val="both"/>
                              <w:rPr>
                                <w:rFonts w:ascii="arial" w:hAnsi="arial"/>
                                <w:sz w:val="19"/>
                              </w:rPr>
                            </w:pPr>
                            <w:r>
                              <w:rPr>
                                <w:rFonts w:ascii="arial" w:hAnsi="arial"/>
                                <w:sz w:val="19"/>
                              </w:rPr>
                              <w:t>If a participant is granted a NQSO under the Amended Plan, the participant should not have taxable income on the grant of the option. Generally, the participant should recognize ordinary income at the time of exercise in an amount equal to the fair market value of the shares acquired on the date of exercise, less the exercise price paid for the shares. The participant’s basis in the Common Stock for purposes of determining gain or loss on a subsequent sale or disposition of such shares generally will be the fair market value of our Common Stock on the date the participant exercises such option. Any subsequent gain or loss will be taxable as a long-term or short-term capital gain or loss. We generally should be entitled to a federal income tax deduction at the time and for the same amount as the participant recognizes ordinary income.</w:t>
                            </w:r>
                          </w:p>
                          <w:p>
                            <w:pPr>
                              <w:pStyle w:val="TextBody"/>
                              <w:bidi w:val="0"/>
                              <w:spacing w:before="240" w:after="0"/>
                              <w:jc w:val="left"/>
                              <w:rPr>
                                <w:rFonts w:ascii="arial" w:hAnsi="arial"/>
                                <w:b/>
                                <w:sz w:val="22"/>
                              </w:rPr>
                            </w:pPr>
                            <w:r>
                              <w:rPr>
                                <w:rFonts w:ascii="arial" w:hAnsi="arial"/>
                                <w:b/>
                                <w:sz w:val="22"/>
                              </w:rPr>
                              <w:t xml:space="preserve">Incentive Stock Options </w:t>
                            </w:r>
                          </w:p>
                          <w:p>
                            <w:pPr>
                              <w:pStyle w:val="TextBody"/>
                              <w:bidi w:val="0"/>
                              <w:spacing w:before="120" w:after="0"/>
                              <w:jc w:val="both"/>
                              <w:rPr>
                                <w:rFonts w:ascii="arial" w:hAnsi="arial"/>
                                <w:sz w:val="19"/>
                              </w:rPr>
                            </w:pPr>
                            <w:r>
                              <w:rPr>
                                <w:rFonts w:ascii="arial" w:hAnsi="arial"/>
                                <w:sz w:val="19"/>
                              </w:rPr>
                              <w:t xml:space="preserve">A participant receiving ISOs should not recognize taxable income upon grant. Additionally, if applicable holding period requirements are met, the participant should not recognize taxable income at the time of exercise. However, the excess of the fair market value of the shares of our Common Stock received over the option exercise price is an item of tax preference income potentially subject to the alternative minimum tax. If stock acquired upon exercise of an ISO is held for a minimum of two years from the date of grant and one year from the date of exercise and otherwise satisfies the ISO requirements, the gain or loss (in an amount equal to the difference between the fair market value on the date of disposition and the exercise price) upon disposition of the stock will be treated as a long-term capital gain or loss, and we will not be entitled to any deduction. If the holding period requirements are not met, the ISO will be treated as one that does not meet the requirements of the Code for ISOs and the participant will recognize ordinary income at the time of the disposition equal to the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73.9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0171B9"/>
                          <w:sz w:val="28"/>
                        </w:rPr>
                      </w:pPr>
                      <w:r>
                        <w:rPr>
                          <w:rFonts w:ascii="arial" w:hAnsi="arial"/>
                          <w:b/>
                          <w:color w:val="0171B9"/>
                          <w:sz w:val="28"/>
                        </w:rPr>
                        <w:t xml:space="preserve">Federal Income Tax Consequences </w:t>
                      </w:r>
                    </w:p>
                    <w:p>
                      <w:pPr>
                        <w:pStyle w:val="TextBody"/>
                        <w:bidi w:val="0"/>
                        <w:spacing w:before="120" w:after="0"/>
                        <w:jc w:val="both"/>
                        <w:rPr>
                          <w:rFonts w:ascii="arial" w:hAnsi="arial"/>
                          <w:sz w:val="19"/>
                        </w:rPr>
                      </w:pPr>
                      <w:r>
                        <w:rPr>
                          <w:rFonts w:ascii="arial" w:hAnsi="arial"/>
                          <w:sz w:val="19"/>
                        </w:rPr>
                        <w:t>The U.S. federal income tax consequences of the Amended Plan under current federal law, which is subject to change, are summarized in the following discussion of the general tax principles applicable to the Amended Plan. This summary is not intended to be exhaustive and, among other considerations, does not describe state, local, or foreign tax consequences. Tax considerations may vary from locality to locality and depending on individual circumstances.</w:t>
                      </w:r>
                    </w:p>
                    <w:p>
                      <w:pPr>
                        <w:pStyle w:val="TextBody"/>
                        <w:bidi w:val="0"/>
                        <w:spacing w:before="240" w:after="0"/>
                        <w:jc w:val="left"/>
                        <w:rPr>
                          <w:rFonts w:ascii="arial" w:hAnsi="arial"/>
                          <w:b/>
                          <w:sz w:val="22"/>
                        </w:rPr>
                      </w:pPr>
                      <w:r>
                        <w:rPr>
                          <w:rFonts w:ascii="arial" w:hAnsi="arial"/>
                          <w:b/>
                          <w:sz w:val="22"/>
                        </w:rPr>
                        <w:t xml:space="preserve">Non-Qualified Stock Options </w:t>
                      </w:r>
                    </w:p>
                    <w:p>
                      <w:pPr>
                        <w:pStyle w:val="TextBody"/>
                        <w:bidi w:val="0"/>
                        <w:spacing w:before="120" w:after="0"/>
                        <w:jc w:val="both"/>
                        <w:rPr>
                          <w:rFonts w:ascii="arial" w:hAnsi="arial"/>
                          <w:sz w:val="19"/>
                        </w:rPr>
                      </w:pPr>
                      <w:r>
                        <w:rPr>
                          <w:rFonts w:ascii="arial" w:hAnsi="arial"/>
                          <w:sz w:val="19"/>
                        </w:rPr>
                        <w:t>If a participant is granted a NQSO under the Amended Plan, the participant should not have taxable income on the grant of the option. Generally, the participant should recognize ordinary income at the time of exercise in an amount equal to the fair market value of the shares acquired on the date of exercise, less the exercise price paid for the shares. The participant’s basis in the Common Stock for purposes of determining gain or loss on a subsequent sale or disposition of such shares generally will be the fair market value of our Common Stock on the date the participant exercises such option. Any subsequent gain or loss will be taxable as a long-term or short-term capital gain or loss. We generally should be entitled to a federal income tax deduction at the time and for the same amount as the participant recognizes ordinary income.</w:t>
                      </w:r>
                    </w:p>
                    <w:p>
                      <w:pPr>
                        <w:pStyle w:val="TextBody"/>
                        <w:bidi w:val="0"/>
                        <w:spacing w:before="240" w:after="0"/>
                        <w:jc w:val="left"/>
                        <w:rPr>
                          <w:rFonts w:ascii="arial" w:hAnsi="arial"/>
                          <w:b/>
                          <w:sz w:val="22"/>
                        </w:rPr>
                      </w:pPr>
                      <w:r>
                        <w:rPr>
                          <w:rFonts w:ascii="arial" w:hAnsi="arial"/>
                          <w:b/>
                          <w:sz w:val="22"/>
                        </w:rPr>
                        <w:t xml:space="preserve">Incentive Stock Options </w:t>
                      </w:r>
                    </w:p>
                    <w:p>
                      <w:pPr>
                        <w:pStyle w:val="TextBody"/>
                        <w:bidi w:val="0"/>
                        <w:spacing w:before="120" w:after="0"/>
                        <w:jc w:val="both"/>
                        <w:rPr>
                          <w:rFonts w:ascii="arial" w:hAnsi="arial"/>
                          <w:sz w:val="19"/>
                        </w:rPr>
                      </w:pPr>
                      <w:r>
                        <w:rPr>
                          <w:rFonts w:ascii="arial" w:hAnsi="arial"/>
                          <w:sz w:val="19"/>
                        </w:rPr>
                        <w:t xml:space="preserve">A participant receiving ISOs should not recognize taxable income upon grant. Additionally, if applicable holding period requirements are met, the participant should not recognize taxable income at the time of exercise. However, the excess of the fair market value of the shares of our Common Stock received over the option exercise price is an item of tax preference income potentially subject to the alternative minimum tax. If stock acquired upon exercise of an ISO is held for a minimum of two years from the date of grant and one year from the date of exercise and otherwise satisfies the ISO requirements, the gain or loss (in an amount equal to the difference between the fair market value on the date of disposition and the exercise price) upon disposition of the stock will be treated as a long-term capital gain or loss, and we will not be entitled to any deduction. If the holding period requirements are not met, the ISO will be treated as one that does not meet the requirements of the Code for ISOs and the participant will recognize ordinary income at the time of the disposition equal to the </w:t>
                      </w:r>
                    </w:p>
                  </w:txbxContent>
                </v:textbox>
                <w10:wrap type="square" side="right"/>
              </v:rect>
            </w:pict>
          </mc:Fallback>
        </mc:AlternateContent>
      </w:r>
      <w:r>
        <mc:AlternateContent>
          <mc:Choice Requires="wps">
            <w:drawing>
              <wp:anchor behindDoc="0" distT="0" distB="0" distL="0" distR="0" simplePos="0" locked="0" layoutInCell="1" allowOverlap="1" relativeHeight="435">
                <wp:simplePos x="0" y="0"/>
                <wp:positionH relativeFrom="column">
                  <wp:align>left</wp:align>
                </wp:positionH>
                <wp:positionV relativeFrom="line">
                  <wp:posOffset>635</wp:posOffset>
                </wp:positionV>
                <wp:extent cx="3175000" cy="6869430"/>
                <wp:effectExtent l="0" t="0" r="0" b="0"/>
                <wp:wrapSquare wrapText="right"/>
                <wp:docPr id="391" name="Frame198"/>
                <a:graphic xmlns:a="http://schemas.openxmlformats.org/drawingml/2006/main">
                  <a:graphicData uri="http://schemas.microsoft.com/office/word/2010/wordprocessingShape">
                    <wps:wsp>
                      <wps:cNvSpPr txBox="1"/>
                      <wps:spPr>
                        <a:xfrm>
                          <a:off x="0" y="0"/>
                          <a:ext cx="3175000" cy="686943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excess of the amount realized over the exercise price, but not more than the excess of the fair market value of the shares on the date the ISO is exercised over the exercise price, with any remaining gain or loss being treated as capital gain or capital loss. We generally are not entitled to a tax deduction upon either the exercise of an ISO or upon disposition of the shares acquired pursuant to such exercise, except to the extent that the participant recognizes ordinary income on disposition of the shares. </w:t>
                            </w:r>
                          </w:p>
                          <w:p>
                            <w:pPr>
                              <w:pStyle w:val="TextBody"/>
                              <w:bidi w:val="0"/>
                              <w:spacing w:before="240" w:after="0"/>
                              <w:jc w:val="left"/>
                              <w:rPr>
                                <w:rFonts w:ascii="arial" w:hAnsi="arial"/>
                                <w:b/>
                                <w:sz w:val="22"/>
                              </w:rPr>
                            </w:pPr>
                            <w:r>
                              <w:rPr>
                                <w:rFonts w:ascii="arial" w:hAnsi="arial"/>
                                <w:b/>
                                <w:sz w:val="22"/>
                              </w:rPr>
                              <w:t xml:space="preserve">Other Awards </w:t>
                            </w:r>
                          </w:p>
                          <w:p>
                            <w:pPr>
                              <w:pStyle w:val="TextBody"/>
                              <w:bidi w:val="0"/>
                              <w:spacing w:before="120" w:after="0"/>
                              <w:jc w:val="both"/>
                              <w:rPr>
                                <w:rFonts w:ascii="arial" w:hAnsi="arial"/>
                                <w:sz w:val="19"/>
                              </w:rPr>
                            </w:pPr>
                            <w:r>
                              <w:rPr>
                                <w:rFonts w:ascii="arial" w:hAnsi="arial"/>
                                <w:sz w:val="19"/>
                              </w:rPr>
                              <w:t xml:space="preserve">The current federal income tax consequences of other awards authorized under the Amended Plan generally follow certain basic patterns: SARs are taxed and deductible in substantially the same manner as NQSOs; nontransferable restricted stock subject to a substantial risk of forfeiture results in income recognition equal to the excess of the fair market value over the price paid, if any, only at the time the restrictions lapse (unless the recipient elects to accelerate recognition as of the date of grant through a Section 83(b) election); RSUs, deferred stock awards, performance awards, dividend equivalents, and stock payment awards are generally subject to tax at the time of payment. We generally should be entitled to a federal income tax deduction at the time and for the same amount as the participant recognizes ordinary income. </w:t>
                            </w:r>
                          </w:p>
                          <w:p>
                            <w:pPr>
                              <w:pStyle w:val="TextBody"/>
                              <w:bidi w:val="0"/>
                              <w:spacing w:before="240" w:after="0"/>
                              <w:jc w:val="left"/>
                              <w:rPr>
                                <w:rFonts w:ascii="arial" w:hAnsi="arial"/>
                                <w:b/>
                                <w:sz w:val="22"/>
                              </w:rPr>
                            </w:pPr>
                            <w:r>
                              <w:rPr>
                                <w:rFonts w:ascii="arial" w:hAnsi="arial"/>
                                <w:b/>
                                <w:sz w:val="22"/>
                              </w:rPr>
                              <w:t xml:space="preserve">Section 409A of the Code  </w:t>
                            </w:r>
                          </w:p>
                          <w:p>
                            <w:pPr>
                              <w:pStyle w:val="TextBody"/>
                              <w:bidi w:val="0"/>
                              <w:spacing w:before="120" w:after="0"/>
                              <w:jc w:val="both"/>
                              <w:rPr>
                                <w:rFonts w:ascii="arial" w:hAnsi="arial"/>
                                <w:sz w:val="19"/>
                              </w:rPr>
                            </w:pPr>
                            <w:r>
                              <w:rPr>
                                <w:rFonts w:ascii="arial" w:hAnsi="arial"/>
                                <w:sz w:val="19"/>
                              </w:rPr>
                              <w:t xml:space="preserve">Certain types of awards under the Amended Plan may constitute, or provide for, a deferral of compensation subject to Section 409A of the Code. Unless certain requirements set forth in Section 409A of the Code are complied with, holders of such awards may be taxed earlier than would otherwise be the case (e.g., at the time of vesting instead of the time of payment) and may be subject to an additional 20% penalty tax (and, potentially, certain interest, penalties and additional state taxes). To the extent applicable, the Amended Plan and awards granted under the Amended Plan are intended to be structured and interpreted in a manner intended to either comply with or be exempt from Section 409A of the Code and the Department of Treasury regulations and other interpretive guidance that may be issued under Section 409A of the Code. To the extent determined necessary or appropriate by the plan administrator, the Amended Plan and applicable award agreements may be amended to further comply with Section 409A of the Code or to exempt the applicable awards from Section 409A of the Code.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40.9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excess of the amount realized over the exercise price, but not more than the excess of the fair market value of the shares on the date the ISO is exercised over the exercise price, with any remaining gain or loss being treated as capital gain or capital loss. We generally are not entitled to a tax deduction upon either the exercise of an ISO or upon disposition of the shares acquired pursuant to such exercise, except to the extent that the participant recognizes ordinary income on disposition of the shares. </w:t>
                      </w:r>
                    </w:p>
                    <w:p>
                      <w:pPr>
                        <w:pStyle w:val="TextBody"/>
                        <w:bidi w:val="0"/>
                        <w:spacing w:before="240" w:after="0"/>
                        <w:jc w:val="left"/>
                        <w:rPr>
                          <w:rFonts w:ascii="arial" w:hAnsi="arial"/>
                          <w:b/>
                          <w:sz w:val="22"/>
                        </w:rPr>
                      </w:pPr>
                      <w:r>
                        <w:rPr>
                          <w:rFonts w:ascii="arial" w:hAnsi="arial"/>
                          <w:b/>
                          <w:sz w:val="22"/>
                        </w:rPr>
                        <w:t xml:space="preserve">Other Awards </w:t>
                      </w:r>
                    </w:p>
                    <w:p>
                      <w:pPr>
                        <w:pStyle w:val="TextBody"/>
                        <w:bidi w:val="0"/>
                        <w:spacing w:before="120" w:after="0"/>
                        <w:jc w:val="both"/>
                        <w:rPr>
                          <w:rFonts w:ascii="arial" w:hAnsi="arial"/>
                          <w:sz w:val="19"/>
                        </w:rPr>
                      </w:pPr>
                      <w:r>
                        <w:rPr>
                          <w:rFonts w:ascii="arial" w:hAnsi="arial"/>
                          <w:sz w:val="19"/>
                        </w:rPr>
                        <w:t xml:space="preserve">The current federal income tax consequences of other awards authorized under the Amended Plan generally follow certain basic patterns: SARs are taxed and deductible in substantially the same manner as NQSOs; nontransferable restricted stock subject to a substantial risk of forfeiture results in income recognition equal to the excess of the fair market value over the price paid, if any, only at the time the restrictions lapse (unless the recipient elects to accelerate recognition as of the date of grant through a Section 83(b) election); RSUs, deferred stock awards, performance awards, dividend equivalents, and stock payment awards are generally subject to tax at the time of payment. We generally should be entitled to a federal income tax deduction at the time and for the same amount as the participant recognizes ordinary income. </w:t>
                      </w:r>
                    </w:p>
                    <w:p>
                      <w:pPr>
                        <w:pStyle w:val="TextBody"/>
                        <w:bidi w:val="0"/>
                        <w:spacing w:before="240" w:after="0"/>
                        <w:jc w:val="left"/>
                        <w:rPr>
                          <w:rFonts w:ascii="arial" w:hAnsi="arial"/>
                          <w:b/>
                          <w:sz w:val="22"/>
                        </w:rPr>
                      </w:pPr>
                      <w:r>
                        <w:rPr>
                          <w:rFonts w:ascii="arial" w:hAnsi="arial"/>
                          <w:b/>
                          <w:sz w:val="22"/>
                        </w:rPr>
                        <w:t xml:space="preserve">Section 409A of the Code  </w:t>
                      </w:r>
                    </w:p>
                    <w:p>
                      <w:pPr>
                        <w:pStyle w:val="TextBody"/>
                        <w:bidi w:val="0"/>
                        <w:spacing w:before="120" w:after="0"/>
                        <w:jc w:val="both"/>
                        <w:rPr>
                          <w:rFonts w:ascii="arial" w:hAnsi="arial"/>
                          <w:sz w:val="19"/>
                        </w:rPr>
                      </w:pPr>
                      <w:r>
                        <w:rPr>
                          <w:rFonts w:ascii="arial" w:hAnsi="arial"/>
                          <w:sz w:val="19"/>
                        </w:rPr>
                        <w:t xml:space="preserve">Certain types of awards under the Amended Plan may constitute, or provide for, a deferral of compensation subject to Section 409A of the Code. Unless certain requirements set forth in Section 409A of the Code are complied with, holders of such awards may be taxed earlier than would otherwise be the case (e.g., at the time of vesting instead of the time of payment) and may be subject to an additional 20% penalty tax (and, potentially, certain interest, penalties and additional state taxes). To the extent applicable, the Amended Plan and awards granted under the Amended Plan are intended to be structured and interpreted in a manner intended to either comply with or be exempt from Section 409A of the Code and the Department of Treasury regulations and other interpretive guidance that may be issued under Section 409A of the Code. To the extent determined necessary or appropriate by the plan administrator, the Amended Plan and applicable award agreements may be amended to further comply with Section 409A of the Code or to exempt the applicable awards from Section 409A of the Code.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392"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Image182" descr=""/>
                    <pic:cNvPicPr>
                      <a:picLocks noChangeAspect="1" noChangeArrowheads="1"/>
                    </pic:cNvPicPr>
                  </pic:nvPicPr>
                  <pic:blipFill>
                    <a:blip r:embed="rId195"/>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115</w:t>
      </w:r>
      <w:r>
        <w:rPr>
          <w:rFonts w:ascii="arial" w:hAnsi="arial"/>
          <w:b/>
          <w:sz w:val="22"/>
        </w:rPr>
        <w:t xml:space="preserve"> </w:t>
      </w:r>
      <w:r>
        <w:br w:type="page"/>
      </w:r>
    </w:p>
    <w:p>
      <w:pPr>
        <w:pStyle w:val="HorizontalLine"/>
        <w:bidi w:val="0"/>
        <w:jc w:val="left"/>
        <w:rPr/>
      </w:pPr>
      <w:r>
        <w:rPr/>
      </w:r>
    </w:p>
    <w:p>
      <w:pPr>
        <w:pStyle w:val="TextBody"/>
        <w:bidi w:val="0"/>
        <w:spacing w:before="0" w:after="0"/>
        <w:jc w:val="left"/>
        <w:rPr/>
      </w:pPr>
      <w:r>
        <w:rPr/>
        <w:t> </w:t>
      </w:r>
    </w:p>
    <w:tbl>
      <w:tblPr>
        <w:tblW w:w="10321" w:type="dxa"/>
        <w:jc w:val="left"/>
        <w:tblInd w:w="0" w:type="dxa"/>
        <w:tblLayout w:type="fixed"/>
        <w:tblCellMar>
          <w:top w:w="0" w:type="dxa"/>
          <w:left w:w="0" w:type="dxa"/>
          <w:bottom w:w="0" w:type="dxa"/>
          <w:right w:w="0" w:type="dxa"/>
        </w:tblCellMar>
      </w:tblPr>
      <w:tblGrid>
        <w:gridCol w:w="38"/>
        <w:gridCol w:w="23"/>
        <w:gridCol w:w="23"/>
        <w:gridCol w:w="23"/>
        <w:gridCol w:w="23"/>
        <w:gridCol w:w="23"/>
        <w:gridCol w:w="23"/>
        <w:gridCol w:w="60"/>
        <w:gridCol w:w="60"/>
        <w:gridCol w:w="995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6" w:type="dxa"/>
            <w:gridSpan w:val="7"/>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995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Item 3 — Approval of Amgen Inc. Second Amended and Restated 2009 Equity Incentive Plan</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0171B9"/>
          <w:sz w:val="28"/>
        </w:rPr>
      </w:pPr>
      <w:r>
        <w:rPr>
          <w:rFonts w:ascii="arial" w:hAnsi="arial"/>
          <w:b/>
          <w:color w:val="0171B9"/>
          <w:sz w:val="28"/>
        </w:rPr>
        <w:t xml:space="preserve">New Plan Benefits </w:t>
      </w:r>
    </w:p>
    <w:p>
      <w:pPr>
        <w:pStyle w:val="TextBody"/>
        <w:bidi w:val="0"/>
        <w:spacing w:before="120" w:after="0"/>
        <w:jc w:val="both"/>
        <w:rPr>
          <w:rFonts w:ascii="arial" w:hAnsi="arial"/>
          <w:sz w:val="19"/>
        </w:rPr>
      </w:pPr>
      <w:r>
        <w:rPr>
          <w:rFonts w:ascii="arial" w:hAnsi="arial"/>
          <w:sz w:val="19"/>
        </w:rPr>
        <w:t xml:space="preserve">Except with respect to RSUs with a grant date fair market value of $220,000 that will be awarded to each non-employee director elected to serve on our Board on the date of this Annual Meeting pursuant to our Director Program, neither the Board, the Compensation Committee, nor the Equity Award Committee (as applicable) has made any determination to make future grants to any persons under the Amended Plan as of the date of this proxy statement. Therefore, it is not possible to determine the future benefits that will be received by these participants under the Amended Plan.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699"/>
        <w:gridCol w:w="120"/>
        <w:gridCol w:w="61"/>
        <w:gridCol w:w="880"/>
        <w:gridCol w:w="476"/>
        <w:gridCol w:w="60"/>
        <w:gridCol w:w="301"/>
        <w:gridCol w:w="1315"/>
        <w:gridCol w:w="293"/>
      </w:tblGrid>
      <w:tr>
        <w:trPr/>
        <w:tc>
          <w:tcPr>
            <w:tcW w:w="66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6699" w:type="dxa"/>
            <w:tcBorders/>
            <w:shd w:fill="0171B9" w:val="clear"/>
            <w:vAlign w:val="center"/>
          </w:tcPr>
          <w:p>
            <w:pPr>
              <w:pStyle w:val="TableContents"/>
              <w:bidi w:val="0"/>
              <w:spacing w:before="0" w:after="283"/>
              <w:jc w:val="left"/>
              <w:rPr>
                <w:sz w:val="4"/>
                <w:szCs w:val="4"/>
              </w:rPr>
            </w:pPr>
            <w:r>
              <w:rPr>
                <w:sz w:val="4"/>
                <w:szCs w:val="4"/>
              </w:rPr>
            </w:r>
          </w:p>
        </w:tc>
        <w:tc>
          <w:tcPr>
            <w:tcW w:w="1537" w:type="dxa"/>
            <w:gridSpan w:val="4"/>
            <w:tcBorders/>
            <w:shd w:fill="0171B9" w:val="clear"/>
            <w:vAlign w:val="center"/>
          </w:tcPr>
          <w:p>
            <w:pPr>
              <w:pStyle w:val="TableContents"/>
              <w:bidi w:val="0"/>
              <w:spacing w:before="0" w:after="283"/>
              <w:jc w:val="left"/>
              <w:rPr>
                <w:sz w:val="4"/>
                <w:szCs w:val="4"/>
              </w:rPr>
            </w:pPr>
            <w:r>
              <w:rPr>
                <w:sz w:val="4"/>
                <w:szCs w:val="4"/>
              </w:rPr>
            </w:r>
          </w:p>
        </w:tc>
        <w:tc>
          <w:tcPr>
            <w:tcW w:w="1969" w:type="dxa"/>
            <w:gridSpan w:val="4"/>
            <w:tcBorders/>
            <w:shd w:fill="0171B9" w:val="clear"/>
            <w:vAlign w:val="center"/>
          </w:tcPr>
          <w:p>
            <w:pPr>
              <w:pStyle w:val="TableContents"/>
              <w:bidi w:val="0"/>
              <w:spacing w:before="0" w:after="283"/>
              <w:jc w:val="left"/>
              <w:rPr>
                <w:sz w:val="4"/>
                <w:szCs w:val="4"/>
              </w:rPr>
            </w:pPr>
            <w:r>
              <w:rPr>
                <w:sz w:val="4"/>
                <w:szCs w:val="4"/>
              </w:rPr>
            </w:r>
          </w:p>
        </w:tc>
      </w:tr>
      <w:tr>
        <w:trPr/>
        <w:tc>
          <w:tcPr>
            <w:tcW w:w="6699" w:type="dxa"/>
            <w:tcBorders>
              <w:bottom w:val="single" w:sz="8" w:space="0" w:color="FFFFFF"/>
            </w:tcBorders>
            <w:shd w:fill="0171B9" w:val="clear"/>
            <w:tcMar>
              <w:bottom w:w="80" w:type="dxa"/>
            </w:tcMar>
            <w:vAlign w:val="center"/>
          </w:tcPr>
          <w:p>
            <w:pPr>
              <w:pStyle w:val="TableContents"/>
              <w:bidi w:val="0"/>
              <w:spacing w:before="0" w:after="283"/>
              <w:jc w:val="left"/>
              <w:rPr>
                <w:color w:val="FFFFFF"/>
              </w:rPr>
            </w:pPr>
            <w:r>
              <w:rPr>
                <w:color w:val="FFFFFF"/>
              </w:rPr>
              <w:t> </w:t>
            </w:r>
            <w:r>
              <w:rPr>
                <w:b/>
                <w:color w:val="FFFFFF"/>
              </w:rPr>
              <w:t>Name and Position</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941" w:type="dxa"/>
            <w:gridSpan w:val="2"/>
            <w:tcBorders>
              <w:bottom w:val="single" w:sz="8" w:space="0" w:color="FFFFFF"/>
            </w:tcBorders>
            <w:shd w:fill="0171B9" w:val="clear"/>
            <w:tcMar>
              <w:bottom w:w="80" w:type="dxa"/>
            </w:tcMar>
            <w:vAlign w:val="center"/>
          </w:tcPr>
          <w:p>
            <w:pPr>
              <w:pStyle w:val="TableContents"/>
              <w:bidi w:val="0"/>
              <w:spacing w:before="0" w:after="283"/>
              <w:jc w:val="right"/>
              <w:rPr>
                <w:b/>
                <w:color w:val="FFFFFF"/>
              </w:rPr>
            </w:pPr>
            <w:r>
              <w:rPr>
                <w:b/>
                <w:color w:val="FFFFFF"/>
              </w:rPr>
              <w:t>Dollar</w:t>
              <w:br/>
              <w:t>Value ($)</w:t>
            </w:r>
          </w:p>
        </w:tc>
        <w:tc>
          <w:tcPr>
            <w:tcW w:w="476"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616" w:type="dxa"/>
            <w:gridSpan w:val="2"/>
            <w:tcBorders>
              <w:bottom w:val="single" w:sz="8" w:space="0" w:color="FFFFFF"/>
            </w:tcBorders>
            <w:shd w:fill="0171B9" w:val="clear"/>
            <w:tcMar>
              <w:bottom w:w="80" w:type="dxa"/>
            </w:tcMar>
            <w:vAlign w:val="center"/>
          </w:tcPr>
          <w:p>
            <w:pPr>
              <w:pStyle w:val="TableContents"/>
              <w:bidi w:val="0"/>
              <w:spacing w:before="0" w:after="283"/>
              <w:jc w:val="right"/>
              <w:rPr>
                <w:b/>
                <w:color w:val="FFFFFF"/>
              </w:rPr>
            </w:pPr>
            <w:r>
              <w:rPr>
                <w:b/>
                <w:color w:val="FFFFFF"/>
              </w:rPr>
              <w:t>Number of</w:t>
              <w:br/>
              <w:t>Shares//Units (#)</w:t>
            </w:r>
          </w:p>
        </w:tc>
        <w:tc>
          <w:tcPr>
            <w:tcW w:w="293"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r>
      <w:tr>
        <w:trPr/>
        <w:tc>
          <w:tcPr>
            <w:tcW w:w="6699" w:type="dxa"/>
            <w:tcBorders/>
            <w:shd w:fill="CCE2F1" w:val="clear"/>
            <w:vAlign w:val="center"/>
          </w:tcPr>
          <w:p>
            <w:pPr>
              <w:pStyle w:val="TableContents"/>
              <w:bidi w:val="0"/>
              <w:spacing w:lineRule="atLeast" w:line="300" w:before="0" w:after="0"/>
              <w:jc w:val="left"/>
              <w:rPr/>
            </w:pPr>
            <w:r>
              <w:rPr/>
              <w:t> </w:t>
            </w:r>
            <w:r>
              <w:rPr>
                <w:rFonts w:ascii="arial" w:hAnsi="arial"/>
                <w:b/>
                <w:sz w:val="18"/>
              </w:rPr>
              <w:t>NEOs:</w:t>
            </w:r>
          </w:p>
        </w:tc>
        <w:tc>
          <w:tcPr>
            <w:tcW w:w="120" w:type="dxa"/>
            <w:tcBorders/>
            <w:shd w:fill="CCE2F1" w:val="clear"/>
            <w:vAlign w:val="center"/>
          </w:tcPr>
          <w:p>
            <w:pPr>
              <w:pStyle w:val="TableContents"/>
              <w:bidi w:val="0"/>
              <w:spacing w:before="0" w:after="283"/>
              <w:jc w:val="left"/>
              <w:rPr/>
            </w:pPr>
            <w:r>
              <w:rPr/>
              <w:t>  </w:t>
            </w:r>
          </w:p>
        </w:tc>
        <w:tc>
          <w:tcPr>
            <w:tcW w:w="61" w:type="dxa"/>
            <w:tcBorders/>
            <w:shd w:fill="CCE2F1" w:val="clear"/>
            <w:vAlign w:val="center"/>
          </w:tcPr>
          <w:p>
            <w:pPr>
              <w:pStyle w:val="TableContents"/>
              <w:bidi w:val="0"/>
              <w:spacing w:before="0" w:after="283"/>
              <w:jc w:val="left"/>
              <w:rPr>
                <w:sz w:val="4"/>
                <w:szCs w:val="4"/>
              </w:rPr>
            </w:pPr>
            <w:r>
              <w:rPr>
                <w:sz w:val="4"/>
                <w:szCs w:val="4"/>
              </w:rPr>
            </w:r>
          </w:p>
        </w:tc>
        <w:tc>
          <w:tcPr>
            <w:tcW w:w="880" w:type="dxa"/>
            <w:tcBorders/>
            <w:shd w:fill="CCE2F1" w:val="clear"/>
            <w:vAlign w:val="center"/>
          </w:tcPr>
          <w:p>
            <w:pPr>
              <w:pStyle w:val="TableContents"/>
              <w:bidi w:val="0"/>
              <w:spacing w:before="0" w:after="283"/>
              <w:jc w:val="left"/>
              <w:rPr>
                <w:sz w:val="4"/>
                <w:szCs w:val="4"/>
              </w:rPr>
            </w:pPr>
            <w:r>
              <w:rPr>
                <w:sz w:val="4"/>
                <w:szCs w:val="4"/>
              </w:rPr>
            </w:r>
          </w:p>
        </w:tc>
        <w:tc>
          <w:tcPr>
            <w:tcW w:w="476"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301" w:type="dxa"/>
            <w:tcBorders/>
            <w:shd w:fill="CCE2F1" w:val="clear"/>
            <w:vAlign w:val="center"/>
          </w:tcPr>
          <w:p>
            <w:pPr>
              <w:pStyle w:val="TableContents"/>
              <w:bidi w:val="0"/>
              <w:spacing w:before="0" w:after="283"/>
              <w:jc w:val="left"/>
              <w:rPr>
                <w:sz w:val="4"/>
                <w:szCs w:val="4"/>
              </w:rPr>
            </w:pPr>
            <w:r>
              <w:rPr>
                <w:sz w:val="4"/>
                <w:szCs w:val="4"/>
              </w:rPr>
            </w:r>
          </w:p>
        </w:tc>
        <w:tc>
          <w:tcPr>
            <w:tcW w:w="1315" w:type="dxa"/>
            <w:tcBorders/>
            <w:shd w:fill="CCE2F1" w:val="clear"/>
            <w:vAlign w:val="center"/>
          </w:tcPr>
          <w:p>
            <w:pPr>
              <w:pStyle w:val="TableContents"/>
              <w:bidi w:val="0"/>
              <w:spacing w:before="0" w:after="283"/>
              <w:jc w:val="left"/>
              <w:rPr>
                <w:sz w:val="4"/>
                <w:szCs w:val="4"/>
              </w:rPr>
            </w:pPr>
            <w:r>
              <w:rPr>
                <w:sz w:val="4"/>
                <w:szCs w:val="4"/>
              </w:rPr>
            </w:r>
          </w:p>
        </w:tc>
        <w:tc>
          <w:tcPr>
            <w:tcW w:w="293" w:type="dxa"/>
            <w:tcBorders/>
            <w:shd w:fill="CCE2F1" w:val="clear"/>
            <w:vAlign w:val="center"/>
          </w:tcPr>
          <w:p>
            <w:pPr>
              <w:pStyle w:val="TableContents"/>
              <w:bidi w:val="0"/>
              <w:spacing w:before="0" w:after="283"/>
              <w:jc w:val="left"/>
              <w:rPr>
                <w:sz w:val="4"/>
                <w:szCs w:val="4"/>
              </w:rPr>
            </w:pPr>
            <w:r>
              <w:rPr>
                <w:sz w:val="4"/>
                <w:szCs w:val="4"/>
              </w:rPr>
            </w:r>
          </w:p>
        </w:tc>
      </w:tr>
      <w:tr>
        <w:trPr/>
        <w:tc>
          <w:tcPr>
            <w:tcW w:w="6699" w:type="dxa"/>
            <w:tcBorders/>
            <w:vAlign w:val="center"/>
          </w:tcPr>
          <w:p>
            <w:pPr>
              <w:pStyle w:val="TableContents"/>
              <w:bidi w:val="0"/>
              <w:spacing w:before="0" w:after="283"/>
              <w:jc w:val="left"/>
              <w:rPr>
                <w:sz w:val="4"/>
                <w:szCs w:val="4"/>
              </w:rPr>
            </w:pPr>
            <w:r>
              <w:rPr>
                <w:sz w:val="4"/>
                <w:szCs w:val="4"/>
              </w:rPr>
            </w:r>
          </w:p>
        </w:tc>
        <w:tc>
          <w:tcPr>
            <w:tcW w:w="1537" w:type="dxa"/>
            <w:gridSpan w:val="4"/>
            <w:tcBorders/>
            <w:vAlign w:val="center"/>
          </w:tcPr>
          <w:p>
            <w:pPr>
              <w:pStyle w:val="TableContents"/>
              <w:bidi w:val="0"/>
              <w:spacing w:before="0" w:after="283"/>
              <w:jc w:val="left"/>
              <w:rPr>
                <w:sz w:val="4"/>
                <w:szCs w:val="4"/>
              </w:rPr>
            </w:pPr>
            <w:r>
              <w:rPr>
                <w:sz w:val="4"/>
                <w:szCs w:val="4"/>
              </w:rPr>
            </w:r>
          </w:p>
        </w:tc>
        <w:tc>
          <w:tcPr>
            <w:tcW w:w="1969" w:type="dxa"/>
            <w:gridSpan w:val="4"/>
            <w:tcBorders/>
            <w:vAlign w:val="center"/>
          </w:tcPr>
          <w:p>
            <w:pPr>
              <w:pStyle w:val="TableContents"/>
              <w:bidi w:val="0"/>
              <w:spacing w:before="0" w:after="283"/>
              <w:jc w:val="left"/>
              <w:rPr>
                <w:sz w:val="4"/>
                <w:szCs w:val="4"/>
              </w:rPr>
            </w:pPr>
            <w:r>
              <w:rPr>
                <w:sz w:val="4"/>
                <w:szCs w:val="4"/>
              </w:rPr>
            </w:r>
          </w:p>
        </w:tc>
      </w:tr>
      <w:tr>
        <w:trPr/>
        <w:tc>
          <w:tcPr>
            <w:tcW w:w="6699" w:type="dxa"/>
            <w:tcBorders/>
            <w:vAlign w:val="center"/>
          </w:tcPr>
          <w:p>
            <w:pPr>
              <w:pStyle w:val="TableContents"/>
              <w:bidi w:val="0"/>
              <w:spacing w:before="0" w:after="0"/>
              <w:jc w:val="left"/>
              <w:rPr/>
            </w:pPr>
            <w:r>
              <w:rPr/>
              <w:t> </w:t>
            </w:r>
            <w:r>
              <w:rPr>
                <w:rFonts w:ascii="arial" w:hAnsi="arial"/>
                <w:b/>
                <w:sz w:val="18"/>
              </w:rPr>
              <w:t xml:space="preserve">Robert A. Bradway </w:t>
            </w:r>
          </w:p>
          <w:p>
            <w:pPr>
              <w:pStyle w:val="TableContents"/>
              <w:bidi w:val="0"/>
              <w:spacing w:before="0" w:after="20"/>
              <w:jc w:val="left"/>
              <w:rPr/>
            </w:pPr>
            <w:r>
              <w:rPr/>
              <w:t> </w:t>
            </w:r>
            <w:r>
              <w:rPr>
                <w:rFonts w:ascii="arial" w:hAnsi="arial"/>
                <w:sz w:val="18"/>
              </w:rPr>
              <w:t>Chairman and Chief Executive Officer</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right"/>
              <w:rPr/>
            </w:pPr>
            <w:r>
              <w:rPr/>
              <w:t>—</w:t>
            </w:r>
          </w:p>
        </w:tc>
        <w:tc>
          <w:tcPr>
            <w:tcW w:w="4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315" w:type="dxa"/>
            <w:tcBorders/>
            <w:vAlign w:val="center"/>
          </w:tcPr>
          <w:p>
            <w:pPr>
              <w:pStyle w:val="TableContents"/>
              <w:bidi w:val="0"/>
              <w:spacing w:before="0" w:after="283"/>
              <w:jc w:val="right"/>
              <w:rPr/>
            </w:pPr>
            <w:r>
              <w:rPr/>
              <w:t>—</w:t>
            </w:r>
          </w:p>
        </w:tc>
        <w:tc>
          <w:tcPr>
            <w:tcW w:w="293" w:type="dxa"/>
            <w:tcBorders/>
            <w:vAlign w:val="center"/>
          </w:tcPr>
          <w:p>
            <w:pPr>
              <w:pStyle w:val="TableContents"/>
              <w:bidi w:val="0"/>
              <w:spacing w:before="0" w:after="283"/>
              <w:jc w:val="left"/>
              <w:rPr/>
            </w:pPr>
            <w:r>
              <w:rPr/>
              <w:t> </w:t>
            </w:r>
          </w:p>
        </w:tc>
      </w:tr>
      <w:tr>
        <w:trPr/>
        <w:tc>
          <w:tcPr>
            <w:tcW w:w="6699" w:type="dxa"/>
            <w:tcBorders/>
            <w:shd w:fill="CCE2F1" w:val="clear"/>
            <w:vAlign w:val="center"/>
          </w:tcPr>
          <w:p>
            <w:pPr>
              <w:pStyle w:val="TableContents"/>
              <w:bidi w:val="0"/>
              <w:spacing w:before="0" w:after="283"/>
              <w:jc w:val="left"/>
              <w:rPr>
                <w:sz w:val="4"/>
                <w:szCs w:val="4"/>
              </w:rPr>
            </w:pPr>
            <w:r>
              <w:rPr>
                <w:sz w:val="4"/>
                <w:szCs w:val="4"/>
              </w:rPr>
            </w:r>
          </w:p>
        </w:tc>
        <w:tc>
          <w:tcPr>
            <w:tcW w:w="1537" w:type="dxa"/>
            <w:gridSpan w:val="4"/>
            <w:tcBorders/>
            <w:shd w:fill="CCE2F1" w:val="clear"/>
            <w:vAlign w:val="center"/>
          </w:tcPr>
          <w:p>
            <w:pPr>
              <w:pStyle w:val="TableContents"/>
              <w:bidi w:val="0"/>
              <w:spacing w:before="0" w:after="283"/>
              <w:jc w:val="left"/>
              <w:rPr>
                <w:sz w:val="4"/>
                <w:szCs w:val="4"/>
              </w:rPr>
            </w:pPr>
            <w:r>
              <w:rPr>
                <w:sz w:val="4"/>
                <w:szCs w:val="4"/>
              </w:rPr>
            </w:r>
          </w:p>
        </w:tc>
        <w:tc>
          <w:tcPr>
            <w:tcW w:w="1969"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6699" w:type="dxa"/>
            <w:tcBorders/>
            <w:shd w:fill="CCE2F1" w:val="clear"/>
            <w:vAlign w:val="center"/>
          </w:tcPr>
          <w:p>
            <w:pPr>
              <w:pStyle w:val="TableContents"/>
              <w:bidi w:val="0"/>
              <w:spacing w:before="0" w:after="0"/>
              <w:jc w:val="left"/>
              <w:rPr/>
            </w:pPr>
            <w:r>
              <w:rPr/>
              <w:t> </w:t>
            </w:r>
            <w:r>
              <w:rPr>
                <w:rFonts w:ascii="arial" w:hAnsi="arial"/>
                <w:b/>
                <w:sz w:val="18"/>
              </w:rPr>
              <w:t xml:space="preserve">Murdo Gordon </w:t>
            </w:r>
          </w:p>
          <w:p>
            <w:pPr>
              <w:pStyle w:val="TableContents"/>
              <w:bidi w:val="0"/>
              <w:spacing w:before="0" w:after="20"/>
              <w:jc w:val="left"/>
              <w:rPr/>
            </w:pPr>
            <w:r>
              <w:rPr/>
              <w:t> </w:t>
            </w:r>
            <w:r>
              <w:rPr>
                <w:rFonts w:ascii="arial" w:hAnsi="arial"/>
                <w:sz w:val="18"/>
              </w:rPr>
              <w:t>Executive Vice President, Global Commercial Operations)</w:t>
            </w:r>
          </w:p>
        </w:tc>
        <w:tc>
          <w:tcPr>
            <w:tcW w:w="120" w:type="dxa"/>
            <w:tcBorders/>
            <w:shd w:fill="CCE2F1" w:val="clear"/>
            <w:vAlign w:val="center"/>
          </w:tcPr>
          <w:p>
            <w:pPr>
              <w:pStyle w:val="TableContents"/>
              <w:bidi w:val="0"/>
              <w:spacing w:before="0" w:after="283"/>
              <w:jc w:val="left"/>
              <w:rPr/>
            </w:pPr>
            <w:r>
              <w:rPr/>
              <w:t>  </w:t>
            </w:r>
          </w:p>
        </w:tc>
        <w:tc>
          <w:tcPr>
            <w:tcW w:w="61" w:type="dxa"/>
            <w:tcBorders/>
            <w:shd w:fill="CCE2F1" w:val="clear"/>
            <w:vAlign w:val="center"/>
          </w:tcPr>
          <w:p>
            <w:pPr>
              <w:pStyle w:val="TableContents"/>
              <w:bidi w:val="0"/>
              <w:spacing w:before="0" w:after="283"/>
              <w:jc w:val="left"/>
              <w:rPr/>
            </w:pPr>
            <w:r>
              <w:rPr/>
              <w:t> </w:t>
            </w:r>
          </w:p>
        </w:tc>
        <w:tc>
          <w:tcPr>
            <w:tcW w:w="880" w:type="dxa"/>
            <w:tcBorders/>
            <w:shd w:fill="CCE2F1" w:val="clear"/>
            <w:vAlign w:val="center"/>
          </w:tcPr>
          <w:p>
            <w:pPr>
              <w:pStyle w:val="TableContents"/>
              <w:bidi w:val="0"/>
              <w:spacing w:before="0" w:after="283"/>
              <w:jc w:val="right"/>
              <w:rPr/>
            </w:pPr>
            <w:r>
              <w:rPr/>
              <w:t>—</w:t>
            </w:r>
          </w:p>
        </w:tc>
        <w:tc>
          <w:tcPr>
            <w:tcW w:w="476"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301" w:type="dxa"/>
            <w:tcBorders/>
            <w:shd w:fill="CCE2F1" w:val="clear"/>
            <w:vAlign w:val="center"/>
          </w:tcPr>
          <w:p>
            <w:pPr>
              <w:pStyle w:val="TableContents"/>
              <w:bidi w:val="0"/>
              <w:spacing w:before="0" w:after="283"/>
              <w:jc w:val="left"/>
              <w:rPr/>
            </w:pPr>
            <w:r>
              <w:rPr/>
              <w:t> </w:t>
            </w:r>
          </w:p>
        </w:tc>
        <w:tc>
          <w:tcPr>
            <w:tcW w:w="1315" w:type="dxa"/>
            <w:tcBorders/>
            <w:shd w:fill="CCE2F1" w:val="clear"/>
            <w:vAlign w:val="center"/>
          </w:tcPr>
          <w:p>
            <w:pPr>
              <w:pStyle w:val="TableContents"/>
              <w:bidi w:val="0"/>
              <w:spacing w:before="0" w:after="283"/>
              <w:jc w:val="right"/>
              <w:rPr/>
            </w:pPr>
            <w:r>
              <w:rPr/>
              <w:t>—</w:t>
            </w:r>
          </w:p>
        </w:tc>
        <w:tc>
          <w:tcPr>
            <w:tcW w:w="293" w:type="dxa"/>
            <w:tcBorders/>
            <w:shd w:fill="CCE2F1" w:val="clear"/>
            <w:vAlign w:val="center"/>
          </w:tcPr>
          <w:p>
            <w:pPr>
              <w:pStyle w:val="TableContents"/>
              <w:bidi w:val="0"/>
              <w:spacing w:before="0" w:after="283"/>
              <w:jc w:val="left"/>
              <w:rPr/>
            </w:pPr>
            <w:r>
              <w:rPr/>
              <w:t> </w:t>
            </w:r>
          </w:p>
        </w:tc>
      </w:tr>
      <w:tr>
        <w:trPr/>
        <w:tc>
          <w:tcPr>
            <w:tcW w:w="6699" w:type="dxa"/>
            <w:tcBorders/>
            <w:vAlign w:val="center"/>
          </w:tcPr>
          <w:p>
            <w:pPr>
              <w:pStyle w:val="TableContents"/>
              <w:bidi w:val="0"/>
              <w:spacing w:before="0" w:after="283"/>
              <w:jc w:val="left"/>
              <w:rPr>
                <w:sz w:val="4"/>
                <w:szCs w:val="4"/>
              </w:rPr>
            </w:pPr>
            <w:r>
              <w:rPr>
                <w:sz w:val="4"/>
                <w:szCs w:val="4"/>
              </w:rPr>
            </w:r>
          </w:p>
        </w:tc>
        <w:tc>
          <w:tcPr>
            <w:tcW w:w="1537" w:type="dxa"/>
            <w:gridSpan w:val="4"/>
            <w:tcBorders/>
            <w:vAlign w:val="center"/>
          </w:tcPr>
          <w:p>
            <w:pPr>
              <w:pStyle w:val="TableContents"/>
              <w:bidi w:val="0"/>
              <w:spacing w:before="0" w:after="283"/>
              <w:jc w:val="left"/>
              <w:rPr>
                <w:sz w:val="4"/>
                <w:szCs w:val="4"/>
              </w:rPr>
            </w:pPr>
            <w:r>
              <w:rPr>
                <w:sz w:val="4"/>
                <w:szCs w:val="4"/>
              </w:rPr>
            </w:r>
          </w:p>
        </w:tc>
        <w:tc>
          <w:tcPr>
            <w:tcW w:w="1969" w:type="dxa"/>
            <w:gridSpan w:val="4"/>
            <w:tcBorders/>
            <w:vAlign w:val="center"/>
          </w:tcPr>
          <w:p>
            <w:pPr>
              <w:pStyle w:val="TableContents"/>
              <w:bidi w:val="0"/>
              <w:spacing w:before="0" w:after="283"/>
              <w:jc w:val="left"/>
              <w:rPr>
                <w:sz w:val="4"/>
                <w:szCs w:val="4"/>
              </w:rPr>
            </w:pPr>
            <w:r>
              <w:rPr>
                <w:sz w:val="4"/>
                <w:szCs w:val="4"/>
              </w:rPr>
            </w:r>
          </w:p>
        </w:tc>
      </w:tr>
      <w:tr>
        <w:trPr/>
        <w:tc>
          <w:tcPr>
            <w:tcW w:w="6699" w:type="dxa"/>
            <w:tcBorders/>
            <w:vAlign w:val="center"/>
          </w:tcPr>
          <w:p>
            <w:pPr>
              <w:pStyle w:val="TableContents"/>
              <w:bidi w:val="0"/>
              <w:spacing w:before="0" w:after="0"/>
              <w:jc w:val="left"/>
              <w:rPr/>
            </w:pPr>
            <w:r>
              <w:rPr/>
              <w:t> </w:t>
            </w:r>
            <w:r>
              <w:rPr>
                <w:rFonts w:ascii="arial" w:hAnsi="arial"/>
                <w:b/>
                <w:sz w:val="18"/>
              </w:rPr>
              <w:t xml:space="preserve">David M. Reese </w:t>
            </w:r>
          </w:p>
          <w:p>
            <w:pPr>
              <w:pStyle w:val="TableContents"/>
              <w:bidi w:val="0"/>
              <w:spacing w:before="0" w:after="20"/>
              <w:jc w:val="left"/>
              <w:rPr/>
            </w:pPr>
            <w:r>
              <w:rPr/>
              <w:t> </w:t>
            </w:r>
            <w:r>
              <w:rPr>
                <w:rFonts w:ascii="arial" w:hAnsi="arial"/>
                <w:sz w:val="18"/>
              </w:rPr>
              <w:t>Executive Vice President and Chief Technology Officer</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right"/>
              <w:rPr/>
            </w:pPr>
            <w:r>
              <w:rPr/>
              <w:t>—</w:t>
            </w:r>
          </w:p>
        </w:tc>
        <w:tc>
          <w:tcPr>
            <w:tcW w:w="4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315" w:type="dxa"/>
            <w:tcBorders/>
            <w:vAlign w:val="center"/>
          </w:tcPr>
          <w:p>
            <w:pPr>
              <w:pStyle w:val="TableContents"/>
              <w:bidi w:val="0"/>
              <w:spacing w:before="0" w:after="283"/>
              <w:jc w:val="right"/>
              <w:rPr/>
            </w:pPr>
            <w:r>
              <w:rPr/>
              <w:t>—</w:t>
            </w:r>
          </w:p>
        </w:tc>
        <w:tc>
          <w:tcPr>
            <w:tcW w:w="293" w:type="dxa"/>
            <w:tcBorders/>
            <w:vAlign w:val="center"/>
          </w:tcPr>
          <w:p>
            <w:pPr>
              <w:pStyle w:val="TableContents"/>
              <w:bidi w:val="0"/>
              <w:spacing w:before="0" w:after="283"/>
              <w:jc w:val="left"/>
              <w:rPr/>
            </w:pPr>
            <w:r>
              <w:rPr/>
              <w:t> </w:t>
            </w:r>
          </w:p>
        </w:tc>
      </w:tr>
      <w:tr>
        <w:trPr/>
        <w:tc>
          <w:tcPr>
            <w:tcW w:w="6699" w:type="dxa"/>
            <w:tcBorders/>
            <w:shd w:fill="CCE2F1" w:val="clear"/>
            <w:vAlign w:val="center"/>
          </w:tcPr>
          <w:p>
            <w:pPr>
              <w:pStyle w:val="TableContents"/>
              <w:bidi w:val="0"/>
              <w:spacing w:before="0" w:after="283"/>
              <w:jc w:val="left"/>
              <w:rPr>
                <w:sz w:val="4"/>
                <w:szCs w:val="4"/>
              </w:rPr>
            </w:pPr>
            <w:r>
              <w:rPr>
                <w:sz w:val="4"/>
                <w:szCs w:val="4"/>
              </w:rPr>
            </w:r>
          </w:p>
        </w:tc>
        <w:tc>
          <w:tcPr>
            <w:tcW w:w="1537" w:type="dxa"/>
            <w:gridSpan w:val="4"/>
            <w:tcBorders/>
            <w:shd w:fill="CCE2F1" w:val="clear"/>
            <w:vAlign w:val="center"/>
          </w:tcPr>
          <w:p>
            <w:pPr>
              <w:pStyle w:val="TableContents"/>
              <w:bidi w:val="0"/>
              <w:spacing w:before="0" w:after="283"/>
              <w:jc w:val="left"/>
              <w:rPr>
                <w:sz w:val="4"/>
                <w:szCs w:val="4"/>
              </w:rPr>
            </w:pPr>
            <w:r>
              <w:rPr>
                <w:sz w:val="4"/>
                <w:szCs w:val="4"/>
              </w:rPr>
            </w:r>
          </w:p>
        </w:tc>
        <w:tc>
          <w:tcPr>
            <w:tcW w:w="1969"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6699" w:type="dxa"/>
            <w:tcBorders/>
            <w:shd w:fill="CCE2F1" w:val="clear"/>
            <w:vAlign w:val="center"/>
          </w:tcPr>
          <w:p>
            <w:pPr>
              <w:pStyle w:val="TableContents"/>
              <w:bidi w:val="0"/>
              <w:spacing w:before="0" w:after="0"/>
              <w:jc w:val="left"/>
              <w:rPr/>
            </w:pPr>
            <w:r>
              <w:rPr/>
              <w:t> </w:t>
            </w:r>
            <w:r>
              <w:rPr>
                <w:rFonts w:ascii="arial" w:hAnsi="arial"/>
                <w:b/>
                <w:sz w:val="18"/>
              </w:rPr>
              <w:t xml:space="preserve">Peter H. Griffith </w:t>
            </w:r>
          </w:p>
          <w:p>
            <w:pPr>
              <w:pStyle w:val="TableContents"/>
              <w:bidi w:val="0"/>
              <w:spacing w:before="0" w:after="20"/>
              <w:jc w:val="left"/>
              <w:rPr/>
            </w:pPr>
            <w:r>
              <w:rPr/>
              <w:t> </w:t>
            </w:r>
            <w:r>
              <w:rPr>
                <w:rFonts w:ascii="arial" w:hAnsi="arial"/>
                <w:sz w:val="18"/>
              </w:rPr>
              <w:t>Executive Vice President and Chief Financial Officer</w:t>
            </w:r>
          </w:p>
        </w:tc>
        <w:tc>
          <w:tcPr>
            <w:tcW w:w="120" w:type="dxa"/>
            <w:tcBorders/>
            <w:shd w:fill="CCE2F1" w:val="clear"/>
            <w:vAlign w:val="center"/>
          </w:tcPr>
          <w:p>
            <w:pPr>
              <w:pStyle w:val="TableContents"/>
              <w:bidi w:val="0"/>
              <w:spacing w:before="0" w:after="283"/>
              <w:jc w:val="left"/>
              <w:rPr/>
            </w:pPr>
            <w:r>
              <w:rPr/>
              <w:t>  </w:t>
            </w:r>
          </w:p>
        </w:tc>
        <w:tc>
          <w:tcPr>
            <w:tcW w:w="61" w:type="dxa"/>
            <w:tcBorders/>
            <w:shd w:fill="CCE2F1" w:val="clear"/>
            <w:vAlign w:val="center"/>
          </w:tcPr>
          <w:p>
            <w:pPr>
              <w:pStyle w:val="TableContents"/>
              <w:bidi w:val="0"/>
              <w:spacing w:before="0" w:after="283"/>
              <w:jc w:val="left"/>
              <w:rPr/>
            </w:pPr>
            <w:r>
              <w:rPr/>
              <w:t> </w:t>
            </w:r>
          </w:p>
        </w:tc>
        <w:tc>
          <w:tcPr>
            <w:tcW w:w="880" w:type="dxa"/>
            <w:tcBorders/>
            <w:shd w:fill="CCE2F1" w:val="clear"/>
            <w:vAlign w:val="center"/>
          </w:tcPr>
          <w:p>
            <w:pPr>
              <w:pStyle w:val="TableContents"/>
              <w:bidi w:val="0"/>
              <w:spacing w:before="0" w:after="283"/>
              <w:jc w:val="right"/>
              <w:rPr/>
            </w:pPr>
            <w:r>
              <w:rPr/>
              <w:t>—</w:t>
            </w:r>
          </w:p>
        </w:tc>
        <w:tc>
          <w:tcPr>
            <w:tcW w:w="476"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301" w:type="dxa"/>
            <w:tcBorders/>
            <w:shd w:fill="CCE2F1" w:val="clear"/>
            <w:vAlign w:val="center"/>
          </w:tcPr>
          <w:p>
            <w:pPr>
              <w:pStyle w:val="TableContents"/>
              <w:bidi w:val="0"/>
              <w:spacing w:before="0" w:after="283"/>
              <w:jc w:val="left"/>
              <w:rPr/>
            </w:pPr>
            <w:r>
              <w:rPr/>
              <w:t> </w:t>
            </w:r>
          </w:p>
        </w:tc>
        <w:tc>
          <w:tcPr>
            <w:tcW w:w="1315" w:type="dxa"/>
            <w:tcBorders/>
            <w:shd w:fill="CCE2F1" w:val="clear"/>
            <w:vAlign w:val="center"/>
          </w:tcPr>
          <w:p>
            <w:pPr>
              <w:pStyle w:val="TableContents"/>
              <w:bidi w:val="0"/>
              <w:spacing w:before="0" w:after="283"/>
              <w:jc w:val="right"/>
              <w:rPr/>
            </w:pPr>
            <w:r>
              <w:rPr/>
              <w:t>—</w:t>
            </w:r>
          </w:p>
        </w:tc>
        <w:tc>
          <w:tcPr>
            <w:tcW w:w="293" w:type="dxa"/>
            <w:tcBorders/>
            <w:shd w:fill="CCE2F1" w:val="clear"/>
            <w:vAlign w:val="center"/>
          </w:tcPr>
          <w:p>
            <w:pPr>
              <w:pStyle w:val="TableContents"/>
              <w:bidi w:val="0"/>
              <w:spacing w:before="0" w:after="283"/>
              <w:jc w:val="left"/>
              <w:rPr/>
            </w:pPr>
            <w:r>
              <w:rPr/>
              <w:t> </w:t>
            </w:r>
          </w:p>
        </w:tc>
      </w:tr>
      <w:tr>
        <w:trPr/>
        <w:tc>
          <w:tcPr>
            <w:tcW w:w="6699" w:type="dxa"/>
            <w:tcBorders/>
            <w:vAlign w:val="center"/>
          </w:tcPr>
          <w:p>
            <w:pPr>
              <w:pStyle w:val="TableContents"/>
              <w:bidi w:val="0"/>
              <w:spacing w:before="0" w:after="283"/>
              <w:jc w:val="left"/>
              <w:rPr>
                <w:sz w:val="4"/>
                <w:szCs w:val="4"/>
              </w:rPr>
            </w:pPr>
            <w:r>
              <w:rPr>
                <w:sz w:val="4"/>
                <w:szCs w:val="4"/>
              </w:rPr>
            </w:r>
          </w:p>
        </w:tc>
        <w:tc>
          <w:tcPr>
            <w:tcW w:w="1537" w:type="dxa"/>
            <w:gridSpan w:val="4"/>
            <w:tcBorders/>
            <w:vAlign w:val="center"/>
          </w:tcPr>
          <w:p>
            <w:pPr>
              <w:pStyle w:val="TableContents"/>
              <w:bidi w:val="0"/>
              <w:spacing w:before="0" w:after="283"/>
              <w:jc w:val="left"/>
              <w:rPr>
                <w:sz w:val="4"/>
                <w:szCs w:val="4"/>
              </w:rPr>
            </w:pPr>
            <w:r>
              <w:rPr>
                <w:sz w:val="4"/>
                <w:szCs w:val="4"/>
              </w:rPr>
            </w:r>
          </w:p>
        </w:tc>
        <w:tc>
          <w:tcPr>
            <w:tcW w:w="1969" w:type="dxa"/>
            <w:gridSpan w:val="4"/>
            <w:tcBorders/>
            <w:vAlign w:val="center"/>
          </w:tcPr>
          <w:p>
            <w:pPr>
              <w:pStyle w:val="TableContents"/>
              <w:bidi w:val="0"/>
              <w:spacing w:before="0" w:after="283"/>
              <w:jc w:val="left"/>
              <w:rPr>
                <w:sz w:val="4"/>
                <w:szCs w:val="4"/>
              </w:rPr>
            </w:pPr>
            <w:r>
              <w:rPr>
                <w:sz w:val="4"/>
                <w:szCs w:val="4"/>
              </w:rPr>
            </w:r>
          </w:p>
        </w:tc>
      </w:tr>
      <w:tr>
        <w:trPr/>
        <w:tc>
          <w:tcPr>
            <w:tcW w:w="6699" w:type="dxa"/>
            <w:tcBorders/>
            <w:vAlign w:val="center"/>
          </w:tcPr>
          <w:p>
            <w:pPr>
              <w:pStyle w:val="TableContents"/>
              <w:bidi w:val="0"/>
              <w:spacing w:before="0" w:after="0"/>
              <w:jc w:val="left"/>
              <w:rPr/>
            </w:pPr>
            <w:r>
              <w:rPr/>
              <w:t> </w:t>
            </w:r>
            <w:r>
              <w:rPr>
                <w:rFonts w:ascii="arial" w:hAnsi="arial"/>
                <w:b/>
                <w:sz w:val="18"/>
              </w:rPr>
              <w:t xml:space="preserve">Esteban Santos </w:t>
            </w:r>
          </w:p>
          <w:p>
            <w:pPr>
              <w:pStyle w:val="TableContents"/>
              <w:bidi w:val="0"/>
              <w:spacing w:before="0" w:after="20"/>
              <w:jc w:val="left"/>
              <w:rPr/>
            </w:pPr>
            <w:r>
              <w:rPr/>
              <w:t> </w:t>
            </w:r>
            <w:r>
              <w:rPr>
                <w:rFonts w:ascii="arial" w:hAnsi="arial"/>
                <w:sz w:val="18"/>
              </w:rPr>
              <w:t>Executive Vice President, Operations</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right"/>
              <w:rPr/>
            </w:pPr>
            <w:r>
              <w:rPr/>
              <w:t>—</w:t>
            </w:r>
          </w:p>
        </w:tc>
        <w:tc>
          <w:tcPr>
            <w:tcW w:w="4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315" w:type="dxa"/>
            <w:tcBorders/>
            <w:vAlign w:val="center"/>
          </w:tcPr>
          <w:p>
            <w:pPr>
              <w:pStyle w:val="TableContents"/>
              <w:bidi w:val="0"/>
              <w:spacing w:before="0" w:after="283"/>
              <w:jc w:val="right"/>
              <w:rPr/>
            </w:pPr>
            <w:r>
              <w:rPr/>
              <w:t>—</w:t>
            </w:r>
          </w:p>
        </w:tc>
        <w:tc>
          <w:tcPr>
            <w:tcW w:w="293" w:type="dxa"/>
            <w:tcBorders/>
            <w:vAlign w:val="center"/>
          </w:tcPr>
          <w:p>
            <w:pPr>
              <w:pStyle w:val="TableContents"/>
              <w:bidi w:val="0"/>
              <w:spacing w:before="0" w:after="283"/>
              <w:jc w:val="left"/>
              <w:rPr/>
            </w:pPr>
            <w:r>
              <w:rPr/>
              <w:t> </w:t>
            </w:r>
          </w:p>
        </w:tc>
      </w:tr>
      <w:tr>
        <w:trPr/>
        <w:tc>
          <w:tcPr>
            <w:tcW w:w="6699" w:type="dxa"/>
            <w:tcBorders/>
            <w:shd w:fill="CCE2F1" w:val="clear"/>
            <w:vAlign w:val="center"/>
          </w:tcPr>
          <w:p>
            <w:pPr>
              <w:pStyle w:val="TableContents"/>
              <w:bidi w:val="0"/>
              <w:spacing w:lineRule="atLeast" w:line="300" w:before="0" w:after="0"/>
              <w:jc w:val="left"/>
              <w:rPr/>
            </w:pPr>
            <w:r>
              <w:rPr/>
              <w:t> </w:t>
            </w:r>
            <w:r>
              <w:rPr>
                <w:rFonts w:ascii="arial" w:hAnsi="arial"/>
                <w:b/>
                <w:sz w:val="18"/>
              </w:rPr>
              <w:t>All Current Executive Officers as a Group</w:t>
            </w:r>
          </w:p>
        </w:tc>
        <w:tc>
          <w:tcPr>
            <w:tcW w:w="120" w:type="dxa"/>
            <w:tcBorders/>
            <w:shd w:fill="CCE2F1" w:val="clear"/>
            <w:vAlign w:val="center"/>
          </w:tcPr>
          <w:p>
            <w:pPr>
              <w:pStyle w:val="TableContents"/>
              <w:bidi w:val="0"/>
              <w:spacing w:before="0" w:after="283"/>
              <w:jc w:val="left"/>
              <w:rPr/>
            </w:pPr>
            <w:r>
              <w:rPr/>
              <w:t>  </w:t>
            </w:r>
          </w:p>
        </w:tc>
        <w:tc>
          <w:tcPr>
            <w:tcW w:w="61" w:type="dxa"/>
            <w:tcBorders/>
            <w:shd w:fill="CCE2F1" w:val="clear"/>
            <w:vAlign w:val="center"/>
          </w:tcPr>
          <w:p>
            <w:pPr>
              <w:pStyle w:val="TableContents"/>
              <w:bidi w:val="0"/>
              <w:spacing w:lineRule="atLeast" w:line="300" w:before="0" w:after="0"/>
              <w:jc w:val="left"/>
              <w:rPr/>
            </w:pPr>
            <w:r>
              <w:rPr/>
              <w:t> </w:t>
            </w:r>
          </w:p>
        </w:tc>
        <w:tc>
          <w:tcPr>
            <w:tcW w:w="880" w:type="dxa"/>
            <w:tcBorders/>
            <w:shd w:fill="CCE2F1" w:val="clear"/>
            <w:vAlign w:val="center"/>
          </w:tcPr>
          <w:p>
            <w:pPr>
              <w:pStyle w:val="TableContents"/>
              <w:bidi w:val="0"/>
              <w:spacing w:lineRule="atLeast" w:line="300" w:before="0" w:after="0"/>
              <w:jc w:val="right"/>
              <w:rPr/>
            </w:pPr>
            <w:r>
              <w:rPr/>
              <w:t>—</w:t>
            </w:r>
          </w:p>
        </w:tc>
        <w:tc>
          <w:tcPr>
            <w:tcW w:w="476" w:type="dxa"/>
            <w:tcBorders/>
            <w:shd w:fill="CCE2F1" w:val="clear"/>
            <w:vAlign w:val="center"/>
          </w:tcPr>
          <w:p>
            <w:pPr>
              <w:pStyle w:val="TableContents"/>
              <w:bidi w:val="0"/>
              <w:spacing w:lineRule="atLeast" w:line="300" w:before="0" w:after="0"/>
              <w:jc w:val="left"/>
              <w:rPr/>
            </w:pPr>
            <w:r>
              <w:rPr/>
              <w:t> </w:t>
            </w:r>
          </w:p>
        </w:tc>
        <w:tc>
          <w:tcPr>
            <w:tcW w:w="60" w:type="dxa"/>
            <w:tcBorders/>
            <w:shd w:fill="CCE2F1" w:val="clear"/>
            <w:vAlign w:val="center"/>
          </w:tcPr>
          <w:p>
            <w:pPr>
              <w:pStyle w:val="TableContents"/>
              <w:bidi w:val="0"/>
              <w:spacing w:before="0" w:after="283"/>
              <w:jc w:val="left"/>
              <w:rPr/>
            </w:pPr>
            <w:r>
              <w:rPr/>
              <w:t> </w:t>
            </w:r>
          </w:p>
        </w:tc>
        <w:tc>
          <w:tcPr>
            <w:tcW w:w="301" w:type="dxa"/>
            <w:tcBorders/>
            <w:shd w:fill="CCE2F1" w:val="clear"/>
            <w:vAlign w:val="center"/>
          </w:tcPr>
          <w:p>
            <w:pPr>
              <w:pStyle w:val="TableContents"/>
              <w:bidi w:val="0"/>
              <w:spacing w:lineRule="atLeast" w:line="300" w:before="0" w:after="0"/>
              <w:jc w:val="left"/>
              <w:rPr/>
            </w:pPr>
            <w:r>
              <w:rPr/>
              <w:t> </w:t>
            </w:r>
          </w:p>
        </w:tc>
        <w:tc>
          <w:tcPr>
            <w:tcW w:w="1315" w:type="dxa"/>
            <w:tcBorders/>
            <w:shd w:fill="CCE2F1" w:val="clear"/>
            <w:vAlign w:val="center"/>
          </w:tcPr>
          <w:p>
            <w:pPr>
              <w:pStyle w:val="TableContents"/>
              <w:bidi w:val="0"/>
              <w:spacing w:lineRule="atLeast" w:line="300" w:before="0" w:after="0"/>
              <w:jc w:val="right"/>
              <w:rPr/>
            </w:pPr>
            <w:r>
              <w:rPr/>
              <w:t>—</w:t>
            </w:r>
          </w:p>
        </w:tc>
        <w:tc>
          <w:tcPr>
            <w:tcW w:w="293" w:type="dxa"/>
            <w:tcBorders/>
            <w:shd w:fill="CCE2F1" w:val="clear"/>
            <w:vAlign w:val="center"/>
          </w:tcPr>
          <w:p>
            <w:pPr>
              <w:pStyle w:val="TableContents"/>
              <w:bidi w:val="0"/>
              <w:spacing w:lineRule="atLeast" w:line="300" w:before="0" w:after="0"/>
              <w:jc w:val="left"/>
              <w:rPr/>
            </w:pPr>
            <w:r>
              <w:rPr/>
              <w:t> </w:t>
            </w:r>
          </w:p>
        </w:tc>
      </w:tr>
      <w:tr>
        <w:trPr/>
        <w:tc>
          <w:tcPr>
            <w:tcW w:w="6699" w:type="dxa"/>
            <w:tcBorders/>
            <w:vAlign w:val="center"/>
          </w:tcPr>
          <w:p>
            <w:pPr>
              <w:pStyle w:val="TableContents"/>
              <w:bidi w:val="0"/>
              <w:spacing w:lineRule="atLeast" w:line="240" w:before="0" w:after="0"/>
              <w:jc w:val="left"/>
              <w:rPr/>
            </w:pPr>
            <w:r>
              <w:rPr/>
              <w:t> </w:t>
            </w:r>
            <w:r>
              <w:rPr>
                <w:rFonts w:ascii="arial" w:hAnsi="arial"/>
                <w:b/>
                <w:sz w:val="18"/>
              </w:rPr>
              <w:t>All Current Non-Executive Directors as a Group(2)</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lineRule="atLeast" w:line="300" w:before="0" w:after="0"/>
              <w:jc w:val="left"/>
              <w:rPr/>
            </w:pPr>
            <w:r>
              <w:rPr/>
              <w:t> </w:t>
            </w:r>
          </w:p>
        </w:tc>
        <w:tc>
          <w:tcPr>
            <w:tcW w:w="880" w:type="dxa"/>
            <w:tcBorders/>
            <w:vAlign w:val="center"/>
          </w:tcPr>
          <w:p>
            <w:pPr>
              <w:pStyle w:val="TableContents"/>
              <w:bidi w:val="0"/>
              <w:spacing w:lineRule="atLeast" w:line="300" w:before="0" w:after="0"/>
              <w:jc w:val="right"/>
              <w:rPr>
                <w:rFonts w:ascii="arial" w:hAnsi="arial"/>
                <w:sz w:val="18"/>
              </w:rPr>
            </w:pPr>
            <w:r>
              <w:rPr>
                <w:rFonts w:ascii="arial" w:hAnsi="arial"/>
                <w:sz w:val="18"/>
              </w:rPr>
              <w:t>2,200,000</w:t>
            </w:r>
          </w:p>
        </w:tc>
        <w:tc>
          <w:tcPr>
            <w:tcW w:w="476" w:type="dxa"/>
            <w:tcBorders/>
            <w:vAlign w:val="center"/>
          </w:tcPr>
          <w:p>
            <w:pPr>
              <w:pStyle w:val="TableContents"/>
              <w:bidi w:val="0"/>
              <w:spacing w:lineRule="atLeast" w:line="240" w:before="0" w:after="0"/>
              <w:jc w:val="left"/>
              <w:rPr>
                <w:rFonts w:ascii="arial" w:hAnsi="arial"/>
                <w:sz w:val="18"/>
              </w:rPr>
            </w:pPr>
            <w:r>
              <w:rPr>
                <w:rFonts w:ascii="arial" w:hAnsi="arial"/>
                <w:sz w:val="18"/>
              </w:rPr>
              <w:t>(1)(2)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lineRule="atLeast" w:line="300" w:before="0" w:after="0"/>
              <w:jc w:val="left"/>
              <w:rPr/>
            </w:pPr>
            <w:r>
              <w:rPr/>
              <w:t> </w:t>
            </w:r>
          </w:p>
        </w:tc>
        <w:tc>
          <w:tcPr>
            <w:tcW w:w="1315" w:type="dxa"/>
            <w:tcBorders/>
            <w:vAlign w:val="center"/>
          </w:tcPr>
          <w:p>
            <w:pPr>
              <w:pStyle w:val="TableContents"/>
              <w:bidi w:val="0"/>
              <w:spacing w:lineRule="atLeast" w:line="300" w:before="0" w:after="0"/>
              <w:jc w:val="right"/>
              <w:rPr/>
            </w:pPr>
            <w:r>
              <w:rPr/>
              <w:t>—</w:t>
            </w:r>
          </w:p>
        </w:tc>
        <w:tc>
          <w:tcPr>
            <w:tcW w:w="293" w:type="dxa"/>
            <w:tcBorders/>
            <w:vAlign w:val="center"/>
          </w:tcPr>
          <w:p>
            <w:pPr>
              <w:pStyle w:val="TableContents"/>
              <w:bidi w:val="0"/>
              <w:spacing w:lineRule="atLeast" w:line="240" w:before="0" w:after="0"/>
              <w:jc w:val="left"/>
              <w:rPr>
                <w:rFonts w:ascii="arial" w:hAnsi="arial"/>
                <w:sz w:val="18"/>
              </w:rPr>
            </w:pPr>
            <w:r>
              <w:rPr>
                <w:rFonts w:ascii="arial" w:hAnsi="arial"/>
                <w:sz w:val="18"/>
              </w:rPr>
              <w:t>(3) </w:t>
            </w:r>
          </w:p>
        </w:tc>
      </w:tr>
      <w:tr>
        <w:trPr/>
        <w:tc>
          <w:tcPr>
            <w:tcW w:w="6699"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r>
              <w:rPr>
                <w:rFonts w:ascii="arial" w:hAnsi="arial"/>
                <w:b/>
                <w:sz w:val="18"/>
              </w:rPr>
              <w:t>All Employees, Including all Current Officers who are not Executive Officers, as a Group</w:t>
            </w:r>
          </w:p>
        </w:tc>
        <w:tc>
          <w:tcPr>
            <w:tcW w:w="12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61"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c>
          <w:tcPr>
            <w:tcW w:w="880" w:type="dxa"/>
            <w:tcBorders>
              <w:bottom w:val="single" w:sz="8" w:space="0" w:color="0171B9"/>
            </w:tcBorders>
            <w:shd w:fill="CCE2F1" w:val="clear"/>
            <w:tcMar>
              <w:bottom w:w="28" w:type="dxa"/>
            </w:tcMar>
            <w:vAlign w:val="center"/>
          </w:tcPr>
          <w:p>
            <w:pPr>
              <w:pStyle w:val="TableContents"/>
              <w:bidi w:val="0"/>
              <w:spacing w:lineRule="atLeast" w:line="300" w:before="0" w:after="0"/>
              <w:jc w:val="right"/>
              <w:rPr/>
            </w:pPr>
            <w:r>
              <w:rPr/>
              <w:t>—</w:t>
            </w:r>
          </w:p>
        </w:tc>
        <w:tc>
          <w:tcPr>
            <w:tcW w:w="476"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c>
          <w:tcPr>
            <w:tcW w:w="6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301"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c>
          <w:tcPr>
            <w:tcW w:w="1315" w:type="dxa"/>
            <w:tcBorders>
              <w:bottom w:val="single" w:sz="8" w:space="0" w:color="0171B9"/>
            </w:tcBorders>
            <w:shd w:fill="CCE2F1" w:val="clear"/>
            <w:tcMar>
              <w:bottom w:w="28" w:type="dxa"/>
            </w:tcMar>
            <w:vAlign w:val="center"/>
          </w:tcPr>
          <w:p>
            <w:pPr>
              <w:pStyle w:val="TableContents"/>
              <w:bidi w:val="0"/>
              <w:spacing w:lineRule="atLeast" w:line="300" w:before="0" w:after="0"/>
              <w:jc w:val="right"/>
              <w:rPr/>
            </w:pPr>
            <w:r>
              <w:rPr/>
              <w:t>—</w:t>
            </w:r>
          </w:p>
        </w:tc>
        <w:tc>
          <w:tcPr>
            <w:tcW w:w="293" w:type="dxa"/>
            <w:tcBorders>
              <w:bottom w:val="single" w:sz="8" w:space="0" w:color="0171B9"/>
            </w:tcBorders>
            <w:shd w:fill="CCE2F1" w:val="clear"/>
            <w:tcMar>
              <w:bottom w:w="28" w:type="dxa"/>
            </w:tcMar>
            <w:vAlign w:val="center"/>
          </w:tcPr>
          <w:p>
            <w:pPr>
              <w:pStyle w:val="TableContents"/>
              <w:bidi w:val="0"/>
              <w:spacing w:lineRule="atLeast" w:line="300" w:before="0" w:after="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5"/>
        <w:gridCol w:w="9890"/>
      </w:tblGrid>
      <w:tr>
        <w:trPr/>
        <w:tc>
          <w:tcPr>
            <w:tcW w:w="315" w:type="dxa"/>
            <w:tcBorders/>
            <w:vAlign w:val="center"/>
          </w:tcPr>
          <w:p>
            <w:pPr>
              <w:pStyle w:val="TableContents"/>
              <w:bidi w:val="0"/>
              <w:spacing w:before="0" w:after="283"/>
              <w:jc w:val="left"/>
              <w:rPr/>
            </w:pPr>
            <w:r>
              <w:rPr/>
              <w:t>(1) </w:t>
            </w:r>
          </w:p>
        </w:tc>
        <w:tc>
          <w:tcPr>
            <w:tcW w:w="9890" w:type="dxa"/>
            <w:tcBorders/>
            <w:vAlign w:val="center"/>
          </w:tcPr>
          <w:p>
            <w:pPr>
              <w:pStyle w:val="TableContents"/>
              <w:bidi w:val="0"/>
              <w:spacing w:before="0" w:after="0"/>
              <w:jc w:val="both"/>
              <w:rPr>
                <w:rFonts w:ascii="arial" w:hAnsi="arial"/>
                <w:sz w:val="16"/>
              </w:rPr>
            </w:pPr>
            <w:r>
              <w:rPr>
                <w:rFonts w:ascii="arial" w:hAnsi="arial"/>
                <w:sz w:val="16"/>
              </w:rPr>
              <w:t xml:space="preserve">Pursuant to our Director Program, each non-employee director elected to serve on our Board on the date of the Annual Meeting will automatically receive RSUs with a grant date fair market value of $220,000.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(2) </w:t>
            </w:r>
          </w:p>
        </w:tc>
        <w:tc>
          <w:tcPr>
            <w:tcW w:w="9939" w:type="dxa"/>
            <w:tcBorders/>
            <w:vAlign w:val="center"/>
          </w:tcPr>
          <w:p>
            <w:pPr>
              <w:pStyle w:val="TableContents"/>
              <w:bidi w:val="0"/>
              <w:spacing w:before="0" w:after="0"/>
              <w:jc w:val="both"/>
              <w:rPr>
                <w:rFonts w:ascii="arial" w:hAnsi="arial"/>
                <w:sz w:val="16"/>
              </w:rPr>
            </w:pPr>
            <w:r>
              <w:rPr>
                <w:rFonts w:ascii="arial" w:hAnsi="arial"/>
                <w:sz w:val="16"/>
              </w:rPr>
              <w:t xml:space="preserve">Non-executive directors may also elect to receive quarterly deferred vested RSUs in lieu of up to 100% of his or her cash compensation. The amount of cash compensation earned and converted into quarterly deferred vested RSUs will vary depending on the number of committees on which a director serves, whether the director serves as a committee chair or lead independent director, and his or her continued service on the Board, and therefore cannot be calculated. </w:t>
            </w:r>
          </w:p>
        </w:tc>
      </w:tr>
    </w:tbl>
    <w:tbl>
      <w:tblPr>
        <w:tblW w:w="10205" w:type="dxa"/>
        <w:jc w:val="left"/>
        <w:tblInd w:w="0" w:type="dxa"/>
        <w:tblLayout w:type="fixed"/>
        <w:tblCellMar>
          <w:top w:w="0" w:type="dxa"/>
          <w:left w:w="0" w:type="dxa"/>
          <w:bottom w:w="0" w:type="dxa"/>
          <w:right w:w="0" w:type="dxa"/>
        </w:tblCellMar>
      </w:tblPr>
      <w:tblGrid>
        <w:gridCol w:w="322"/>
        <w:gridCol w:w="9883"/>
      </w:tblGrid>
      <w:tr>
        <w:trPr/>
        <w:tc>
          <w:tcPr>
            <w:tcW w:w="322" w:type="dxa"/>
            <w:tcBorders/>
            <w:vAlign w:val="center"/>
          </w:tcPr>
          <w:p>
            <w:pPr>
              <w:pStyle w:val="TableContents"/>
              <w:bidi w:val="0"/>
              <w:spacing w:before="0" w:after="283"/>
              <w:jc w:val="left"/>
              <w:rPr/>
            </w:pPr>
            <w:r>
              <w:rPr/>
              <w:t>(3) </w:t>
            </w:r>
          </w:p>
        </w:tc>
        <w:tc>
          <w:tcPr>
            <w:tcW w:w="9883" w:type="dxa"/>
            <w:tcBorders/>
            <w:vAlign w:val="center"/>
          </w:tcPr>
          <w:p>
            <w:pPr>
              <w:pStyle w:val="TableContents"/>
              <w:bidi w:val="0"/>
              <w:spacing w:before="0" w:after="0"/>
              <w:jc w:val="both"/>
              <w:rPr>
                <w:rFonts w:ascii="arial" w:hAnsi="arial"/>
                <w:sz w:val="16"/>
              </w:rPr>
            </w:pPr>
            <w:r>
              <w:rPr>
                <w:rFonts w:ascii="arial" w:hAnsi="arial"/>
                <w:sz w:val="16"/>
              </w:rPr>
              <w:t>The aggregate number of RSUs to be granted to non-employee directors is not included in the table above as their equity award will depend on the value of our Common Stock on the grant date.</w:t>
            </w:r>
          </w:p>
        </w:tc>
      </w:tr>
    </w:tbl>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116  </w:t>
      </w:r>
      <w:r>
        <w:rPr>
          <w:rFonts w:ascii="arial" w:hAnsi="arial"/>
          <w:b/>
          <w:color w:val="474747"/>
          <w:sz w:val="22"/>
        </w:rPr>
        <w:drawing>
          <wp:inline distT="0" distB="0" distL="0" distR="0">
            <wp:extent cx="64770" cy="15240"/>
            <wp:effectExtent l="0" t="0" r="0" b="0"/>
            <wp:docPr id="393"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Image183" descr=""/>
                    <pic:cNvPicPr>
                      <a:picLocks noChangeAspect="1" noChangeArrowheads="1"/>
                    </pic:cNvPicPr>
                  </pic:nvPicPr>
                  <pic:blipFill>
                    <a:blip r:embed="rId196"/>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p>
      <w:pPr>
        <w:pStyle w:val="TextBody"/>
        <w:bidi w:val="0"/>
        <w:spacing w:before="0" w:after="0"/>
        <w:jc w:val="left"/>
        <w:rPr/>
      </w:pPr>
      <w:r>
        <w:rPr/>
        <w:t> </w:t>
      </w:r>
    </w:p>
    <w:tbl>
      <w:tblPr>
        <w:tblW w:w="10321" w:type="dxa"/>
        <w:jc w:val="left"/>
        <w:tblInd w:w="0" w:type="dxa"/>
        <w:tblLayout w:type="fixed"/>
        <w:tblCellMar>
          <w:top w:w="0" w:type="dxa"/>
          <w:left w:w="0" w:type="dxa"/>
          <w:bottom w:w="0" w:type="dxa"/>
          <w:right w:w="0" w:type="dxa"/>
        </w:tblCellMar>
      </w:tblPr>
      <w:tblGrid>
        <w:gridCol w:w="38"/>
        <w:gridCol w:w="23"/>
        <w:gridCol w:w="23"/>
        <w:gridCol w:w="23"/>
        <w:gridCol w:w="23"/>
        <w:gridCol w:w="23"/>
        <w:gridCol w:w="23"/>
        <w:gridCol w:w="60"/>
        <w:gridCol w:w="60"/>
        <w:gridCol w:w="995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6" w:type="dxa"/>
            <w:gridSpan w:val="7"/>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995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Item 3 — Approval of Amgen Inc. Second Amended and Restated 2009 Equity Incentive Plan</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color w:val="0171B9"/>
          <w:sz w:val="28"/>
        </w:rPr>
      </w:pPr>
      <w:r>
        <w:rPr>
          <w:rFonts w:ascii="arial" w:hAnsi="arial"/>
          <w:b/>
          <w:color w:val="0171B9"/>
          <w:sz w:val="28"/>
        </w:rPr>
        <w:t xml:space="preserve">Prior Plan Benefits </w:t>
      </w:r>
    </w:p>
    <w:p>
      <w:pPr>
        <w:pStyle w:val="TextBody"/>
        <w:bidi w:val="0"/>
        <w:spacing w:before="120" w:after="0"/>
        <w:jc w:val="both"/>
        <w:rPr>
          <w:rFonts w:ascii="arial" w:hAnsi="arial"/>
          <w:sz w:val="19"/>
        </w:rPr>
      </w:pPr>
      <w:r>
        <w:rPr>
          <w:rFonts w:ascii="arial" w:hAnsi="arial"/>
          <w:sz w:val="19"/>
        </w:rPr>
        <w:t>The table below sets forth the number of shares of our Common Stock subject to equity awards granted to certain persons and groups under the Prior Plan through April 1, 2024. The closing price of our Common Stock on April 1, 2024 was $283.04.</w:t>
      </w:r>
    </w:p>
    <w:p>
      <w:pPr>
        <w:pStyle w:val="TextBody"/>
        <w:bidi w:val="0"/>
        <w:spacing w:before="240" w:after="0"/>
        <w:jc w:val="both"/>
        <w:rPr>
          <w:rFonts w:ascii="arial" w:hAnsi="arial"/>
          <w:sz w:val="19"/>
        </w:rPr>
      </w:pPr>
      <w:r>
        <w:rPr>
          <w:rFonts w:ascii="arial" w:hAnsi="arial"/>
          <w:sz w:val="19"/>
        </w:rPr>
        <w:t xml:space="preserve">Certain awards set forth in this table for the NEOs were granted in 2023 and, therefore, also are included in the “Summary Compensation Table” and the “Grants of Plan-Based Awards Table” in our Executive Compensation Tables of this proxy statement and are not additional awards. Certain awards set forth in this table for the non-employee directors were granted in 2023 and, therefore also are included in the Non-Employee Director Compensation Table set forth in this proxy statement and are not additional awards.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990"/>
        <w:gridCol w:w="120"/>
        <w:gridCol w:w="60"/>
        <w:gridCol w:w="980"/>
        <w:gridCol w:w="60"/>
        <w:gridCol w:w="120"/>
        <w:gridCol w:w="60"/>
        <w:gridCol w:w="980"/>
        <w:gridCol w:w="302"/>
        <w:gridCol w:w="60"/>
        <w:gridCol w:w="80"/>
        <w:gridCol w:w="1317"/>
        <w:gridCol w:w="76"/>
      </w:tblGrid>
      <w:tr>
        <w:trPr/>
        <w:tc>
          <w:tcPr>
            <w:tcW w:w="59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5990" w:type="dxa"/>
            <w:tcBorders/>
            <w:shd w:fill="0171B9" w:val="clear"/>
            <w:vAlign w:val="center"/>
          </w:tcPr>
          <w:p>
            <w:pPr>
              <w:pStyle w:val="TableContents"/>
              <w:bidi w:val="0"/>
              <w:spacing w:before="0" w:after="283"/>
              <w:jc w:val="left"/>
              <w:rPr>
                <w:sz w:val="4"/>
                <w:szCs w:val="4"/>
              </w:rPr>
            </w:pPr>
            <w:r>
              <w:rPr>
                <w:sz w:val="4"/>
                <w:szCs w:val="4"/>
              </w:rPr>
            </w:r>
          </w:p>
        </w:tc>
        <w:tc>
          <w:tcPr>
            <w:tcW w:w="1220" w:type="dxa"/>
            <w:gridSpan w:val="4"/>
            <w:tcBorders/>
            <w:shd w:fill="0171B9" w:val="clear"/>
            <w:vAlign w:val="center"/>
          </w:tcPr>
          <w:p>
            <w:pPr>
              <w:pStyle w:val="TableContents"/>
              <w:bidi w:val="0"/>
              <w:spacing w:before="0" w:after="283"/>
              <w:jc w:val="left"/>
              <w:rPr>
                <w:sz w:val="4"/>
                <w:szCs w:val="4"/>
              </w:rPr>
            </w:pPr>
            <w:r>
              <w:rPr>
                <w:sz w:val="4"/>
                <w:szCs w:val="4"/>
              </w:rPr>
            </w:r>
          </w:p>
        </w:tc>
        <w:tc>
          <w:tcPr>
            <w:tcW w:w="1462" w:type="dxa"/>
            <w:gridSpan w:val="4"/>
            <w:tcBorders/>
            <w:shd w:fill="0171B9" w:val="clear"/>
            <w:vAlign w:val="center"/>
          </w:tcPr>
          <w:p>
            <w:pPr>
              <w:pStyle w:val="TableContents"/>
              <w:bidi w:val="0"/>
              <w:spacing w:before="0" w:after="283"/>
              <w:jc w:val="left"/>
              <w:rPr>
                <w:sz w:val="4"/>
                <w:szCs w:val="4"/>
              </w:rPr>
            </w:pPr>
            <w:r>
              <w:rPr>
                <w:sz w:val="4"/>
                <w:szCs w:val="4"/>
              </w:rPr>
            </w:r>
          </w:p>
        </w:tc>
        <w:tc>
          <w:tcPr>
            <w:tcW w:w="1533" w:type="dxa"/>
            <w:gridSpan w:val="4"/>
            <w:tcBorders/>
            <w:shd w:fill="0171B9" w:val="clear"/>
            <w:vAlign w:val="center"/>
          </w:tcPr>
          <w:p>
            <w:pPr>
              <w:pStyle w:val="TableContents"/>
              <w:bidi w:val="0"/>
              <w:spacing w:before="0" w:after="283"/>
              <w:jc w:val="left"/>
              <w:rPr>
                <w:sz w:val="4"/>
                <w:szCs w:val="4"/>
              </w:rPr>
            </w:pPr>
            <w:r>
              <w:rPr>
                <w:sz w:val="4"/>
                <w:szCs w:val="4"/>
              </w:rPr>
            </w:r>
          </w:p>
        </w:tc>
      </w:tr>
      <w:tr>
        <w:trPr/>
        <w:tc>
          <w:tcPr>
            <w:tcW w:w="5990" w:type="dxa"/>
            <w:tcBorders>
              <w:bottom w:val="single" w:sz="8" w:space="0" w:color="FFFFFF"/>
            </w:tcBorders>
            <w:shd w:fill="0171B9" w:val="clear"/>
            <w:tcMar>
              <w:bottom w:w="28" w:type="dxa"/>
            </w:tcMar>
            <w:vAlign w:val="center"/>
          </w:tcPr>
          <w:p>
            <w:pPr>
              <w:pStyle w:val="TableContents"/>
              <w:bidi w:val="0"/>
              <w:spacing w:before="0" w:after="283"/>
              <w:jc w:val="left"/>
              <w:rPr>
                <w:color w:val="FFFFFF"/>
              </w:rPr>
            </w:pPr>
            <w:r>
              <w:rPr>
                <w:color w:val="FFFFFF"/>
              </w:rPr>
              <w:t> </w:t>
            </w:r>
            <w:r>
              <w:rPr>
                <w:b/>
                <w:color w:val="FFFFFF"/>
              </w:rPr>
              <w:t>Name of Individual or Group</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040" w:type="dxa"/>
            <w:gridSpan w:val="2"/>
            <w:tcBorders>
              <w:bottom w:val="single" w:sz="8" w:space="0" w:color="FFFFFF"/>
            </w:tcBorders>
            <w:shd w:fill="0171B9" w:val="clear"/>
            <w:tcMar>
              <w:bottom w:w="28" w:type="dxa"/>
            </w:tcMar>
            <w:vAlign w:val="center"/>
          </w:tcPr>
          <w:p>
            <w:pPr>
              <w:pStyle w:val="TableContents"/>
              <w:bidi w:val="0"/>
              <w:spacing w:before="0" w:after="283"/>
              <w:jc w:val="right"/>
              <w:rPr>
                <w:b/>
                <w:color w:val="FFFFFF"/>
              </w:rPr>
            </w:pPr>
            <w:r>
              <w:rPr>
                <w:b/>
                <w:color w:val="FFFFFF"/>
              </w:rPr>
              <w:t>Stock</w:t>
              <w:br/>
              <w:t>Options</w:t>
              <w:br/>
              <w:t>(#)</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040" w:type="dxa"/>
            <w:gridSpan w:val="2"/>
            <w:tcBorders>
              <w:bottom w:val="single" w:sz="8" w:space="0" w:color="FFFFFF"/>
            </w:tcBorders>
            <w:shd w:fill="0171B9" w:val="clear"/>
            <w:tcMar>
              <w:bottom w:w="28" w:type="dxa"/>
            </w:tcMar>
            <w:vAlign w:val="center"/>
          </w:tcPr>
          <w:p>
            <w:pPr>
              <w:pStyle w:val="TableContents"/>
              <w:bidi w:val="0"/>
              <w:spacing w:before="0" w:after="0"/>
              <w:jc w:val="right"/>
              <w:rPr>
                <w:rFonts w:ascii="arial" w:hAnsi="arial"/>
                <w:b/>
                <w:color w:val="FFFFFF"/>
                <w:sz w:val="18"/>
              </w:rPr>
            </w:pPr>
            <w:r>
              <w:rPr>
                <w:rFonts w:ascii="arial" w:hAnsi="arial"/>
                <w:b/>
                <w:color w:val="FFFFFF"/>
                <w:sz w:val="18"/>
              </w:rPr>
              <w:t>Restricted</w:t>
            </w:r>
          </w:p>
          <w:p>
            <w:pPr>
              <w:pStyle w:val="TableContents"/>
              <w:bidi w:val="0"/>
              <w:spacing w:before="0" w:after="0"/>
              <w:jc w:val="right"/>
              <w:rPr>
                <w:rFonts w:ascii="arial" w:hAnsi="arial"/>
                <w:b/>
                <w:color w:val="FFFFFF"/>
                <w:sz w:val="18"/>
              </w:rPr>
            </w:pPr>
            <w:r>
              <w:rPr>
                <w:rFonts w:ascii="arial" w:hAnsi="arial"/>
                <w:b/>
                <w:color w:val="FFFFFF"/>
                <w:sz w:val="18"/>
              </w:rPr>
              <w:t>Stock</w:t>
            </w:r>
          </w:p>
          <w:p>
            <w:pPr>
              <w:pStyle w:val="TableContents"/>
              <w:bidi w:val="0"/>
              <w:spacing w:before="0" w:after="20"/>
              <w:jc w:val="right"/>
              <w:rPr>
                <w:rFonts w:ascii="arial" w:hAnsi="arial"/>
                <w:b/>
                <w:color w:val="FFFFFF"/>
                <w:sz w:val="18"/>
              </w:rPr>
            </w:pPr>
            <w:r>
              <w:rPr>
                <w:rFonts w:ascii="arial" w:hAnsi="arial"/>
                <w:b/>
                <w:color w:val="FFFFFF"/>
                <w:sz w:val="18"/>
              </w:rPr>
              <w:t>Units (#)(1)</w:t>
            </w:r>
          </w:p>
        </w:tc>
        <w:tc>
          <w:tcPr>
            <w:tcW w:w="302"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397" w:type="dxa"/>
            <w:gridSpan w:val="2"/>
            <w:tcBorders>
              <w:bottom w:val="single" w:sz="8" w:space="0" w:color="FFFFFF"/>
            </w:tcBorders>
            <w:shd w:fill="0171B9" w:val="clear"/>
            <w:tcMar>
              <w:bottom w:w="28" w:type="dxa"/>
            </w:tcMar>
            <w:vAlign w:val="center"/>
          </w:tcPr>
          <w:p>
            <w:pPr>
              <w:pStyle w:val="TableContents"/>
              <w:bidi w:val="0"/>
              <w:spacing w:before="0" w:after="283"/>
              <w:jc w:val="right"/>
              <w:rPr>
                <w:b/>
                <w:color w:val="FFFFFF"/>
              </w:rPr>
            </w:pPr>
            <w:r>
              <w:rPr>
                <w:b/>
                <w:color w:val="FFFFFF"/>
              </w:rPr>
              <w:t>Performance</w:t>
              <w:br/>
              <w:t>Units (#)(1)(2)</w:t>
            </w:r>
          </w:p>
        </w:tc>
        <w:tc>
          <w:tcPr>
            <w:tcW w:w="76"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r>
      <w:tr>
        <w:trPr/>
        <w:tc>
          <w:tcPr>
            <w:tcW w:w="5990" w:type="dxa"/>
            <w:tcBorders/>
            <w:shd w:fill="CCE2F1" w:val="clear"/>
            <w:vAlign w:val="center"/>
          </w:tcPr>
          <w:p>
            <w:pPr>
              <w:pStyle w:val="TableContents"/>
              <w:bidi w:val="0"/>
              <w:spacing w:before="0" w:after="283"/>
              <w:jc w:val="left"/>
              <w:rPr>
                <w:sz w:val="4"/>
                <w:szCs w:val="4"/>
              </w:rPr>
            </w:pPr>
            <w:r>
              <w:rPr>
                <w:sz w:val="4"/>
                <w:szCs w:val="4"/>
              </w:rPr>
            </w:r>
          </w:p>
        </w:tc>
        <w:tc>
          <w:tcPr>
            <w:tcW w:w="1220" w:type="dxa"/>
            <w:gridSpan w:val="4"/>
            <w:tcBorders/>
            <w:shd w:fill="CCE2F1" w:val="clear"/>
            <w:vAlign w:val="center"/>
          </w:tcPr>
          <w:p>
            <w:pPr>
              <w:pStyle w:val="TableContents"/>
              <w:bidi w:val="0"/>
              <w:spacing w:before="0" w:after="283"/>
              <w:jc w:val="left"/>
              <w:rPr>
                <w:sz w:val="4"/>
                <w:szCs w:val="4"/>
              </w:rPr>
            </w:pPr>
            <w:r>
              <w:rPr>
                <w:sz w:val="4"/>
                <w:szCs w:val="4"/>
              </w:rPr>
            </w:r>
          </w:p>
        </w:tc>
        <w:tc>
          <w:tcPr>
            <w:tcW w:w="1462" w:type="dxa"/>
            <w:gridSpan w:val="4"/>
            <w:tcBorders/>
            <w:shd w:fill="CCE2F1" w:val="clear"/>
            <w:vAlign w:val="center"/>
          </w:tcPr>
          <w:p>
            <w:pPr>
              <w:pStyle w:val="TableContents"/>
              <w:bidi w:val="0"/>
              <w:spacing w:before="0" w:after="283"/>
              <w:jc w:val="left"/>
              <w:rPr>
                <w:sz w:val="4"/>
                <w:szCs w:val="4"/>
              </w:rPr>
            </w:pPr>
            <w:r>
              <w:rPr>
                <w:sz w:val="4"/>
                <w:szCs w:val="4"/>
              </w:rPr>
            </w:r>
          </w:p>
        </w:tc>
        <w:tc>
          <w:tcPr>
            <w:tcW w:w="1533"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5990" w:type="dxa"/>
            <w:tcBorders/>
            <w:shd w:fill="CCE2F1" w:val="clear"/>
            <w:vAlign w:val="center"/>
          </w:tcPr>
          <w:p>
            <w:pPr>
              <w:pStyle w:val="TableContents"/>
              <w:bidi w:val="0"/>
              <w:spacing w:before="0" w:after="0"/>
              <w:jc w:val="left"/>
              <w:rPr/>
            </w:pPr>
            <w:r>
              <w:rPr/>
              <w:t> </w:t>
            </w:r>
            <w:r>
              <w:rPr>
                <w:rFonts w:ascii="arial" w:hAnsi="arial"/>
                <w:b/>
                <w:sz w:val="18"/>
              </w:rPr>
              <w:t>NEOs:</w:t>
            </w:r>
          </w:p>
        </w:tc>
        <w:tc>
          <w:tcPr>
            <w:tcW w:w="12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98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12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980" w:type="dxa"/>
            <w:tcBorders/>
            <w:shd w:fill="CCE2F1" w:val="clear"/>
            <w:vAlign w:val="center"/>
          </w:tcPr>
          <w:p>
            <w:pPr>
              <w:pStyle w:val="TableContents"/>
              <w:bidi w:val="0"/>
              <w:spacing w:before="0" w:after="283"/>
              <w:jc w:val="left"/>
              <w:rPr>
                <w:sz w:val="4"/>
                <w:szCs w:val="4"/>
              </w:rPr>
            </w:pPr>
            <w:r>
              <w:rPr>
                <w:sz w:val="4"/>
                <w:szCs w:val="4"/>
              </w:rPr>
            </w:r>
          </w:p>
        </w:tc>
        <w:tc>
          <w:tcPr>
            <w:tcW w:w="302"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80" w:type="dxa"/>
            <w:tcBorders/>
            <w:shd w:fill="CCE2F1" w:val="clear"/>
            <w:vAlign w:val="center"/>
          </w:tcPr>
          <w:p>
            <w:pPr>
              <w:pStyle w:val="TableContents"/>
              <w:bidi w:val="0"/>
              <w:spacing w:before="0" w:after="283"/>
              <w:jc w:val="left"/>
              <w:rPr>
                <w:sz w:val="4"/>
                <w:szCs w:val="4"/>
              </w:rPr>
            </w:pPr>
            <w:r>
              <w:rPr>
                <w:sz w:val="4"/>
                <w:szCs w:val="4"/>
              </w:rPr>
            </w:r>
          </w:p>
        </w:tc>
        <w:tc>
          <w:tcPr>
            <w:tcW w:w="1317" w:type="dxa"/>
            <w:tcBorders/>
            <w:shd w:fill="CCE2F1" w:val="clear"/>
            <w:vAlign w:val="center"/>
          </w:tcPr>
          <w:p>
            <w:pPr>
              <w:pStyle w:val="TableContents"/>
              <w:bidi w:val="0"/>
              <w:spacing w:before="0" w:after="283"/>
              <w:jc w:val="left"/>
              <w:rPr>
                <w:sz w:val="4"/>
                <w:szCs w:val="4"/>
              </w:rPr>
            </w:pPr>
            <w:r>
              <w:rPr>
                <w:sz w:val="4"/>
                <w:szCs w:val="4"/>
              </w:rPr>
            </w:r>
          </w:p>
        </w:tc>
        <w:tc>
          <w:tcPr>
            <w:tcW w:w="76" w:type="dxa"/>
            <w:tcBorders/>
            <w:shd w:fill="CCE2F1" w:val="clear"/>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462" w:type="dxa"/>
            <w:gridSpan w:val="4"/>
            <w:tcBorders/>
            <w:vAlign w:val="center"/>
          </w:tcPr>
          <w:p>
            <w:pPr>
              <w:pStyle w:val="TableContents"/>
              <w:bidi w:val="0"/>
              <w:spacing w:before="0" w:after="283"/>
              <w:jc w:val="left"/>
              <w:rPr>
                <w:sz w:val="4"/>
                <w:szCs w:val="4"/>
              </w:rPr>
            </w:pPr>
            <w:r>
              <w:rPr>
                <w:sz w:val="4"/>
                <w:szCs w:val="4"/>
              </w:rPr>
            </w:r>
          </w:p>
        </w:tc>
        <w:tc>
          <w:tcPr>
            <w:tcW w:w="1533"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0"/>
              <w:jc w:val="left"/>
              <w:rPr/>
            </w:pPr>
            <w:r>
              <w:rPr/>
              <w:t> </w:t>
            </w:r>
            <w:r>
              <w:rPr>
                <w:rFonts w:ascii="arial" w:hAnsi="arial"/>
                <w:b/>
                <w:sz w:val="18"/>
              </w:rPr>
              <w:t>Robert A. Bradway</w:t>
            </w:r>
          </w:p>
          <w:p>
            <w:pPr>
              <w:pStyle w:val="TableContents"/>
              <w:bidi w:val="0"/>
              <w:spacing w:before="0" w:after="20"/>
              <w:jc w:val="left"/>
              <w:rPr/>
            </w:pPr>
            <w:r>
              <w:rPr/>
              <w:t> </w:t>
            </w:r>
            <w:r>
              <w:rPr>
                <w:rFonts w:ascii="arial" w:hAnsi="arial"/>
                <w:sz w:val="18"/>
              </w:rPr>
              <w:t>Chairman and Chief Executive Officer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940,670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43,175</w:t>
            </w:r>
          </w:p>
        </w:tc>
        <w:tc>
          <w:tcPr>
            <w:tcW w:w="3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66,927</w:t>
            </w:r>
          </w:p>
        </w:tc>
        <w:tc>
          <w:tcPr>
            <w:tcW w:w="76" w:type="dxa"/>
            <w:tcBorders/>
            <w:vAlign w:val="center"/>
          </w:tcPr>
          <w:p>
            <w:pPr>
              <w:pStyle w:val="TableContents"/>
              <w:bidi w:val="0"/>
              <w:spacing w:before="0" w:after="283"/>
              <w:jc w:val="left"/>
              <w:rPr/>
            </w:pPr>
            <w:r>
              <w:rPr/>
              <w:t> </w:t>
            </w:r>
          </w:p>
        </w:tc>
      </w:tr>
      <w:tr>
        <w:trPr/>
        <w:tc>
          <w:tcPr>
            <w:tcW w:w="5990" w:type="dxa"/>
            <w:tcBorders/>
            <w:shd w:fill="CCE2F1" w:val="clear"/>
            <w:vAlign w:val="center"/>
          </w:tcPr>
          <w:p>
            <w:pPr>
              <w:pStyle w:val="TableContents"/>
              <w:bidi w:val="0"/>
              <w:spacing w:before="0" w:after="283"/>
              <w:jc w:val="left"/>
              <w:rPr>
                <w:sz w:val="4"/>
                <w:szCs w:val="4"/>
              </w:rPr>
            </w:pPr>
            <w:r>
              <w:rPr>
                <w:sz w:val="4"/>
                <w:szCs w:val="4"/>
              </w:rPr>
            </w:r>
          </w:p>
        </w:tc>
        <w:tc>
          <w:tcPr>
            <w:tcW w:w="1220" w:type="dxa"/>
            <w:gridSpan w:val="4"/>
            <w:tcBorders/>
            <w:shd w:fill="CCE2F1" w:val="clear"/>
            <w:vAlign w:val="center"/>
          </w:tcPr>
          <w:p>
            <w:pPr>
              <w:pStyle w:val="TableContents"/>
              <w:bidi w:val="0"/>
              <w:spacing w:before="0" w:after="283"/>
              <w:jc w:val="left"/>
              <w:rPr>
                <w:sz w:val="4"/>
                <w:szCs w:val="4"/>
              </w:rPr>
            </w:pPr>
            <w:r>
              <w:rPr>
                <w:sz w:val="4"/>
                <w:szCs w:val="4"/>
              </w:rPr>
            </w:r>
          </w:p>
        </w:tc>
        <w:tc>
          <w:tcPr>
            <w:tcW w:w="1462" w:type="dxa"/>
            <w:gridSpan w:val="4"/>
            <w:tcBorders/>
            <w:shd w:fill="CCE2F1" w:val="clear"/>
            <w:vAlign w:val="center"/>
          </w:tcPr>
          <w:p>
            <w:pPr>
              <w:pStyle w:val="TableContents"/>
              <w:bidi w:val="0"/>
              <w:spacing w:before="0" w:after="283"/>
              <w:jc w:val="left"/>
              <w:rPr>
                <w:sz w:val="4"/>
                <w:szCs w:val="4"/>
              </w:rPr>
            </w:pPr>
            <w:r>
              <w:rPr>
                <w:sz w:val="4"/>
                <w:szCs w:val="4"/>
              </w:rPr>
            </w:r>
          </w:p>
        </w:tc>
        <w:tc>
          <w:tcPr>
            <w:tcW w:w="1533"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5990" w:type="dxa"/>
            <w:tcBorders/>
            <w:shd w:fill="CCE2F1" w:val="clear"/>
            <w:vAlign w:val="center"/>
          </w:tcPr>
          <w:p>
            <w:pPr>
              <w:pStyle w:val="TableContents"/>
              <w:bidi w:val="0"/>
              <w:spacing w:before="0" w:after="0"/>
              <w:jc w:val="left"/>
              <w:rPr/>
            </w:pPr>
            <w:r>
              <w:rPr/>
              <w:t> </w:t>
            </w:r>
            <w:r>
              <w:rPr>
                <w:rFonts w:ascii="arial" w:hAnsi="arial"/>
                <w:b/>
                <w:sz w:val="18"/>
              </w:rPr>
              <w:t xml:space="preserve">Murdo Gordon </w:t>
            </w:r>
          </w:p>
          <w:p>
            <w:pPr>
              <w:pStyle w:val="TableContents"/>
              <w:bidi w:val="0"/>
              <w:spacing w:before="0" w:after="20"/>
              <w:jc w:val="left"/>
              <w:rPr/>
            </w:pPr>
            <w:r>
              <w:rPr/>
              <w:t> </w:t>
            </w:r>
            <w:r>
              <w:rPr>
                <w:rFonts w:ascii="arial" w:hAnsi="arial"/>
                <w:sz w:val="18"/>
              </w:rPr>
              <w:t>Executive Vice President, Global Commercial Operations</w:t>
            </w:r>
          </w:p>
        </w:tc>
        <w:tc>
          <w:tcPr>
            <w:tcW w:w="12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980" w:type="dxa"/>
            <w:tcBorders/>
            <w:shd w:fill="CCE2F1" w:val="clear"/>
            <w:vAlign w:val="center"/>
          </w:tcPr>
          <w:p>
            <w:pPr>
              <w:pStyle w:val="TableContents"/>
              <w:bidi w:val="0"/>
              <w:spacing w:before="0" w:after="283"/>
              <w:jc w:val="right"/>
              <w:rPr/>
            </w:pPr>
            <w:r>
              <w:rPr/>
              <w:t>175,848</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980" w:type="dxa"/>
            <w:tcBorders/>
            <w:shd w:fill="CCE2F1" w:val="clear"/>
            <w:vAlign w:val="center"/>
          </w:tcPr>
          <w:p>
            <w:pPr>
              <w:pStyle w:val="TableContents"/>
              <w:bidi w:val="0"/>
              <w:spacing w:before="0" w:after="283"/>
              <w:jc w:val="right"/>
              <w:rPr/>
            </w:pPr>
            <w:r>
              <w:rPr/>
              <w:t>13,427</w:t>
            </w:r>
          </w:p>
        </w:tc>
        <w:tc>
          <w:tcPr>
            <w:tcW w:w="302"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80" w:type="dxa"/>
            <w:tcBorders/>
            <w:shd w:fill="CCE2F1" w:val="clear"/>
            <w:vAlign w:val="center"/>
          </w:tcPr>
          <w:p>
            <w:pPr>
              <w:pStyle w:val="TableContents"/>
              <w:bidi w:val="0"/>
              <w:spacing w:before="0" w:after="283"/>
              <w:jc w:val="left"/>
              <w:rPr/>
            </w:pPr>
            <w:r>
              <w:rPr/>
              <w:t> </w:t>
            </w:r>
          </w:p>
        </w:tc>
        <w:tc>
          <w:tcPr>
            <w:tcW w:w="1317" w:type="dxa"/>
            <w:tcBorders/>
            <w:shd w:fill="CCE2F1" w:val="clear"/>
            <w:vAlign w:val="center"/>
          </w:tcPr>
          <w:p>
            <w:pPr>
              <w:pStyle w:val="TableContents"/>
              <w:bidi w:val="0"/>
              <w:spacing w:before="0" w:after="283"/>
              <w:jc w:val="right"/>
              <w:rPr/>
            </w:pPr>
            <w:r>
              <w:rPr/>
              <w:t>21,028</w:t>
            </w:r>
          </w:p>
        </w:tc>
        <w:tc>
          <w:tcPr>
            <w:tcW w:w="76" w:type="dxa"/>
            <w:tcBorders/>
            <w:shd w:fill="CCE2F1" w:val="clear"/>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462" w:type="dxa"/>
            <w:gridSpan w:val="4"/>
            <w:tcBorders/>
            <w:vAlign w:val="center"/>
          </w:tcPr>
          <w:p>
            <w:pPr>
              <w:pStyle w:val="TableContents"/>
              <w:bidi w:val="0"/>
              <w:spacing w:before="0" w:after="283"/>
              <w:jc w:val="left"/>
              <w:rPr>
                <w:sz w:val="4"/>
                <w:szCs w:val="4"/>
              </w:rPr>
            </w:pPr>
            <w:r>
              <w:rPr>
                <w:sz w:val="4"/>
                <w:szCs w:val="4"/>
              </w:rPr>
            </w:r>
          </w:p>
        </w:tc>
        <w:tc>
          <w:tcPr>
            <w:tcW w:w="1533"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0"/>
              <w:jc w:val="left"/>
              <w:rPr/>
            </w:pPr>
            <w:r>
              <w:rPr/>
              <w:t> </w:t>
            </w:r>
            <w:r>
              <w:rPr>
                <w:rFonts w:ascii="arial" w:hAnsi="arial"/>
                <w:b/>
                <w:sz w:val="18"/>
              </w:rPr>
              <w:t>David M. Reese</w:t>
            </w:r>
          </w:p>
          <w:p>
            <w:pPr>
              <w:pStyle w:val="TableContents"/>
              <w:bidi w:val="0"/>
              <w:spacing w:before="0" w:after="20"/>
              <w:jc w:val="left"/>
              <w:rPr/>
            </w:pPr>
            <w:r>
              <w:rPr/>
              <w:t> </w:t>
            </w:r>
            <w:r>
              <w:rPr>
                <w:rFonts w:ascii="arial" w:hAnsi="arial"/>
                <w:sz w:val="18"/>
              </w:rPr>
              <w:t>Executive Vice President and Chief Technology Officer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192,513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12,405</w:t>
            </w:r>
          </w:p>
        </w:tc>
        <w:tc>
          <w:tcPr>
            <w:tcW w:w="3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18,925</w:t>
            </w:r>
          </w:p>
        </w:tc>
        <w:tc>
          <w:tcPr>
            <w:tcW w:w="76" w:type="dxa"/>
            <w:tcBorders/>
            <w:vAlign w:val="center"/>
          </w:tcPr>
          <w:p>
            <w:pPr>
              <w:pStyle w:val="TableContents"/>
              <w:bidi w:val="0"/>
              <w:spacing w:before="0" w:after="283"/>
              <w:jc w:val="left"/>
              <w:rPr/>
            </w:pPr>
            <w:r>
              <w:rPr/>
              <w:t> </w:t>
            </w:r>
          </w:p>
        </w:tc>
      </w:tr>
      <w:tr>
        <w:trPr/>
        <w:tc>
          <w:tcPr>
            <w:tcW w:w="5990" w:type="dxa"/>
            <w:tcBorders/>
            <w:shd w:fill="CCE2F1" w:val="clear"/>
            <w:vAlign w:val="center"/>
          </w:tcPr>
          <w:p>
            <w:pPr>
              <w:pStyle w:val="TableContents"/>
              <w:bidi w:val="0"/>
              <w:spacing w:before="0" w:after="283"/>
              <w:jc w:val="left"/>
              <w:rPr>
                <w:sz w:val="4"/>
                <w:szCs w:val="4"/>
              </w:rPr>
            </w:pPr>
            <w:r>
              <w:rPr>
                <w:sz w:val="4"/>
                <w:szCs w:val="4"/>
              </w:rPr>
            </w:r>
          </w:p>
        </w:tc>
        <w:tc>
          <w:tcPr>
            <w:tcW w:w="1220" w:type="dxa"/>
            <w:gridSpan w:val="4"/>
            <w:tcBorders/>
            <w:shd w:fill="CCE2F1" w:val="clear"/>
            <w:vAlign w:val="center"/>
          </w:tcPr>
          <w:p>
            <w:pPr>
              <w:pStyle w:val="TableContents"/>
              <w:bidi w:val="0"/>
              <w:spacing w:before="0" w:after="283"/>
              <w:jc w:val="left"/>
              <w:rPr>
                <w:sz w:val="4"/>
                <w:szCs w:val="4"/>
              </w:rPr>
            </w:pPr>
            <w:r>
              <w:rPr>
                <w:sz w:val="4"/>
                <w:szCs w:val="4"/>
              </w:rPr>
            </w:r>
          </w:p>
        </w:tc>
        <w:tc>
          <w:tcPr>
            <w:tcW w:w="1462" w:type="dxa"/>
            <w:gridSpan w:val="4"/>
            <w:tcBorders/>
            <w:shd w:fill="CCE2F1" w:val="clear"/>
            <w:vAlign w:val="center"/>
          </w:tcPr>
          <w:p>
            <w:pPr>
              <w:pStyle w:val="TableContents"/>
              <w:bidi w:val="0"/>
              <w:spacing w:before="0" w:after="283"/>
              <w:jc w:val="left"/>
              <w:rPr>
                <w:sz w:val="4"/>
                <w:szCs w:val="4"/>
              </w:rPr>
            </w:pPr>
            <w:r>
              <w:rPr>
                <w:sz w:val="4"/>
                <w:szCs w:val="4"/>
              </w:rPr>
            </w:r>
          </w:p>
        </w:tc>
        <w:tc>
          <w:tcPr>
            <w:tcW w:w="1533"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5990" w:type="dxa"/>
            <w:tcBorders/>
            <w:shd w:fill="CCE2F1" w:val="clear"/>
            <w:vAlign w:val="center"/>
          </w:tcPr>
          <w:p>
            <w:pPr>
              <w:pStyle w:val="TableContents"/>
              <w:bidi w:val="0"/>
              <w:spacing w:before="0" w:after="0"/>
              <w:jc w:val="left"/>
              <w:rPr/>
            </w:pPr>
            <w:r>
              <w:rPr/>
              <w:t> </w:t>
            </w:r>
            <w:r>
              <w:rPr>
                <w:rFonts w:ascii="arial" w:hAnsi="arial"/>
                <w:b/>
                <w:sz w:val="18"/>
              </w:rPr>
              <w:t xml:space="preserve">Peter H. Griffith </w:t>
            </w:r>
          </w:p>
          <w:p>
            <w:pPr>
              <w:pStyle w:val="TableContents"/>
              <w:bidi w:val="0"/>
              <w:spacing w:before="0" w:after="20"/>
              <w:jc w:val="left"/>
              <w:rPr/>
            </w:pPr>
            <w:r>
              <w:rPr/>
              <w:t> </w:t>
            </w:r>
            <w:r>
              <w:rPr>
                <w:rFonts w:ascii="arial" w:hAnsi="arial"/>
                <w:sz w:val="18"/>
              </w:rPr>
              <w:t>Executive Vice President and Chief Financial Officer</w:t>
            </w:r>
          </w:p>
        </w:tc>
        <w:tc>
          <w:tcPr>
            <w:tcW w:w="12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980" w:type="dxa"/>
            <w:tcBorders/>
            <w:shd w:fill="CCE2F1" w:val="clear"/>
            <w:vAlign w:val="center"/>
          </w:tcPr>
          <w:p>
            <w:pPr>
              <w:pStyle w:val="TableContents"/>
              <w:bidi w:val="0"/>
              <w:spacing w:before="0" w:after="283"/>
              <w:jc w:val="right"/>
              <w:rPr/>
            </w:pPr>
            <w:r>
              <w:rPr/>
              <w:t>121,393</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980" w:type="dxa"/>
            <w:tcBorders/>
            <w:shd w:fill="CCE2F1" w:val="clear"/>
            <w:vAlign w:val="center"/>
          </w:tcPr>
          <w:p>
            <w:pPr>
              <w:pStyle w:val="TableContents"/>
              <w:bidi w:val="0"/>
              <w:spacing w:before="0" w:after="283"/>
              <w:jc w:val="right"/>
              <w:rPr/>
            </w:pPr>
            <w:r>
              <w:rPr/>
              <w:t>11,878</w:t>
            </w:r>
          </w:p>
        </w:tc>
        <w:tc>
          <w:tcPr>
            <w:tcW w:w="302"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80" w:type="dxa"/>
            <w:tcBorders/>
            <w:shd w:fill="CCE2F1" w:val="clear"/>
            <w:vAlign w:val="center"/>
          </w:tcPr>
          <w:p>
            <w:pPr>
              <w:pStyle w:val="TableContents"/>
              <w:bidi w:val="0"/>
              <w:spacing w:before="0" w:after="283"/>
              <w:jc w:val="left"/>
              <w:rPr/>
            </w:pPr>
            <w:r>
              <w:rPr/>
              <w:t> </w:t>
            </w:r>
          </w:p>
        </w:tc>
        <w:tc>
          <w:tcPr>
            <w:tcW w:w="1317" w:type="dxa"/>
            <w:tcBorders/>
            <w:shd w:fill="CCE2F1" w:val="clear"/>
            <w:vAlign w:val="center"/>
          </w:tcPr>
          <w:p>
            <w:pPr>
              <w:pStyle w:val="TableContents"/>
              <w:bidi w:val="0"/>
              <w:spacing w:before="0" w:after="283"/>
              <w:jc w:val="right"/>
              <w:rPr/>
            </w:pPr>
            <w:r>
              <w:rPr/>
              <w:t>18,925</w:t>
            </w:r>
          </w:p>
        </w:tc>
        <w:tc>
          <w:tcPr>
            <w:tcW w:w="76" w:type="dxa"/>
            <w:tcBorders/>
            <w:shd w:fill="CCE2F1" w:val="clear"/>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462" w:type="dxa"/>
            <w:gridSpan w:val="4"/>
            <w:tcBorders/>
            <w:vAlign w:val="center"/>
          </w:tcPr>
          <w:p>
            <w:pPr>
              <w:pStyle w:val="TableContents"/>
              <w:bidi w:val="0"/>
              <w:spacing w:before="0" w:after="283"/>
              <w:jc w:val="left"/>
              <w:rPr>
                <w:sz w:val="4"/>
                <w:szCs w:val="4"/>
              </w:rPr>
            </w:pPr>
            <w:r>
              <w:rPr>
                <w:sz w:val="4"/>
                <w:szCs w:val="4"/>
              </w:rPr>
            </w:r>
          </w:p>
        </w:tc>
        <w:tc>
          <w:tcPr>
            <w:tcW w:w="1533"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0"/>
              <w:jc w:val="left"/>
              <w:rPr/>
            </w:pPr>
            <w:r>
              <w:rPr/>
              <w:t> </w:t>
            </w:r>
            <w:r>
              <w:rPr>
                <w:rFonts w:ascii="arial" w:hAnsi="arial"/>
                <w:b/>
                <w:sz w:val="18"/>
              </w:rPr>
              <w:t xml:space="preserve">Esteban Santos </w:t>
            </w:r>
          </w:p>
          <w:p>
            <w:pPr>
              <w:pStyle w:val="TableContents"/>
              <w:bidi w:val="0"/>
              <w:spacing w:before="0" w:after="20"/>
              <w:jc w:val="left"/>
              <w:rPr/>
            </w:pPr>
            <w:r>
              <w:rPr/>
              <w:t> </w:t>
            </w:r>
            <w:r>
              <w:rPr>
                <w:rFonts w:ascii="arial" w:hAnsi="arial"/>
                <w:sz w:val="18"/>
              </w:rPr>
              <w:t>Executive Vice President, Operations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220,519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11,799</w:t>
            </w:r>
          </w:p>
        </w:tc>
        <w:tc>
          <w:tcPr>
            <w:tcW w:w="3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17,664</w:t>
            </w:r>
          </w:p>
        </w:tc>
        <w:tc>
          <w:tcPr>
            <w:tcW w:w="76" w:type="dxa"/>
            <w:tcBorders/>
            <w:vAlign w:val="center"/>
          </w:tcPr>
          <w:p>
            <w:pPr>
              <w:pStyle w:val="TableContents"/>
              <w:bidi w:val="0"/>
              <w:spacing w:before="0" w:after="283"/>
              <w:jc w:val="left"/>
              <w:rPr/>
            </w:pPr>
            <w:r>
              <w:rPr/>
              <w:t> </w:t>
            </w:r>
          </w:p>
        </w:tc>
      </w:tr>
      <w:tr>
        <w:trPr/>
        <w:tc>
          <w:tcPr>
            <w:tcW w:w="5990" w:type="dxa"/>
            <w:tcBorders/>
            <w:shd w:fill="CCE2F1" w:val="clear"/>
            <w:vAlign w:val="center"/>
          </w:tcPr>
          <w:p>
            <w:pPr>
              <w:pStyle w:val="TableContents"/>
              <w:bidi w:val="0"/>
              <w:spacing w:before="0" w:after="283"/>
              <w:jc w:val="left"/>
              <w:rPr>
                <w:sz w:val="4"/>
                <w:szCs w:val="4"/>
              </w:rPr>
            </w:pPr>
            <w:r>
              <w:rPr>
                <w:sz w:val="4"/>
                <w:szCs w:val="4"/>
              </w:rPr>
            </w:r>
          </w:p>
        </w:tc>
        <w:tc>
          <w:tcPr>
            <w:tcW w:w="1220" w:type="dxa"/>
            <w:gridSpan w:val="4"/>
            <w:tcBorders/>
            <w:shd w:fill="CCE2F1" w:val="clear"/>
            <w:vAlign w:val="center"/>
          </w:tcPr>
          <w:p>
            <w:pPr>
              <w:pStyle w:val="TableContents"/>
              <w:bidi w:val="0"/>
              <w:spacing w:before="0" w:after="283"/>
              <w:jc w:val="left"/>
              <w:rPr>
                <w:sz w:val="4"/>
                <w:szCs w:val="4"/>
              </w:rPr>
            </w:pPr>
            <w:r>
              <w:rPr>
                <w:sz w:val="4"/>
                <w:szCs w:val="4"/>
              </w:rPr>
            </w:r>
          </w:p>
        </w:tc>
        <w:tc>
          <w:tcPr>
            <w:tcW w:w="1462" w:type="dxa"/>
            <w:gridSpan w:val="4"/>
            <w:tcBorders/>
            <w:shd w:fill="CCE2F1" w:val="clear"/>
            <w:vAlign w:val="center"/>
          </w:tcPr>
          <w:p>
            <w:pPr>
              <w:pStyle w:val="TableContents"/>
              <w:bidi w:val="0"/>
              <w:spacing w:before="0" w:after="283"/>
              <w:jc w:val="left"/>
              <w:rPr>
                <w:sz w:val="4"/>
                <w:szCs w:val="4"/>
              </w:rPr>
            </w:pPr>
            <w:r>
              <w:rPr>
                <w:sz w:val="4"/>
                <w:szCs w:val="4"/>
              </w:rPr>
            </w:r>
          </w:p>
        </w:tc>
        <w:tc>
          <w:tcPr>
            <w:tcW w:w="1533"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5990" w:type="dxa"/>
            <w:tcBorders/>
            <w:shd w:fill="CCE2F1" w:val="clear"/>
            <w:vAlign w:val="center"/>
          </w:tcPr>
          <w:p>
            <w:pPr>
              <w:pStyle w:val="TableContents"/>
              <w:bidi w:val="0"/>
              <w:spacing w:before="0" w:after="0"/>
              <w:jc w:val="left"/>
              <w:rPr/>
            </w:pPr>
            <w:r>
              <w:rPr/>
              <w:t> </w:t>
            </w:r>
            <w:r>
              <w:rPr>
                <w:rFonts w:ascii="arial" w:hAnsi="arial"/>
                <w:b/>
                <w:sz w:val="18"/>
              </w:rPr>
              <w:t>All Current Executive Officers as a Group</w:t>
            </w:r>
          </w:p>
        </w:tc>
        <w:tc>
          <w:tcPr>
            <w:tcW w:w="12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980" w:type="dxa"/>
            <w:tcBorders/>
            <w:shd w:fill="CCE2F1" w:val="clear"/>
            <w:vAlign w:val="center"/>
          </w:tcPr>
          <w:p>
            <w:pPr>
              <w:pStyle w:val="TableContents"/>
              <w:bidi w:val="0"/>
              <w:spacing w:before="0" w:after="283"/>
              <w:jc w:val="right"/>
              <w:rPr/>
            </w:pPr>
            <w:r>
              <w:rPr/>
              <w:t>1,954,686</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980" w:type="dxa"/>
            <w:tcBorders/>
            <w:shd w:fill="CCE2F1" w:val="clear"/>
            <w:vAlign w:val="center"/>
          </w:tcPr>
          <w:p>
            <w:pPr>
              <w:pStyle w:val="TableContents"/>
              <w:bidi w:val="0"/>
              <w:spacing w:before="0" w:after="283"/>
              <w:jc w:val="right"/>
              <w:rPr/>
            </w:pPr>
            <w:r>
              <w:rPr/>
              <w:t>136,544</w:t>
            </w:r>
          </w:p>
        </w:tc>
        <w:tc>
          <w:tcPr>
            <w:tcW w:w="302"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80" w:type="dxa"/>
            <w:tcBorders/>
            <w:shd w:fill="CCE2F1" w:val="clear"/>
            <w:vAlign w:val="center"/>
          </w:tcPr>
          <w:p>
            <w:pPr>
              <w:pStyle w:val="TableContents"/>
              <w:bidi w:val="0"/>
              <w:spacing w:before="0" w:after="283"/>
              <w:jc w:val="left"/>
              <w:rPr/>
            </w:pPr>
            <w:r>
              <w:rPr/>
              <w:t> </w:t>
            </w:r>
          </w:p>
        </w:tc>
        <w:tc>
          <w:tcPr>
            <w:tcW w:w="1317" w:type="dxa"/>
            <w:tcBorders/>
            <w:shd w:fill="CCE2F1" w:val="clear"/>
            <w:vAlign w:val="center"/>
          </w:tcPr>
          <w:p>
            <w:pPr>
              <w:pStyle w:val="TableContents"/>
              <w:bidi w:val="0"/>
              <w:spacing w:before="0" w:after="283"/>
              <w:jc w:val="right"/>
              <w:rPr/>
            </w:pPr>
            <w:r>
              <w:rPr/>
              <w:t>170,996</w:t>
            </w:r>
          </w:p>
        </w:tc>
        <w:tc>
          <w:tcPr>
            <w:tcW w:w="76" w:type="dxa"/>
            <w:tcBorders/>
            <w:shd w:fill="CCE2F1" w:val="clear"/>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462" w:type="dxa"/>
            <w:gridSpan w:val="4"/>
            <w:tcBorders/>
            <w:vAlign w:val="center"/>
          </w:tcPr>
          <w:p>
            <w:pPr>
              <w:pStyle w:val="TableContents"/>
              <w:bidi w:val="0"/>
              <w:spacing w:before="0" w:after="283"/>
              <w:jc w:val="left"/>
              <w:rPr>
                <w:sz w:val="4"/>
                <w:szCs w:val="4"/>
              </w:rPr>
            </w:pPr>
            <w:r>
              <w:rPr>
                <w:sz w:val="4"/>
                <w:szCs w:val="4"/>
              </w:rPr>
            </w:r>
          </w:p>
        </w:tc>
        <w:tc>
          <w:tcPr>
            <w:tcW w:w="1533"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0"/>
              <w:jc w:val="left"/>
              <w:rPr/>
            </w:pPr>
            <w:r>
              <w:rPr/>
              <w:t> </w:t>
            </w:r>
            <w:r>
              <w:rPr>
                <w:rFonts w:ascii="arial" w:hAnsi="arial"/>
                <w:b/>
                <w:sz w:val="18"/>
              </w:rPr>
              <w:t>All Current Non-Executive Directors as a Group</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80,927</w:t>
            </w:r>
          </w:p>
        </w:tc>
        <w:tc>
          <w:tcPr>
            <w:tcW w:w="302"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w:t>
            </w:r>
          </w:p>
        </w:tc>
        <w:tc>
          <w:tcPr>
            <w:tcW w:w="76" w:type="dxa"/>
            <w:tcBorders/>
            <w:vAlign w:val="center"/>
          </w:tcPr>
          <w:p>
            <w:pPr>
              <w:pStyle w:val="TableContents"/>
              <w:bidi w:val="0"/>
              <w:spacing w:before="0" w:after="283"/>
              <w:jc w:val="left"/>
              <w:rPr/>
            </w:pPr>
            <w:r>
              <w:rPr/>
              <w:t> </w:t>
            </w:r>
          </w:p>
        </w:tc>
      </w:tr>
      <w:tr>
        <w:trPr/>
        <w:tc>
          <w:tcPr>
            <w:tcW w:w="5990" w:type="dxa"/>
            <w:tcBorders/>
            <w:shd w:fill="CCE2F1" w:val="clear"/>
            <w:vAlign w:val="center"/>
          </w:tcPr>
          <w:p>
            <w:pPr>
              <w:pStyle w:val="TableContents"/>
              <w:bidi w:val="0"/>
              <w:spacing w:before="0" w:after="283"/>
              <w:jc w:val="left"/>
              <w:rPr>
                <w:sz w:val="4"/>
                <w:szCs w:val="4"/>
              </w:rPr>
            </w:pPr>
            <w:r>
              <w:rPr>
                <w:sz w:val="4"/>
                <w:szCs w:val="4"/>
              </w:rPr>
            </w:r>
          </w:p>
        </w:tc>
        <w:tc>
          <w:tcPr>
            <w:tcW w:w="1220" w:type="dxa"/>
            <w:gridSpan w:val="4"/>
            <w:tcBorders/>
            <w:shd w:fill="CCE2F1" w:val="clear"/>
            <w:vAlign w:val="center"/>
          </w:tcPr>
          <w:p>
            <w:pPr>
              <w:pStyle w:val="TableContents"/>
              <w:bidi w:val="0"/>
              <w:spacing w:before="0" w:after="283"/>
              <w:jc w:val="left"/>
              <w:rPr>
                <w:sz w:val="4"/>
                <w:szCs w:val="4"/>
              </w:rPr>
            </w:pPr>
            <w:r>
              <w:rPr>
                <w:sz w:val="4"/>
                <w:szCs w:val="4"/>
              </w:rPr>
            </w:r>
          </w:p>
        </w:tc>
        <w:tc>
          <w:tcPr>
            <w:tcW w:w="1462" w:type="dxa"/>
            <w:gridSpan w:val="4"/>
            <w:tcBorders/>
            <w:shd w:fill="CCE2F1" w:val="clear"/>
            <w:vAlign w:val="center"/>
          </w:tcPr>
          <w:p>
            <w:pPr>
              <w:pStyle w:val="TableContents"/>
              <w:bidi w:val="0"/>
              <w:spacing w:before="0" w:after="283"/>
              <w:jc w:val="left"/>
              <w:rPr>
                <w:sz w:val="4"/>
                <w:szCs w:val="4"/>
              </w:rPr>
            </w:pPr>
            <w:r>
              <w:rPr>
                <w:sz w:val="4"/>
                <w:szCs w:val="4"/>
              </w:rPr>
            </w:r>
          </w:p>
        </w:tc>
        <w:tc>
          <w:tcPr>
            <w:tcW w:w="1533"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5990" w:type="dxa"/>
            <w:tcBorders/>
            <w:shd w:fill="CCE2F1" w:val="clear"/>
            <w:vAlign w:val="center"/>
          </w:tcPr>
          <w:p>
            <w:pPr>
              <w:pStyle w:val="TableContents"/>
              <w:bidi w:val="0"/>
              <w:spacing w:before="0" w:after="0"/>
              <w:jc w:val="left"/>
              <w:rPr/>
            </w:pPr>
            <w:r>
              <w:rPr/>
              <w:t> </w:t>
            </w:r>
            <w:r>
              <w:rPr>
                <w:rFonts w:ascii="arial" w:hAnsi="arial"/>
                <w:b/>
                <w:sz w:val="18"/>
              </w:rPr>
              <w:t>Current Director Nominees:(4)</w:t>
            </w:r>
          </w:p>
        </w:tc>
        <w:tc>
          <w:tcPr>
            <w:tcW w:w="12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980"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12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sz w:val="4"/>
                <w:szCs w:val="4"/>
              </w:rPr>
            </w:pPr>
            <w:r>
              <w:rPr>
                <w:sz w:val="4"/>
                <w:szCs w:val="4"/>
              </w:rPr>
            </w:r>
          </w:p>
        </w:tc>
        <w:tc>
          <w:tcPr>
            <w:tcW w:w="980" w:type="dxa"/>
            <w:tcBorders/>
            <w:shd w:fill="CCE2F1" w:val="clear"/>
            <w:vAlign w:val="center"/>
          </w:tcPr>
          <w:p>
            <w:pPr>
              <w:pStyle w:val="TableContents"/>
              <w:bidi w:val="0"/>
              <w:spacing w:before="0" w:after="283"/>
              <w:jc w:val="left"/>
              <w:rPr>
                <w:sz w:val="4"/>
                <w:szCs w:val="4"/>
              </w:rPr>
            </w:pPr>
            <w:r>
              <w:rPr>
                <w:sz w:val="4"/>
                <w:szCs w:val="4"/>
              </w:rPr>
            </w:r>
          </w:p>
        </w:tc>
        <w:tc>
          <w:tcPr>
            <w:tcW w:w="302" w:type="dxa"/>
            <w:tcBorders/>
            <w:shd w:fill="CCE2F1" w:val="clear"/>
            <w:vAlign w:val="center"/>
          </w:tcPr>
          <w:p>
            <w:pPr>
              <w:pStyle w:val="TableContents"/>
              <w:bidi w:val="0"/>
              <w:spacing w:before="0" w:after="283"/>
              <w:jc w:val="left"/>
              <w:rPr>
                <w:sz w:val="4"/>
                <w:szCs w:val="4"/>
              </w:rPr>
            </w:pPr>
            <w:r>
              <w:rPr>
                <w:sz w:val="4"/>
                <w:szCs w:val="4"/>
              </w:rPr>
            </w:r>
          </w:p>
        </w:tc>
        <w:tc>
          <w:tcPr>
            <w:tcW w:w="60" w:type="dxa"/>
            <w:tcBorders/>
            <w:shd w:fill="CCE2F1" w:val="clear"/>
            <w:vAlign w:val="center"/>
          </w:tcPr>
          <w:p>
            <w:pPr>
              <w:pStyle w:val="TableContents"/>
              <w:bidi w:val="0"/>
              <w:spacing w:before="0" w:after="283"/>
              <w:jc w:val="left"/>
              <w:rPr/>
            </w:pPr>
            <w:r>
              <w:rPr/>
              <w:t> </w:t>
            </w:r>
          </w:p>
        </w:tc>
        <w:tc>
          <w:tcPr>
            <w:tcW w:w="80" w:type="dxa"/>
            <w:tcBorders/>
            <w:shd w:fill="CCE2F1" w:val="clear"/>
            <w:vAlign w:val="center"/>
          </w:tcPr>
          <w:p>
            <w:pPr>
              <w:pStyle w:val="TableContents"/>
              <w:bidi w:val="0"/>
              <w:spacing w:before="0" w:after="283"/>
              <w:jc w:val="left"/>
              <w:rPr>
                <w:sz w:val="4"/>
                <w:szCs w:val="4"/>
              </w:rPr>
            </w:pPr>
            <w:r>
              <w:rPr>
                <w:sz w:val="4"/>
                <w:szCs w:val="4"/>
              </w:rPr>
            </w:r>
          </w:p>
        </w:tc>
        <w:tc>
          <w:tcPr>
            <w:tcW w:w="1317" w:type="dxa"/>
            <w:tcBorders/>
            <w:shd w:fill="CCE2F1" w:val="clear"/>
            <w:vAlign w:val="center"/>
          </w:tcPr>
          <w:p>
            <w:pPr>
              <w:pStyle w:val="TableContents"/>
              <w:bidi w:val="0"/>
              <w:spacing w:before="0" w:after="283"/>
              <w:jc w:val="left"/>
              <w:rPr>
                <w:sz w:val="4"/>
                <w:szCs w:val="4"/>
              </w:rPr>
            </w:pPr>
            <w:r>
              <w:rPr>
                <w:sz w:val="4"/>
                <w:szCs w:val="4"/>
              </w:rPr>
            </w:r>
          </w:p>
        </w:tc>
        <w:tc>
          <w:tcPr>
            <w:tcW w:w="76" w:type="dxa"/>
            <w:tcBorders/>
            <w:shd w:fill="CCE2F1" w:val="clear"/>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462" w:type="dxa"/>
            <w:gridSpan w:val="4"/>
            <w:tcBorders/>
            <w:vAlign w:val="center"/>
          </w:tcPr>
          <w:p>
            <w:pPr>
              <w:pStyle w:val="TableContents"/>
              <w:bidi w:val="0"/>
              <w:spacing w:before="0" w:after="283"/>
              <w:jc w:val="left"/>
              <w:rPr>
                <w:sz w:val="4"/>
                <w:szCs w:val="4"/>
              </w:rPr>
            </w:pPr>
            <w:r>
              <w:rPr>
                <w:sz w:val="4"/>
                <w:szCs w:val="4"/>
              </w:rPr>
            </w:r>
          </w:p>
        </w:tc>
        <w:tc>
          <w:tcPr>
            <w:tcW w:w="1533"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0"/>
              <w:jc w:val="left"/>
              <w:rPr/>
            </w:pPr>
            <w:r>
              <w:rPr/>
              <w:t> </w:t>
            </w:r>
            <w:r>
              <w:rPr>
                <w:rFonts w:ascii="arial" w:hAnsi="arial"/>
                <w:sz w:val="18"/>
              </w:rPr>
              <w:t>Wanda M. Austin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3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w:t>
            </w:r>
          </w:p>
        </w:tc>
        <w:tc>
          <w:tcPr>
            <w:tcW w:w="76" w:type="dxa"/>
            <w:tcBorders/>
            <w:vAlign w:val="center"/>
          </w:tcPr>
          <w:p>
            <w:pPr>
              <w:pStyle w:val="TableContents"/>
              <w:bidi w:val="0"/>
              <w:spacing w:before="0" w:after="283"/>
              <w:jc w:val="left"/>
              <w:rPr/>
            </w:pPr>
            <w:r>
              <w:rPr/>
              <w:t> </w:t>
            </w:r>
          </w:p>
        </w:tc>
      </w:tr>
      <w:tr>
        <w:trPr/>
        <w:tc>
          <w:tcPr>
            <w:tcW w:w="5990" w:type="dxa"/>
            <w:tcBorders/>
            <w:shd w:fill="CCE2F1" w:val="clear"/>
            <w:vAlign w:val="center"/>
          </w:tcPr>
          <w:p>
            <w:pPr>
              <w:pStyle w:val="TableContents"/>
              <w:bidi w:val="0"/>
              <w:spacing w:before="0" w:after="283"/>
              <w:jc w:val="left"/>
              <w:rPr>
                <w:sz w:val="4"/>
                <w:szCs w:val="4"/>
              </w:rPr>
            </w:pPr>
            <w:r>
              <w:rPr>
                <w:sz w:val="4"/>
                <w:szCs w:val="4"/>
              </w:rPr>
            </w:r>
          </w:p>
        </w:tc>
        <w:tc>
          <w:tcPr>
            <w:tcW w:w="1220" w:type="dxa"/>
            <w:gridSpan w:val="4"/>
            <w:tcBorders/>
            <w:shd w:fill="CCE2F1" w:val="clear"/>
            <w:vAlign w:val="center"/>
          </w:tcPr>
          <w:p>
            <w:pPr>
              <w:pStyle w:val="TableContents"/>
              <w:bidi w:val="0"/>
              <w:spacing w:before="0" w:after="283"/>
              <w:jc w:val="left"/>
              <w:rPr>
                <w:sz w:val="4"/>
                <w:szCs w:val="4"/>
              </w:rPr>
            </w:pPr>
            <w:r>
              <w:rPr>
                <w:sz w:val="4"/>
                <w:szCs w:val="4"/>
              </w:rPr>
            </w:r>
          </w:p>
        </w:tc>
        <w:tc>
          <w:tcPr>
            <w:tcW w:w="1462" w:type="dxa"/>
            <w:gridSpan w:val="4"/>
            <w:tcBorders/>
            <w:shd w:fill="CCE2F1" w:val="clear"/>
            <w:vAlign w:val="center"/>
          </w:tcPr>
          <w:p>
            <w:pPr>
              <w:pStyle w:val="TableContents"/>
              <w:bidi w:val="0"/>
              <w:spacing w:before="0" w:after="283"/>
              <w:jc w:val="left"/>
              <w:rPr>
                <w:sz w:val="4"/>
                <w:szCs w:val="4"/>
              </w:rPr>
            </w:pPr>
            <w:r>
              <w:rPr>
                <w:sz w:val="4"/>
                <w:szCs w:val="4"/>
              </w:rPr>
            </w:r>
          </w:p>
        </w:tc>
        <w:tc>
          <w:tcPr>
            <w:tcW w:w="1533"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5990" w:type="dxa"/>
            <w:tcBorders/>
            <w:shd w:fill="CCE2F1" w:val="clear"/>
            <w:vAlign w:val="center"/>
          </w:tcPr>
          <w:p>
            <w:pPr>
              <w:pStyle w:val="TableContents"/>
              <w:bidi w:val="0"/>
              <w:spacing w:before="0" w:after="0"/>
              <w:jc w:val="left"/>
              <w:rPr/>
            </w:pPr>
            <w:r>
              <w:rPr/>
              <w:t> </w:t>
            </w:r>
            <w:r>
              <w:rPr>
                <w:rFonts w:ascii="arial" w:hAnsi="arial"/>
                <w:sz w:val="18"/>
              </w:rPr>
              <w:t>Michael V. Drake</w:t>
            </w:r>
          </w:p>
        </w:tc>
        <w:tc>
          <w:tcPr>
            <w:tcW w:w="12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980" w:type="dxa"/>
            <w:tcBorders/>
            <w:shd w:fill="CCE2F1" w:val="clear"/>
            <w:vAlign w:val="center"/>
          </w:tcPr>
          <w:p>
            <w:pPr>
              <w:pStyle w:val="TableContents"/>
              <w:bidi w:val="0"/>
              <w:spacing w:before="0" w:after="283"/>
              <w:jc w:val="right"/>
              <w:rPr/>
            </w:pPr>
            <w:r>
              <w:rPr/>
              <w:t>—</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980" w:type="dxa"/>
            <w:tcBorders/>
            <w:shd w:fill="CCE2F1" w:val="clear"/>
            <w:vAlign w:val="center"/>
          </w:tcPr>
          <w:p>
            <w:pPr>
              <w:pStyle w:val="TableContents"/>
              <w:bidi w:val="0"/>
              <w:spacing w:before="0" w:after="283"/>
              <w:jc w:val="right"/>
              <w:rPr/>
            </w:pPr>
            <w:r>
              <w:rPr/>
              <w:t>2,339</w:t>
            </w:r>
          </w:p>
        </w:tc>
        <w:tc>
          <w:tcPr>
            <w:tcW w:w="302" w:type="dxa"/>
            <w:tcBorders/>
            <w:shd w:fill="CCE2F1" w:val="clear"/>
            <w:vAlign w:val="center"/>
          </w:tcPr>
          <w:p>
            <w:pPr>
              <w:pStyle w:val="TableContents"/>
              <w:bidi w:val="0"/>
              <w:spacing w:before="0" w:after="283"/>
              <w:jc w:val="left"/>
              <w:rPr/>
            </w:pPr>
            <w:r>
              <w:rPr/>
              <w:t>(3) </w:t>
            </w:r>
          </w:p>
        </w:tc>
        <w:tc>
          <w:tcPr>
            <w:tcW w:w="60" w:type="dxa"/>
            <w:tcBorders/>
            <w:shd w:fill="CCE2F1" w:val="clear"/>
            <w:vAlign w:val="center"/>
          </w:tcPr>
          <w:p>
            <w:pPr>
              <w:pStyle w:val="TableContents"/>
              <w:bidi w:val="0"/>
              <w:spacing w:before="0" w:after="283"/>
              <w:jc w:val="left"/>
              <w:rPr/>
            </w:pPr>
            <w:r>
              <w:rPr/>
              <w:t> </w:t>
            </w:r>
          </w:p>
        </w:tc>
        <w:tc>
          <w:tcPr>
            <w:tcW w:w="80" w:type="dxa"/>
            <w:tcBorders/>
            <w:shd w:fill="CCE2F1" w:val="clear"/>
            <w:vAlign w:val="center"/>
          </w:tcPr>
          <w:p>
            <w:pPr>
              <w:pStyle w:val="TableContents"/>
              <w:bidi w:val="0"/>
              <w:spacing w:before="0" w:after="283"/>
              <w:jc w:val="left"/>
              <w:rPr/>
            </w:pPr>
            <w:r>
              <w:rPr/>
              <w:t> </w:t>
            </w:r>
          </w:p>
        </w:tc>
        <w:tc>
          <w:tcPr>
            <w:tcW w:w="1317" w:type="dxa"/>
            <w:tcBorders/>
            <w:shd w:fill="CCE2F1" w:val="clear"/>
            <w:vAlign w:val="center"/>
          </w:tcPr>
          <w:p>
            <w:pPr>
              <w:pStyle w:val="TableContents"/>
              <w:bidi w:val="0"/>
              <w:spacing w:before="0" w:after="283"/>
              <w:jc w:val="right"/>
              <w:rPr/>
            </w:pPr>
            <w:r>
              <w:rPr/>
              <w:t>—</w:t>
            </w:r>
          </w:p>
        </w:tc>
        <w:tc>
          <w:tcPr>
            <w:tcW w:w="76" w:type="dxa"/>
            <w:tcBorders/>
            <w:shd w:fill="CCE2F1" w:val="clear"/>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462" w:type="dxa"/>
            <w:gridSpan w:val="4"/>
            <w:tcBorders/>
            <w:vAlign w:val="center"/>
          </w:tcPr>
          <w:p>
            <w:pPr>
              <w:pStyle w:val="TableContents"/>
              <w:bidi w:val="0"/>
              <w:spacing w:before="0" w:after="283"/>
              <w:jc w:val="left"/>
              <w:rPr>
                <w:sz w:val="4"/>
                <w:szCs w:val="4"/>
              </w:rPr>
            </w:pPr>
            <w:r>
              <w:rPr>
                <w:sz w:val="4"/>
                <w:szCs w:val="4"/>
              </w:rPr>
            </w:r>
          </w:p>
        </w:tc>
        <w:tc>
          <w:tcPr>
            <w:tcW w:w="1533"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0"/>
              <w:jc w:val="left"/>
              <w:rPr/>
            </w:pPr>
            <w:r>
              <w:rPr/>
              <w:t> </w:t>
            </w:r>
            <w:r>
              <w:rPr>
                <w:rFonts w:ascii="arial" w:hAnsi="arial"/>
                <w:sz w:val="18"/>
              </w:rPr>
              <w:t>Brian J. Druker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5,075</w:t>
            </w:r>
          </w:p>
        </w:tc>
        <w:tc>
          <w:tcPr>
            <w:tcW w:w="302"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w:t>
            </w:r>
          </w:p>
        </w:tc>
        <w:tc>
          <w:tcPr>
            <w:tcW w:w="76" w:type="dxa"/>
            <w:tcBorders/>
            <w:vAlign w:val="center"/>
          </w:tcPr>
          <w:p>
            <w:pPr>
              <w:pStyle w:val="TableContents"/>
              <w:bidi w:val="0"/>
              <w:spacing w:before="0" w:after="283"/>
              <w:jc w:val="left"/>
              <w:rPr/>
            </w:pPr>
            <w:r>
              <w:rPr/>
              <w:t> </w:t>
            </w:r>
          </w:p>
        </w:tc>
      </w:tr>
      <w:tr>
        <w:trPr/>
        <w:tc>
          <w:tcPr>
            <w:tcW w:w="5990" w:type="dxa"/>
            <w:tcBorders/>
            <w:shd w:fill="CCE2F1" w:val="clear"/>
            <w:vAlign w:val="center"/>
          </w:tcPr>
          <w:p>
            <w:pPr>
              <w:pStyle w:val="TableContents"/>
              <w:bidi w:val="0"/>
              <w:spacing w:before="0" w:after="283"/>
              <w:jc w:val="left"/>
              <w:rPr>
                <w:sz w:val="4"/>
                <w:szCs w:val="4"/>
              </w:rPr>
            </w:pPr>
            <w:r>
              <w:rPr>
                <w:sz w:val="4"/>
                <w:szCs w:val="4"/>
              </w:rPr>
            </w:r>
          </w:p>
        </w:tc>
        <w:tc>
          <w:tcPr>
            <w:tcW w:w="1220" w:type="dxa"/>
            <w:gridSpan w:val="4"/>
            <w:tcBorders/>
            <w:shd w:fill="CCE2F1" w:val="clear"/>
            <w:vAlign w:val="center"/>
          </w:tcPr>
          <w:p>
            <w:pPr>
              <w:pStyle w:val="TableContents"/>
              <w:bidi w:val="0"/>
              <w:spacing w:before="0" w:after="283"/>
              <w:jc w:val="left"/>
              <w:rPr>
                <w:sz w:val="4"/>
                <w:szCs w:val="4"/>
              </w:rPr>
            </w:pPr>
            <w:r>
              <w:rPr>
                <w:sz w:val="4"/>
                <w:szCs w:val="4"/>
              </w:rPr>
            </w:r>
          </w:p>
        </w:tc>
        <w:tc>
          <w:tcPr>
            <w:tcW w:w="1462" w:type="dxa"/>
            <w:gridSpan w:val="4"/>
            <w:tcBorders/>
            <w:shd w:fill="CCE2F1" w:val="clear"/>
            <w:vAlign w:val="center"/>
          </w:tcPr>
          <w:p>
            <w:pPr>
              <w:pStyle w:val="TableContents"/>
              <w:bidi w:val="0"/>
              <w:spacing w:before="0" w:after="283"/>
              <w:jc w:val="left"/>
              <w:rPr>
                <w:sz w:val="4"/>
                <w:szCs w:val="4"/>
              </w:rPr>
            </w:pPr>
            <w:r>
              <w:rPr>
                <w:sz w:val="4"/>
                <w:szCs w:val="4"/>
              </w:rPr>
            </w:r>
          </w:p>
        </w:tc>
        <w:tc>
          <w:tcPr>
            <w:tcW w:w="1533"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5990" w:type="dxa"/>
            <w:tcBorders/>
            <w:shd w:fill="CCE2F1" w:val="clear"/>
            <w:vAlign w:val="center"/>
          </w:tcPr>
          <w:p>
            <w:pPr>
              <w:pStyle w:val="TableContents"/>
              <w:bidi w:val="0"/>
              <w:spacing w:before="0" w:after="0"/>
              <w:jc w:val="left"/>
              <w:rPr/>
            </w:pPr>
            <w:r>
              <w:rPr/>
              <w:t> </w:t>
            </w:r>
            <w:r>
              <w:rPr>
                <w:rFonts w:ascii="arial" w:hAnsi="arial"/>
                <w:sz w:val="18"/>
              </w:rPr>
              <w:t>Robert A. Eckert</w:t>
            </w:r>
          </w:p>
        </w:tc>
        <w:tc>
          <w:tcPr>
            <w:tcW w:w="12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980" w:type="dxa"/>
            <w:tcBorders/>
            <w:shd w:fill="CCE2F1" w:val="clear"/>
            <w:vAlign w:val="center"/>
          </w:tcPr>
          <w:p>
            <w:pPr>
              <w:pStyle w:val="TableContents"/>
              <w:bidi w:val="0"/>
              <w:spacing w:before="0" w:after="283"/>
              <w:jc w:val="right"/>
              <w:rPr/>
            </w:pPr>
            <w:r>
              <w:rPr/>
              <w:t>—</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980" w:type="dxa"/>
            <w:tcBorders/>
            <w:shd w:fill="CCE2F1" w:val="clear"/>
            <w:vAlign w:val="center"/>
          </w:tcPr>
          <w:p>
            <w:pPr>
              <w:pStyle w:val="TableContents"/>
              <w:bidi w:val="0"/>
              <w:spacing w:before="0" w:after="283"/>
              <w:jc w:val="right"/>
              <w:rPr/>
            </w:pPr>
            <w:r>
              <w:rPr/>
              <w:t>15,952</w:t>
            </w:r>
          </w:p>
        </w:tc>
        <w:tc>
          <w:tcPr>
            <w:tcW w:w="302" w:type="dxa"/>
            <w:tcBorders/>
            <w:shd w:fill="CCE2F1" w:val="clear"/>
            <w:vAlign w:val="center"/>
          </w:tcPr>
          <w:p>
            <w:pPr>
              <w:pStyle w:val="TableContents"/>
              <w:bidi w:val="0"/>
              <w:spacing w:before="0" w:after="283"/>
              <w:jc w:val="left"/>
              <w:rPr/>
            </w:pPr>
            <w:r>
              <w:rPr/>
              <w:t>(3) </w:t>
            </w:r>
          </w:p>
        </w:tc>
        <w:tc>
          <w:tcPr>
            <w:tcW w:w="60" w:type="dxa"/>
            <w:tcBorders/>
            <w:shd w:fill="CCE2F1" w:val="clear"/>
            <w:vAlign w:val="center"/>
          </w:tcPr>
          <w:p>
            <w:pPr>
              <w:pStyle w:val="TableContents"/>
              <w:bidi w:val="0"/>
              <w:spacing w:before="0" w:after="283"/>
              <w:jc w:val="left"/>
              <w:rPr/>
            </w:pPr>
            <w:r>
              <w:rPr/>
              <w:t> </w:t>
            </w:r>
          </w:p>
        </w:tc>
        <w:tc>
          <w:tcPr>
            <w:tcW w:w="80" w:type="dxa"/>
            <w:tcBorders/>
            <w:shd w:fill="CCE2F1" w:val="clear"/>
            <w:vAlign w:val="center"/>
          </w:tcPr>
          <w:p>
            <w:pPr>
              <w:pStyle w:val="TableContents"/>
              <w:bidi w:val="0"/>
              <w:spacing w:before="0" w:after="283"/>
              <w:jc w:val="left"/>
              <w:rPr/>
            </w:pPr>
            <w:r>
              <w:rPr/>
              <w:t> </w:t>
            </w:r>
          </w:p>
        </w:tc>
        <w:tc>
          <w:tcPr>
            <w:tcW w:w="1317" w:type="dxa"/>
            <w:tcBorders/>
            <w:shd w:fill="CCE2F1" w:val="clear"/>
            <w:vAlign w:val="center"/>
          </w:tcPr>
          <w:p>
            <w:pPr>
              <w:pStyle w:val="TableContents"/>
              <w:bidi w:val="0"/>
              <w:spacing w:before="0" w:after="283"/>
              <w:jc w:val="right"/>
              <w:rPr/>
            </w:pPr>
            <w:r>
              <w:rPr/>
              <w:t>—</w:t>
            </w:r>
          </w:p>
        </w:tc>
        <w:tc>
          <w:tcPr>
            <w:tcW w:w="76" w:type="dxa"/>
            <w:tcBorders/>
            <w:shd w:fill="CCE2F1" w:val="clear"/>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462" w:type="dxa"/>
            <w:gridSpan w:val="4"/>
            <w:tcBorders/>
            <w:vAlign w:val="center"/>
          </w:tcPr>
          <w:p>
            <w:pPr>
              <w:pStyle w:val="TableContents"/>
              <w:bidi w:val="0"/>
              <w:spacing w:before="0" w:after="283"/>
              <w:jc w:val="left"/>
              <w:rPr>
                <w:sz w:val="4"/>
                <w:szCs w:val="4"/>
              </w:rPr>
            </w:pPr>
            <w:r>
              <w:rPr>
                <w:sz w:val="4"/>
                <w:szCs w:val="4"/>
              </w:rPr>
            </w:r>
          </w:p>
        </w:tc>
        <w:tc>
          <w:tcPr>
            <w:tcW w:w="1533"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0"/>
              <w:jc w:val="left"/>
              <w:rPr/>
            </w:pPr>
            <w:r>
              <w:rPr/>
              <w:t> </w:t>
            </w:r>
            <w:r>
              <w:rPr>
                <w:rFonts w:ascii="arial" w:hAnsi="arial"/>
                <w:sz w:val="18"/>
              </w:rPr>
              <w:t>Greg C. Garland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3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w:t>
            </w:r>
          </w:p>
        </w:tc>
        <w:tc>
          <w:tcPr>
            <w:tcW w:w="76" w:type="dxa"/>
            <w:tcBorders/>
            <w:vAlign w:val="center"/>
          </w:tcPr>
          <w:p>
            <w:pPr>
              <w:pStyle w:val="TableContents"/>
              <w:bidi w:val="0"/>
              <w:spacing w:before="0" w:after="283"/>
              <w:jc w:val="left"/>
              <w:rPr/>
            </w:pPr>
            <w:r>
              <w:rPr/>
              <w:t> </w:t>
            </w:r>
          </w:p>
        </w:tc>
      </w:tr>
      <w:tr>
        <w:trPr/>
        <w:tc>
          <w:tcPr>
            <w:tcW w:w="5990" w:type="dxa"/>
            <w:tcBorders/>
            <w:shd w:fill="CCE2F1" w:val="clear"/>
            <w:vAlign w:val="center"/>
          </w:tcPr>
          <w:p>
            <w:pPr>
              <w:pStyle w:val="TableContents"/>
              <w:bidi w:val="0"/>
              <w:spacing w:before="0" w:after="283"/>
              <w:jc w:val="left"/>
              <w:rPr>
                <w:sz w:val="4"/>
                <w:szCs w:val="4"/>
              </w:rPr>
            </w:pPr>
            <w:r>
              <w:rPr>
                <w:sz w:val="4"/>
                <w:szCs w:val="4"/>
              </w:rPr>
            </w:r>
          </w:p>
        </w:tc>
        <w:tc>
          <w:tcPr>
            <w:tcW w:w="1220" w:type="dxa"/>
            <w:gridSpan w:val="4"/>
            <w:tcBorders/>
            <w:shd w:fill="CCE2F1" w:val="clear"/>
            <w:vAlign w:val="center"/>
          </w:tcPr>
          <w:p>
            <w:pPr>
              <w:pStyle w:val="TableContents"/>
              <w:bidi w:val="0"/>
              <w:spacing w:before="0" w:after="283"/>
              <w:jc w:val="left"/>
              <w:rPr>
                <w:sz w:val="4"/>
                <w:szCs w:val="4"/>
              </w:rPr>
            </w:pPr>
            <w:r>
              <w:rPr>
                <w:sz w:val="4"/>
                <w:szCs w:val="4"/>
              </w:rPr>
            </w:r>
          </w:p>
        </w:tc>
        <w:tc>
          <w:tcPr>
            <w:tcW w:w="1462" w:type="dxa"/>
            <w:gridSpan w:val="4"/>
            <w:tcBorders/>
            <w:shd w:fill="CCE2F1" w:val="clear"/>
            <w:vAlign w:val="center"/>
          </w:tcPr>
          <w:p>
            <w:pPr>
              <w:pStyle w:val="TableContents"/>
              <w:bidi w:val="0"/>
              <w:spacing w:before="0" w:after="283"/>
              <w:jc w:val="left"/>
              <w:rPr>
                <w:sz w:val="4"/>
                <w:szCs w:val="4"/>
              </w:rPr>
            </w:pPr>
            <w:r>
              <w:rPr>
                <w:sz w:val="4"/>
                <w:szCs w:val="4"/>
              </w:rPr>
            </w:r>
          </w:p>
        </w:tc>
        <w:tc>
          <w:tcPr>
            <w:tcW w:w="1533"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5990" w:type="dxa"/>
            <w:tcBorders/>
            <w:shd w:fill="CCE2F1" w:val="clear"/>
            <w:vAlign w:val="center"/>
          </w:tcPr>
          <w:p>
            <w:pPr>
              <w:pStyle w:val="TableContents"/>
              <w:bidi w:val="0"/>
              <w:spacing w:before="0" w:after="0"/>
              <w:jc w:val="left"/>
              <w:rPr/>
            </w:pPr>
            <w:r>
              <w:rPr/>
              <w:t> </w:t>
            </w:r>
            <w:r>
              <w:rPr>
                <w:rFonts w:ascii="arial" w:hAnsi="arial"/>
                <w:sz w:val="18"/>
              </w:rPr>
              <w:t>Charles M. Holley, Jr.</w:t>
            </w:r>
          </w:p>
        </w:tc>
        <w:tc>
          <w:tcPr>
            <w:tcW w:w="12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980" w:type="dxa"/>
            <w:tcBorders/>
            <w:shd w:fill="CCE2F1" w:val="clear"/>
            <w:vAlign w:val="center"/>
          </w:tcPr>
          <w:p>
            <w:pPr>
              <w:pStyle w:val="TableContents"/>
              <w:bidi w:val="0"/>
              <w:spacing w:before="0" w:after="283"/>
              <w:jc w:val="right"/>
              <w:rPr/>
            </w:pPr>
            <w:r>
              <w:rPr/>
              <w:t>—</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980" w:type="dxa"/>
            <w:tcBorders/>
            <w:shd w:fill="CCE2F1" w:val="clear"/>
            <w:vAlign w:val="center"/>
          </w:tcPr>
          <w:p>
            <w:pPr>
              <w:pStyle w:val="TableContents"/>
              <w:bidi w:val="0"/>
              <w:spacing w:before="0" w:after="283"/>
              <w:jc w:val="right"/>
              <w:rPr/>
            </w:pPr>
            <w:r>
              <w:rPr/>
              <w:t>8,713</w:t>
            </w:r>
          </w:p>
        </w:tc>
        <w:tc>
          <w:tcPr>
            <w:tcW w:w="302" w:type="dxa"/>
            <w:tcBorders/>
            <w:shd w:fill="CCE2F1" w:val="clear"/>
            <w:vAlign w:val="center"/>
          </w:tcPr>
          <w:p>
            <w:pPr>
              <w:pStyle w:val="TableContents"/>
              <w:bidi w:val="0"/>
              <w:spacing w:before="0" w:after="283"/>
              <w:jc w:val="left"/>
              <w:rPr/>
            </w:pPr>
            <w:r>
              <w:rPr/>
              <w:t>(3) </w:t>
            </w:r>
          </w:p>
        </w:tc>
        <w:tc>
          <w:tcPr>
            <w:tcW w:w="60" w:type="dxa"/>
            <w:tcBorders/>
            <w:shd w:fill="CCE2F1" w:val="clear"/>
            <w:vAlign w:val="center"/>
          </w:tcPr>
          <w:p>
            <w:pPr>
              <w:pStyle w:val="TableContents"/>
              <w:bidi w:val="0"/>
              <w:spacing w:before="0" w:after="283"/>
              <w:jc w:val="left"/>
              <w:rPr/>
            </w:pPr>
            <w:r>
              <w:rPr/>
              <w:t> </w:t>
            </w:r>
          </w:p>
        </w:tc>
        <w:tc>
          <w:tcPr>
            <w:tcW w:w="80" w:type="dxa"/>
            <w:tcBorders/>
            <w:shd w:fill="CCE2F1" w:val="clear"/>
            <w:vAlign w:val="center"/>
          </w:tcPr>
          <w:p>
            <w:pPr>
              <w:pStyle w:val="TableContents"/>
              <w:bidi w:val="0"/>
              <w:spacing w:before="0" w:after="283"/>
              <w:jc w:val="left"/>
              <w:rPr/>
            </w:pPr>
            <w:r>
              <w:rPr/>
              <w:t> </w:t>
            </w:r>
          </w:p>
        </w:tc>
        <w:tc>
          <w:tcPr>
            <w:tcW w:w="1317" w:type="dxa"/>
            <w:tcBorders/>
            <w:shd w:fill="CCE2F1" w:val="clear"/>
            <w:vAlign w:val="center"/>
          </w:tcPr>
          <w:p>
            <w:pPr>
              <w:pStyle w:val="TableContents"/>
              <w:bidi w:val="0"/>
              <w:spacing w:before="0" w:after="283"/>
              <w:jc w:val="right"/>
              <w:rPr/>
            </w:pPr>
            <w:r>
              <w:rPr/>
              <w:t>—</w:t>
            </w:r>
          </w:p>
        </w:tc>
        <w:tc>
          <w:tcPr>
            <w:tcW w:w="76" w:type="dxa"/>
            <w:tcBorders/>
            <w:shd w:fill="CCE2F1" w:val="clear"/>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462" w:type="dxa"/>
            <w:gridSpan w:val="4"/>
            <w:tcBorders/>
            <w:vAlign w:val="center"/>
          </w:tcPr>
          <w:p>
            <w:pPr>
              <w:pStyle w:val="TableContents"/>
              <w:bidi w:val="0"/>
              <w:spacing w:before="0" w:after="283"/>
              <w:jc w:val="left"/>
              <w:rPr>
                <w:sz w:val="4"/>
                <w:szCs w:val="4"/>
              </w:rPr>
            </w:pPr>
            <w:r>
              <w:rPr>
                <w:sz w:val="4"/>
                <w:szCs w:val="4"/>
              </w:rPr>
            </w:r>
          </w:p>
        </w:tc>
        <w:tc>
          <w:tcPr>
            <w:tcW w:w="1533"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0"/>
              <w:jc w:val="left"/>
              <w:rPr/>
            </w:pPr>
            <w:r>
              <w:rPr/>
              <w:t> </w:t>
            </w:r>
            <w:r>
              <w:rPr>
                <w:rFonts w:ascii="arial" w:hAnsi="arial"/>
                <w:sz w:val="18"/>
              </w:rPr>
              <w:t>S. Omar Ishrak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2,925</w:t>
            </w:r>
          </w:p>
        </w:tc>
        <w:tc>
          <w:tcPr>
            <w:tcW w:w="302"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w:t>
            </w:r>
          </w:p>
        </w:tc>
        <w:tc>
          <w:tcPr>
            <w:tcW w:w="76" w:type="dxa"/>
            <w:tcBorders/>
            <w:vAlign w:val="center"/>
          </w:tcPr>
          <w:p>
            <w:pPr>
              <w:pStyle w:val="TableContents"/>
              <w:bidi w:val="0"/>
              <w:spacing w:before="0" w:after="283"/>
              <w:jc w:val="left"/>
              <w:rPr/>
            </w:pPr>
            <w:r>
              <w:rPr/>
              <w:t> </w:t>
            </w:r>
          </w:p>
        </w:tc>
      </w:tr>
      <w:tr>
        <w:trPr/>
        <w:tc>
          <w:tcPr>
            <w:tcW w:w="5990" w:type="dxa"/>
            <w:tcBorders/>
            <w:shd w:fill="CCE2F1" w:val="clear"/>
            <w:vAlign w:val="center"/>
          </w:tcPr>
          <w:p>
            <w:pPr>
              <w:pStyle w:val="TableContents"/>
              <w:bidi w:val="0"/>
              <w:spacing w:before="0" w:after="283"/>
              <w:jc w:val="left"/>
              <w:rPr>
                <w:sz w:val="4"/>
                <w:szCs w:val="4"/>
              </w:rPr>
            </w:pPr>
            <w:r>
              <w:rPr>
                <w:sz w:val="4"/>
                <w:szCs w:val="4"/>
              </w:rPr>
            </w:r>
          </w:p>
        </w:tc>
        <w:tc>
          <w:tcPr>
            <w:tcW w:w="1220" w:type="dxa"/>
            <w:gridSpan w:val="4"/>
            <w:tcBorders/>
            <w:shd w:fill="CCE2F1" w:val="clear"/>
            <w:vAlign w:val="center"/>
          </w:tcPr>
          <w:p>
            <w:pPr>
              <w:pStyle w:val="TableContents"/>
              <w:bidi w:val="0"/>
              <w:spacing w:before="0" w:after="283"/>
              <w:jc w:val="left"/>
              <w:rPr>
                <w:sz w:val="4"/>
                <w:szCs w:val="4"/>
              </w:rPr>
            </w:pPr>
            <w:r>
              <w:rPr>
                <w:sz w:val="4"/>
                <w:szCs w:val="4"/>
              </w:rPr>
            </w:r>
          </w:p>
        </w:tc>
        <w:tc>
          <w:tcPr>
            <w:tcW w:w="1462" w:type="dxa"/>
            <w:gridSpan w:val="4"/>
            <w:tcBorders/>
            <w:shd w:fill="CCE2F1" w:val="clear"/>
            <w:vAlign w:val="center"/>
          </w:tcPr>
          <w:p>
            <w:pPr>
              <w:pStyle w:val="TableContents"/>
              <w:bidi w:val="0"/>
              <w:spacing w:before="0" w:after="283"/>
              <w:jc w:val="left"/>
              <w:rPr>
                <w:sz w:val="4"/>
                <w:szCs w:val="4"/>
              </w:rPr>
            </w:pPr>
            <w:r>
              <w:rPr>
                <w:sz w:val="4"/>
                <w:szCs w:val="4"/>
              </w:rPr>
            </w:r>
          </w:p>
        </w:tc>
        <w:tc>
          <w:tcPr>
            <w:tcW w:w="1533"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5990" w:type="dxa"/>
            <w:tcBorders/>
            <w:shd w:fill="CCE2F1" w:val="clear"/>
            <w:vAlign w:val="center"/>
          </w:tcPr>
          <w:p>
            <w:pPr>
              <w:pStyle w:val="TableContents"/>
              <w:bidi w:val="0"/>
              <w:spacing w:before="0" w:after="0"/>
              <w:jc w:val="left"/>
              <w:rPr/>
            </w:pPr>
            <w:r>
              <w:rPr/>
              <w:t> </w:t>
            </w:r>
            <w:r>
              <w:rPr>
                <w:rFonts w:ascii="arial" w:hAnsi="arial"/>
                <w:sz w:val="18"/>
              </w:rPr>
              <w:t>Tyler Jacks</w:t>
            </w:r>
          </w:p>
        </w:tc>
        <w:tc>
          <w:tcPr>
            <w:tcW w:w="12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980" w:type="dxa"/>
            <w:tcBorders/>
            <w:shd w:fill="CCE2F1" w:val="clear"/>
            <w:vAlign w:val="center"/>
          </w:tcPr>
          <w:p>
            <w:pPr>
              <w:pStyle w:val="TableContents"/>
              <w:bidi w:val="0"/>
              <w:spacing w:before="0" w:after="283"/>
              <w:jc w:val="right"/>
              <w:rPr/>
            </w:pPr>
            <w:r>
              <w:rPr/>
              <w:t>—</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980" w:type="dxa"/>
            <w:tcBorders/>
            <w:shd w:fill="CCE2F1" w:val="clear"/>
            <w:vAlign w:val="center"/>
          </w:tcPr>
          <w:p>
            <w:pPr>
              <w:pStyle w:val="TableContents"/>
              <w:bidi w:val="0"/>
              <w:spacing w:before="0" w:after="283"/>
              <w:jc w:val="right"/>
              <w:rPr/>
            </w:pPr>
            <w:r>
              <w:rPr/>
              <w:t>12,559</w:t>
            </w:r>
          </w:p>
        </w:tc>
        <w:tc>
          <w:tcPr>
            <w:tcW w:w="302" w:type="dxa"/>
            <w:tcBorders/>
            <w:shd w:fill="CCE2F1" w:val="clear"/>
            <w:vAlign w:val="center"/>
          </w:tcPr>
          <w:p>
            <w:pPr>
              <w:pStyle w:val="TableContents"/>
              <w:bidi w:val="0"/>
              <w:spacing w:before="0" w:after="283"/>
              <w:jc w:val="left"/>
              <w:rPr/>
            </w:pPr>
            <w:r>
              <w:rPr/>
              <w:t>(3) </w:t>
            </w:r>
          </w:p>
        </w:tc>
        <w:tc>
          <w:tcPr>
            <w:tcW w:w="60" w:type="dxa"/>
            <w:tcBorders/>
            <w:shd w:fill="CCE2F1" w:val="clear"/>
            <w:vAlign w:val="center"/>
          </w:tcPr>
          <w:p>
            <w:pPr>
              <w:pStyle w:val="TableContents"/>
              <w:bidi w:val="0"/>
              <w:spacing w:before="0" w:after="283"/>
              <w:jc w:val="left"/>
              <w:rPr/>
            </w:pPr>
            <w:r>
              <w:rPr/>
              <w:t> </w:t>
            </w:r>
          </w:p>
        </w:tc>
        <w:tc>
          <w:tcPr>
            <w:tcW w:w="80" w:type="dxa"/>
            <w:tcBorders/>
            <w:shd w:fill="CCE2F1" w:val="clear"/>
            <w:vAlign w:val="center"/>
          </w:tcPr>
          <w:p>
            <w:pPr>
              <w:pStyle w:val="TableContents"/>
              <w:bidi w:val="0"/>
              <w:spacing w:before="0" w:after="283"/>
              <w:jc w:val="left"/>
              <w:rPr/>
            </w:pPr>
            <w:r>
              <w:rPr/>
              <w:t> </w:t>
            </w:r>
          </w:p>
        </w:tc>
        <w:tc>
          <w:tcPr>
            <w:tcW w:w="1317" w:type="dxa"/>
            <w:tcBorders/>
            <w:shd w:fill="CCE2F1" w:val="clear"/>
            <w:vAlign w:val="center"/>
          </w:tcPr>
          <w:p>
            <w:pPr>
              <w:pStyle w:val="TableContents"/>
              <w:bidi w:val="0"/>
              <w:spacing w:before="0" w:after="283"/>
              <w:jc w:val="right"/>
              <w:rPr/>
            </w:pPr>
            <w:r>
              <w:rPr/>
              <w:t>—</w:t>
            </w:r>
          </w:p>
        </w:tc>
        <w:tc>
          <w:tcPr>
            <w:tcW w:w="76" w:type="dxa"/>
            <w:tcBorders/>
            <w:shd w:fill="CCE2F1" w:val="clear"/>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462" w:type="dxa"/>
            <w:gridSpan w:val="4"/>
            <w:tcBorders/>
            <w:vAlign w:val="center"/>
          </w:tcPr>
          <w:p>
            <w:pPr>
              <w:pStyle w:val="TableContents"/>
              <w:bidi w:val="0"/>
              <w:spacing w:before="0" w:after="283"/>
              <w:jc w:val="left"/>
              <w:rPr>
                <w:sz w:val="4"/>
                <w:szCs w:val="4"/>
              </w:rPr>
            </w:pPr>
            <w:r>
              <w:rPr>
                <w:sz w:val="4"/>
                <w:szCs w:val="4"/>
              </w:rPr>
            </w:r>
          </w:p>
        </w:tc>
        <w:tc>
          <w:tcPr>
            <w:tcW w:w="1533"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0"/>
              <w:jc w:val="left"/>
              <w:rPr/>
            </w:pPr>
            <w:r>
              <w:rPr/>
              <w:t> </w:t>
            </w:r>
            <w:r>
              <w:rPr>
                <w:rFonts w:ascii="arial" w:hAnsi="arial"/>
                <w:sz w:val="18"/>
              </w:rPr>
              <w:t>Mary E. Klotman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3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w:t>
            </w:r>
          </w:p>
        </w:tc>
        <w:tc>
          <w:tcPr>
            <w:tcW w:w="76" w:type="dxa"/>
            <w:tcBorders/>
            <w:vAlign w:val="center"/>
          </w:tcPr>
          <w:p>
            <w:pPr>
              <w:pStyle w:val="TableContents"/>
              <w:bidi w:val="0"/>
              <w:spacing w:before="0" w:after="283"/>
              <w:jc w:val="left"/>
              <w:rPr/>
            </w:pPr>
            <w:r>
              <w:rPr/>
              <w:t> </w:t>
            </w:r>
          </w:p>
        </w:tc>
      </w:tr>
      <w:tr>
        <w:trPr/>
        <w:tc>
          <w:tcPr>
            <w:tcW w:w="5990" w:type="dxa"/>
            <w:tcBorders/>
            <w:shd w:fill="CCE2F1" w:val="clear"/>
            <w:vAlign w:val="center"/>
          </w:tcPr>
          <w:p>
            <w:pPr>
              <w:pStyle w:val="TableContents"/>
              <w:bidi w:val="0"/>
              <w:spacing w:before="0" w:after="283"/>
              <w:jc w:val="left"/>
              <w:rPr>
                <w:sz w:val="4"/>
                <w:szCs w:val="4"/>
              </w:rPr>
            </w:pPr>
            <w:r>
              <w:rPr>
                <w:sz w:val="4"/>
                <w:szCs w:val="4"/>
              </w:rPr>
            </w:r>
          </w:p>
        </w:tc>
        <w:tc>
          <w:tcPr>
            <w:tcW w:w="1220" w:type="dxa"/>
            <w:gridSpan w:val="4"/>
            <w:tcBorders/>
            <w:shd w:fill="CCE2F1" w:val="clear"/>
            <w:vAlign w:val="center"/>
          </w:tcPr>
          <w:p>
            <w:pPr>
              <w:pStyle w:val="TableContents"/>
              <w:bidi w:val="0"/>
              <w:spacing w:before="0" w:after="283"/>
              <w:jc w:val="left"/>
              <w:rPr>
                <w:sz w:val="4"/>
                <w:szCs w:val="4"/>
              </w:rPr>
            </w:pPr>
            <w:r>
              <w:rPr>
                <w:sz w:val="4"/>
                <w:szCs w:val="4"/>
              </w:rPr>
            </w:r>
          </w:p>
        </w:tc>
        <w:tc>
          <w:tcPr>
            <w:tcW w:w="1462" w:type="dxa"/>
            <w:gridSpan w:val="4"/>
            <w:tcBorders/>
            <w:shd w:fill="CCE2F1" w:val="clear"/>
            <w:vAlign w:val="center"/>
          </w:tcPr>
          <w:p>
            <w:pPr>
              <w:pStyle w:val="TableContents"/>
              <w:bidi w:val="0"/>
              <w:spacing w:before="0" w:after="283"/>
              <w:jc w:val="left"/>
              <w:rPr>
                <w:sz w:val="4"/>
                <w:szCs w:val="4"/>
              </w:rPr>
            </w:pPr>
            <w:r>
              <w:rPr>
                <w:sz w:val="4"/>
                <w:szCs w:val="4"/>
              </w:rPr>
            </w:r>
          </w:p>
        </w:tc>
        <w:tc>
          <w:tcPr>
            <w:tcW w:w="1533"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5990" w:type="dxa"/>
            <w:tcBorders/>
            <w:shd w:fill="CCE2F1" w:val="clear"/>
            <w:vAlign w:val="center"/>
          </w:tcPr>
          <w:p>
            <w:pPr>
              <w:pStyle w:val="TableContents"/>
              <w:bidi w:val="0"/>
              <w:spacing w:before="0" w:after="0"/>
              <w:jc w:val="left"/>
              <w:rPr/>
            </w:pPr>
            <w:r>
              <w:rPr/>
              <w:t> </w:t>
            </w:r>
            <w:r>
              <w:rPr>
                <w:rFonts w:ascii="arial" w:hAnsi="arial"/>
                <w:sz w:val="18"/>
              </w:rPr>
              <w:t>Ellen J. Kullman</w:t>
            </w:r>
          </w:p>
        </w:tc>
        <w:tc>
          <w:tcPr>
            <w:tcW w:w="12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980" w:type="dxa"/>
            <w:tcBorders/>
            <w:shd w:fill="CCE2F1" w:val="clear"/>
            <w:vAlign w:val="center"/>
          </w:tcPr>
          <w:p>
            <w:pPr>
              <w:pStyle w:val="TableContents"/>
              <w:bidi w:val="0"/>
              <w:spacing w:before="0" w:after="283"/>
              <w:jc w:val="right"/>
              <w:rPr/>
            </w:pPr>
            <w:r>
              <w:rPr/>
              <w:t>—</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980" w:type="dxa"/>
            <w:tcBorders/>
            <w:shd w:fill="CCE2F1" w:val="clear"/>
            <w:vAlign w:val="center"/>
          </w:tcPr>
          <w:p>
            <w:pPr>
              <w:pStyle w:val="TableContents"/>
              <w:bidi w:val="0"/>
              <w:spacing w:before="0" w:after="283"/>
              <w:jc w:val="right"/>
              <w:rPr/>
            </w:pPr>
            <w:r>
              <w:rPr/>
              <w:t>11,170</w:t>
            </w:r>
          </w:p>
        </w:tc>
        <w:tc>
          <w:tcPr>
            <w:tcW w:w="302" w:type="dxa"/>
            <w:tcBorders/>
            <w:shd w:fill="CCE2F1" w:val="clear"/>
            <w:vAlign w:val="center"/>
          </w:tcPr>
          <w:p>
            <w:pPr>
              <w:pStyle w:val="TableContents"/>
              <w:bidi w:val="0"/>
              <w:spacing w:before="0" w:after="283"/>
              <w:jc w:val="left"/>
              <w:rPr/>
            </w:pPr>
            <w:r>
              <w:rPr/>
              <w:t>(3) </w:t>
            </w:r>
          </w:p>
        </w:tc>
        <w:tc>
          <w:tcPr>
            <w:tcW w:w="60" w:type="dxa"/>
            <w:tcBorders/>
            <w:shd w:fill="CCE2F1" w:val="clear"/>
            <w:vAlign w:val="center"/>
          </w:tcPr>
          <w:p>
            <w:pPr>
              <w:pStyle w:val="TableContents"/>
              <w:bidi w:val="0"/>
              <w:spacing w:before="0" w:after="283"/>
              <w:jc w:val="left"/>
              <w:rPr/>
            </w:pPr>
            <w:r>
              <w:rPr/>
              <w:t> </w:t>
            </w:r>
          </w:p>
        </w:tc>
        <w:tc>
          <w:tcPr>
            <w:tcW w:w="80" w:type="dxa"/>
            <w:tcBorders/>
            <w:shd w:fill="CCE2F1" w:val="clear"/>
            <w:vAlign w:val="center"/>
          </w:tcPr>
          <w:p>
            <w:pPr>
              <w:pStyle w:val="TableContents"/>
              <w:bidi w:val="0"/>
              <w:spacing w:before="0" w:after="283"/>
              <w:jc w:val="left"/>
              <w:rPr/>
            </w:pPr>
            <w:r>
              <w:rPr/>
              <w:t> </w:t>
            </w:r>
          </w:p>
        </w:tc>
        <w:tc>
          <w:tcPr>
            <w:tcW w:w="1317" w:type="dxa"/>
            <w:tcBorders/>
            <w:shd w:fill="CCE2F1" w:val="clear"/>
            <w:vAlign w:val="center"/>
          </w:tcPr>
          <w:p>
            <w:pPr>
              <w:pStyle w:val="TableContents"/>
              <w:bidi w:val="0"/>
              <w:spacing w:before="0" w:after="283"/>
              <w:jc w:val="right"/>
              <w:rPr/>
            </w:pPr>
            <w:r>
              <w:rPr/>
              <w:t>—</w:t>
            </w:r>
          </w:p>
        </w:tc>
        <w:tc>
          <w:tcPr>
            <w:tcW w:w="76" w:type="dxa"/>
            <w:tcBorders/>
            <w:shd w:fill="CCE2F1" w:val="clear"/>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462" w:type="dxa"/>
            <w:gridSpan w:val="4"/>
            <w:tcBorders/>
            <w:vAlign w:val="center"/>
          </w:tcPr>
          <w:p>
            <w:pPr>
              <w:pStyle w:val="TableContents"/>
              <w:bidi w:val="0"/>
              <w:spacing w:before="0" w:after="283"/>
              <w:jc w:val="left"/>
              <w:rPr>
                <w:sz w:val="4"/>
                <w:szCs w:val="4"/>
              </w:rPr>
            </w:pPr>
            <w:r>
              <w:rPr>
                <w:sz w:val="4"/>
                <w:szCs w:val="4"/>
              </w:rPr>
            </w:r>
          </w:p>
        </w:tc>
        <w:tc>
          <w:tcPr>
            <w:tcW w:w="1533"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0"/>
              <w:jc w:val="left"/>
              <w:rPr/>
            </w:pPr>
            <w:r>
              <w:rPr/>
              <w:t> </w:t>
            </w:r>
            <w:r>
              <w:rPr>
                <w:rFonts w:ascii="arial" w:hAnsi="arial"/>
                <w:sz w:val="18"/>
              </w:rPr>
              <w:t>Amy E. Miles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2,800</w:t>
            </w:r>
          </w:p>
        </w:tc>
        <w:tc>
          <w:tcPr>
            <w:tcW w:w="302"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w:t>
            </w:r>
          </w:p>
        </w:tc>
        <w:tc>
          <w:tcPr>
            <w:tcW w:w="76"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462" w:type="dxa"/>
            <w:gridSpan w:val="4"/>
            <w:tcBorders/>
            <w:vAlign w:val="center"/>
          </w:tcPr>
          <w:p>
            <w:pPr>
              <w:pStyle w:val="TableContents"/>
              <w:bidi w:val="0"/>
              <w:spacing w:before="0" w:after="283"/>
              <w:jc w:val="left"/>
              <w:rPr>
                <w:sz w:val="4"/>
                <w:szCs w:val="4"/>
              </w:rPr>
            </w:pPr>
            <w:r>
              <w:rPr>
                <w:sz w:val="4"/>
                <w:szCs w:val="4"/>
              </w:rPr>
            </w:r>
          </w:p>
        </w:tc>
        <w:tc>
          <w:tcPr>
            <w:tcW w:w="1533" w:type="dxa"/>
            <w:gridSpan w:val="4"/>
            <w:tcBorders/>
            <w:vAlign w:val="center"/>
          </w:tcPr>
          <w:p>
            <w:pPr>
              <w:pStyle w:val="TableContents"/>
              <w:bidi w:val="0"/>
              <w:spacing w:before="0" w:after="283"/>
              <w:jc w:val="left"/>
              <w:rPr>
                <w:sz w:val="4"/>
                <w:szCs w:val="4"/>
              </w:rPr>
            </w:pPr>
            <w:r>
              <w:rPr>
                <w:sz w:val="4"/>
                <w:szCs w:val="4"/>
              </w:rPr>
            </w:r>
          </w:p>
        </w:tc>
      </w:tr>
      <w:tr>
        <w:trPr/>
        <w:tc>
          <w:tcPr>
            <w:tcW w:w="5990" w:type="dxa"/>
            <w:tcBorders/>
            <w:vAlign w:val="center"/>
          </w:tcPr>
          <w:p>
            <w:pPr>
              <w:pStyle w:val="TableContents"/>
              <w:bidi w:val="0"/>
              <w:spacing w:before="0" w:after="0"/>
              <w:jc w:val="left"/>
              <w:rPr/>
            </w:pPr>
            <w:r>
              <w:rPr/>
              <w:t> </w:t>
            </w:r>
            <w:r>
              <w:rPr>
                <w:rFonts w:ascii="arial" w:hAnsi="arial"/>
                <w:b/>
                <w:sz w:val="18"/>
              </w:rPr>
              <w:t>Each Associate of any Such Directors, NEOs or Nominees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3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w:t>
            </w:r>
          </w:p>
        </w:tc>
        <w:tc>
          <w:tcPr>
            <w:tcW w:w="76" w:type="dxa"/>
            <w:tcBorders/>
            <w:vAlign w:val="center"/>
          </w:tcPr>
          <w:p>
            <w:pPr>
              <w:pStyle w:val="TableContents"/>
              <w:bidi w:val="0"/>
              <w:spacing w:before="0" w:after="283"/>
              <w:jc w:val="left"/>
              <w:rPr/>
            </w:pPr>
            <w:r>
              <w:rPr/>
              <w:t> </w:t>
            </w:r>
          </w:p>
        </w:tc>
      </w:tr>
      <w:tr>
        <w:trPr/>
        <w:tc>
          <w:tcPr>
            <w:tcW w:w="5990" w:type="dxa"/>
            <w:tcBorders/>
            <w:shd w:fill="CCE2F1" w:val="clear"/>
            <w:vAlign w:val="center"/>
          </w:tcPr>
          <w:p>
            <w:pPr>
              <w:pStyle w:val="TableContents"/>
              <w:bidi w:val="0"/>
              <w:spacing w:before="0" w:after="283"/>
              <w:jc w:val="left"/>
              <w:rPr>
                <w:sz w:val="4"/>
                <w:szCs w:val="4"/>
              </w:rPr>
            </w:pPr>
            <w:r>
              <w:rPr>
                <w:sz w:val="4"/>
                <w:szCs w:val="4"/>
              </w:rPr>
            </w:r>
          </w:p>
        </w:tc>
        <w:tc>
          <w:tcPr>
            <w:tcW w:w="1220" w:type="dxa"/>
            <w:gridSpan w:val="4"/>
            <w:tcBorders/>
            <w:shd w:fill="CCE2F1" w:val="clear"/>
            <w:vAlign w:val="center"/>
          </w:tcPr>
          <w:p>
            <w:pPr>
              <w:pStyle w:val="TableContents"/>
              <w:bidi w:val="0"/>
              <w:spacing w:before="0" w:after="283"/>
              <w:jc w:val="left"/>
              <w:rPr>
                <w:sz w:val="4"/>
                <w:szCs w:val="4"/>
              </w:rPr>
            </w:pPr>
            <w:r>
              <w:rPr>
                <w:sz w:val="4"/>
                <w:szCs w:val="4"/>
              </w:rPr>
            </w:r>
          </w:p>
        </w:tc>
        <w:tc>
          <w:tcPr>
            <w:tcW w:w="1462" w:type="dxa"/>
            <w:gridSpan w:val="4"/>
            <w:tcBorders/>
            <w:shd w:fill="CCE2F1" w:val="clear"/>
            <w:vAlign w:val="center"/>
          </w:tcPr>
          <w:p>
            <w:pPr>
              <w:pStyle w:val="TableContents"/>
              <w:bidi w:val="0"/>
              <w:spacing w:before="0" w:after="283"/>
              <w:jc w:val="left"/>
              <w:rPr>
                <w:sz w:val="4"/>
                <w:szCs w:val="4"/>
              </w:rPr>
            </w:pPr>
            <w:r>
              <w:rPr>
                <w:sz w:val="4"/>
                <w:szCs w:val="4"/>
              </w:rPr>
            </w:r>
          </w:p>
        </w:tc>
        <w:tc>
          <w:tcPr>
            <w:tcW w:w="1533"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5990" w:type="dxa"/>
            <w:tcBorders/>
            <w:shd w:fill="CCE2F1" w:val="clear"/>
            <w:vAlign w:val="center"/>
          </w:tcPr>
          <w:p>
            <w:pPr>
              <w:pStyle w:val="TableContents"/>
              <w:bidi w:val="0"/>
              <w:spacing w:before="0" w:after="0"/>
              <w:jc w:val="left"/>
              <w:rPr/>
            </w:pPr>
            <w:r>
              <w:rPr/>
              <w:t> </w:t>
            </w:r>
            <w:r>
              <w:rPr>
                <w:rFonts w:ascii="arial" w:hAnsi="arial"/>
                <w:b/>
                <w:sz w:val="18"/>
              </w:rPr>
              <w:t>Each Other Person who Received or are to Receive 5% of Such Options or Rights</w:t>
            </w:r>
          </w:p>
        </w:tc>
        <w:tc>
          <w:tcPr>
            <w:tcW w:w="12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980" w:type="dxa"/>
            <w:tcBorders/>
            <w:shd w:fill="CCE2F1" w:val="clear"/>
            <w:vAlign w:val="center"/>
          </w:tcPr>
          <w:p>
            <w:pPr>
              <w:pStyle w:val="TableContents"/>
              <w:bidi w:val="0"/>
              <w:spacing w:before="0" w:after="283"/>
              <w:jc w:val="right"/>
              <w:rPr/>
            </w:pPr>
            <w:r>
              <w:rPr/>
              <w:t>—</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980" w:type="dxa"/>
            <w:tcBorders/>
            <w:shd w:fill="CCE2F1" w:val="clear"/>
            <w:vAlign w:val="center"/>
          </w:tcPr>
          <w:p>
            <w:pPr>
              <w:pStyle w:val="TableContents"/>
              <w:bidi w:val="0"/>
              <w:spacing w:before="0" w:after="283"/>
              <w:jc w:val="right"/>
              <w:rPr/>
            </w:pPr>
            <w:r>
              <w:rPr/>
              <w:t>—</w:t>
            </w:r>
          </w:p>
        </w:tc>
        <w:tc>
          <w:tcPr>
            <w:tcW w:w="302" w:type="dxa"/>
            <w:tcBorders/>
            <w:shd w:fill="CCE2F1" w:val="clear"/>
            <w:vAlign w:val="center"/>
          </w:tcPr>
          <w:p>
            <w:pPr>
              <w:pStyle w:val="TableContents"/>
              <w:bidi w:val="0"/>
              <w:spacing w:before="0" w:after="283"/>
              <w:jc w:val="left"/>
              <w:rPr/>
            </w:pPr>
            <w:r>
              <w:rPr/>
              <w:t> </w:t>
            </w:r>
          </w:p>
        </w:tc>
        <w:tc>
          <w:tcPr>
            <w:tcW w:w="60" w:type="dxa"/>
            <w:tcBorders/>
            <w:shd w:fill="CCE2F1" w:val="clear"/>
            <w:vAlign w:val="center"/>
          </w:tcPr>
          <w:p>
            <w:pPr>
              <w:pStyle w:val="TableContents"/>
              <w:bidi w:val="0"/>
              <w:spacing w:before="0" w:after="283"/>
              <w:jc w:val="left"/>
              <w:rPr/>
            </w:pPr>
            <w:r>
              <w:rPr/>
              <w:t> </w:t>
            </w:r>
          </w:p>
        </w:tc>
        <w:tc>
          <w:tcPr>
            <w:tcW w:w="80" w:type="dxa"/>
            <w:tcBorders/>
            <w:shd w:fill="CCE2F1" w:val="clear"/>
            <w:vAlign w:val="center"/>
          </w:tcPr>
          <w:p>
            <w:pPr>
              <w:pStyle w:val="TableContents"/>
              <w:bidi w:val="0"/>
              <w:spacing w:before="0" w:after="283"/>
              <w:jc w:val="left"/>
              <w:rPr/>
            </w:pPr>
            <w:r>
              <w:rPr/>
              <w:t> </w:t>
            </w:r>
          </w:p>
        </w:tc>
        <w:tc>
          <w:tcPr>
            <w:tcW w:w="1317" w:type="dxa"/>
            <w:tcBorders/>
            <w:shd w:fill="CCE2F1" w:val="clear"/>
            <w:vAlign w:val="center"/>
          </w:tcPr>
          <w:p>
            <w:pPr>
              <w:pStyle w:val="TableContents"/>
              <w:bidi w:val="0"/>
              <w:spacing w:before="0" w:after="283"/>
              <w:jc w:val="right"/>
              <w:rPr/>
            </w:pPr>
            <w:r>
              <w:rPr/>
              <w:t>—</w:t>
            </w:r>
          </w:p>
        </w:tc>
        <w:tc>
          <w:tcPr>
            <w:tcW w:w="76" w:type="dxa"/>
            <w:tcBorders/>
            <w:shd w:fill="CCE2F1" w:val="clear"/>
            <w:vAlign w:val="center"/>
          </w:tcPr>
          <w:p>
            <w:pPr>
              <w:pStyle w:val="TableContents"/>
              <w:bidi w:val="0"/>
              <w:spacing w:before="0" w:after="283"/>
              <w:jc w:val="left"/>
              <w:rPr/>
            </w:pPr>
            <w:r>
              <w:rPr/>
              <w:t> </w:t>
            </w:r>
          </w:p>
        </w:tc>
      </w:tr>
      <w:tr>
        <w:trPr/>
        <w:tc>
          <w:tcPr>
            <w:tcW w:w="5990" w:type="dxa"/>
            <w:tcBorders>
              <w:bottom w:val="single" w:sz="8" w:space="0" w:color="0171B9"/>
            </w:tcBorders>
            <w:tcMar>
              <w:bottom w:w="28" w:type="dxa"/>
            </w:tcMar>
            <w:vAlign w:val="center"/>
          </w:tcPr>
          <w:p>
            <w:pPr>
              <w:pStyle w:val="TableContents"/>
              <w:bidi w:val="0"/>
              <w:spacing w:before="0" w:after="0"/>
              <w:jc w:val="left"/>
              <w:rPr/>
            </w:pPr>
            <w:r>
              <w:rPr/>
              <w:t> </w:t>
            </w:r>
            <w:r>
              <w:rPr>
                <w:rFonts w:ascii="arial" w:hAnsi="arial"/>
                <w:b/>
                <w:sz w:val="18"/>
              </w:rPr>
              <w:t>All Employees, Including all Current Officers who are</w:t>
            </w:r>
            <w:r>
              <w:rPr>
                <w:rFonts w:ascii="arial" w:hAnsi="arial"/>
                <w:sz w:val="18"/>
              </w:rPr>
              <w:t xml:space="preserve"> </w:t>
            </w:r>
            <w:r>
              <w:rPr>
                <w:rFonts w:ascii="arial" w:hAnsi="arial"/>
                <w:b/>
                <w:sz w:val="18"/>
              </w:rPr>
              <w:t>not Executive Officers, as a Group</w:t>
            </w:r>
          </w:p>
        </w:tc>
        <w:tc>
          <w:tcPr>
            <w:tcW w:w="120" w:type="dxa"/>
            <w:tcBorders>
              <w:bottom w:val="single" w:sz="8" w:space="0" w:color="0171B9"/>
            </w:tcBorders>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980" w:type="dxa"/>
            <w:tcBorders>
              <w:bottom w:val="single" w:sz="8" w:space="0" w:color="0171B9"/>
            </w:tcBorders>
            <w:tcMar>
              <w:bottom w:w="28" w:type="dxa"/>
            </w:tcMar>
            <w:vAlign w:val="center"/>
          </w:tcPr>
          <w:p>
            <w:pPr>
              <w:pStyle w:val="TableContents"/>
              <w:bidi w:val="0"/>
              <w:spacing w:before="0" w:after="283"/>
              <w:jc w:val="right"/>
              <w:rPr/>
            </w:pPr>
            <w:r>
              <w:rPr/>
              <w:t>3,753,270</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120" w:type="dxa"/>
            <w:tcBorders>
              <w:bottom w:val="single" w:sz="8" w:space="0" w:color="0171B9"/>
            </w:tcBorders>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980" w:type="dxa"/>
            <w:tcBorders>
              <w:bottom w:val="single" w:sz="8" w:space="0" w:color="0171B9"/>
            </w:tcBorders>
            <w:tcMar>
              <w:bottom w:w="28" w:type="dxa"/>
            </w:tcMar>
            <w:vAlign w:val="center"/>
          </w:tcPr>
          <w:p>
            <w:pPr>
              <w:pStyle w:val="TableContents"/>
              <w:bidi w:val="0"/>
              <w:spacing w:before="0" w:after="283"/>
              <w:jc w:val="right"/>
              <w:rPr/>
            </w:pPr>
            <w:r>
              <w:rPr/>
              <w:t>2,646,453</w:t>
            </w:r>
          </w:p>
        </w:tc>
        <w:tc>
          <w:tcPr>
            <w:tcW w:w="302" w:type="dxa"/>
            <w:tcBorders>
              <w:bottom w:val="single" w:sz="8" w:space="0" w:color="0171B9"/>
            </w:tcBorders>
            <w:tcMar>
              <w:bottom w:w="28" w:type="dxa"/>
            </w:tcMar>
            <w:vAlign w:val="center"/>
          </w:tcPr>
          <w:p>
            <w:pPr>
              <w:pStyle w:val="TableContents"/>
              <w:bidi w:val="0"/>
              <w:spacing w:before="0" w:after="283"/>
              <w:jc w:val="left"/>
              <w:rPr/>
            </w:pPr>
            <w:r>
              <w:rPr/>
              <w:t> </w:t>
            </w:r>
          </w:p>
        </w:tc>
        <w:tc>
          <w:tcPr>
            <w:tcW w:w="60" w:type="dxa"/>
            <w:tcBorders>
              <w:bottom w:val="single" w:sz="8" w:space="0" w:color="0171B9"/>
            </w:tcBorders>
            <w:tcMar>
              <w:bottom w:w="28" w:type="dxa"/>
            </w:tcMar>
            <w:vAlign w:val="center"/>
          </w:tcPr>
          <w:p>
            <w:pPr>
              <w:pStyle w:val="TableContents"/>
              <w:bidi w:val="0"/>
              <w:spacing w:before="0" w:after="283"/>
              <w:jc w:val="left"/>
              <w:rPr/>
            </w:pPr>
            <w:r>
              <w:rPr/>
              <w:t> </w:t>
            </w:r>
          </w:p>
        </w:tc>
        <w:tc>
          <w:tcPr>
            <w:tcW w:w="80" w:type="dxa"/>
            <w:tcBorders>
              <w:bottom w:val="single" w:sz="8" w:space="0" w:color="0171B9"/>
            </w:tcBorders>
            <w:tcMar>
              <w:bottom w:w="28" w:type="dxa"/>
            </w:tcMar>
            <w:vAlign w:val="center"/>
          </w:tcPr>
          <w:p>
            <w:pPr>
              <w:pStyle w:val="TableContents"/>
              <w:bidi w:val="0"/>
              <w:spacing w:before="0" w:after="283"/>
              <w:jc w:val="left"/>
              <w:rPr/>
            </w:pPr>
            <w:r>
              <w:rPr/>
              <w:t> </w:t>
            </w:r>
          </w:p>
        </w:tc>
        <w:tc>
          <w:tcPr>
            <w:tcW w:w="1317" w:type="dxa"/>
            <w:tcBorders>
              <w:bottom w:val="single" w:sz="8" w:space="0" w:color="0171B9"/>
            </w:tcBorders>
            <w:tcMar>
              <w:bottom w:w="28" w:type="dxa"/>
            </w:tcMar>
            <w:vAlign w:val="center"/>
          </w:tcPr>
          <w:p>
            <w:pPr>
              <w:pStyle w:val="TableContents"/>
              <w:bidi w:val="0"/>
              <w:spacing w:before="0" w:after="283"/>
              <w:jc w:val="right"/>
              <w:rPr/>
            </w:pPr>
            <w:r>
              <w:rPr/>
              <w:t>1,083,647</w:t>
            </w:r>
          </w:p>
        </w:tc>
        <w:tc>
          <w:tcPr>
            <w:tcW w:w="76" w:type="dxa"/>
            <w:tcBorders>
              <w:bottom w:val="single" w:sz="8" w:space="0" w:color="0171B9"/>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265" w:type="dxa"/>
        <w:jc w:val="left"/>
        <w:tblInd w:w="0" w:type="dxa"/>
        <w:tblLayout w:type="fixed"/>
        <w:tblCellMar>
          <w:top w:w="0" w:type="dxa"/>
          <w:left w:w="0" w:type="dxa"/>
          <w:bottom w:w="0" w:type="dxa"/>
          <w:right w:w="0" w:type="dxa"/>
        </w:tblCellMar>
      </w:tblPr>
      <w:tblGrid>
        <w:gridCol w:w="365"/>
        <w:gridCol w:w="2900"/>
      </w:tblGrid>
      <w:tr>
        <w:trPr/>
        <w:tc>
          <w:tcPr>
            <w:tcW w:w="365" w:type="dxa"/>
            <w:tcBorders/>
            <w:vAlign w:val="center"/>
          </w:tcPr>
          <w:p>
            <w:pPr>
              <w:pStyle w:val="TableContents"/>
              <w:bidi w:val="0"/>
              <w:spacing w:before="0" w:after="283"/>
              <w:jc w:val="left"/>
              <w:rPr/>
            </w:pPr>
            <w:r>
              <w:rPr/>
              <w:t>(1) </w:t>
            </w:r>
          </w:p>
        </w:tc>
        <w:tc>
          <w:tcPr>
            <w:tcW w:w="2900" w:type="dxa"/>
            <w:tcBorders/>
            <w:vAlign w:val="center"/>
          </w:tcPr>
          <w:p>
            <w:pPr>
              <w:pStyle w:val="TableContents"/>
              <w:bidi w:val="0"/>
              <w:spacing w:before="0" w:after="0"/>
              <w:jc w:val="both"/>
              <w:rPr>
                <w:rFonts w:ascii="arial" w:hAnsi="arial"/>
                <w:sz w:val="16"/>
              </w:rPr>
            </w:pPr>
            <w:r>
              <w:rPr>
                <w:rFonts w:ascii="arial" w:hAnsi="arial"/>
                <w:sz w:val="16"/>
              </w:rPr>
              <w:t xml:space="preserve">Includes accrued dividend equivalents. </w:t>
            </w:r>
          </w:p>
        </w:tc>
      </w:tr>
    </w:tbl>
    <w:tbl>
      <w:tblPr>
        <w:tblW w:w="4540" w:type="dxa"/>
        <w:jc w:val="left"/>
        <w:tblInd w:w="0" w:type="dxa"/>
        <w:tblLayout w:type="fixed"/>
        <w:tblCellMar>
          <w:top w:w="0" w:type="dxa"/>
          <w:left w:w="0" w:type="dxa"/>
          <w:bottom w:w="0" w:type="dxa"/>
          <w:right w:w="0" w:type="dxa"/>
        </w:tblCellMar>
      </w:tblPr>
      <w:tblGrid>
        <w:gridCol w:w="305"/>
        <w:gridCol w:w="4235"/>
      </w:tblGrid>
      <w:tr>
        <w:trPr/>
        <w:tc>
          <w:tcPr>
            <w:tcW w:w="305" w:type="dxa"/>
            <w:tcBorders/>
            <w:vAlign w:val="center"/>
          </w:tcPr>
          <w:p>
            <w:pPr>
              <w:pStyle w:val="TableContents"/>
              <w:bidi w:val="0"/>
              <w:spacing w:before="0" w:after="283"/>
              <w:jc w:val="left"/>
              <w:rPr/>
            </w:pPr>
            <w:r>
              <w:rPr/>
              <w:t>(2)</w:t>
            </w:r>
          </w:p>
        </w:tc>
        <w:tc>
          <w:tcPr>
            <w:tcW w:w="4235" w:type="dxa"/>
            <w:tcBorders/>
            <w:vAlign w:val="center"/>
          </w:tcPr>
          <w:p>
            <w:pPr>
              <w:pStyle w:val="TableContents"/>
              <w:bidi w:val="0"/>
              <w:spacing w:before="0" w:after="0"/>
              <w:jc w:val="both"/>
              <w:rPr>
                <w:rFonts w:ascii="arial" w:hAnsi="arial"/>
                <w:sz w:val="16"/>
              </w:rPr>
            </w:pPr>
            <w:r>
              <w:rPr>
                <w:rFonts w:ascii="arial" w:hAnsi="arial"/>
                <w:sz w:val="16"/>
              </w:rPr>
              <w:t xml:space="preserve">Based on target performance for outstanding PU awards. </w:t>
            </w:r>
          </w:p>
        </w:tc>
      </w:tr>
    </w:tbl>
    <w:tbl>
      <w:tblPr>
        <w:tblW w:w="7150" w:type="dxa"/>
        <w:jc w:val="left"/>
        <w:tblInd w:w="0" w:type="dxa"/>
        <w:tblLayout w:type="fixed"/>
        <w:tblCellMar>
          <w:top w:w="0" w:type="dxa"/>
          <w:left w:w="0" w:type="dxa"/>
          <w:bottom w:w="0" w:type="dxa"/>
          <w:right w:w="0" w:type="dxa"/>
        </w:tblCellMar>
      </w:tblPr>
      <w:tblGrid>
        <w:gridCol w:w="365"/>
        <w:gridCol w:w="6785"/>
      </w:tblGrid>
      <w:tr>
        <w:trPr/>
        <w:tc>
          <w:tcPr>
            <w:tcW w:w="365" w:type="dxa"/>
            <w:tcBorders/>
            <w:vAlign w:val="center"/>
          </w:tcPr>
          <w:p>
            <w:pPr>
              <w:pStyle w:val="TableContents"/>
              <w:bidi w:val="0"/>
              <w:spacing w:before="0" w:after="283"/>
              <w:jc w:val="left"/>
              <w:rPr/>
            </w:pPr>
            <w:r>
              <w:rPr/>
              <w:t>(3) </w:t>
            </w:r>
          </w:p>
        </w:tc>
        <w:tc>
          <w:tcPr>
            <w:tcW w:w="6785" w:type="dxa"/>
            <w:tcBorders/>
            <w:vAlign w:val="center"/>
          </w:tcPr>
          <w:p>
            <w:pPr>
              <w:pStyle w:val="TableContents"/>
              <w:bidi w:val="0"/>
              <w:spacing w:before="0" w:after="0"/>
              <w:jc w:val="both"/>
              <w:rPr>
                <w:rFonts w:ascii="arial" w:hAnsi="arial"/>
                <w:sz w:val="16"/>
              </w:rPr>
            </w:pPr>
            <w:r>
              <w:rPr>
                <w:rFonts w:ascii="arial" w:hAnsi="arial"/>
                <w:sz w:val="16"/>
              </w:rPr>
              <w:t>Reflects vested RSUs, and related dividend equivalents, for which receipt has been deferred.</w:t>
            </w:r>
          </w:p>
        </w:tc>
      </w:tr>
    </w:tbl>
    <w:tbl>
      <w:tblPr>
        <w:tblW w:w="8005" w:type="dxa"/>
        <w:jc w:val="left"/>
        <w:tblInd w:w="0" w:type="dxa"/>
        <w:tblLayout w:type="fixed"/>
        <w:tblCellMar>
          <w:top w:w="0" w:type="dxa"/>
          <w:left w:w="0" w:type="dxa"/>
          <w:bottom w:w="0" w:type="dxa"/>
          <w:right w:w="0" w:type="dxa"/>
        </w:tblCellMar>
      </w:tblPr>
      <w:tblGrid>
        <w:gridCol w:w="365"/>
        <w:gridCol w:w="7640"/>
      </w:tblGrid>
      <w:tr>
        <w:trPr/>
        <w:tc>
          <w:tcPr>
            <w:tcW w:w="365" w:type="dxa"/>
            <w:tcBorders/>
            <w:vAlign w:val="center"/>
          </w:tcPr>
          <w:p>
            <w:pPr>
              <w:pStyle w:val="TableContents"/>
              <w:bidi w:val="0"/>
              <w:spacing w:before="0" w:after="283"/>
              <w:jc w:val="left"/>
              <w:rPr/>
            </w:pPr>
            <w:r>
              <w:rPr/>
              <w:t>(4) </w:t>
            </w:r>
          </w:p>
        </w:tc>
        <w:tc>
          <w:tcPr>
            <w:tcW w:w="7640" w:type="dxa"/>
            <w:tcBorders/>
            <w:vAlign w:val="center"/>
          </w:tcPr>
          <w:p>
            <w:pPr>
              <w:pStyle w:val="TableContents"/>
              <w:bidi w:val="0"/>
              <w:spacing w:before="0" w:after="0"/>
              <w:jc w:val="both"/>
              <w:rPr>
                <w:rFonts w:ascii="arial" w:hAnsi="arial"/>
                <w:sz w:val="16"/>
              </w:rPr>
            </w:pPr>
            <w:r>
              <w:rPr>
                <w:rFonts w:ascii="arial" w:hAnsi="arial"/>
                <w:sz w:val="16"/>
              </w:rPr>
              <w:t>The information for Mr. Bradway, who is standing for re-election at the Annual Meeting, is set forth above.</w:t>
            </w:r>
          </w:p>
        </w:tc>
      </w:tr>
    </w:tbl>
    <w:p>
      <w:pPr>
        <w:pStyle w:val="TextBody"/>
        <w:bidi w:val="0"/>
        <w:spacing w:before="0" w:after="0"/>
        <w:jc w:val="left"/>
        <w:rPr/>
      </w:pPr>
      <w:r>
        <w:rPr/>
        <w:t> </w:t>
      </w:r>
    </w:p>
    <w:p>
      <w:pPr>
        <w:pStyle w:val="TextBody"/>
        <w:pBdr/>
        <w:bidi w:val="0"/>
        <w:spacing w:before="0" w:after="40"/>
        <w:jc w:val="both"/>
        <w:rPr>
          <w:rFonts w:ascii="arial" w:hAnsi="arial"/>
          <w:b/>
          <w:color w:val="0171B9"/>
          <w:sz w:val="23"/>
          <w:bdr w:val="single" w:sz="8" w:space="2" w:color="666666"/>
          <w:shd w:fill="CCE2F1" w:val="clear"/>
        </w:rPr>
      </w:pPr>
      <w:r>
        <w:rPr>
          <w:rFonts w:ascii="arial" w:hAnsi="arial"/>
          <w:b/>
          <w:color w:val="0171B9"/>
          <w:sz w:val="23"/>
          <w:bdr w:val="single" w:sz="8" w:space="2" w:color="666666"/>
          <w:shd w:fill="CCE2F1" w:val="clear"/>
        </w:rPr>
        <w:t xml:space="preserve">THE BOARD OF DIRECTORS RECOMMENDS A VOTE “FOR” THE APPROVAL OF THE AMGEN INC. SECOND AMENDED AND RESTATED 2009 EQUITY INCENTIVE PLAN. </w:t>
      </w:r>
    </w:p>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394"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Image184" descr=""/>
                    <pic:cNvPicPr>
                      <a:picLocks noChangeAspect="1" noChangeArrowheads="1"/>
                    </pic:cNvPicPr>
                  </pic:nvPicPr>
                  <pic:blipFill>
                    <a:blip r:embed="rId197"/>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117</w:t>
      </w:r>
      <w:r>
        <w:rPr>
          <w:rFonts w:ascii="arial" w:hAnsi="arial"/>
          <w:b/>
          <w:sz w:val="22"/>
        </w:rPr>
        <w:t xml:space="preserve"> </w:t>
      </w:r>
      <w:r>
        <w:br w:type="page"/>
      </w:r>
    </w:p>
    <w:p>
      <w:pPr>
        <w:pStyle w:val="HorizontalLine"/>
        <w:bidi w:val="0"/>
        <w:jc w:val="left"/>
        <w:rPr/>
      </w:pPr>
      <w:r>
        <w:rPr/>
      </w:r>
    </w:p>
    <w:tbl>
      <w:tblPr>
        <w:tblW w:w="675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627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627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Security Ownership of Directors and Executive Officers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171B9"/>
          <w:sz w:val="44"/>
        </w:rPr>
      </w:pPr>
      <w:bookmarkStart w:id="63" w:name="toc445034_47"/>
      <w:bookmarkEnd w:id="63"/>
      <w:r>
        <w:rPr>
          <w:rFonts w:ascii="arial" w:hAnsi="arial"/>
          <w:b/>
          <w:color w:val="0171B9"/>
          <w:sz w:val="44"/>
        </w:rPr>
        <w:t xml:space="preserve">Security Ownership of Directors and Executive Officers </w:t>
      </w:r>
    </w:p>
    <w:p>
      <w:pPr>
        <w:pStyle w:val="TextBody"/>
        <w:bidi w:val="0"/>
        <w:spacing w:before="240" w:after="0"/>
        <w:jc w:val="both"/>
        <w:rPr>
          <w:rFonts w:ascii="arial" w:hAnsi="arial"/>
          <w:sz w:val="19"/>
        </w:rPr>
      </w:pPr>
      <w:r>
        <w:rPr>
          <w:rFonts w:ascii="arial" w:hAnsi="arial"/>
          <w:sz w:val="19"/>
        </w:rPr>
        <w:t xml:space="preserve">The following table sets forth certain information regarding the beneficial ownership of our Common Stock as of April 1, 2024 by: (i) each current director and nominee; (ii) our Named Executive Officers, or NEOs (as specified on page 48); and (iii) all of our current directors and executive officers as a group. There were 536,375,548 shares of our Common Stock outstanding as of April 1, 2024. None of our directors, nominees, NEOs, or executive officers, individually or as a group, beneficially owns greater than 1% of our outstanding share of Common Stock. </w:t>
      </w:r>
    </w:p>
    <w:p>
      <w:pPr>
        <w:pStyle w:val="TextBody"/>
        <w:bidi w:val="0"/>
        <w:spacing w:before="0" w:after="0"/>
        <w:jc w:val="left"/>
        <w:rPr/>
      </w:pPr>
      <w:r>
        <w:rPr/>
        <w:t> </w:t>
      </w:r>
    </w:p>
    <w:tbl>
      <w:tblPr>
        <w:tblW w:w="10204" w:type="dxa"/>
        <w:jc w:val="left"/>
        <w:tblInd w:w="0" w:type="dxa"/>
        <w:tblLayout w:type="fixed"/>
        <w:tblCellMar>
          <w:top w:w="0" w:type="dxa"/>
          <w:left w:w="0" w:type="dxa"/>
          <w:bottom w:w="0" w:type="dxa"/>
          <w:right w:w="0" w:type="dxa"/>
        </w:tblCellMar>
      </w:tblPr>
      <w:tblGrid>
        <w:gridCol w:w="5450"/>
        <w:gridCol w:w="120"/>
        <w:gridCol w:w="104"/>
        <w:gridCol w:w="1701"/>
        <w:gridCol w:w="60"/>
        <w:gridCol w:w="120"/>
        <w:gridCol w:w="92"/>
        <w:gridCol w:w="1518"/>
        <w:gridCol w:w="60"/>
        <w:gridCol w:w="120"/>
        <w:gridCol w:w="234"/>
        <w:gridCol w:w="550"/>
        <w:gridCol w:w="75"/>
      </w:tblGrid>
      <w:tr>
        <w:trPr/>
        <w:tc>
          <w:tcPr>
            <w:tcW w:w="5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450" w:type="dxa"/>
            <w:tcBorders/>
            <w:shd w:fill="0171B9" w:val="clear"/>
            <w:vAlign w:val="center"/>
          </w:tcPr>
          <w:p>
            <w:pPr>
              <w:pStyle w:val="TableContents"/>
              <w:bidi w:val="0"/>
              <w:spacing w:before="0" w:after="283"/>
              <w:jc w:val="left"/>
              <w:rPr/>
            </w:pPr>
            <w:r>
              <w:rPr/>
              <w:t> </w:t>
            </w:r>
          </w:p>
        </w:tc>
        <w:tc>
          <w:tcPr>
            <w:tcW w:w="120" w:type="dxa"/>
            <w:tcBorders/>
            <w:shd w:fill="0171B9" w:val="clear"/>
            <w:vAlign w:val="center"/>
          </w:tcPr>
          <w:p>
            <w:pPr>
              <w:pStyle w:val="TableContents"/>
              <w:bidi w:val="0"/>
              <w:spacing w:before="0" w:after="283"/>
              <w:jc w:val="left"/>
              <w:rPr/>
            </w:pPr>
            <w:r>
              <w:rPr/>
              <w:t>  </w:t>
            </w:r>
          </w:p>
        </w:tc>
        <w:tc>
          <w:tcPr>
            <w:tcW w:w="4559" w:type="dxa"/>
            <w:gridSpan w:val="10"/>
            <w:tcBorders>
              <w:bottom w:val="single" w:sz="8" w:space="0" w:color="FFFFFF"/>
            </w:tcBorders>
            <w:shd w:fill="0171B9"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Amgen Inc.</w:t>
              <w:br/>
              <w:t>Common Stock(1)(2)</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283"/>
              <w:jc w:val="left"/>
              <w:rPr/>
            </w:pPr>
            <w:r>
              <w:rPr/>
              <w:t> </w:t>
            </w:r>
          </w:p>
        </w:tc>
      </w:tr>
      <w:tr>
        <w:trPr/>
        <w:tc>
          <w:tcPr>
            <w:tcW w:w="5450" w:type="dxa"/>
            <w:tcBorders>
              <w:bottom w:val="single" w:sz="8" w:space="0" w:color="FFFFFF"/>
            </w:tcBorders>
            <w:shd w:fill="0171B9" w:val="clear"/>
            <w:tcMar>
              <w:bottom w:w="28" w:type="dxa"/>
            </w:tcMar>
            <w:vAlign w:val="center"/>
          </w:tcPr>
          <w:p>
            <w:pPr>
              <w:pStyle w:val="TableContents"/>
              <w:bidi w:val="0"/>
              <w:spacing w:before="0" w:after="0"/>
              <w:jc w:val="left"/>
              <w:rPr>
                <w:color w:val="FFFFFF"/>
              </w:rPr>
            </w:pPr>
            <w:r>
              <w:rPr>
                <w:color w:val="FFFFFF"/>
              </w:rPr>
              <w:t> </w:t>
            </w:r>
            <w:r>
              <w:rPr>
                <w:rFonts w:ascii="arial" w:hAnsi="arial"/>
                <w:b/>
                <w:color w:val="FFFFFF"/>
                <w:sz w:val="18"/>
              </w:rPr>
              <w:t>Beneficial Owner</w:t>
            </w:r>
          </w:p>
          <w:p>
            <w:pPr>
              <w:pStyle w:val="TableContents"/>
              <w:bidi w:val="0"/>
              <w:spacing w:before="0" w:after="20"/>
              <w:jc w:val="left"/>
              <w:rPr/>
            </w:pPr>
            <w:r>
              <w:rPr/>
              <w:t> </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805" w:type="dxa"/>
            <w:gridSpan w:val="2"/>
            <w:tcBorders>
              <w:bottom w:val="single" w:sz="8" w:space="0" w:color="FFFFFF"/>
            </w:tcBorders>
            <w:shd w:fill="0171B9"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Total Common Stock</w:t>
            </w:r>
          </w:p>
          <w:p>
            <w:pPr>
              <w:pStyle w:val="TableContents"/>
              <w:bidi w:val="0"/>
              <w:spacing w:before="0" w:after="0"/>
              <w:jc w:val="right"/>
              <w:rPr>
                <w:rFonts w:ascii="arial" w:hAnsi="arial"/>
                <w:b/>
                <w:color w:val="FFFFFF"/>
                <w:sz w:val="18"/>
              </w:rPr>
            </w:pPr>
            <w:r>
              <w:rPr>
                <w:rFonts w:ascii="arial" w:hAnsi="arial"/>
                <w:b/>
                <w:color w:val="FFFFFF"/>
                <w:sz w:val="18"/>
              </w:rPr>
              <w:t>Beneficially Owned</w:t>
            </w:r>
          </w:p>
          <w:p>
            <w:pPr>
              <w:pStyle w:val="TableContents"/>
              <w:bidi w:val="0"/>
              <w:spacing w:before="0" w:after="20"/>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610" w:type="dxa"/>
            <w:gridSpan w:val="2"/>
            <w:tcBorders>
              <w:bottom w:val="single" w:sz="8" w:space="0" w:color="FFFFFF"/>
            </w:tcBorders>
            <w:shd w:fill="0171B9" w:val="clear"/>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18"/>
              </w:rPr>
            </w:pPr>
            <w:r>
              <w:rPr>
                <w:rFonts w:ascii="arial" w:hAnsi="arial"/>
                <w:b/>
                <w:color w:val="FFFFFF"/>
                <w:sz w:val="18"/>
              </w:rPr>
              <w:t>Shares Acquirable</w:t>
            </w:r>
          </w:p>
          <w:p>
            <w:pPr>
              <w:pStyle w:val="TableContents"/>
              <w:bidi w:val="0"/>
              <w:spacing w:before="0" w:after="0"/>
              <w:jc w:val="right"/>
              <w:rPr>
                <w:rFonts w:ascii="arial" w:hAnsi="arial"/>
                <w:b/>
                <w:color w:val="FFFFFF"/>
                <w:sz w:val="18"/>
              </w:rPr>
            </w:pPr>
            <w:r>
              <w:rPr>
                <w:rFonts w:ascii="arial" w:hAnsi="arial"/>
                <w:b/>
                <w:color w:val="FFFFFF"/>
                <w:sz w:val="18"/>
              </w:rPr>
              <w:t>Within 60 Days</w:t>
            </w:r>
          </w:p>
          <w:p>
            <w:pPr>
              <w:pStyle w:val="TableContents"/>
              <w:bidi w:val="0"/>
              <w:spacing w:before="0" w:after="20"/>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784" w:type="dxa"/>
            <w:gridSpan w:val="2"/>
            <w:tcBorders>
              <w:bottom w:val="single" w:sz="8" w:space="0" w:color="FFFFFF"/>
            </w:tcBorders>
            <w:shd w:fill="0171B9" w:val="clear"/>
            <w:tcMar>
              <w:bottom w:w="28" w:type="dxa"/>
            </w:tcM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18"/>
              </w:rPr>
            </w:pPr>
            <w:r>
              <w:rPr>
                <w:rFonts w:ascii="arial" w:hAnsi="arial"/>
                <w:b/>
                <w:color w:val="FFFFFF"/>
                <w:sz w:val="18"/>
              </w:rPr>
              <w:t>Percent </w:t>
            </w:r>
          </w:p>
          <w:p>
            <w:pPr>
              <w:pStyle w:val="TableContents"/>
              <w:bidi w:val="0"/>
              <w:spacing w:before="0" w:after="0"/>
              <w:jc w:val="right"/>
              <w:rPr>
                <w:rFonts w:ascii="arial" w:hAnsi="arial"/>
                <w:b/>
                <w:color w:val="FFFFFF"/>
                <w:sz w:val="18"/>
              </w:rPr>
            </w:pPr>
            <w:r>
              <w:rPr>
                <w:rFonts w:ascii="arial" w:hAnsi="arial"/>
                <w:b/>
                <w:color w:val="FFFFFF"/>
                <w:sz w:val="18"/>
              </w:rPr>
              <w:t>of Total </w:t>
            </w:r>
          </w:p>
          <w:p>
            <w:pPr>
              <w:pStyle w:val="TableContents"/>
              <w:bidi w:val="0"/>
              <w:spacing w:before="0" w:after="20"/>
              <w:jc w:val="left"/>
              <w:rPr/>
            </w:pPr>
            <w:r>
              <w:rPr/>
              <w:t> </w:t>
            </w:r>
          </w:p>
        </w:tc>
        <w:tc>
          <w:tcPr>
            <w:tcW w:w="75"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r>
      <w:tr>
        <w:trPr/>
        <w:tc>
          <w:tcPr>
            <w:tcW w:w="5450" w:type="dxa"/>
            <w:tcBorders/>
            <w:shd w:fill="CCE2F1" w:val="clear"/>
            <w:vAlign w:val="center"/>
          </w:tcPr>
          <w:p>
            <w:pPr>
              <w:pStyle w:val="TableContents"/>
              <w:bidi w:val="0"/>
              <w:spacing w:before="0" w:after="283"/>
              <w:jc w:val="left"/>
              <w:rPr>
                <w:sz w:val="4"/>
                <w:szCs w:val="4"/>
              </w:rPr>
            </w:pPr>
            <w:r>
              <w:rPr>
                <w:sz w:val="4"/>
                <w:szCs w:val="4"/>
              </w:rPr>
            </w:r>
          </w:p>
        </w:tc>
        <w:tc>
          <w:tcPr>
            <w:tcW w:w="1985" w:type="dxa"/>
            <w:gridSpan w:val="4"/>
            <w:tcBorders/>
            <w:shd w:fill="CCE2F1" w:val="clear"/>
            <w:vAlign w:val="center"/>
          </w:tcPr>
          <w:p>
            <w:pPr>
              <w:pStyle w:val="TableContents"/>
              <w:bidi w:val="0"/>
              <w:spacing w:before="0" w:after="283"/>
              <w:jc w:val="left"/>
              <w:rPr>
                <w:sz w:val="4"/>
                <w:szCs w:val="4"/>
              </w:rPr>
            </w:pPr>
            <w:r>
              <w:rPr>
                <w:sz w:val="4"/>
                <w:szCs w:val="4"/>
              </w:rPr>
            </w:r>
          </w:p>
        </w:tc>
        <w:tc>
          <w:tcPr>
            <w:tcW w:w="1790" w:type="dxa"/>
            <w:gridSpan w:val="4"/>
            <w:tcBorders/>
            <w:shd w:fill="CCE2F1" w:val="clear"/>
            <w:vAlign w:val="center"/>
          </w:tcPr>
          <w:p>
            <w:pPr>
              <w:pStyle w:val="TableContents"/>
              <w:bidi w:val="0"/>
              <w:spacing w:before="0" w:after="283"/>
              <w:jc w:val="left"/>
              <w:rPr>
                <w:sz w:val="4"/>
                <w:szCs w:val="4"/>
              </w:rPr>
            </w:pPr>
            <w:r>
              <w:rPr>
                <w:sz w:val="4"/>
                <w:szCs w:val="4"/>
              </w:rPr>
            </w:r>
          </w:p>
        </w:tc>
        <w:tc>
          <w:tcPr>
            <w:tcW w:w="979"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5450" w:type="dxa"/>
            <w:tcBorders/>
            <w:shd w:fill="CCE2F1" w:val="clear"/>
            <w:vAlign w:val="center"/>
          </w:tcPr>
          <w:p>
            <w:pPr>
              <w:pStyle w:val="TableContents"/>
              <w:bidi w:val="0"/>
              <w:spacing w:before="0" w:after="0"/>
              <w:jc w:val="left"/>
              <w:rPr/>
            </w:pPr>
            <w:r>
              <w:rPr/>
              <w:t> </w:t>
            </w:r>
            <w:r>
              <w:rPr>
                <w:rFonts w:ascii="arial" w:hAnsi="arial"/>
                <w:b/>
                <w:sz w:val="19"/>
              </w:rPr>
              <w:t>Non-Employee Directors and Nominees</w:t>
            </w:r>
          </w:p>
        </w:tc>
        <w:tc>
          <w:tcPr>
            <w:tcW w:w="120" w:type="dxa"/>
            <w:tcBorders/>
            <w:shd w:fill="CCE2F1" w:val="clear"/>
            <w:vAlign w:val="center"/>
          </w:tcPr>
          <w:p>
            <w:pPr>
              <w:pStyle w:val="TableContents"/>
              <w:bidi w:val="0"/>
              <w:spacing w:before="0" w:after="283"/>
              <w:jc w:val="left"/>
              <w:rPr/>
            </w:pPr>
            <w:r>
              <w:rPr/>
              <w:t>  </w:t>
            </w:r>
          </w:p>
        </w:tc>
        <w:tc>
          <w:tcPr>
            <w:tcW w:w="104" w:type="dxa"/>
            <w:tcBorders/>
            <w:shd w:fill="CCE2F1" w:val="clear"/>
            <w:vAlign w:val="center"/>
          </w:tcPr>
          <w:p>
            <w:pPr>
              <w:pStyle w:val="TableContents"/>
              <w:bidi w:val="0"/>
              <w:spacing w:before="0" w:after="0"/>
              <w:jc w:val="left"/>
              <w:rPr/>
            </w:pPr>
            <w:r>
              <w:rPr/>
              <w:t> </w:t>
            </w:r>
          </w:p>
        </w:tc>
        <w:tc>
          <w:tcPr>
            <w:tcW w:w="1701" w:type="dxa"/>
            <w:tcBorders/>
            <w:shd w:fill="CCE2F1" w:val="clear"/>
            <w:vAlign w:val="center"/>
          </w:tcPr>
          <w:p>
            <w:pPr>
              <w:pStyle w:val="TableContents"/>
              <w:bidi w:val="0"/>
              <w:spacing w:before="0" w:after="0"/>
              <w:jc w:val="left"/>
              <w:rPr/>
            </w:pPr>
            <w:r>
              <w:rPr/>
              <w:t> </w:t>
            </w:r>
          </w:p>
        </w:tc>
        <w:tc>
          <w:tcPr>
            <w:tcW w:w="60" w:type="dxa"/>
            <w:tcBorders/>
            <w:shd w:fill="CCE2F1" w:val="clear"/>
            <w:vAlign w:val="center"/>
          </w:tcPr>
          <w:p>
            <w:pPr>
              <w:pStyle w:val="TableContents"/>
              <w:bidi w:val="0"/>
              <w:spacing w:before="0" w:after="0"/>
              <w:jc w:val="left"/>
              <w:rPr/>
            </w:pPr>
            <w:r>
              <w:rPr/>
              <w:t> </w:t>
            </w:r>
          </w:p>
        </w:tc>
        <w:tc>
          <w:tcPr>
            <w:tcW w:w="120" w:type="dxa"/>
            <w:tcBorders/>
            <w:shd w:fill="CCE2F1" w:val="clear"/>
            <w:vAlign w:val="center"/>
          </w:tcPr>
          <w:p>
            <w:pPr>
              <w:pStyle w:val="TableContents"/>
              <w:bidi w:val="0"/>
              <w:spacing w:before="0" w:after="283"/>
              <w:jc w:val="left"/>
              <w:rPr/>
            </w:pPr>
            <w:r>
              <w:rPr/>
              <w:t>  </w:t>
            </w:r>
          </w:p>
        </w:tc>
        <w:tc>
          <w:tcPr>
            <w:tcW w:w="92" w:type="dxa"/>
            <w:tcBorders/>
            <w:shd w:fill="CCE2F1" w:val="clear"/>
            <w:vAlign w:val="center"/>
          </w:tcPr>
          <w:p>
            <w:pPr>
              <w:pStyle w:val="TableContents"/>
              <w:bidi w:val="0"/>
              <w:spacing w:before="0" w:after="0"/>
              <w:jc w:val="left"/>
              <w:rPr/>
            </w:pPr>
            <w:r>
              <w:rPr/>
              <w:t> </w:t>
            </w:r>
          </w:p>
        </w:tc>
        <w:tc>
          <w:tcPr>
            <w:tcW w:w="1518" w:type="dxa"/>
            <w:tcBorders/>
            <w:shd w:fill="CCE2F1" w:val="clear"/>
            <w:vAlign w:val="center"/>
          </w:tcPr>
          <w:p>
            <w:pPr>
              <w:pStyle w:val="TableContents"/>
              <w:bidi w:val="0"/>
              <w:spacing w:before="0" w:after="0"/>
              <w:jc w:val="left"/>
              <w:rPr/>
            </w:pPr>
            <w:r>
              <w:rPr/>
              <w:t> </w:t>
            </w:r>
          </w:p>
        </w:tc>
        <w:tc>
          <w:tcPr>
            <w:tcW w:w="60" w:type="dxa"/>
            <w:tcBorders/>
            <w:shd w:fill="CCE2F1" w:val="clear"/>
            <w:vAlign w:val="center"/>
          </w:tcPr>
          <w:p>
            <w:pPr>
              <w:pStyle w:val="TableContents"/>
              <w:bidi w:val="0"/>
              <w:spacing w:before="0" w:after="0"/>
              <w:jc w:val="left"/>
              <w:rPr/>
            </w:pPr>
            <w:r>
              <w:rPr/>
              <w:t> </w:t>
            </w:r>
          </w:p>
        </w:tc>
        <w:tc>
          <w:tcPr>
            <w:tcW w:w="120" w:type="dxa"/>
            <w:tcBorders/>
            <w:shd w:fill="CCE2F1" w:val="clear"/>
            <w:vAlign w:val="center"/>
          </w:tcPr>
          <w:p>
            <w:pPr>
              <w:pStyle w:val="TableContents"/>
              <w:bidi w:val="0"/>
              <w:spacing w:before="0" w:after="283"/>
              <w:jc w:val="left"/>
              <w:rPr/>
            </w:pPr>
            <w:r>
              <w:rPr/>
              <w:t>  </w:t>
            </w:r>
          </w:p>
        </w:tc>
        <w:tc>
          <w:tcPr>
            <w:tcW w:w="234" w:type="dxa"/>
            <w:tcBorders/>
            <w:shd w:fill="CCE2F1" w:val="clear"/>
            <w:vAlign w:val="center"/>
          </w:tcPr>
          <w:p>
            <w:pPr>
              <w:pStyle w:val="TableContents"/>
              <w:bidi w:val="0"/>
              <w:spacing w:before="0" w:after="0"/>
              <w:jc w:val="left"/>
              <w:rPr/>
            </w:pPr>
            <w:r>
              <w:rPr/>
              <w:t> </w:t>
            </w:r>
          </w:p>
        </w:tc>
        <w:tc>
          <w:tcPr>
            <w:tcW w:w="550" w:type="dxa"/>
            <w:tcBorders/>
            <w:shd w:fill="CCE2F1" w:val="clear"/>
            <w:vAlign w:val="center"/>
          </w:tcPr>
          <w:p>
            <w:pPr>
              <w:pStyle w:val="TableContents"/>
              <w:bidi w:val="0"/>
              <w:spacing w:before="0" w:after="0"/>
              <w:jc w:val="left"/>
              <w:rPr/>
            </w:pPr>
            <w:r>
              <w:rPr/>
              <w:t> </w:t>
            </w:r>
          </w:p>
        </w:tc>
        <w:tc>
          <w:tcPr>
            <w:tcW w:w="75" w:type="dxa"/>
            <w:tcBorders/>
            <w:shd w:fill="CCE2F1" w:val="clear"/>
            <w:vAlign w:val="center"/>
          </w:tcPr>
          <w:p>
            <w:pPr>
              <w:pStyle w:val="TableContents"/>
              <w:bidi w:val="0"/>
              <w:spacing w:before="0" w:after="0"/>
              <w:jc w:val="left"/>
              <w:rPr/>
            </w:pPr>
            <w:r>
              <w:rPr/>
              <w:t> </w:t>
            </w:r>
          </w:p>
        </w:tc>
      </w:tr>
      <w:tr>
        <w:trPr/>
        <w:tc>
          <w:tcPr>
            <w:tcW w:w="5450" w:type="dxa"/>
            <w:tcBorders/>
            <w:vAlign w:val="center"/>
          </w:tcPr>
          <w:p>
            <w:pPr>
              <w:pStyle w:val="TableContents"/>
              <w:bidi w:val="0"/>
              <w:spacing w:before="0" w:after="283"/>
              <w:jc w:val="left"/>
              <w:rPr>
                <w:sz w:val="4"/>
                <w:szCs w:val="4"/>
              </w:rPr>
            </w:pPr>
            <w:r>
              <w:rPr>
                <w:sz w:val="4"/>
                <w:szCs w:val="4"/>
              </w:rPr>
            </w:r>
          </w:p>
        </w:tc>
        <w:tc>
          <w:tcPr>
            <w:tcW w:w="1985"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979" w:type="dxa"/>
            <w:gridSpan w:val="4"/>
            <w:tcBorders/>
            <w:vAlign w:val="center"/>
          </w:tcPr>
          <w:p>
            <w:pPr>
              <w:pStyle w:val="TableContents"/>
              <w:bidi w:val="0"/>
              <w:spacing w:before="0" w:after="283"/>
              <w:jc w:val="left"/>
              <w:rPr>
                <w:sz w:val="4"/>
                <w:szCs w:val="4"/>
              </w:rPr>
            </w:pPr>
            <w:r>
              <w:rPr>
                <w:sz w:val="4"/>
                <w:szCs w:val="4"/>
              </w:rPr>
            </w:r>
          </w:p>
        </w:tc>
      </w:tr>
      <w:tr>
        <w:trPr/>
        <w:tc>
          <w:tcPr>
            <w:tcW w:w="5450" w:type="dxa"/>
            <w:tcBorders/>
            <w:vAlign w:val="center"/>
          </w:tcPr>
          <w:p>
            <w:pPr>
              <w:pStyle w:val="TableContents"/>
              <w:bidi w:val="0"/>
              <w:spacing w:before="0" w:after="0"/>
              <w:jc w:val="left"/>
              <w:rPr/>
            </w:pPr>
            <w:r>
              <w:rPr/>
              <w:t> </w:t>
            </w:r>
            <w:r>
              <w:rPr>
                <w:rFonts w:ascii="arial" w:hAnsi="arial"/>
                <w:sz w:val="19"/>
              </w:rPr>
              <w:t>Wanda M. Austin</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283"/>
              <w:jc w:val="right"/>
              <w:rPr/>
            </w:pPr>
            <w:r>
              <w:rPr/>
              <w:t>5,825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450" w:type="dxa"/>
            <w:tcBorders/>
            <w:shd w:fill="CCE2F1" w:val="clear"/>
            <w:vAlign w:val="center"/>
          </w:tcPr>
          <w:p>
            <w:pPr>
              <w:pStyle w:val="TableContents"/>
              <w:bidi w:val="0"/>
              <w:spacing w:before="0" w:after="283"/>
              <w:jc w:val="left"/>
              <w:rPr>
                <w:sz w:val="4"/>
                <w:szCs w:val="4"/>
              </w:rPr>
            </w:pPr>
            <w:r>
              <w:rPr>
                <w:sz w:val="4"/>
                <w:szCs w:val="4"/>
              </w:rPr>
            </w:r>
          </w:p>
        </w:tc>
        <w:tc>
          <w:tcPr>
            <w:tcW w:w="1985" w:type="dxa"/>
            <w:gridSpan w:val="4"/>
            <w:tcBorders/>
            <w:shd w:fill="CCE2F1" w:val="clear"/>
            <w:vAlign w:val="center"/>
          </w:tcPr>
          <w:p>
            <w:pPr>
              <w:pStyle w:val="TableContents"/>
              <w:bidi w:val="0"/>
              <w:spacing w:before="0" w:after="283"/>
              <w:jc w:val="left"/>
              <w:rPr>
                <w:sz w:val="4"/>
                <w:szCs w:val="4"/>
              </w:rPr>
            </w:pPr>
            <w:r>
              <w:rPr>
                <w:sz w:val="4"/>
                <w:szCs w:val="4"/>
              </w:rPr>
            </w:r>
          </w:p>
        </w:tc>
        <w:tc>
          <w:tcPr>
            <w:tcW w:w="1790" w:type="dxa"/>
            <w:gridSpan w:val="4"/>
            <w:tcBorders/>
            <w:shd w:fill="CCE2F1" w:val="clear"/>
            <w:vAlign w:val="center"/>
          </w:tcPr>
          <w:p>
            <w:pPr>
              <w:pStyle w:val="TableContents"/>
              <w:bidi w:val="0"/>
              <w:spacing w:before="0" w:after="283"/>
              <w:jc w:val="left"/>
              <w:rPr>
                <w:sz w:val="4"/>
                <w:szCs w:val="4"/>
              </w:rPr>
            </w:pPr>
            <w:r>
              <w:rPr>
                <w:sz w:val="4"/>
                <w:szCs w:val="4"/>
              </w:rPr>
            </w:r>
          </w:p>
        </w:tc>
        <w:tc>
          <w:tcPr>
            <w:tcW w:w="979"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5450" w:type="dxa"/>
            <w:tcBorders/>
            <w:shd w:fill="CCE2F1" w:val="clear"/>
            <w:vAlign w:val="center"/>
          </w:tcPr>
          <w:p>
            <w:pPr>
              <w:pStyle w:val="TableContents"/>
              <w:bidi w:val="0"/>
              <w:spacing w:before="0" w:after="0"/>
              <w:jc w:val="left"/>
              <w:rPr/>
            </w:pPr>
            <w:r>
              <w:rPr/>
              <w:t> </w:t>
            </w:r>
            <w:r>
              <w:rPr>
                <w:rFonts w:ascii="arial" w:hAnsi="arial"/>
                <w:sz w:val="19"/>
              </w:rPr>
              <w:t>Michael V. Drake</w:t>
            </w:r>
          </w:p>
        </w:tc>
        <w:tc>
          <w:tcPr>
            <w:tcW w:w="120" w:type="dxa"/>
            <w:tcBorders/>
            <w:shd w:fill="CCE2F1" w:val="clear"/>
            <w:vAlign w:val="center"/>
          </w:tcPr>
          <w:p>
            <w:pPr>
              <w:pStyle w:val="TableContents"/>
              <w:bidi w:val="0"/>
              <w:spacing w:before="0" w:after="283"/>
              <w:jc w:val="left"/>
              <w:rPr/>
            </w:pPr>
            <w:r>
              <w:rPr/>
              <w:t>  </w:t>
            </w:r>
          </w:p>
        </w:tc>
        <w:tc>
          <w:tcPr>
            <w:tcW w:w="104" w:type="dxa"/>
            <w:tcBorders/>
            <w:shd w:fill="CCE2F1" w:val="clear"/>
            <w:vAlign w:val="center"/>
          </w:tcPr>
          <w:p>
            <w:pPr>
              <w:pStyle w:val="TableContents"/>
              <w:bidi w:val="0"/>
              <w:spacing w:before="0" w:after="283"/>
              <w:jc w:val="left"/>
              <w:rPr/>
            </w:pPr>
            <w:r>
              <w:rPr/>
              <w:t> </w:t>
            </w:r>
          </w:p>
        </w:tc>
        <w:tc>
          <w:tcPr>
            <w:tcW w:w="1701"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92" w:type="dxa"/>
            <w:tcBorders/>
            <w:shd w:fill="CCE2F1" w:val="clear"/>
            <w:vAlign w:val="center"/>
          </w:tcPr>
          <w:p>
            <w:pPr>
              <w:pStyle w:val="TableContents"/>
              <w:bidi w:val="0"/>
              <w:spacing w:before="0" w:after="283"/>
              <w:jc w:val="left"/>
              <w:rPr/>
            </w:pPr>
            <w:r>
              <w:rPr/>
              <w:t> </w:t>
            </w:r>
          </w:p>
        </w:tc>
        <w:tc>
          <w:tcPr>
            <w:tcW w:w="1518"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234" w:type="dxa"/>
            <w:tcBorders/>
            <w:shd w:fill="CCE2F1" w:val="clear"/>
            <w:vAlign w:val="center"/>
          </w:tcPr>
          <w:p>
            <w:pPr>
              <w:pStyle w:val="TableContents"/>
              <w:bidi w:val="0"/>
              <w:spacing w:before="0" w:after="0"/>
              <w:jc w:val="left"/>
              <w:rPr/>
            </w:pPr>
            <w:r>
              <w:rPr/>
              <w:t> </w:t>
            </w:r>
          </w:p>
        </w:tc>
        <w:tc>
          <w:tcPr>
            <w:tcW w:w="550" w:type="dxa"/>
            <w:tcBorders/>
            <w:shd w:fill="CCE2F1" w:val="clear"/>
            <w:vAlign w:val="center"/>
          </w:tcPr>
          <w:p>
            <w:pPr>
              <w:pStyle w:val="TableContents"/>
              <w:bidi w:val="0"/>
              <w:spacing w:before="0" w:after="0"/>
              <w:jc w:val="left"/>
              <w:rPr/>
            </w:pPr>
            <w:r>
              <w:rPr/>
              <w:t> </w:t>
            </w:r>
          </w:p>
        </w:tc>
        <w:tc>
          <w:tcPr>
            <w:tcW w:w="75" w:type="dxa"/>
            <w:tcBorders/>
            <w:shd w:fill="CCE2F1" w:val="clear"/>
            <w:vAlign w:val="center"/>
          </w:tcPr>
          <w:p>
            <w:pPr>
              <w:pStyle w:val="TableContents"/>
              <w:bidi w:val="0"/>
              <w:spacing w:before="0" w:after="0"/>
              <w:jc w:val="left"/>
              <w:rPr/>
            </w:pPr>
            <w:r>
              <w:rPr/>
              <w:t> </w:t>
            </w:r>
          </w:p>
        </w:tc>
      </w:tr>
      <w:tr>
        <w:trPr/>
        <w:tc>
          <w:tcPr>
            <w:tcW w:w="5450" w:type="dxa"/>
            <w:tcBorders/>
            <w:vAlign w:val="center"/>
          </w:tcPr>
          <w:p>
            <w:pPr>
              <w:pStyle w:val="TableContents"/>
              <w:bidi w:val="0"/>
              <w:spacing w:before="0" w:after="283"/>
              <w:jc w:val="left"/>
              <w:rPr>
                <w:sz w:val="4"/>
                <w:szCs w:val="4"/>
              </w:rPr>
            </w:pPr>
            <w:r>
              <w:rPr>
                <w:sz w:val="4"/>
                <w:szCs w:val="4"/>
              </w:rPr>
            </w:r>
          </w:p>
        </w:tc>
        <w:tc>
          <w:tcPr>
            <w:tcW w:w="1985"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979" w:type="dxa"/>
            <w:gridSpan w:val="4"/>
            <w:tcBorders/>
            <w:vAlign w:val="center"/>
          </w:tcPr>
          <w:p>
            <w:pPr>
              <w:pStyle w:val="TableContents"/>
              <w:bidi w:val="0"/>
              <w:spacing w:before="0" w:after="283"/>
              <w:jc w:val="left"/>
              <w:rPr>
                <w:sz w:val="4"/>
                <w:szCs w:val="4"/>
              </w:rPr>
            </w:pPr>
            <w:r>
              <w:rPr>
                <w:sz w:val="4"/>
                <w:szCs w:val="4"/>
              </w:rPr>
            </w:r>
          </w:p>
        </w:tc>
      </w:tr>
      <w:tr>
        <w:trPr/>
        <w:tc>
          <w:tcPr>
            <w:tcW w:w="5450" w:type="dxa"/>
            <w:tcBorders/>
            <w:vAlign w:val="center"/>
          </w:tcPr>
          <w:p>
            <w:pPr>
              <w:pStyle w:val="TableContents"/>
              <w:bidi w:val="0"/>
              <w:spacing w:before="0" w:after="0"/>
              <w:jc w:val="left"/>
              <w:rPr/>
            </w:pPr>
            <w:r>
              <w:rPr/>
              <w:t> </w:t>
            </w:r>
            <w:r>
              <w:rPr>
                <w:rFonts w:ascii="arial" w:hAnsi="arial"/>
                <w:sz w:val="19"/>
              </w:rPr>
              <w:t>Brian J. Druker(3)</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283"/>
              <w:jc w:val="right"/>
              <w:rPr/>
            </w:pPr>
            <w:r>
              <w:rPr/>
              <w:t>802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450" w:type="dxa"/>
            <w:tcBorders/>
            <w:shd w:fill="CCE2F1" w:val="clear"/>
            <w:vAlign w:val="center"/>
          </w:tcPr>
          <w:p>
            <w:pPr>
              <w:pStyle w:val="TableContents"/>
              <w:bidi w:val="0"/>
              <w:spacing w:before="0" w:after="283"/>
              <w:jc w:val="left"/>
              <w:rPr>
                <w:sz w:val="4"/>
                <w:szCs w:val="4"/>
              </w:rPr>
            </w:pPr>
            <w:r>
              <w:rPr>
                <w:sz w:val="4"/>
                <w:szCs w:val="4"/>
              </w:rPr>
            </w:r>
          </w:p>
        </w:tc>
        <w:tc>
          <w:tcPr>
            <w:tcW w:w="1985" w:type="dxa"/>
            <w:gridSpan w:val="4"/>
            <w:tcBorders/>
            <w:shd w:fill="CCE2F1" w:val="clear"/>
            <w:vAlign w:val="center"/>
          </w:tcPr>
          <w:p>
            <w:pPr>
              <w:pStyle w:val="TableContents"/>
              <w:bidi w:val="0"/>
              <w:spacing w:before="0" w:after="283"/>
              <w:jc w:val="left"/>
              <w:rPr>
                <w:sz w:val="4"/>
                <w:szCs w:val="4"/>
              </w:rPr>
            </w:pPr>
            <w:r>
              <w:rPr>
                <w:sz w:val="4"/>
                <w:szCs w:val="4"/>
              </w:rPr>
            </w:r>
          </w:p>
        </w:tc>
        <w:tc>
          <w:tcPr>
            <w:tcW w:w="1790" w:type="dxa"/>
            <w:gridSpan w:val="4"/>
            <w:tcBorders/>
            <w:shd w:fill="CCE2F1" w:val="clear"/>
            <w:vAlign w:val="center"/>
          </w:tcPr>
          <w:p>
            <w:pPr>
              <w:pStyle w:val="TableContents"/>
              <w:bidi w:val="0"/>
              <w:spacing w:before="0" w:after="283"/>
              <w:jc w:val="left"/>
              <w:rPr>
                <w:sz w:val="4"/>
                <w:szCs w:val="4"/>
              </w:rPr>
            </w:pPr>
            <w:r>
              <w:rPr>
                <w:sz w:val="4"/>
                <w:szCs w:val="4"/>
              </w:rPr>
            </w:r>
          </w:p>
        </w:tc>
        <w:tc>
          <w:tcPr>
            <w:tcW w:w="979"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5450" w:type="dxa"/>
            <w:tcBorders/>
            <w:shd w:fill="CCE2F1" w:val="clear"/>
            <w:vAlign w:val="center"/>
          </w:tcPr>
          <w:p>
            <w:pPr>
              <w:pStyle w:val="TableContents"/>
              <w:bidi w:val="0"/>
              <w:spacing w:before="0" w:after="0"/>
              <w:jc w:val="left"/>
              <w:rPr/>
            </w:pPr>
            <w:r>
              <w:rPr/>
              <w:t> </w:t>
            </w:r>
            <w:r>
              <w:rPr>
                <w:rFonts w:ascii="arial" w:hAnsi="arial"/>
                <w:sz w:val="19"/>
              </w:rPr>
              <w:t>Robert A. Eckert(3)</w:t>
            </w:r>
          </w:p>
        </w:tc>
        <w:tc>
          <w:tcPr>
            <w:tcW w:w="120" w:type="dxa"/>
            <w:tcBorders/>
            <w:shd w:fill="CCE2F1" w:val="clear"/>
            <w:vAlign w:val="center"/>
          </w:tcPr>
          <w:p>
            <w:pPr>
              <w:pStyle w:val="TableContents"/>
              <w:bidi w:val="0"/>
              <w:spacing w:before="0" w:after="283"/>
              <w:jc w:val="left"/>
              <w:rPr/>
            </w:pPr>
            <w:r>
              <w:rPr/>
              <w:t>  </w:t>
            </w:r>
          </w:p>
        </w:tc>
        <w:tc>
          <w:tcPr>
            <w:tcW w:w="104" w:type="dxa"/>
            <w:tcBorders/>
            <w:shd w:fill="CCE2F1" w:val="clear"/>
            <w:vAlign w:val="center"/>
          </w:tcPr>
          <w:p>
            <w:pPr>
              <w:pStyle w:val="TableContents"/>
              <w:bidi w:val="0"/>
              <w:spacing w:before="0" w:after="283"/>
              <w:jc w:val="left"/>
              <w:rPr/>
            </w:pPr>
            <w:r>
              <w:rPr/>
              <w:t> </w:t>
            </w:r>
          </w:p>
        </w:tc>
        <w:tc>
          <w:tcPr>
            <w:tcW w:w="1701" w:type="dxa"/>
            <w:tcBorders/>
            <w:shd w:fill="CCE2F1" w:val="clear"/>
            <w:vAlign w:val="center"/>
          </w:tcPr>
          <w:p>
            <w:pPr>
              <w:pStyle w:val="TableContents"/>
              <w:bidi w:val="0"/>
              <w:spacing w:before="0" w:after="283"/>
              <w:jc w:val="right"/>
              <w:rPr/>
            </w:pPr>
            <w:r>
              <w:rPr/>
              <w:t>7,044</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92" w:type="dxa"/>
            <w:tcBorders/>
            <w:shd w:fill="CCE2F1" w:val="clear"/>
            <w:vAlign w:val="center"/>
          </w:tcPr>
          <w:p>
            <w:pPr>
              <w:pStyle w:val="TableContents"/>
              <w:bidi w:val="0"/>
              <w:spacing w:before="0" w:after="283"/>
              <w:jc w:val="left"/>
              <w:rPr/>
            </w:pPr>
            <w:r>
              <w:rPr/>
              <w:t> </w:t>
            </w:r>
          </w:p>
        </w:tc>
        <w:tc>
          <w:tcPr>
            <w:tcW w:w="1518"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234" w:type="dxa"/>
            <w:tcBorders/>
            <w:shd w:fill="CCE2F1" w:val="clear"/>
            <w:vAlign w:val="center"/>
          </w:tcPr>
          <w:p>
            <w:pPr>
              <w:pStyle w:val="TableContents"/>
              <w:bidi w:val="0"/>
              <w:spacing w:before="0" w:after="283"/>
              <w:jc w:val="left"/>
              <w:rPr/>
            </w:pPr>
            <w:r>
              <w:rPr/>
              <w:t> </w:t>
            </w:r>
          </w:p>
        </w:tc>
        <w:tc>
          <w:tcPr>
            <w:tcW w:w="550" w:type="dxa"/>
            <w:tcBorders/>
            <w:shd w:fill="CCE2F1" w:val="clear"/>
            <w:vAlign w:val="center"/>
          </w:tcPr>
          <w:p>
            <w:pPr>
              <w:pStyle w:val="TableContents"/>
              <w:bidi w:val="0"/>
              <w:spacing w:before="0" w:after="283"/>
              <w:jc w:val="right"/>
              <w:rPr/>
            </w:pPr>
            <w:r>
              <w:rPr/>
              <w:t>* </w:t>
            </w:r>
          </w:p>
        </w:tc>
        <w:tc>
          <w:tcPr>
            <w:tcW w:w="75" w:type="dxa"/>
            <w:tcBorders/>
            <w:shd w:fill="CCE2F1" w:val="clear"/>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sz w:val="4"/>
                <w:szCs w:val="4"/>
              </w:rPr>
            </w:pPr>
            <w:r>
              <w:rPr>
                <w:sz w:val="4"/>
                <w:szCs w:val="4"/>
              </w:rPr>
            </w:r>
          </w:p>
        </w:tc>
        <w:tc>
          <w:tcPr>
            <w:tcW w:w="1985"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979" w:type="dxa"/>
            <w:gridSpan w:val="4"/>
            <w:tcBorders/>
            <w:vAlign w:val="center"/>
          </w:tcPr>
          <w:p>
            <w:pPr>
              <w:pStyle w:val="TableContents"/>
              <w:bidi w:val="0"/>
              <w:spacing w:before="0" w:after="283"/>
              <w:jc w:val="left"/>
              <w:rPr>
                <w:sz w:val="4"/>
                <w:szCs w:val="4"/>
              </w:rPr>
            </w:pPr>
            <w:r>
              <w:rPr>
                <w:sz w:val="4"/>
                <w:szCs w:val="4"/>
              </w:rPr>
            </w:r>
          </w:p>
        </w:tc>
      </w:tr>
      <w:tr>
        <w:trPr/>
        <w:tc>
          <w:tcPr>
            <w:tcW w:w="5450" w:type="dxa"/>
            <w:tcBorders/>
            <w:vAlign w:val="center"/>
          </w:tcPr>
          <w:p>
            <w:pPr>
              <w:pStyle w:val="TableContents"/>
              <w:bidi w:val="0"/>
              <w:spacing w:before="0" w:after="0"/>
              <w:jc w:val="left"/>
              <w:rPr/>
            </w:pPr>
            <w:r>
              <w:rPr/>
              <w:t> </w:t>
            </w:r>
            <w:r>
              <w:rPr>
                <w:rFonts w:ascii="arial" w:hAnsi="arial"/>
                <w:sz w:val="19"/>
              </w:rPr>
              <w:t>Greg C. Garland</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283"/>
              <w:jc w:val="right"/>
              <w:rPr/>
            </w:pPr>
            <w:r>
              <w:rPr/>
              <w:t>11,655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450" w:type="dxa"/>
            <w:tcBorders/>
            <w:shd w:fill="CCE2F1" w:val="clear"/>
            <w:vAlign w:val="center"/>
          </w:tcPr>
          <w:p>
            <w:pPr>
              <w:pStyle w:val="TableContents"/>
              <w:bidi w:val="0"/>
              <w:spacing w:before="0" w:after="283"/>
              <w:jc w:val="left"/>
              <w:rPr>
                <w:sz w:val="4"/>
                <w:szCs w:val="4"/>
              </w:rPr>
            </w:pPr>
            <w:r>
              <w:rPr>
                <w:sz w:val="4"/>
                <w:szCs w:val="4"/>
              </w:rPr>
            </w:r>
          </w:p>
        </w:tc>
        <w:tc>
          <w:tcPr>
            <w:tcW w:w="1985" w:type="dxa"/>
            <w:gridSpan w:val="4"/>
            <w:tcBorders/>
            <w:shd w:fill="CCE2F1" w:val="clear"/>
            <w:vAlign w:val="center"/>
          </w:tcPr>
          <w:p>
            <w:pPr>
              <w:pStyle w:val="TableContents"/>
              <w:bidi w:val="0"/>
              <w:spacing w:before="0" w:after="283"/>
              <w:jc w:val="left"/>
              <w:rPr>
                <w:sz w:val="4"/>
                <w:szCs w:val="4"/>
              </w:rPr>
            </w:pPr>
            <w:r>
              <w:rPr>
                <w:sz w:val="4"/>
                <w:szCs w:val="4"/>
              </w:rPr>
            </w:r>
          </w:p>
        </w:tc>
        <w:tc>
          <w:tcPr>
            <w:tcW w:w="1790" w:type="dxa"/>
            <w:gridSpan w:val="4"/>
            <w:tcBorders/>
            <w:shd w:fill="CCE2F1" w:val="clear"/>
            <w:vAlign w:val="center"/>
          </w:tcPr>
          <w:p>
            <w:pPr>
              <w:pStyle w:val="TableContents"/>
              <w:bidi w:val="0"/>
              <w:spacing w:before="0" w:after="283"/>
              <w:jc w:val="left"/>
              <w:rPr>
                <w:sz w:val="4"/>
                <w:szCs w:val="4"/>
              </w:rPr>
            </w:pPr>
            <w:r>
              <w:rPr>
                <w:sz w:val="4"/>
                <w:szCs w:val="4"/>
              </w:rPr>
            </w:r>
          </w:p>
        </w:tc>
        <w:tc>
          <w:tcPr>
            <w:tcW w:w="979"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5450" w:type="dxa"/>
            <w:tcBorders/>
            <w:shd w:fill="CCE2F1" w:val="clear"/>
            <w:vAlign w:val="center"/>
          </w:tcPr>
          <w:p>
            <w:pPr>
              <w:pStyle w:val="TableContents"/>
              <w:bidi w:val="0"/>
              <w:spacing w:before="0" w:after="0"/>
              <w:jc w:val="left"/>
              <w:rPr/>
            </w:pPr>
            <w:r>
              <w:rPr/>
              <w:t> </w:t>
            </w:r>
            <w:r>
              <w:rPr>
                <w:rFonts w:ascii="arial" w:hAnsi="arial"/>
                <w:sz w:val="19"/>
              </w:rPr>
              <w:t>Charles M. Holley, Jr.(3)(4)</w:t>
            </w:r>
          </w:p>
        </w:tc>
        <w:tc>
          <w:tcPr>
            <w:tcW w:w="120" w:type="dxa"/>
            <w:tcBorders/>
            <w:shd w:fill="CCE2F1" w:val="clear"/>
            <w:vAlign w:val="center"/>
          </w:tcPr>
          <w:p>
            <w:pPr>
              <w:pStyle w:val="TableContents"/>
              <w:bidi w:val="0"/>
              <w:spacing w:before="0" w:after="283"/>
              <w:jc w:val="left"/>
              <w:rPr/>
            </w:pPr>
            <w:r>
              <w:rPr/>
              <w:t>  </w:t>
            </w:r>
          </w:p>
        </w:tc>
        <w:tc>
          <w:tcPr>
            <w:tcW w:w="104" w:type="dxa"/>
            <w:tcBorders/>
            <w:shd w:fill="CCE2F1" w:val="clear"/>
            <w:vAlign w:val="center"/>
          </w:tcPr>
          <w:p>
            <w:pPr>
              <w:pStyle w:val="TableContents"/>
              <w:bidi w:val="0"/>
              <w:spacing w:before="0" w:after="283"/>
              <w:jc w:val="left"/>
              <w:rPr/>
            </w:pPr>
            <w:r>
              <w:rPr/>
              <w:t> </w:t>
            </w:r>
          </w:p>
        </w:tc>
        <w:tc>
          <w:tcPr>
            <w:tcW w:w="1701" w:type="dxa"/>
            <w:tcBorders/>
            <w:shd w:fill="CCE2F1" w:val="clear"/>
            <w:vAlign w:val="center"/>
          </w:tcPr>
          <w:p>
            <w:pPr>
              <w:pStyle w:val="TableContents"/>
              <w:bidi w:val="0"/>
              <w:spacing w:before="0" w:after="283"/>
              <w:jc w:val="right"/>
              <w:rPr/>
            </w:pPr>
            <w:r>
              <w:rPr/>
              <w:t>1,260</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92" w:type="dxa"/>
            <w:tcBorders/>
            <w:shd w:fill="CCE2F1" w:val="clear"/>
            <w:vAlign w:val="center"/>
          </w:tcPr>
          <w:p>
            <w:pPr>
              <w:pStyle w:val="TableContents"/>
              <w:bidi w:val="0"/>
              <w:spacing w:before="0" w:after="283"/>
              <w:jc w:val="left"/>
              <w:rPr/>
            </w:pPr>
            <w:r>
              <w:rPr/>
              <w:t> </w:t>
            </w:r>
          </w:p>
        </w:tc>
        <w:tc>
          <w:tcPr>
            <w:tcW w:w="1518"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234" w:type="dxa"/>
            <w:tcBorders/>
            <w:shd w:fill="CCE2F1" w:val="clear"/>
            <w:vAlign w:val="center"/>
          </w:tcPr>
          <w:p>
            <w:pPr>
              <w:pStyle w:val="TableContents"/>
              <w:bidi w:val="0"/>
              <w:spacing w:before="0" w:after="283"/>
              <w:jc w:val="left"/>
              <w:rPr/>
            </w:pPr>
            <w:r>
              <w:rPr/>
              <w:t> </w:t>
            </w:r>
          </w:p>
        </w:tc>
        <w:tc>
          <w:tcPr>
            <w:tcW w:w="550" w:type="dxa"/>
            <w:tcBorders/>
            <w:shd w:fill="CCE2F1" w:val="clear"/>
            <w:vAlign w:val="center"/>
          </w:tcPr>
          <w:p>
            <w:pPr>
              <w:pStyle w:val="TableContents"/>
              <w:bidi w:val="0"/>
              <w:spacing w:before="0" w:after="283"/>
              <w:jc w:val="right"/>
              <w:rPr/>
            </w:pPr>
            <w:r>
              <w:rPr/>
              <w:t>* </w:t>
            </w:r>
          </w:p>
        </w:tc>
        <w:tc>
          <w:tcPr>
            <w:tcW w:w="75" w:type="dxa"/>
            <w:tcBorders/>
            <w:shd w:fill="CCE2F1" w:val="clear"/>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sz w:val="4"/>
                <w:szCs w:val="4"/>
              </w:rPr>
            </w:pPr>
            <w:r>
              <w:rPr>
                <w:sz w:val="4"/>
                <w:szCs w:val="4"/>
              </w:rPr>
            </w:r>
          </w:p>
        </w:tc>
        <w:tc>
          <w:tcPr>
            <w:tcW w:w="1985"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979" w:type="dxa"/>
            <w:gridSpan w:val="4"/>
            <w:tcBorders/>
            <w:vAlign w:val="center"/>
          </w:tcPr>
          <w:p>
            <w:pPr>
              <w:pStyle w:val="TableContents"/>
              <w:bidi w:val="0"/>
              <w:spacing w:before="0" w:after="283"/>
              <w:jc w:val="left"/>
              <w:rPr>
                <w:sz w:val="4"/>
                <w:szCs w:val="4"/>
              </w:rPr>
            </w:pPr>
            <w:r>
              <w:rPr>
                <w:sz w:val="4"/>
                <w:szCs w:val="4"/>
              </w:rPr>
            </w:r>
          </w:p>
        </w:tc>
      </w:tr>
      <w:tr>
        <w:trPr/>
        <w:tc>
          <w:tcPr>
            <w:tcW w:w="5450" w:type="dxa"/>
            <w:tcBorders/>
            <w:vAlign w:val="center"/>
          </w:tcPr>
          <w:p>
            <w:pPr>
              <w:pStyle w:val="TableContents"/>
              <w:bidi w:val="0"/>
              <w:spacing w:before="0" w:after="0"/>
              <w:jc w:val="left"/>
              <w:rPr/>
            </w:pPr>
            <w:r>
              <w:rPr/>
              <w:t> </w:t>
            </w:r>
            <w:r>
              <w:rPr>
                <w:rFonts w:ascii="arial" w:hAnsi="arial"/>
                <w:sz w:val="19"/>
              </w:rPr>
              <w:t>S. Omar Ishrak</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283"/>
              <w:jc w:val="right"/>
              <w:rPr/>
            </w:pPr>
            <w:r>
              <w:rPr/>
              <w:t>935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450" w:type="dxa"/>
            <w:tcBorders/>
            <w:shd w:fill="CCE2F1" w:val="clear"/>
            <w:vAlign w:val="center"/>
          </w:tcPr>
          <w:p>
            <w:pPr>
              <w:pStyle w:val="TableContents"/>
              <w:bidi w:val="0"/>
              <w:spacing w:before="0" w:after="283"/>
              <w:jc w:val="left"/>
              <w:rPr>
                <w:sz w:val="4"/>
                <w:szCs w:val="4"/>
              </w:rPr>
            </w:pPr>
            <w:r>
              <w:rPr>
                <w:sz w:val="4"/>
                <w:szCs w:val="4"/>
              </w:rPr>
            </w:r>
          </w:p>
        </w:tc>
        <w:tc>
          <w:tcPr>
            <w:tcW w:w="1985" w:type="dxa"/>
            <w:gridSpan w:val="4"/>
            <w:tcBorders/>
            <w:shd w:fill="CCE2F1" w:val="clear"/>
            <w:vAlign w:val="center"/>
          </w:tcPr>
          <w:p>
            <w:pPr>
              <w:pStyle w:val="TableContents"/>
              <w:bidi w:val="0"/>
              <w:spacing w:before="0" w:after="283"/>
              <w:jc w:val="left"/>
              <w:rPr>
                <w:sz w:val="4"/>
                <w:szCs w:val="4"/>
              </w:rPr>
            </w:pPr>
            <w:r>
              <w:rPr>
                <w:sz w:val="4"/>
                <w:szCs w:val="4"/>
              </w:rPr>
            </w:r>
          </w:p>
        </w:tc>
        <w:tc>
          <w:tcPr>
            <w:tcW w:w="1790" w:type="dxa"/>
            <w:gridSpan w:val="4"/>
            <w:tcBorders/>
            <w:shd w:fill="CCE2F1" w:val="clear"/>
            <w:vAlign w:val="center"/>
          </w:tcPr>
          <w:p>
            <w:pPr>
              <w:pStyle w:val="TableContents"/>
              <w:bidi w:val="0"/>
              <w:spacing w:before="0" w:after="283"/>
              <w:jc w:val="left"/>
              <w:rPr>
                <w:sz w:val="4"/>
                <w:szCs w:val="4"/>
              </w:rPr>
            </w:pPr>
            <w:r>
              <w:rPr>
                <w:sz w:val="4"/>
                <w:szCs w:val="4"/>
              </w:rPr>
            </w:r>
          </w:p>
        </w:tc>
        <w:tc>
          <w:tcPr>
            <w:tcW w:w="979"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5450" w:type="dxa"/>
            <w:tcBorders/>
            <w:shd w:fill="CCE2F1" w:val="clear"/>
            <w:vAlign w:val="center"/>
          </w:tcPr>
          <w:p>
            <w:pPr>
              <w:pStyle w:val="TableContents"/>
              <w:bidi w:val="0"/>
              <w:spacing w:before="0" w:after="0"/>
              <w:jc w:val="left"/>
              <w:rPr/>
            </w:pPr>
            <w:r>
              <w:rPr/>
              <w:t> </w:t>
            </w:r>
            <w:r>
              <w:rPr>
                <w:rFonts w:ascii="arial" w:hAnsi="arial"/>
                <w:sz w:val="19"/>
              </w:rPr>
              <w:t>Tyler Jacks(3)</w:t>
            </w:r>
          </w:p>
        </w:tc>
        <w:tc>
          <w:tcPr>
            <w:tcW w:w="120" w:type="dxa"/>
            <w:tcBorders/>
            <w:shd w:fill="CCE2F1" w:val="clear"/>
            <w:vAlign w:val="center"/>
          </w:tcPr>
          <w:p>
            <w:pPr>
              <w:pStyle w:val="TableContents"/>
              <w:bidi w:val="0"/>
              <w:spacing w:before="0" w:after="283"/>
              <w:jc w:val="left"/>
              <w:rPr/>
            </w:pPr>
            <w:r>
              <w:rPr/>
              <w:t>  </w:t>
            </w:r>
          </w:p>
        </w:tc>
        <w:tc>
          <w:tcPr>
            <w:tcW w:w="104" w:type="dxa"/>
            <w:tcBorders/>
            <w:shd w:fill="CCE2F1" w:val="clear"/>
            <w:vAlign w:val="center"/>
          </w:tcPr>
          <w:p>
            <w:pPr>
              <w:pStyle w:val="TableContents"/>
              <w:bidi w:val="0"/>
              <w:spacing w:before="0" w:after="283"/>
              <w:jc w:val="left"/>
              <w:rPr/>
            </w:pPr>
            <w:r>
              <w:rPr/>
              <w:t> </w:t>
            </w:r>
          </w:p>
        </w:tc>
        <w:tc>
          <w:tcPr>
            <w:tcW w:w="1701" w:type="dxa"/>
            <w:tcBorders/>
            <w:shd w:fill="CCE2F1" w:val="clear"/>
            <w:vAlign w:val="center"/>
          </w:tcPr>
          <w:p>
            <w:pPr>
              <w:pStyle w:val="TableContents"/>
              <w:bidi w:val="0"/>
              <w:spacing w:before="0" w:after="283"/>
              <w:jc w:val="right"/>
              <w:rPr/>
            </w:pPr>
            <w:r>
              <w:rPr/>
              <w:t>2,727</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92" w:type="dxa"/>
            <w:tcBorders/>
            <w:shd w:fill="CCE2F1" w:val="clear"/>
            <w:vAlign w:val="center"/>
          </w:tcPr>
          <w:p>
            <w:pPr>
              <w:pStyle w:val="TableContents"/>
              <w:bidi w:val="0"/>
              <w:spacing w:before="0" w:after="283"/>
              <w:jc w:val="left"/>
              <w:rPr/>
            </w:pPr>
            <w:r>
              <w:rPr/>
              <w:t> </w:t>
            </w:r>
          </w:p>
        </w:tc>
        <w:tc>
          <w:tcPr>
            <w:tcW w:w="1518"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234" w:type="dxa"/>
            <w:tcBorders/>
            <w:shd w:fill="CCE2F1" w:val="clear"/>
            <w:vAlign w:val="center"/>
          </w:tcPr>
          <w:p>
            <w:pPr>
              <w:pStyle w:val="TableContents"/>
              <w:bidi w:val="0"/>
              <w:spacing w:before="0" w:after="283"/>
              <w:jc w:val="left"/>
              <w:rPr/>
            </w:pPr>
            <w:r>
              <w:rPr/>
              <w:t> </w:t>
            </w:r>
          </w:p>
        </w:tc>
        <w:tc>
          <w:tcPr>
            <w:tcW w:w="550" w:type="dxa"/>
            <w:tcBorders/>
            <w:shd w:fill="CCE2F1" w:val="clear"/>
            <w:vAlign w:val="center"/>
          </w:tcPr>
          <w:p>
            <w:pPr>
              <w:pStyle w:val="TableContents"/>
              <w:bidi w:val="0"/>
              <w:spacing w:before="0" w:after="283"/>
              <w:jc w:val="right"/>
              <w:rPr/>
            </w:pPr>
            <w:r>
              <w:rPr/>
              <w:t>* </w:t>
            </w:r>
          </w:p>
        </w:tc>
        <w:tc>
          <w:tcPr>
            <w:tcW w:w="75" w:type="dxa"/>
            <w:tcBorders/>
            <w:shd w:fill="CCE2F1" w:val="clear"/>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sz w:val="4"/>
                <w:szCs w:val="4"/>
              </w:rPr>
            </w:pPr>
            <w:r>
              <w:rPr>
                <w:sz w:val="4"/>
                <w:szCs w:val="4"/>
              </w:rPr>
            </w:r>
          </w:p>
        </w:tc>
        <w:tc>
          <w:tcPr>
            <w:tcW w:w="1985"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979" w:type="dxa"/>
            <w:gridSpan w:val="4"/>
            <w:tcBorders/>
            <w:vAlign w:val="center"/>
          </w:tcPr>
          <w:p>
            <w:pPr>
              <w:pStyle w:val="TableContents"/>
              <w:bidi w:val="0"/>
              <w:spacing w:before="0" w:after="283"/>
              <w:jc w:val="left"/>
              <w:rPr>
                <w:sz w:val="4"/>
                <w:szCs w:val="4"/>
              </w:rPr>
            </w:pPr>
            <w:r>
              <w:rPr>
                <w:sz w:val="4"/>
                <w:szCs w:val="4"/>
              </w:rPr>
            </w:r>
          </w:p>
        </w:tc>
      </w:tr>
      <w:tr>
        <w:trPr/>
        <w:tc>
          <w:tcPr>
            <w:tcW w:w="5450" w:type="dxa"/>
            <w:tcBorders/>
            <w:vAlign w:val="center"/>
          </w:tcPr>
          <w:p>
            <w:pPr>
              <w:pStyle w:val="TableContents"/>
              <w:bidi w:val="0"/>
              <w:spacing w:before="0" w:after="0"/>
              <w:jc w:val="left"/>
              <w:rPr/>
            </w:pPr>
            <w:r>
              <w:rPr/>
              <w:t> </w:t>
            </w:r>
            <w:r>
              <w:rPr>
                <w:rFonts w:ascii="arial" w:hAnsi="arial"/>
                <w:sz w:val="19"/>
              </w:rPr>
              <w:t>Ellen J. Kullman(3)</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283"/>
              <w:jc w:val="right"/>
              <w:rPr/>
            </w:pPr>
            <w:r>
              <w:rPr/>
              <w:t>410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450" w:type="dxa"/>
            <w:tcBorders/>
            <w:shd w:fill="CCE2F1" w:val="clear"/>
            <w:vAlign w:val="center"/>
          </w:tcPr>
          <w:p>
            <w:pPr>
              <w:pStyle w:val="TableContents"/>
              <w:bidi w:val="0"/>
              <w:spacing w:before="0" w:after="283"/>
              <w:jc w:val="left"/>
              <w:rPr>
                <w:sz w:val="4"/>
                <w:szCs w:val="4"/>
              </w:rPr>
            </w:pPr>
            <w:r>
              <w:rPr>
                <w:sz w:val="4"/>
                <w:szCs w:val="4"/>
              </w:rPr>
            </w:r>
          </w:p>
        </w:tc>
        <w:tc>
          <w:tcPr>
            <w:tcW w:w="1985" w:type="dxa"/>
            <w:gridSpan w:val="4"/>
            <w:tcBorders/>
            <w:shd w:fill="CCE2F1" w:val="clear"/>
            <w:vAlign w:val="center"/>
          </w:tcPr>
          <w:p>
            <w:pPr>
              <w:pStyle w:val="TableContents"/>
              <w:bidi w:val="0"/>
              <w:spacing w:before="0" w:after="283"/>
              <w:jc w:val="left"/>
              <w:rPr>
                <w:sz w:val="4"/>
                <w:szCs w:val="4"/>
              </w:rPr>
            </w:pPr>
            <w:r>
              <w:rPr>
                <w:sz w:val="4"/>
                <w:szCs w:val="4"/>
              </w:rPr>
            </w:r>
          </w:p>
        </w:tc>
        <w:tc>
          <w:tcPr>
            <w:tcW w:w="1790" w:type="dxa"/>
            <w:gridSpan w:val="4"/>
            <w:tcBorders/>
            <w:shd w:fill="CCE2F1" w:val="clear"/>
            <w:vAlign w:val="center"/>
          </w:tcPr>
          <w:p>
            <w:pPr>
              <w:pStyle w:val="TableContents"/>
              <w:bidi w:val="0"/>
              <w:spacing w:before="0" w:after="283"/>
              <w:jc w:val="left"/>
              <w:rPr>
                <w:sz w:val="4"/>
                <w:szCs w:val="4"/>
              </w:rPr>
            </w:pPr>
            <w:r>
              <w:rPr>
                <w:sz w:val="4"/>
                <w:szCs w:val="4"/>
              </w:rPr>
            </w:r>
          </w:p>
        </w:tc>
        <w:tc>
          <w:tcPr>
            <w:tcW w:w="979"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5450" w:type="dxa"/>
            <w:tcBorders/>
            <w:shd w:fill="CCE2F1" w:val="clear"/>
            <w:vAlign w:val="center"/>
          </w:tcPr>
          <w:p>
            <w:pPr>
              <w:pStyle w:val="TableContents"/>
              <w:bidi w:val="0"/>
              <w:spacing w:before="0" w:after="0"/>
              <w:jc w:val="left"/>
              <w:rPr/>
            </w:pPr>
            <w:r>
              <w:rPr/>
              <w:t> </w:t>
            </w:r>
            <w:r>
              <w:rPr>
                <w:rFonts w:ascii="arial" w:hAnsi="arial"/>
                <w:sz w:val="19"/>
              </w:rPr>
              <w:t>Amy E. Miles(3)</w:t>
            </w:r>
          </w:p>
        </w:tc>
        <w:tc>
          <w:tcPr>
            <w:tcW w:w="120" w:type="dxa"/>
            <w:tcBorders/>
            <w:shd w:fill="CCE2F1" w:val="clear"/>
            <w:vAlign w:val="center"/>
          </w:tcPr>
          <w:p>
            <w:pPr>
              <w:pStyle w:val="TableContents"/>
              <w:bidi w:val="0"/>
              <w:spacing w:before="0" w:after="283"/>
              <w:jc w:val="left"/>
              <w:rPr/>
            </w:pPr>
            <w:r>
              <w:rPr/>
              <w:t>  </w:t>
            </w:r>
          </w:p>
        </w:tc>
        <w:tc>
          <w:tcPr>
            <w:tcW w:w="104" w:type="dxa"/>
            <w:tcBorders/>
            <w:shd w:fill="CCE2F1" w:val="clear"/>
            <w:vAlign w:val="center"/>
          </w:tcPr>
          <w:p>
            <w:pPr>
              <w:pStyle w:val="TableContents"/>
              <w:bidi w:val="0"/>
              <w:spacing w:before="0" w:after="283"/>
              <w:jc w:val="left"/>
              <w:rPr/>
            </w:pPr>
            <w:r>
              <w:rPr/>
              <w:t> </w:t>
            </w:r>
          </w:p>
        </w:tc>
        <w:tc>
          <w:tcPr>
            <w:tcW w:w="1701" w:type="dxa"/>
            <w:tcBorders/>
            <w:shd w:fill="CCE2F1" w:val="clear"/>
            <w:vAlign w:val="center"/>
          </w:tcPr>
          <w:p>
            <w:pPr>
              <w:pStyle w:val="TableContents"/>
              <w:bidi w:val="0"/>
              <w:spacing w:before="0" w:after="283"/>
              <w:jc w:val="right"/>
              <w:rPr/>
            </w:pPr>
            <w:r>
              <w:rPr/>
              <w:t>408</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92" w:type="dxa"/>
            <w:tcBorders/>
            <w:shd w:fill="CCE2F1" w:val="clear"/>
            <w:vAlign w:val="center"/>
          </w:tcPr>
          <w:p>
            <w:pPr>
              <w:pStyle w:val="TableContents"/>
              <w:bidi w:val="0"/>
              <w:spacing w:before="0" w:after="283"/>
              <w:jc w:val="left"/>
              <w:rPr/>
            </w:pPr>
            <w:r>
              <w:rPr/>
              <w:t> </w:t>
            </w:r>
          </w:p>
        </w:tc>
        <w:tc>
          <w:tcPr>
            <w:tcW w:w="1518"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234" w:type="dxa"/>
            <w:tcBorders/>
            <w:shd w:fill="CCE2F1" w:val="clear"/>
            <w:vAlign w:val="center"/>
          </w:tcPr>
          <w:p>
            <w:pPr>
              <w:pStyle w:val="TableContents"/>
              <w:bidi w:val="0"/>
              <w:spacing w:before="0" w:after="283"/>
              <w:jc w:val="left"/>
              <w:rPr/>
            </w:pPr>
            <w:r>
              <w:rPr/>
              <w:t> </w:t>
            </w:r>
          </w:p>
        </w:tc>
        <w:tc>
          <w:tcPr>
            <w:tcW w:w="550" w:type="dxa"/>
            <w:tcBorders/>
            <w:shd w:fill="CCE2F1" w:val="clear"/>
            <w:vAlign w:val="center"/>
          </w:tcPr>
          <w:p>
            <w:pPr>
              <w:pStyle w:val="TableContents"/>
              <w:bidi w:val="0"/>
              <w:spacing w:before="0" w:after="283"/>
              <w:jc w:val="right"/>
              <w:rPr/>
            </w:pPr>
            <w:r>
              <w:rPr/>
              <w:t>* </w:t>
            </w:r>
          </w:p>
        </w:tc>
        <w:tc>
          <w:tcPr>
            <w:tcW w:w="75" w:type="dxa"/>
            <w:tcBorders/>
            <w:shd w:fill="CCE2F1" w:val="clear"/>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sz w:val="4"/>
                <w:szCs w:val="4"/>
              </w:rPr>
            </w:pPr>
            <w:r>
              <w:rPr>
                <w:sz w:val="4"/>
                <w:szCs w:val="4"/>
              </w:rPr>
            </w:r>
          </w:p>
        </w:tc>
        <w:tc>
          <w:tcPr>
            <w:tcW w:w="1985"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979" w:type="dxa"/>
            <w:gridSpan w:val="4"/>
            <w:tcBorders/>
            <w:vAlign w:val="center"/>
          </w:tcPr>
          <w:p>
            <w:pPr>
              <w:pStyle w:val="TableContents"/>
              <w:bidi w:val="0"/>
              <w:spacing w:before="0" w:after="283"/>
              <w:jc w:val="left"/>
              <w:rPr>
                <w:sz w:val="4"/>
                <w:szCs w:val="4"/>
              </w:rPr>
            </w:pPr>
            <w:r>
              <w:rPr>
                <w:sz w:val="4"/>
                <w:szCs w:val="4"/>
              </w:rPr>
            </w:r>
          </w:p>
        </w:tc>
      </w:tr>
      <w:tr>
        <w:trPr/>
        <w:tc>
          <w:tcPr>
            <w:tcW w:w="5450" w:type="dxa"/>
            <w:tcBorders/>
            <w:vAlign w:val="center"/>
          </w:tcPr>
          <w:p>
            <w:pPr>
              <w:pStyle w:val="TableContents"/>
              <w:bidi w:val="0"/>
              <w:spacing w:before="0" w:after="0"/>
              <w:jc w:val="left"/>
              <w:rPr/>
            </w:pPr>
            <w:r>
              <w:rPr/>
              <w:t> </w:t>
            </w:r>
            <w:r>
              <w:rPr>
                <w:rFonts w:ascii="arial" w:hAnsi="arial"/>
                <w:sz w:val="19"/>
              </w:rPr>
              <w:t>Ronald D. Sugar(3)</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283"/>
              <w:jc w:val="right"/>
              <w:rPr/>
            </w:pPr>
            <w:r>
              <w:rPr/>
              <w:t>939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450" w:type="dxa"/>
            <w:tcBorders/>
            <w:shd w:fill="CCE2F1" w:val="clear"/>
            <w:vAlign w:val="center"/>
          </w:tcPr>
          <w:p>
            <w:pPr>
              <w:pStyle w:val="TableContents"/>
              <w:bidi w:val="0"/>
              <w:spacing w:before="0" w:after="283"/>
              <w:jc w:val="left"/>
              <w:rPr>
                <w:sz w:val="4"/>
                <w:szCs w:val="4"/>
              </w:rPr>
            </w:pPr>
            <w:r>
              <w:rPr>
                <w:sz w:val="4"/>
                <w:szCs w:val="4"/>
              </w:rPr>
            </w:r>
          </w:p>
        </w:tc>
        <w:tc>
          <w:tcPr>
            <w:tcW w:w="1985" w:type="dxa"/>
            <w:gridSpan w:val="4"/>
            <w:tcBorders/>
            <w:shd w:fill="CCE2F1" w:val="clear"/>
            <w:vAlign w:val="center"/>
          </w:tcPr>
          <w:p>
            <w:pPr>
              <w:pStyle w:val="TableContents"/>
              <w:bidi w:val="0"/>
              <w:spacing w:before="0" w:after="283"/>
              <w:jc w:val="left"/>
              <w:rPr>
                <w:sz w:val="4"/>
                <w:szCs w:val="4"/>
              </w:rPr>
            </w:pPr>
            <w:r>
              <w:rPr>
                <w:sz w:val="4"/>
                <w:szCs w:val="4"/>
              </w:rPr>
            </w:r>
          </w:p>
        </w:tc>
        <w:tc>
          <w:tcPr>
            <w:tcW w:w="1790" w:type="dxa"/>
            <w:gridSpan w:val="4"/>
            <w:tcBorders/>
            <w:shd w:fill="CCE2F1" w:val="clear"/>
            <w:vAlign w:val="center"/>
          </w:tcPr>
          <w:p>
            <w:pPr>
              <w:pStyle w:val="TableContents"/>
              <w:bidi w:val="0"/>
              <w:spacing w:before="0" w:after="283"/>
              <w:jc w:val="left"/>
              <w:rPr>
                <w:sz w:val="4"/>
                <w:szCs w:val="4"/>
              </w:rPr>
            </w:pPr>
            <w:r>
              <w:rPr>
                <w:sz w:val="4"/>
                <w:szCs w:val="4"/>
              </w:rPr>
            </w:r>
          </w:p>
        </w:tc>
        <w:tc>
          <w:tcPr>
            <w:tcW w:w="979"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5450" w:type="dxa"/>
            <w:tcBorders/>
            <w:shd w:fill="CCE2F1" w:val="clear"/>
            <w:vAlign w:val="center"/>
          </w:tcPr>
          <w:p>
            <w:pPr>
              <w:pStyle w:val="TableContents"/>
              <w:bidi w:val="0"/>
              <w:spacing w:before="0" w:after="0"/>
              <w:jc w:val="left"/>
              <w:rPr/>
            </w:pPr>
            <w:r>
              <w:rPr/>
              <w:t> </w:t>
            </w:r>
            <w:r>
              <w:rPr>
                <w:rFonts w:ascii="arial" w:hAnsi="arial"/>
                <w:sz w:val="19"/>
              </w:rPr>
              <w:t>R. Sanders Williams</w:t>
            </w:r>
          </w:p>
        </w:tc>
        <w:tc>
          <w:tcPr>
            <w:tcW w:w="120" w:type="dxa"/>
            <w:tcBorders/>
            <w:shd w:fill="CCE2F1" w:val="clear"/>
            <w:vAlign w:val="center"/>
          </w:tcPr>
          <w:p>
            <w:pPr>
              <w:pStyle w:val="TableContents"/>
              <w:bidi w:val="0"/>
              <w:spacing w:before="0" w:after="283"/>
              <w:jc w:val="left"/>
              <w:rPr/>
            </w:pPr>
            <w:r>
              <w:rPr/>
              <w:t>  </w:t>
            </w:r>
          </w:p>
        </w:tc>
        <w:tc>
          <w:tcPr>
            <w:tcW w:w="104" w:type="dxa"/>
            <w:tcBorders/>
            <w:shd w:fill="CCE2F1" w:val="clear"/>
            <w:vAlign w:val="center"/>
          </w:tcPr>
          <w:p>
            <w:pPr>
              <w:pStyle w:val="TableContents"/>
              <w:bidi w:val="0"/>
              <w:spacing w:before="0" w:after="283"/>
              <w:jc w:val="left"/>
              <w:rPr/>
            </w:pPr>
            <w:r>
              <w:rPr/>
              <w:t> </w:t>
            </w:r>
          </w:p>
        </w:tc>
        <w:tc>
          <w:tcPr>
            <w:tcW w:w="1701" w:type="dxa"/>
            <w:tcBorders/>
            <w:shd w:fill="CCE2F1" w:val="clear"/>
            <w:vAlign w:val="center"/>
          </w:tcPr>
          <w:p>
            <w:pPr>
              <w:pStyle w:val="TableContents"/>
              <w:bidi w:val="0"/>
              <w:spacing w:before="0" w:after="283"/>
              <w:jc w:val="right"/>
              <w:rPr/>
            </w:pPr>
            <w:r>
              <w:rPr/>
              <w:t>6,240</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92" w:type="dxa"/>
            <w:tcBorders/>
            <w:shd w:fill="CCE2F1" w:val="clear"/>
            <w:vAlign w:val="center"/>
          </w:tcPr>
          <w:p>
            <w:pPr>
              <w:pStyle w:val="TableContents"/>
              <w:bidi w:val="0"/>
              <w:spacing w:before="0" w:after="283"/>
              <w:jc w:val="left"/>
              <w:rPr/>
            </w:pPr>
            <w:r>
              <w:rPr/>
              <w:t> </w:t>
            </w:r>
          </w:p>
        </w:tc>
        <w:tc>
          <w:tcPr>
            <w:tcW w:w="1518"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234" w:type="dxa"/>
            <w:tcBorders/>
            <w:shd w:fill="CCE2F1" w:val="clear"/>
            <w:vAlign w:val="center"/>
          </w:tcPr>
          <w:p>
            <w:pPr>
              <w:pStyle w:val="TableContents"/>
              <w:bidi w:val="0"/>
              <w:spacing w:before="0" w:after="283"/>
              <w:jc w:val="left"/>
              <w:rPr/>
            </w:pPr>
            <w:r>
              <w:rPr/>
              <w:t> </w:t>
            </w:r>
          </w:p>
        </w:tc>
        <w:tc>
          <w:tcPr>
            <w:tcW w:w="550" w:type="dxa"/>
            <w:tcBorders/>
            <w:shd w:fill="CCE2F1" w:val="clear"/>
            <w:vAlign w:val="center"/>
          </w:tcPr>
          <w:p>
            <w:pPr>
              <w:pStyle w:val="TableContents"/>
              <w:bidi w:val="0"/>
              <w:spacing w:before="0" w:after="283"/>
              <w:jc w:val="right"/>
              <w:rPr/>
            </w:pPr>
            <w:r>
              <w:rPr/>
              <w:t>* </w:t>
            </w:r>
          </w:p>
        </w:tc>
        <w:tc>
          <w:tcPr>
            <w:tcW w:w="75" w:type="dxa"/>
            <w:tcBorders/>
            <w:shd w:fill="CCE2F1" w:val="clear"/>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sz w:val="4"/>
                <w:szCs w:val="4"/>
              </w:rPr>
            </w:pPr>
            <w:r>
              <w:rPr>
                <w:sz w:val="4"/>
                <w:szCs w:val="4"/>
              </w:rPr>
            </w:r>
          </w:p>
        </w:tc>
        <w:tc>
          <w:tcPr>
            <w:tcW w:w="1985"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979" w:type="dxa"/>
            <w:gridSpan w:val="4"/>
            <w:tcBorders/>
            <w:vAlign w:val="center"/>
          </w:tcPr>
          <w:p>
            <w:pPr>
              <w:pStyle w:val="TableContents"/>
              <w:bidi w:val="0"/>
              <w:spacing w:before="0" w:after="283"/>
              <w:jc w:val="left"/>
              <w:rPr>
                <w:sz w:val="4"/>
                <w:szCs w:val="4"/>
              </w:rPr>
            </w:pPr>
            <w:r>
              <w:rPr>
                <w:sz w:val="4"/>
                <w:szCs w:val="4"/>
              </w:rPr>
            </w:r>
          </w:p>
        </w:tc>
      </w:tr>
      <w:tr>
        <w:trPr/>
        <w:tc>
          <w:tcPr>
            <w:tcW w:w="545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0"/>
              <w:jc w:val="left"/>
              <w:rPr/>
            </w:pPr>
            <w:r>
              <w:rPr/>
              <w:t> </w:t>
            </w:r>
          </w:p>
        </w:tc>
        <w:tc>
          <w:tcPr>
            <w:tcW w:w="1701"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0"/>
              <w:jc w:val="left"/>
              <w:rPr/>
            </w:pPr>
            <w:r>
              <w:rPr/>
              <w:t> </w:t>
            </w:r>
          </w:p>
        </w:tc>
        <w:tc>
          <w:tcPr>
            <w:tcW w:w="1518"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jc w:val="left"/>
              <w:rPr/>
            </w:pPr>
            <w:r>
              <w:rPr/>
              <w:t> </w:t>
            </w:r>
          </w:p>
        </w:tc>
        <w:tc>
          <w:tcPr>
            <w:tcW w:w="55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5450" w:type="dxa"/>
            <w:tcBorders/>
            <w:shd w:fill="CCE2F1" w:val="clear"/>
            <w:vAlign w:val="center"/>
          </w:tcPr>
          <w:p>
            <w:pPr>
              <w:pStyle w:val="TableContents"/>
              <w:bidi w:val="0"/>
              <w:spacing w:before="0" w:after="283"/>
              <w:jc w:val="left"/>
              <w:rPr>
                <w:sz w:val="4"/>
                <w:szCs w:val="4"/>
              </w:rPr>
            </w:pPr>
            <w:r>
              <w:rPr>
                <w:sz w:val="4"/>
                <w:szCs w:val="4"/>
              </w:rPr>
            </w:r>
          </w:p>
        </w:tc>
        <w:tc>
          <w:tcPr>
            <w:tcW w:w="1985" w:type="dxa"/>
            <w:gridSpan w:val="4"/>
            <w:tcBorders/>
            <w:shd w:fill="CCE2F1" w:val="clear"/>
            <w:vAlign w:val="center"/>
          </w:tcPr>
          <w:p>
            <w:pPr>
              <w:pStyle w:val="TableContents"/>
              <w:bidi w:val="0"/>
              <w:spacing w:before="0" w:after="283"/>
              <w:jc w:val="left"/>
              <w:rPr>
                <w:sz w:val="4"/>
                <w:szCs w:val="4"/>
              </w:rPr>
            </w:pPr>
            <w:r>
              <w:rPr>
                <w:sz w:val="4"/>
                <w:szCs w:val="4"/>
              </w:rPr>
            </w:r>
          </w:p>
        </w:tc>
        <w:tc>
          <w:tcPr>
            <w:tcW w:w="1790" w:type="dxa"/>
            <w:gridSpan w:val="4"/>
            <w:tcBorders/>
            <w:shd w:fill="CCE2F1" w:val="clear"/>
            <w:vAlign w:val="center"/>
          </w:tcPr>
          <w:p>
            <w:pPr>
              <w:pStyle w:val="TableContents"/>
              <w:bidi w:val="0"/>
              <w:spacing w:before="0" w:after="283"/>
              <w:jc w:val="left"/>
              <w:rPr>
                <w:sz w:val="4"/>
                <w:szCs w:val="4"/>
              </w:rPr>
            </w:pPr>
            <w:r>
              <w:rPr>
                <w:sz w:val="4"/>
                <w:szCs w:val="4"/>
              </w:rPr>
            </w:r>
          </w:p>
        </w:tc>
        <w:tc>
          <w:tcPr>
            <w:tcW w:w="979"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5450" w:type="dxa"/>
            <w:tcBorders/>
            <w:shd w:fill="CCE2F1" w:val="clear"/>
            <w:vAlign w:val="center"/>
          </w:tcPr>
          <w:p>
            <w:pPr>
              <w:pStyle w:val="TableContents"/>
              <w:bidi w:val="0"/>
              <w:spacing w:before="0" w:after="0"/>
              <w:jc w:val="left"/>
              <w:rPr/>
            </w:pPr>
            <w:r>
              <w:rPr/>
              <w:t> </w:t>
            </w:r>
            <w:r>
              <w:rPr>
                <w:rFonts w:ascii="arial" w:hAnsi="arial"/>
                <w:b/>
                <w:sz w:val="18"/>
              </w:rPr>
              <w:t>Named Executive Officers</w:t>
            </w:r>
          </w:p>
        </w:tc>
        <w:tc>
          <w:tcPr>
            <w:tcW w:w="120" w:type="dxa"/>
            <w:tcBorders/>
            <w:shd w:fill="CCE2F1" w:val="clear"/>
            <w:vAlign w:val="center"/>
          </w:tcPr>
          <w:p>
            <w:pPr>
              <w:pStyle w:val="TableContents"/>
              <w:bidi w:val="0"/>
              <w:spacing w:before="0" w:after="283"/>
              <w:jc w:val="left"/>
              <w:rPr/>
            </w:pPr>
            <w:r>
              <w:rPr/>
              <w:t>  </w:t>
            </w:r>
          </w:p>
        </w:tc>
        <w:tc>
          <w:tcPr>
            <w:tcW w:w="104" w:type="dxa"/>
            <w:tcBorders/>
            <w:shd w:fill="CCE2F1" w:val="clear"/>
            <w:vAlign w:val="center"/>
          </w:tcPr>
          <w:p>
            <w:pPr>
              <w:pStyle w:val="TableContents"/>
              <w:bidi w:val="0"/>
              <w:spacing w:before="0" w:after="0"/>
              <w:jc w:val="left"/>
              <w:rPr/>
            </w:pPr>
            <w:r>
              <w:rPr/>
              <w:t> </w:t>
            </w:r>
          </w:p>
        </w:tc>
        <w:tc>
          <w:tcPr>
            <w:tcW w:w="1701" w:type="dxa"/>
            <w:tcBorders/>
            <w:shd w:fill="CCE2F1" w:val="clear"/>
            <w:vAlign w:val="center"/>
          </w:tcPr>
          <w:p>
            <w:pPr>
              <w:pStyle w:val="TableContents"/>
              <w:bidi w:val="0"/>
              <w:spacing w:before="0" w:after="0"/>
              <w:jc w:val="left"/>
              <w:rPr/>
            </w:pPr>
            <w:r>
              <w:rPr/>
              <w:t> </w:t>
            </w:r>
          </w:p>
        </w:tc>
        <w:tc>
          <w:tcPr>
            <w:tcW w:w="60" w:type="dxa"/>
            <w:tcBorders/>
            <w:shd w:fill="CCE2F1" w:val="clear"/>
            <w:vAlign w:val="center"/>
          </w:tcPr>
          <w:p>
            <w:pPr>
              <w:pStyle w:val="TableContents"/>
              <w:bidi w:val="0"/>
              <w:spacing w:before="0" w:after="0"/>
              <w:jc w:val="left"/>
              <w:rPr/>
            </w:pPr>
            <w:r>
              <w:rPr/>
              <w:t> </w:t>
            </w:r>
          </w:p>
        </w:tc>
        <w:tc>
          <w:tcPr>
            <w:tcW w:w="120" w:type="dxa"/>
            <w:tcBorders/>
            <w:shd w:fill="CCE2F1" w:val="clear"/>
            <w:vAlign w:val="center"/>
          </w:tcPr>
          <w:p>
            <w:pPr>
              <w:pStyle w:val="TableContents"/>
              <w:bidi w:val="0"/>
              <w:spacing w:before="0" w:after="283"/>
              <w:jc w:val="left"/>
              <w:rPr/>
            </w:pPr>
            <w:r>
              <w:rPr/>
              <w:t>  </w:t>
            </w:r>
          </w:p>
        </w:tc>
        <w:tc>
          <w:tcPr>
            <w:tcW w:w="92" w:type="dxa"/>
            <w:tcBorders/>
            <w:shd w:fill="CCE2F1" w:val="clear"/>
            <w:vAlign w:val="center"/>
          </w:tcPr>
          <w:p>
            <w:pPr>
              <w:pStyle w:val="TableContents"/>
              <w:bidi w:val="0"/>
              <w:spacing w:before="0" w:after="0"/>
              <w:jc w:val="left"/>
              <w:rPr/>
            </w:pPr>
            <w:r>
              <w:rPr/>
              <w:t> </w:t>
            </w:r>
          </w:p>
        </w:tc>
        <w:tc>
          <w:tcPr>
            <w:tcW w:w="1518" w:type="dxa"/>
            <w:tcBorders/>
            <w:shd w:fill="CCE2F1" w:val="clear"/>
            <w:vAlign w:val="center"/>
          </w:tcPr>
          <w:p>
            <w:pPr>
              <w:pStyle w:val="TableContents"/>
              <w:bidi w:val="0"/>
              <w:spacing w:before="0" w:after="0"/>
              <w:jc w:val="left"/>
              <w:rPr/>
            </w:pPr>
            <w:r>
              <w:rPr/>
              <w:t> </w:t>
            </w:r>
          </w:p>
        </w:tc>
        <w:tc>
          <w:tcPr>
            <w:tcW w:w="60" w:type="dxa"/>
            <w:tcBorders/>
            <w:shd w:fill="CCE2F1" w:val="clear"/>
            <w:vAlign w:val="center"/>
          </w:tcPr>
          <w:p>
            <w:pPr>
              <w:pStyle w:val="TableContents"/>
              <w:bidi w:val="0"/>
              <w:spacing w:before="0" w:after="0"/>
              <w:jc w:val="left"/>
              <w:rPr/>
            </w:pPr>
            <w:r>
              <w:rPr/>
              <w:t> </w:t>
            </w:r>
          </w:p>
        </w:tc>
        <w:tc>
          <w:tcPr>
            <w:tcW w:w="120" w:type="dxa"/>
            <w:tcBorders/>
            <w:shd w:fill="CCE2F1" w:val="clear"/>
            <w:vAlign w:val="center"/>
          </w:tcPr>
          <w:p>
            <w:pPr>
              <w:pStyle w:val="TableContents"/>
              <w:bidi w:val="0"/>
              <w:spacing w:before="0" w:after="283"/>
              <w:jc w:val="left"/>
              <w:rPr/>
            </w:pPr>
            <w:r>
              <w:rPr/>
              <w:t>  </w:t>
            </w:r>
          </w:p>
        </w:tc>
        <w:tc>
          <w:tcPr>
            <w:tcW w:w="234" w:type="dxa"/>
            <w:tcBorders/>
            <w:shd w:fill="CCE2F1" w:val="clear"/>
            <w:vAlign w:val="center"/>
          </w:tcPr>
          <w:p>
            <w:pPr>
              <w:pStyle w:val="TableContents"/>
              <w:bidi w:val="0"/>
              <w:spacing w:before="0" w:after="0"/>
              <w:jc w:val="left"/>
              <w:rPr/>
            </w:pPr>
            <w:r>
              <w:rPr/>
              <w:t> </w:t>
            </w:r>
          </w:p>
        </w:tc>
        <w:tc>
          <w:tcPr>
            <w:tcW w:w="550" w:type="dxa"/>
            <w:tcBorders/>
            <w:shd w:fill="CCE2F1" w:val="clear"/>
            <w:vAlign w:val="center"/>
          </w:tcPr>
          <w:p>
            <w:pPr>
              <w:pStyle w:val="TableContents"/>
              <w:bidi w:val="0"/>
              <w:spacing w:before="0" w:after="0"/>
              <w:jc w:val="left"/>
              <w:rPr/>
            </w:pPr>
            <w:r>
              <w:rPr/>
              <w:t> </w:t>
            </w:r>
          </w:p>
        </w:tc>
        <w:tc>
          <w:tcPr>
            <w:tcW w:w="75" w:type="dxa"/>
            <w:tcBorders/>
            <w:shd w:fill="CCE2F1" w:val="clear"/>
            <w:vAlign w:val="center"/>
          </w:tcPr>
          <w:p>
            <w:pPr>
              <w:pStyle w:val="TableContents"/>
              <w:bidi w:val="0"/>
              <w:spacing w:before="0" w:after="0"/>
              <w:jc w:val="left"/>
              <w:rPr/>
            </w:pPr>
            <w:r>
              <w:rPr/>
              <w:t> </w:t>
            </w:r>
          </w:p>
        </w:tc>
      </w:tr>
      <w:tr>
        <w:trPr/>
        <w:tc>
          <w:tcPr>
            <w:tcW w:w="5450" w:type="dxa"/>
            <w:tcBorders/>
            <w:vAlign w:val="center"/>
          </w:tcPr>
          <w:p>
            <w:pPr>
              <w:pStyle w:val="TableContents"/>
              <w:bidi w:val="0"/>
              <w:spacing w:before="0" w:after="283"/>
              <w:jc w:val="left"/>
              <w:rPr>
                <w:sz w:val="4"/>
                <w:szCs w:val="4"/>
              </w:rPr>
            </w:pPr>
            <w:r>
              <w:rPr>
                <w:sz w:val="4"/>
                <w:szCs w:val="4"/>
              </w:rPr>
            </w:r>
          </w:p>
        </w:tc>
        <w:tc>
          <w:tcPr>
            <w:tcW w:w="1985"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979" w:type="dxa"/>
            <w:gridSpan w:val="4"/>
            <w:tcBorders/>
            <w:vAlign w:val="center"/>
          </w:tcPr>
          <w:p>
            <w:pPr>
              <w:pStyle w:val="TableContents"/>
              <w:bidi w:val="0"/>
              <w:spacing w:before="0" w:after="283"/>
              <w:jc w:val="left"/>
              <w:rPr>
                <w:sz w:val="4"/>
                <w:szCs w:val="4"/>
              </w:rPr>
            </w:pPr>
            <w:r>
              <w:rPr>
                <w:sz w:val="4"/>
                <w:szCs w:val="4"/>
              </w:rPr>
            </w:r>
          </w:p>
        </w:tc>
      </w:tr>
      <w:tr>
        <w:trPr/>
        <w:tc>
          <w:tcPr>
            <w:tcW w:w="5450" w:type="dxa"/>
            <w:tcBorders/>
            <w:vAlign w:val="center"/>
          </w:tcPr>
          <w:p>
            <w:pPr>
              <w:pStyle w:val="TableContents"/>
              <w:bidi w:val="0"/>
              <w:spacing w:before="0" w:after="0"/>
              <w:jc w:val="left"/>
              <w:rPr/>
            </w:pPr>
            <w:r>
              <w:rPr/>
              <w:t> </w:t>
            </w:r>
            <w:r>
              <w:rPr>
                <w:rFonts w:ascii="arial" w:hAnsi="arial"/>
                <w:sz w:val="19"/>
              </w:rPr>
              <w:t>Robert A. Bradway</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283"/>
              <w:jc w:val="right"/>
              <w:rPr/>
            </w:pPr>
            <w:r>
              <w:rPr/>
              <w:t>1,347,330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283"/>
              <w:jc w:val="right"/>
              <w:rPr/>
            </w:pPr>
            <w:r>
              <w:rPr/>
              <w:t>726,428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450" w:type="dxa"/>
            <w:tcBorders/>
            <w:shd w:fill="CCE2F1" w:val="clear"/>
            <w:vAlign w:val="center"/>
          </w:tcPr>
          <w:p>
            <w:pPr>
              <w:pStyle w:val="TableContents"/>
              <w:bidi w:val="0"/>
              <w:spacing w:before="0" w:after="283"/>
              <w:jc w:val="left"/>
              <w:rPr>
                <w:sz w:val="4"/>
                <w:szCs w:val="4"/>
              </w:rPr>
            </w:pPr>
            <w:r>
              <w:rPr>
                <w:sz w:val="4"/>
                <w:szCs w:val="4"/>
              </w:rPr>
            </w:r>
          </w:p>
        </w:tc>
        <w:tc>
          <w:tcPr>
            <w:tcW w:w="1985" w:type="dxa"/>
            <w:gridSpan w:val="4"/>
            <w:tcBorders/>
            <w:shd w:fill="CCE2F1" w:val="clear"/>
            <w:vAlign w:val="center"/>
          </w:tcPr>
          <w:p>
            <w:pPr>
              <w:pStyle w:val="TableContents"/>
              <w:bidi w:val="0"/>
              <w:spacing w:before="0" w:after="283"/>
              <w:jc w:val="left"/>
              <w:rPr>
                <w:sz w:val="4"/>
                <w:szCs w:val="4"/>
              </w:rPr>
            </w:pPr>
            <w:r>
              <w:rPr>
                <w:sz w:val="4"/>
                <w:szCs w:val="4"/>
              </w:rPr>
            </w:r>
          </w:p>
        </w:tc>
        <w:tc>
          <w:tcPr>
            <w:tcW w:w="1790" w:type="dxa"/>
            <w:gridSpan w:val="4"/>
            <w:tcBorders/>
            <w:shd w:fill="CCE2F1" w:val="clear"/>
            <w:vAlign w:val="center"/>
          </w:tcPr>
          <w:p>
            <w:pPr>
              <w:pStyle w:val="TableContents"/>
              <w:bidi w:val="0"/>
              <w:spacing w:before="0" w:after="283"/>
              <w:jc w:val="left"/>
              <w:rPr>
                <w:sz w:val="4"/>
                <w:szCs w:val="4"/>
              </w:rPr>
            </w:pPr>
            <w:r>
              <w:rPr>
                <w:sz w:val="4"/>
                <w:szCs w:val="4"/>
              </w:rPr>
            </w:r>
          </w:p>
        </w:tc>
        <w:tc>
          <w:tcPr>
            <w:tcW w:w="979"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5450" w:type="dxa"/>
            <w:tcBorders/>
            <w:shd w:fill="CCE2F1" w:val="clear"/>
            <w:vAlign w:val="center"/>
          </w:tcPr>
          <w:p>
            <w:pPr>
              <w:pStyle w:val="TableContents"/>
              <w:bidi w:val="0"/>
              <w:spacing w:before="0" w:after="0"/>
              <w:jc w:val="left"/>
              <w:rPr/>
            </w:pPr>
            <w:r>
              <w:rPr/>
              <w:t> </w:t>
            </w:r>
            <w:r>
              <w:rPr>
                <w:rFonts w:ascii="arial" w:hAnsi="arial"/>
                <w:sz w:val="19"/>
              </w:rPr>
              <w:t>Murdo Gordon</w:t>
            </w:r>
          </w:p>
        </w:tc>
        <w:tc>
          <w:tcPr>
            <w:tcW w:w="120" w:type="dxa"/>
            <w:tcBorders/>
            <w:shd w:fill="CCE2F1" w:val="clear"/>
            <w:vAlign w:val="center"/>
          </w:tcPr>
          <w:p>
            <w:pPr>
              <w:pStyle w:val="TableContents"/>
              <w:bidi w:val="0"/>
              <w:spacing w:before="0" w:after="283"/>
              <w:jc w:val="left"/>
              <w:rPr/>
            </w:pPr>
            <w:r>
              <w:rPr/>
              <w:t>  </w:t>
            </w:r>
          </w:p>
        </w:tc>
        <w:tc>
          <w:tcPr>
            <w:tcW w:w="104" w:type="dxa"/>
            <w:tcBorders/>
            <w:shd w:fill="CCE2F1" w:val="clear"/>
            <w:vAlign w:val="center"/>
          </w:tcPr>
          <w:p>
            <w:pPr>
              <w:pStyle w:val="TableContents"/>
              <w:bidi w:val="0"/>
              <w:spacing w:before="0" w:after="283"/>
              <w:jc w:val="left"/>
              <w:rPr/>
            </w:pPr>
            <w:r>
              <w:rPr/>
              <w:t> </w:t>
            </w:r>
          </w:p>
        </w:tc>
        <w:tc>
          <w:tcPr>
            <w:tcW w:w="1701" w:type="dxa"/>
            <w:tcBorders/>
            <w:shd w:fill="CCE2F1" w:val="clear"/>
            <w:vAlign w:val="center"/>
          </w:tcPr>
          <w:p>
            <w:pPr>
              <w:pStyle w:val="TableContents"/>
              <w:bidi w:val="0"/>
              <w:spacing w:before="0" w:after="283"/>
              <w:jc w:val="right"/>
              <w:rPr/>
            </w:pPr>
            <w:r>
              <w:rPr/>
              <w:t>146,233</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92" w:type="dxa"/>
            <w:tcBorders/>
            <w:shd w:fill="CCE2F1" w:val="clear"/>
            <w:vAlign w:val="center"/>
          </w:tcPr>
          <w:p>
            <w:pPr>
              <w:pStyle w:val="TableContents"/>
              <w:bidi w:val="0"/>
              <w:spacing w:before="0" w:after="283"/>
              <w:jc w:val="left"/>
              <w:rPr/>
            </w:pPr>
            <w:r>
              <w:rPr/>
              <w:t> </w:t>
            </w:r>
          </w:p>
        </w:tc>
        <w:tc>
          <w:tcPr>
            <w:tcW w:w="1518" w:type="dxa"/>
            <w:tcBorders/>
            <w:shd w:fill="CCE2F1" w:val="clear"/>
            <w:vAlign w:val="center"/>
          </w:tcPr>
          <w:p>
            <w:pPr>
              <w:pStyle w:val="TableContents"/>
              <w:bidi w:val="0"/>
              <w:spacing w:before="0" w:after="283"/>
              <w:jc w:val="right"/>
              <w:rPr/>
            </w:pPr>
            <w:r>
              <w:rPr/>
              <w:t>108,389</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234" w:type="dxa"/>
            <w:tcBorders/>
            <w:shd w:fill="CCE2F1" w:val="clear"/>
            <w:vAlign w:val="center"/>
          </w:tcPr>
          <w:p>
            <w:pPr>
              <w:pStyle w:val="TableContents"/>
              <w:bidi w:val="0"/>
              <w:spacing w:before="0" w:after="283"/>
              <w:jc w:val="left"/>
              <w:rPr/>
            </w:pPr>
            <w:r>
              <w:rPr/>
              <w:t> </w:t>
            </w:r>
          </w:p>
        </w:tc>
        <w:tc>
          <w:tcPr>
            <w:tcW w:w="550" w:type="dxa"/>
            <w:tcBorders/>
            <w:shd w:fill="CCE2F1" w:val="clear"/>
            <w:vAlign w:val="center"/>
          </w:tcPr>
          <w:p>
            <w:pPr>
              <w:pStyle w:val="TableContents"/>
              <w:bidi w:val="0"/>
              <w:spacing w:before="0" w:after="283"/>
              <w:jc w:val="right"/>
              <w:rPr/>
            </w:pPr>
            <w:r>
              <w:rPr/>
              <w:t>* </w:t>
            </w:r>
          </w:p>
        </w:tc>
        <w:tc>
          <w:tcPr>
            <w:tcW w:w="75" w:type="dxa"/>
            <w:tcBorders/>
            <w:shd w:fill="CCE2F1" w:val="clear"/>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sz w:val="4"/>
                <w:szCs w:val="4"/>
              </w:rPr>
            </w:pPr>
            <w:r>
              <w:rPr>
                <w:sz w:val="4"/>
                <w:szCs w:val="4"/>
              </w:rPr>
            </w:r>
          </w:p>
        </w:tc>
        <w:tc>
          <w:tcPr>
            <w:tcW w:w="1985"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979" w:type="dxa"/>
            <w:gridSpan w:val="4"/>
            <w:tcBorders/>
            <w:vAlign w:val="center"/>
          </w:tcPr>
          <w:p>
            <w:pPr>
              <w:pStyle w:val="TableContents"/>
              <w:bidi w:val="0"/>
              <w:spacing w:before="0" w:after="283"/>
              <w:jc w:val="left"/>
              <w:rPr>
                <w:sz w:val="4"/>
                <w:szCs w:val="4"/>
              </w:rPr>
            </w:pPr>
            <w:r>
              <w:rPr>
                <w:sz w:val="4"/>
                <w:szCs w:val="4"/>
              </w:rPr>
            </w:r>
          </w:p>
        </w:tc>
      </w:tr>
      <w:tr>
        <w:trPr/>
        <w:tc>
          <w:tcPr>
            <w:tcW w:w="5450" w:type="dxa"/>
            <w:tcBorders/>
            <w:vAlign w:val="center"/>
          </w:tcPr>
          <w:p>
            <w:pPr>
              <w:pStyle w:val="TableContents"/>
              <w:bidi w:val="0"/>
              <w:spacing w:before="0" w:after="0"/>
              <w:jc w:val="left"/>
              <w:rPr/>
            </w:pPr>
            <w:r>
              <w:rPr/>
              <w:t> </w:t>
            </w:r>
            <w:r>
              <w:rPr>
                <w:rFonts w:ascii="arial" w:hAnsi="arial"/>
                <w:sz w:val="19"/>
              </w:rPr>
              <w:t>David M. Reese</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283"/>
              <w:jc w:val="right"/>
              <w:rPr/>
            </w:pPr>
            <w:r>
              <w:rPr/>
              <w:t>179,853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283"/>
              <w:jc w:val="right"/>
              <w:rPr/>
            </w:pPr>
            <w:r>
              <w:rPr/>
              <w:t>131,592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450" w:type="dxa"/>
            <w:tcBorders/>
            <w:shd w:fill="CCE2F1" w:val="clear"/>
            <w:vAlign w:val="center"/>
          </w:tcPr>
          <w:p>
            <w:pPr>
              <w:pStyle w:val="TableContents"/>
              <w:bidi w:val="0"/>
              <w:spacing w:before="0" w:after="283"/>
              <w:jc w:val="left"/>
              <w:rPr>
                <w:sz w:val="4"/>
                <w:szCs w:val="4"/>
              </w:rPr>
            </w:pPr>
            <w:r>
              <w:rPr>
                <w:sz w:val="4"/>
                <w:szCs w:val="4"/>
              </w:rPr>
            </w:r>
          </w:p>
        </w:tc>
        <w:tc>
          <w:tcPr>
            <w:tcW w:w="1985" w:type="dxa"/>
            <w:gridSpan w:val="4"/>
            <w:tcBorders/>
            <w:shd w:fill="CCE2F1" w:val="clear"/>
            <w:vAlign w:val="center"/>
          </w:tcPr>
          <w:p>
            <w:pPr>
              <w:pStyle w:val="TableContents"/>
              <w:bidi w:val="0"/>
              <w:spacing w:before="0" w:after="283"/>
              <w:jc w:val="left"/>
              <w:rPr>
                <w:sz w:val="4"/>
                <w:szCs w:val="4"/>
              </w:rPr>
            </w:pPr>
            <w:r>
              <w:rPr>
                <w:sz w:val="4"/>
                <w:szCs w:val="4"/>
              </w:rPr>
            </w:r>
          </w:p>
        </w:tc>
        <w:tc>
          <w:tcPr>
            <w:tcW w:w="1790" w:type="dxa"/>
            <w:gridSpan w:val="4"/>
            <w:tcBorders/>
            <w:shd w:fill="CCE2F1" w:val="clear"/>
            <w:vAlign w:val="center"/>
          </w:tcPr>
          <w:p>
            <w:pPr>
              <w:pStyle w:val="TableContents"/>
              <w:bidi w:val="0"/>
              <w:spacing w:before="0" w:after="283"/>
              <w:jc w:val="left"/>
              <w:rPr>
                <w:sz w:val="4"/>
                <w:szCs w:val="4"/>
              </w:rPr>
            </w:pPr>
            <w:r>
              <w:rPr>
                <w:sz w:val="4"/>
                <w:szCs w:val="4"/>
              </w:rPr>
            </w:r>
          </w:p>
        </w:tc>
        <w:tc>
          <w:tcPr>
            <w:tcW w:w="979"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5450" w:type="dxa"/>
            <w:tcBorders/>
            <w:shd w:fill="CCE2F1" w:val="clear"/>
            <w:vAlign w:val="center"/>
          </w:tcPr>
          <w:p>
            <w:pPr>
              <w:pStyle w:val="TableContents"/>
              <w:bidi w:val="0"/>
              <w:spacing w:before="0" w:after="0"/>
              <w:jc w:val="left"/>
              <w:rPr/>
            </w:pPr>
            <w:r>
              <w:rPr/>
              <w:t> </w:t>
            </w:r>
            <w:r>
              <w:rPr>
                <w:rFonts w:ascii="arial" w:hAnsi="arial"/>
                <w:sz w:val="19"/>
              </w:rPr>
              <w:t>Peter H. Griffith</w:t>
            </w:r>
          </w:p>
        </w:tc>
        <w:tc>
          <w:tcPr>
            <w:tcW w:w="120" w:type="dxa"/>
            <w:tcBorders/>
            <w:shd w:fill="CCE2F1" w:val="clear"/>
            <w:vAlign w:val="center"/>
          </w:tcPr>
          <w:p>
            <w:pPr>
              <w:pStyle w:val="TableContents"/>
              <w:bidi w:val="0"/>
              <w:spacing w:before="0" w:after="283"/>
              <w:jc w:val="left"/>
              <w:rPr/>
            </w:pPr>
            <w:r>
              <w:rPr/>
              <w:t>  </w:t>
            </w:r>
          </w:p>
        </w:tc>
        <w:tc>
          <w:tcPr>
            <w:tcW w:w="104" w:type="dxa"/>
            <w:tcBorders/>
            <w:shd w:fill="CCE2F1" w:val="clear"/>
            <w:vAlign w:val="center"/>
          </w:tcPr>
          <w:p>
            <w:pPr>
              <w:pStyle w:val="TableContents"/>
              <w:bidi w:val="0"/>
              <w:spacing w:before="0" w:after="283"/>
              <w:jc w:val="left"/>
              <w:rPr/>
            </w:pPr>
            <w:r>
              <w:rPr/>
              <w:t> </w:t>
            </w:r>
          </w:p>
        </w:tc>
        <w:tc>
          <w:tcPr>
            <w:tcW w:w="1701" w:type="dxa"/>
            <w:tcBorders/>
            <w:shd w:fill="CCE2F1" w:val="clear"/>
            <w:vAlign w:val="center"/>
          </w:tcPr>
          <w:p>
            <w:pPr>
              <w:pStyle w:val="TableContents"/>
              <w:bidi w:val="0"/>
              <w:spacing w:before="0" w:after="283"/>
              <w:jc w:val="right"/>
              <w:rPr/>
            </w:pPr>
            <w:r>
              <w:rPr/>
              <w:t>84,694</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92" w:type="dxa"/>
            <w:tcBorders/>
            <w:shd w:fill="CCE2F1" w:val="clear"/>
            <w:vAlign w:val="center"/>
          </w:tcPr>
          <w:p>
            <w:pPr>
              <w:pStyle w:val="TableContents"/>
              <w:bidi w:val="0"/>
              <w:spacing w:before="0" w:after="283"/>
              <w:jc w:val="left"/>
              <w:rPr/>
            </w:pPr>
            <w:r>
              <w:rPr/>
              <w:t> </w:t>
            </w:r>
          </w:p>
        </w:tc>
        <w:tc>
          <w:tcPr>
            <w:tcW w:w="1518" w:type="dxa"/>
            <w:tcBorders/>
            <w:shd w:fill="CCE2F1" w:val="clear"/>
            <w:vAlign w:val="center"/>
          </w:tcPr>
          <w:p>
            <w:pPr>
              <w:pStyle w:val="TableContents"/>
              <w:bidi w:val="0"/>
              <w:spacing w:before="0" w:after="283"/>
              <w:jc w:val="right"/>
              <w:rPr/>
            </w:pPr>
            <w:r>
              <w:rPr/>
              <w:t>61,862</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234" w:type="dxa"/>
            <w:tcBorders/>
            <w:shd w:fill="CCE2F1" w:val="clear"/>
            <w:vAlign w:val="center"/>
          </w:tcPr>
          <w:p>
            <w:pPr>
              <w:pStyle w:val="TableContents"/>
              <w:bidi w:val="0"/>
              <w:spacing w:before="0" w:after="283"/>
              <w:jc w:val="left"/>
              <w:rPr/>
            </w:pPr>
            <w:r>
              <w:rPr/>
              <w:t> </w:t>
            </w:r>
          </w:p>
        </w:tc>
        <w:tc>
          <w:tcPr>
            <w:tcW w:w="550" w:type="dxa"/>
            <w:tcBorders/>
            <w:shd w:fill="CCE2F1" w:val="clear"/>
            <w:vAlign w:val="center"/>
          </w:tcPr>
          <w:p>
            <w:pPr>
              <w:pStyle w:val="TableContents"/>
              <w:bidi w:val="0"/>
              <w:spacing w:before="0" w:after="283"/>
              <w:jc w:val="right"/>
              <w:rPr/>
            </w:pPr>
            <w:r>
              <w:rPr/>
              <w:t>* </w:t>
            </w:r>
          </w:p>
        </w:tc>
        <w:tc>
          <w:tcPr>
            <w:tcW w:w="75" w:type="dxa"/>
            <w:tcBorders/>
            <w:shd w:fill="CCE2F1" w:val="clear"/>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sz w:val="4"/>
                <w:szCs w:val="4"/>
              </w:rPr>
            </w:pPr>
            <w:r>
              <w:rPr>
                <w:sz w:val="4"/>
                <w:szCs w:val="4"/>
              </w:rPr>
            </w:r>
          </w:p>
        </w:tc>
        <w:tc>
          <w:tcPr>
            <w:tcW w:w="1985"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979" w:type="dxa"/>
            <w:gridSpan w:val="4"/>
            <w:tcBorders/>
            <w:vAlign w:val="center"/>
          </w:tcPr>
          <w:p>
            <w:pPr>
              <w:pStyle w:val="TableContents"/>
              <w:bidi w:val="0"/>
              <w:spacing w:before="0" w:after="283"/>
              <w:jc w:val="left"/>
              <w:rPr>
                <w:sz w:val="4"/>
                <w:szCs w:val="4"/>
              </w:rPr>
            </w:pPr>
            <w:r>
              <w:rPr>
                <w:sz w:val="4"/>
                <w:szCs w:val="4"/>
              </w:rPr>
            </w:r>
          </w:p>
        </w:tc>
      </w:tr>
      <w:tr>
        <w:trPr/>
        <w:tc>
          <w:tcPr>
            <w:tcW w:w="5450" w:type="dxa"/>
            <w:tcBorders/>
            <w:vAlign w:val="center"/>
          </w:tcPr>
          <w:p>
            <w:pPr>
              <w:pStyle w:val="TableContents"/>
              <w:bidi w:val="0"/>
              <w:spacing w:before="0" w:after="0"/>
              <w:jc w:val="left"/>
              <w:rPr/>
            </w:pPr>
            <w:r>
              <w:rPr/>
              <w:t> </w:t>
            </w:r>
            <w:r>
              <w:rPr>
                <w:rFonts w:ascii="arial" w:hAnsi="arial"/>
                <w:sz w:val="19"/>
              </w:rPr>
              <w:t>Esteban Santos</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283"/>
              <w:jc w:val="right"/>
              <w:rPr/>
            </w:pPr>
            <w:r>
              <w:rPr/>
              <w:t>222,088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283"/>
              <w:jc w:val="right"/>
              <w:rPr/>
            </w:pPr>
            <w:r>
              <w:rPr/>
              <w:t>162,818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450" w:type="dxa"/>
            <w:tcBorders/>
            <w:shd w:fill="CCE2F1" w:val="clear"/>
            <w:vAlign w:val="center"/>
          </w:tcPr>
          <w:p>
            <w:pPr>
              <w:pStyle w:val="TableContents"/>
              <w:bidi w:val="0"/>
              <w:spacing w:before="0" w:after="283"/>
              <w:jc w:val="left"/>
              <w:rPr>
                <w:sz w:val="4"/>
                <w:szCs w:val="4"/>
              </w:rPr>
            </w:pPr>
            <w:r>
              <w:rPr>
                <w:sz w:val="4"/>
                <w:szCs w:val="4"/>
              </w:rPr>
            </w:r>
          </w:p>
        </w:tc>
        <w:tc>
          <w:tcPr>
            <w:tcW w:w="1985" w:type="dxa"/>
            <w:gridSpan w:val="4"/>
            <w:tcBorders/>
            <w:shd w:fill="CCE2F1" w:val="clear"/>
            <w:vAlign w:val="center"/>
          </w:tcPr>
          <w:p>
            <w:pPr>
              <w:pStyle w:val="TableContents"/>
              <w:bidi w:val="0"/>
              <w:spacing w:before="0" w:after="283"/>
              <w:jc w:val="left"/>
              <w:rPr>
                <w:sz w:val="4"/>
                <w:szCs w:val="4"/>
              </w:rPr>
            </w:pPr>
            <w:r>
              <w:rPr>
                <w:sz w:val="4"/>
                <w:szCs w:val="4"/>
              </w:rPr>
            </w:r>
          </w:p>
        </w:tc>
        <w:tc>
          <w:tcPr>
            <w:tcW w:w="1790" w:type="dxa"/>
            <w:gridSpan w:val="4"/>
            <w:tcBorders/>
            <w:shd w:fill="CCE2F1" w:val="clear"/>
            <w:vAlign w:val="center"/>
          </w:tcPr>
          <w:p>
            <w:pPr>
              <w:pStyle w:val="TableContents"/>
              <w:bidi w:val="0"/>
              <w:spacing w:before="0" w:after="283"/>
              <w:jc w:val="left"/>
              <w:rPr>
                <w:sz w:val="4"/>
                <w:szCs w:val="4"/>
              </w:rPr>
            </w:pPr>
            <w:r>
              <w:rPr>
                <w:sz w:val="4"/>
                <w:szCs w:val="4"/>
              </w:rPr>
            </w:r>
          </w:p>
        </w:tc>
        <w:tc>
          <w:tcPr>
            <w:tcW w:w="979"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5450" w:type="dxa"/>
            <w:tcBorders>
              <w:bottom w:val="single" w:sz="8" w:space="0" w:color="0171B9"/>
            </w:tcBorders>
            <w:shd w:fill="CCE2F1" w:val="clear"/>
            <w:tcMar>
              <w:bottom w:w="60" w:type="dxa"/>
            </w:tcMar>
            <w:vAlign w:val="center"/>
          </w:tcPr>
          <w:p>
            <w:pPr>
              <w:pStyle w:val="TableContents"/>
              <w:bidi w:val="0"/>
              <w:spacing w:before="0" w:after="0"/>
              <w:jc w:val="left"/>
              <w:rPr/>
            </w:pPr>
            <w:r>
              <w:rPr/>
              <w:t> </w:t>
            </w:r>
            <w:r>
              <w:rPr>
                <w:rFonts w:ascii="arial" w:hAnsi="arial"/>
                <w:sz w:val="19"/>
              </w:rPr>
              <w:t>All current directors, NEOs and executive officers as a group</w:t>
              <w:br/>
              <w:t>(22 individuals)(5)</w:t>
            </w:r>
          </w:p>
        </w:tc>
        <w:tc>
          <w:tcPr>
            <w:tcW w:w="12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104" w:type="dxa"/>
            <w:tcBorders>
              <w:bottom w:val="single" w:sz="8" w:space="0" w:color="0171B9"/>
            </w:tcBorders>
            <w:shd w:fill="CCE2F1" w:val="clear"/>
            <w:tcMar>
              <w:bottom w:w="60" w:type="dxa"/>
            </w:tcMar>
            <w:vAlign w:val="center"/>
          </w:tcPr>
          <w:p>
            <w:pPr>
              <w:pStyle w:val="TableContents"/>
              <w:bidi w:val="0"/>
              <w:spacing w:before="0" w:after="283"/>
              <w:jc w:val="left"/>
              <w:rPr/>
            </w:pPr>
            <w:r>
              <w:rPr/>
              <w:t> </w:t>
            </w:r>
          </w:p>
        </w:tc>
        <w:tc>
          <w:tcPr>
            <w:tcW w:w="1701" w:type="dxa"/>
            <w:tcBorders>
              <w:bottom w:val="single" w:sz="8" w:space="0" w:color="0171B9"/>
            </w:tcBorders>
            <w:shd w:fill="CCE2F1" w:val="clear"/>
            <w:tcMar>
              <w:bottom w:w="60" w:type="dxa"/>
            </w:tcMar>
            <w:vAlign w:val="center"/>
          </w:tcPr>
          <w:p>
            <w:pPr>
              <w:pStyle w:val="TableContents"/>
              <w:bidi w:val="0"/>
              <w:spacing w:before="0" w:after="283"/>
              <w:jc w:val="right"/>
              <w:rPr/>
            </w:pPr>
            <w:r>
              <w:rPr/>
              <w:t>2,276,202</w:t>
            </w:r>
          </w:p>
        </w:tc>
        <w:tc>
          <w:tcPr>
            <w:tcW w:w="60" w:type="dxa"/>
            <w:tcBorders>
              <w:bottom w:val="single" w:sz="8" w:space="0" w:color="0171B9"/>
            </w:tcBorders>
            <w:shd w:fill="CCE2F1" w:val="clear"/>
            <w:tcMar>
              <w:bottom w:w="60" w:type="dxa"/>
            </w:tcMar>
            <w:vAlign w:val="center"/>
          </w:tcPr>
          <w:p>
            <w:pPr>
              <w:pStyle w:val="TableContents"/>
              <w:bidi w:val="0"/>
              <w:spacing w:before="0" w:after="283"/>
              <w:jc w:val="left"/>
              <w:rPr/>
            </w:pPr>
            <w:r>
              <w:rPr/>
              <w:t> </w:t>
            </w:r>
          </w:p>
        </w:tc>
        <w:tc>
          <w:tcPr>
            <w:tcW w:w="12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92" w:type="dxa"/>
            <w:tcBorders>
              <w:bottom w:val="single" w:sz="8" w:space="0" w:color="0171B9"/>
            </w:tcBorders>
            <w:shd w:fill="CCE2F1" w:val="clear"/>
            <w:tcMar>
              <w:bottom w:w="60" w:type="dxa"/>
            </w:tcMar>
            <w:vAlign w:val="center"/>
          </w:tcPr>
          <w:p>
            <w:pPr>
              <w:pStyle w:val="TableContents"/>
              <w:bidi w:val="0"/>
              <w:spacing w:before="0" w:after="283"/>
              <w:jc w:val="left"/>
              <w:rPr/>
            </w:pPr>
            <w:r>
              <w:rPr/>
              <w:t> </w:t>
            </w:r>
          </w:p>
        </w:tc>
        <w:tc>
          <w:tcPr>
            <w:tcW w:w="1518" w:type="dxa"/>
            <w:tcBorders>
              <w:bottom w:val="single" w:sz="8" w:space="0" w:color="0171B9"/>
            </w:tcBorders>
            <w:shd w:fill="CCE2F1" w:val="clear"/>
            <w:tcMar>
              <w:bottom w:w="60" w:type="dxa"/>
            </w:tcMar>
            <w:vAlign w:val="center"/>
          </w:tcPr>
          <w:p>
            <w:pPr>
              <w:pStyle w:val="TableContents"/>
              <w:bidi w:val="0"/>
              <w:spacing w:before="0" w:after="283"/>
              <w:jc w:val="right"/>
              <w:rPr/>
            </w:pPr>
            <w:r>
              <w:rPr/>
              <w:t>1,406,918</w:t>
            </w:r>
          </w:p>
        </w:tc>
        <w:tc>
          <w:tcPr>
            <w:tcW w:w="60" w:type="dxa"/>
            <w:tcBorders>
              <w:bottom w:val="single" w:sz="8" w:space="0" w:color="0171B9"/>
            </w:tcBorders>
            <w:shd w:fill="CCE2F1" w:val="clear"/>
            <w:tcMar>
              <w:bottom w:w="60" w:type="dxa"/>
            </w:tcMar>
            <w:vAlign w:val="center"/>
          </w:tcPr>
          <w:p>
            <w:pPr>
              <w:pStyle w:val="TableContents"/>
              <w:bidi w:val="0"/>
              <w:spacing w:before="0" w:after="283"/>
              <w:jc w:val="left"/>
              <w:rPr/>
            </w:pPr>
            <w:r>
              <w:rPr/>
              <w:t> </w:t>
            </w:r>
          </w:p>
        </w:tc>
        <w:tc>
          <w:tcPr>
            <w:tcW w:w="12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234" w:type="dxa"/>
            <w:tcBorders>
              <w:bottom w:val="single" w:sz="8" w:space="0" w:color="0171B9"/>
            </w:tcBorders>
            <w:shd w:fill="CCE2F1" w:val="clear"/>
            <w:tcMar>
              <w:bottom w:w="60" w:type="dxa"/>
            </w:tcMar>
            <w:vAlign w:val="center"/>
          </w:tcPr>
          <w:p>
            <w:pPr>
              <w:pStyle w:val="TableContents"/>
              <w:bidi w:val="0"/>
              <w:spacing w:before="0" w:after="283"/>
              <w:jc w:val="left"/>
              <w:rPr/>
            </w:pPr>
            <w:r>
              <w:rPr/>
              <w:t> </w:t>
            </w:r>
          </w:p>
        </w:tc>
        <w:tc>
          <w:tcPr>
            <w:tcW w:w="550" w:type="dxa"/>
            <w:tcBorders>
              <w:bottom w:val="single" w:sz="8" w:space="0" w:color="0171B9"/>
            </w:tcBorders>
            <w:shd w:fill="CCE2F1" w:val="clear"/>
            <w:tcMar>
              <w:bottom w:w="60" w:type="dxa"/>
            </w:tcMar>
            <w:vAlign w:val="center"/>
          </w:tcPr>
          <w:p>
            <w:pPr>
              <w:pStyle w:val="TableContents"/>
              <w:bidi w:val="0"/>
              <w:spacing w:before="0" w:after="283"/>
              <w:jc w:val="right"/>
              <w:rPr/>
            </w:pPr>
            <w:r>
              <w:rPr/>
              <w:t>* </w:t>
            </w:r>
          </w:p>
        </w:tc>
        <w:tc>
          <w:tcPr>
            <w:tcW w:w="75" w:type="dxa"/>
            <w:tcBorders>
              <w:bottom w:val="single" w:sz="8" w:space="0" w:color="0171B9"/>
            </w:tcBorders>
            <w:shd w:fill="CCE2F1" w:val="clear"/>
            <w:tcMar>
              <w:bottom w:w="6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285" w:type="dxa"/>
        <w:jc w:val="left"/>
        <w:tblInd w:w="0" w:type="dxa"/>
        <w:tblLayout w:type="fixed"/>
        <w:tblCellMar>
          <w:top w:w="0" w:type="dxa"/>
          <w:left w:w="0" w:type="dxa"/>
          <w:bottom w:w="0" w:type="dxa"/>
          <w:right w:w="0" w:type="dxa"/>
        </w:tblCellMar>
      </w:tblPr>
      <w:tblGrid>
        <w:gridCol w:w="155"/>
        <w:gridCol w:w="1130"/>
      </w:tblGrid>
      <w:tr>
        <w:trPr/>
        <w:tc>
          <w:tcPr>
            <w:tcW w:w="155"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0"/>
              <w:jc w:val="both"/>
              <w:rPr>
                <w:rFonts w:ascii="arial" w:hAnsi="arial"/>
                <w:sz w:val="16"/>
              </w:rPr>
            </w:pPr>
            <w:r>
              <w:rPr>
                <w:rFonts w:ascii="arial" w:hAnsi="arial"/>
                <w:sz w:val="16"/>
              </w:rPr>
              <w:t xml:space="preserve">Less than 1%. </w:t>
            </w:r>
          </w:p>
        </w:tc>
      </w:tr>
    </w:tbl>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(1) </w:t>
            </w:r>
          </w:p>
        </w:tc>
        <w:tc>
          <w:tcPr>
            <w:tcW w:w="9932" w:type="dxa"/>
            <w:tcBorders/>
            <w:vAlign w:val="center"/>
          </w:tcPr>
          <w:p>
            <w:pPr>
              <w:pStyle w:val="TableContents"/>
              <w:bidi w:val="0"/>
              <w:spacing w:before="0" w:after="0"/>
              <w:jc w:val="both"/>
              <w:rPr>
                <w:rFonts w:ascii="arial" w:hAnsi="arial"/>
                <w:sz w:val="16"/>
              </w:rPr>
            </w:pPr>
            <w:r>
              <w:rPr>
                <w:rFonts w:ascii="arial" w:hAnsi="arial"/>
                <w:sz w:val="16"/>
              </w:rPr>
              <w:t xml:space="preserve">Information in this table is based on our records and information provided by directors, NEOs, executive officers, and in public filings. Unless otherwise indicated in the footnotes and subject to community property laws, where applicable, each of the directors and nominees, NEOs, and executive officers has sole voting and/or investment power with respect to such shares, including shares held in trust. </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(2) </w:t>
            </w:r>
          </w:p>
        </w:tc>
        <w:tc>
          <w:tcPr>
            <w:tcW w:w="9951" w:type="dxa"/>
            <w:tcBorders/>
            <w:vAlign w:val="center"/>
          </w:tcPr>
          <w:p>
            <w:pPr>
              <w:pStyle w:val="TableContents"/>
              <w:bidi w:val="0"/>
              <w:spacing w:before="0" w:after="0"/>
              <w:jc w:val="both"/>
              <w:rPr>
                <w:rFonts w:ascii="arial" w:hAnsi="arial"/>
                <w:sz w:val="16"/>
              </w:rPr>
            </w:pPr>
            <w:r>
              <w:rPr>
                <w:rFonts w:ascii="arial" w:hAnsi="arial"/>
                <w:sz w:val="16"/>
              </w:rPr>
              <w:t xml:space="preserve">Includes shares which the individuals shown have the right to acquire (a) upon vesting of restricted stock units, or RSUs, and related dividend equivalents (excluding fractional shares), where the shares are issuable as of April 1, 2024, or within 60 days thereafter, and (b) upon exercise of stock options that are vested as of April 1, 2024, or within 60 days thereafter, as set forth in the table below. Such shares are deemed to be outstanding in calculating the percentage ownership of such individual (and the group), but are not deemed to be outstanding as to any other person. Dividend equivalents credited on RSUs are deemed reinvested and are paid out with the vested RSUs in shares of our Common Stock. </w:t>
            </w:r>
          </w:p>
        </w:tc>
      </w:tr>
    </w:tbl>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118  </w:t>
      </w:r>
      <w:r>
        <w:rPr>
          <w:rFonts w:ascii="arial" w:hAnsi="arial"/>
          <w:b/>
          <w:color w:val="474747"/>
          <w:sz w:val="22"/>
        </w:rPr>
        <w:drawing>
          <wp:inline distT="0" distB="0" distL="0" distR="0">
            <wp:extent cx="64770" cy="15240"/>
            <wp:effectExtent l="0" t="0" r="0" b="0"/>
            <wp:docPr id="395"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Image185" descr=""/>
                    <pic:cNvPicPr>
                      <a:picLocks noChangeAspect="1" noChangeArrowheads="1"/>
                    </pic:cNvPicPr>
                  </pic:nvPicPr>
                  <pic:blipFill>
                    <a:blip r:embed="rId198"/>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675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627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627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Security Ownership of Directors and Executive Officers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9"/>
        <w:gridCol w:w="9846"/>
      </w:tblGrid>
      <w:tr>
        <w:trPr/>
        <w:tc>
          <w:tcPr>
            <w:tcW w:w="359" w:type="dxa"/>
            <w:tcBorders/>
            <w:vAlign w:val="center"/>
          </w:tcPr>
          <w:p>
            <w:pPr>
              <w:pStyle w:val="TableContents"/>
              <w:bidi w:val="0"/>
              <w:spacing w:before="0" w:after="283"/>
              <w:jc w:val="left"/>
              <w:rPr/>
            </w:pPr>
            <w:r>
              <w:rPr/>
              <w:t>(3) </w:t>
            </w:r>
          </w:p>
        </w:tc>
        <w:tc>
          <w:tcPr>
            <w:tcW w:w="9846" w:type="dxa"/>
            <w:tcBorders/>
            <w:vAlign w:val="center"/>
          </w:tcPr>
          <w:p>
            <w:pPr>
              <w:pStyle w:val="TableContents"/>
              <w:bidi w:val="0"/>
              <w:spacing w:before="0" w:after="0"/>
              <w:jc w:val="both"/>
              <w:rPr>
                <w:rFonts w:ascii="arial" w:hAnsi="arial"/>
                <w:sz w:val="16"/>
              </w:rPr>
            </w:pPr>
            <w:r>
              <w:rPr>
                <w:rFonts w:ascii="arial" w:hAnsi="arial"/>
                <w:sz w:val="16"/>
              </w:rPr>
              <w:t xml:space="preserve">Excludes vested RSUs, and related dividend equivalents, for which receipt has been deferred to a date later than 60 days after April 1, 2024. </w:t>
            </w:r>
          </w:p>
        </w:tc>
      </w:tr>
    </w:tbl>
    <w:p>
      <w:pPr>
        <w:pStyle w:val="TextBody"/>
        <w:bidi w:val="0"/>
        <w:spacing w:before="0" w:after="0"/>
        <w:jc w:val="left"/>
        <w:rPr/>
      </w:pPr>
      <w:r>
        <w:rPr/>
        <w:t> </w:t>
      </w:r>
    </w:p>
    <w:tbl>
      <w:tblPr>
        <w:tblW w:w="7894" w:type="dxa"/>
        <w:jc w:val="left"/>
        <w:tblInd w:w="0" w:type="dxa"/>
        <w:tblLayout w:type="fixed"/>
        <w:tblCellMar>
          <w:top w:w="0" w:type="dxa"/>
          <w:left w:w="0" w:type="dxa"/>
          <w:bottom w:w="0" w:type="dxa"/>
          <w:right w:w="0" w:type="dxa"/>
        </w:tblCellMar>
      </w:tblPr>
      <w:tblGrid>
        <w:gridCol w:w="1895"/>
        <w:gridCol w:w="120"/>
        <w:gridCol w:w="145"/>
        <w:gridCol w:w="1645"/>
        <w:gridCol w:w="60"/>
        <w:gridCol w:w="240"/>
        <w:gridCol w:w="85"/>
        <w:gridCol w:w="1135"/>
        <w:gridCol w:w="60"/>
        <w:gridCol w:w="240"/>
        <w:gridCol w:w="176"/>
        <w:gridCol w:w="2018"/>
        <w:gridCol w:w="75"/>
      </w:tblGrid>
      <w:tr>
        <w:trPr/>
        <w:tc>
          <w:tcPr>
            <w:tcW w:w="1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8" w:space="0" w:color="FFFFFF"/>
            </w:tcBorders>
            <w:shd w:fill="0171B9" w:val="clear"/>
            <w:tcMar>
              <w:bottom w:w="28" w:type="dxa"/>
            </w:tcMar>
            <w:vAlign w:val="center"/>
          </w:tcPr>
          <w:p>
            <w:pPr>
              <w:pStyle w:val="TableContents"/>
              <w:bidi w:val="0"/>
              <w:spacing w:before="0" w:after="0"/>
              <w:jc w:val="left"/>
              <w:rPr>
                <w:color w:val="FFFFFF"/>
              </w:rPr>
            </w:pPr>
            <w:r>
              <w:rPr>
                <w:color w:val="FFFFFF"/>
              </w:rPr>
              <w:t> </w:t>
            </w:r>
            <w:r>
              <w:rPr>
                <w:rFonts w:ascii="arial" w:hAnsi="arial"/>
                <w:b/>
                <w:color w:val="FFFFFF"/>
                <w:sz w:val="18"/>
              </w:rPr>
              <w:t>Name</w:t>
            </w:r>
          </w:p>
          <w:p>
            <w:pPr>
              <w:pStyle w:val="TableContents"/>
              <w:bidi w:val="0"/>
              <w:spacing w:before="0" w:after="20"/>
              <w:jc w:val="left"/>
              <w:rPr/>
            </w:pPr>
            <w:r>
              <w:rPr/>
              <w:t> </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790" w:type="dxa"/>
            <w:gridSpan w:val="2"/>
            <w:tcBorders>
              <w:bottom w:val="single" w:sz="8" w:space="0" w:color="FFFFFF"/>
            </w:tcBorders>
            <w:shd w:fill="0171B9" w:val="clear"/>
            <w:tcMar>
              <w:bottom w:w="28" w:type="dxa"/>
            </w:tcMar>
            <w:vAlign w:val="center"/>
          </w:tcPr>
          <w:p>
            <w:pPr>
              <w:pStyle w:val="TableContents"/>
              <w:bidi w:val="0"/>
              <w:spacing w:before="0" w:after="0"/>
              <w:jc w:val="right"/>
              <w:rPr>
                <w:rFonts w:ascii="arial" w:hAnsi="arial"/>
                <w:b/>
                <w:color w:val="FFFFFF"/>
                <w:sz w:val="18"/>
              </w:rPr>
            </w:pPr>
            <w:r>
              <w:rPr>
                <w:rFonts w:ascii="arial" w:hAnsi="arial"/>
                <w:b/>
                <w:color w:val="FFFFFF"/>
                <w:sz w:val="18"/>
              </w:rPr>
              <w:t>RSUs and Dividend</w:t>
            </w:r>
          </w:p>
          <w:p>
            <w:pPr>
              <w:pStyle w:val="TableContents"/>
              <w:bidi w:val="0"/>
              <w:spacing w:before="0" w:after="0"/>
              <w:jc w:val="right"/>
              <w:rPr>
                <w:rFonts w:ascii="arial" w:hAnsi="arial"/>
                <w:b/>
                <w:color w:val="FFFFFF"/>
                <w:sz w:val="18"/>
              </w:rPr>
            </w:pPr>
            <w:r>
              <w:rPr>
                <w:rFonts w:ascii="arial" w:hAnsi="arial"/>
                <w:b/>
                <w:color w:val="FFFFFF"/>
                <w:sz w:val="18"/>
              </w:rPr>
              <w:t>Equivalents Included</w:t>
            </w:r>
          </w:p>
          <w:p>
            <w:pPr>
              <w:pStyle w:val="TableContents"/>
              <w:bidi w:val="0"/>
              <w:spacing w:before="0" w:after="20"/>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24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20" w:type="dxa"/>
            <w:gridSpan w:val="2"/>
            <w:tcBorders>
              <w:bottom w:val="single" w:sz="8" w:space="0" w:color="FFFFFF"/>
            </w:tcBorders>
            <w:shd w:fill="0171B9" w:val="clear"/>
            <w:tcMar>
              <w:bottom w:w="28" w:type="dxa"/>
            </w:tcMar>
            <w:vAlign w:val="center"/>
          </w:tcPr>
          <w:p>
            <w:pPr>
              <w:pStyle w:val="TableContents"/>
              <w:bidi w:val="0"/>
              <w:spacing w:before="0" w:after="0"/>
              <w:jc w:val="right"/>
              <w:rPr>
                <w:rFonts w:ascii="arial" w:hAnsi="arial"/>
                <w:b/>
                <w:color w:val="FFFFFF"/>
                <w:sz w:val="18"/>
              </w:rPr>
            </w:pPr>
            <w:r>
              <w:rPr>
                <w:rFonts w:ascii="arial" w:hAnsi="arial"/>
                <w:b/>
                <w:color w:val="FFFFFF"/>
                <w:sz w:val="18"/>
              </w:rPr>
              <w:t>Stock Options</w:t>
            </w:r>
          </w:p>
          <w:p>
            <w:pPr>
              <w:pStyle w:val="TableContents"/>
              <w:bidi w:val="0"/>
              <w:spacing w:before="0" w:after="0"/>
              <w:jc w:val="right"/>
              <w:rPr>
                <w:rFonts w:ascii="arial" w:hAnsi="arial"/>
                <w:b/>
                <w:color w:val="FFFFFF"/>
                <w:sz w:val="18"/>
              </w:rPr>
            </w:pPr>
            <w:r>
              <w:rPr>
                <w:rFonts w:ascii="arial" w:hAnsi="arial"/>
                <w:b/>
                <w:color w:val="FFFFFF"/>
                <w:sz w:val="18"/>
              </w:rPr>
              <w:t>Included</w:t>
            </w:r>
          </w:p>
          <w:p>
            <w:pPr>
              <w:pStyle w:val="TableContents"/>
              <w:bidi w:val="0"/>
              <w:spacing w:before="0" w:after="20"/>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24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2194" w:type="dxa"/>
            <w:gridSpan w:val="2"/>
            <w:tcBorders>
              <w:bottom w:val="single" w:sz="8" w:space="0" w:color="FFFFFF"/>
            </w:tcBorders>
            <w:shd w:fill="0171B9" w:val="clear"/>
            <w:tcMar>
              <w:bottom w:w="28" w:type="dxa"/>
            </w:tcMar>
            <w:vAlign w:val="center"/>
          </w:tcPr>
          <w:p>
            <w:pPr>
              <w:pStyle w:val="TableContents"/>
              <w:bidi w:val="0"/>
              <w:spacing w:before="0" w:after="0"/>
              <w:jc w:val="right"/>
              <w:rPr>
                <w:rFonts w:ascii="arial" w:hAnsi="arial"/>
                <w:b/>
                <w:color w:val="FFFFFF"/>
                <w:sz w:val="18"/>
              </w:rPr>
            </w:pPr>
            <w:r>
              <w:rPr>
                <w:rFonts w:ascii="arial" w:hAnsi="arial"/>
                <w:b/>
                <w:color w:val="FFFFFF"/>
                <w:sz w:val="18"/>
              </w:rPr>
              <w:t>RSUs and Dividend  </w:t>
            </w:r>
          </w:p>
          <w:p>
            <w:pPr>
              <w:pStyle w:val="TableContents"/>
              <w:bidi w:val="0"/>
              <w:spacing w:before="0" w:after="0"/>
              <w:jc w:val="right"/>
              <w:rPr>
                <w:rFonts w:ascii="arial" w:hAnsi="arial"/>
                <w:b/>
                <w:color w:val="FFFFFF"/>
                <w:sz w:val="18"/>
              </w:rPr>
            </w:pPr>
            <w:r>
              <w:rPr>
                <w:rFonts w:ascii="arial" w:hAnsi="arial"/>
                <w:b/>
                <w:color w:val="FFFFFF"/>
                <w:sz w:val="18"/>
              </w:rPr>
              <w:t>Equivalents Excluded  </w:t>
            </w:r>
          </w:p>
          <w:p>
            <w:pPr>
              <w:pStyle w:val="TableContents"/>
              <w:bidi w:val="0"/>
              <w:spacing w:before="0" w:after="0"/>
              <w:jc w:val="right"/>
              <w:rPr>
                <w:rFonts w:ascii="arial" w:hAnsi="arial"/>
                <w:b/>
                <w:color w:val="FFFFFF"/>
                <w:sz w:val="18"/>
              </w:rPr>
            </w:pPr>
            <w:r>
              <w:rPr>
                <w:rFonts w:ascii="arial" w:hAnsi="arial"/>
                <w:b/>
                <w:color w:val="FFFFFF"/>
                <w:sz w:val="18"/>
              </w:rPr>
              <w:t>Because of Deferrals(6)  </w:t>
            </w:r>
          </w:p>
          <w:p>
            <w:pPr>
              <w:pStyle w:val="TableContents"/>
              <w:bidi w:val="0"/>
              <w:spacing w:before="0" w:after="20"/>
              <w:jc w:val="left"/>
              <w:rPr/>
            </w:pPr>
            <w:r>
              <w:rPr/>
              <w:t> </w:t>
            </w:r>
          </w:p>
        </w:tc>
        <w:tc>
          <w:tcPr>
            <w:tcW w:w="75"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r>
      <w:tr>
        <w:trPr/>
        <w:tc>
          <w:tcPr>
            <w:tcW w:w="1895" w:type="dxa"/>
            <w:tcBorders/>
            <w:shd w:fill="CCE2F1" w:val="clear"/>
            <w:vAlign w:val="center"/>
          </w:tcPr>
          <w:p>
            <w:pPr>
              <w:pStyle w:val="TableContents"/>
              <w:bidi w:val="0"/>
              <w:spacing w:before="0" w:after="283"/>
              <w:jc w:val="left"/>
              <w:rPr>
                <w:sz w:val="4"/>
                <w:szCs w:val="4"/>
              </w:rPr>
            </w:pPr>
            <w:r>
              <w:rPr>
                <w:sz w:val="4"/>
                <w:szCs w:val="4"/>
              </w:rPr>
            </w:r>
          </w:p>
        </w:tc>
        <w:tc>
          <w:tcPr>
            <w:tcW w:w="1970" w:type="dxa"/>
            <w:gridSpan w:val="4"/>
            <w:tcBorders/>
            <w:shd w:fill="CCE2F1" w:val="clear"/>
            <w:vAlign w:val="center"/>
          </w:tcPr>
          <w:p>
            <w:pPr>
              <w:pStyle w:val="TableContents"/>
              <w:bidi w:val="0"/>
              <w:spacing w:before="0" w:after="283"/>
              <w:jc w:val="left"/>
              <w:rPr>
                <w:sz w:val="4"/>
                <w:szCs w:val="4"/>
              </w:rPr>
            </w:pPr>
            <w:r>
              <w:rPr>
                <w:sz w:val="4"/>
                <w:szCs w:val="4"/>
              </w:rPr>
            </w:r>
          </w:p>
        </w:tc>
        <w:tc>
          <w:tcPr>
            <w:tcW w:w="1520" w:type="dxa"/>
            <w:gridSpan w:val="4"/>
            <w:tcBorders/>
            <w:shd w:fill="CCE2F1" w:val="clear"/>
            <w:vAlign w:val="center"/>
          </w:tcPr>
          <w:p>
            <w:pPr>
              <w:pStyle w:val="TableContents"/>
              <w:bidi w:val="0"/>
              <w:spacing w:before="0" w:after="283"/>
              <w:jc w:val="left"/>
              <w:rPr>
                <w:sz w:val="4"/>
                <w:szCs w:val="4"/>
              </w:rPr>
            </w:pPr>
            <w:r>
              <w:rPr>
                <w:sz w:val="4"/>
                <w:szCs w:val="4"/>
              </w:rPr>
            </w:r>
          </w:p>
        </w:tc>
        <w:tc>
          <w:tcPr>
            <w:tcW w:w="2509"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1895" w:type="dxa"/>
            <w:tcBorders/>
            <w:shd w:fill="CCE2F1" w:val="clear"/>
            <w:vAlign w:val="center"/>
          </w:tcPr>
          <w:p>
            <w:pPr>
              <w:pStyle w:val="TableContents"/>
              <w:bidi w:val="0"/>
              <w:spacing w:before="0" w:after="0"/>
              <w:jc w:val="left"/>
              <w:rPr/>
            </w:pPr>
            <w:r>
              <w:rPr/>
              <w:t> </w:t>
            </w:r>
            <w:r>
              <w:rPr>
                <w:rFonts w:ascii="arial" w:hAnsi="arial"/>
                <w:sz w:val="18"/>
              </w:rPr>
              <w:t>Wanda M. Austin</w:t>
            </w:r>
          </w:p>
        </w:tc>
        <w:tc>
          <w:tcPr>
            <w:tcW w:w="120" w:type="dxa"/>
            <w:tcBorders/>
            <w:shd w:fill="CCE2F1" w:val="clear"/>
            <w:vAlign w:val="center"/>
          </w:tcPr>
          <w:p>
            <w:pPr>
              <w:pStyle w:val="TableContents"/>
              <w:bidi w:val="0"/>
              <w:spacing w:before="0" w:after="283"/>
              <w:jc w:val="left"/>
              <w:rPr/>
            </w:pPr>
            <w:r>
              <w:rPr/>
              <w:t>  </w:t>
            </w:r>
          </w:p>
        </w:tc>
        <w:tc>
          <w:tcPr>
            <w:tcW w:w="145" w:type="dxa"/>
            <w:tcBorders/>
            <w:shd w:fill="CCE2F1" w:val="clear"/>
            <w:vAlign w:val="center"/>
          </w:tcPr>
          <w:p>
            <w:pPr>
              <w:pStyle w:val="TableContents"/>
              <w:bidi w:val="0"/>
              <w:spacing w:before="0" w:after="283"/>
              <w:jc w:val="left"/>
              <w:rPr/>
            </w:pPr>
            <w:r>
              <w:rPr/>
              <w:t> </w:t>
            </w:r>
          </w:p>
        </w:tc>
        <w:tc>
          <w:tcPr>
            <w:tcW w:w="1645"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240" w:type="dxa"/>
            <w:tcBorders/>
            <w:shd w:fill="CCE2F1" w:val="clear"/>
            <w:vAlign w:val="center"/>
          </w:tcPr>
          <w:p>
            <w:pPr>
              <w:pStyle w:val="TableContents"/>
              <w:bidi w:val="0"/>
              <w:spacing w:before="0" w:after="283"/>
              <w:jc w:val="left"/>
              <w:rPr/>
            </w:pPr>
            <w:r>
              <w:rPr/>
              <w:t>    </w:t>
            </w:r>
          </w:p>
        </w:tc>
        <w:tc>
          <w:tcPr>
            <w:tcW w:w="85" w:type="dxa"/>
            <w:tcBorders/>
            <w:shd w:fill="CCE2F1" w:val="clear"/>
            <w:vAlign w:val="center"/>
          </w:tcPr>
          <w:p>
            <w:pPr>
              <w:pStyle w:val="TableContents"/>
              <w:bidi w:val="0"/>
              <w:spacing w:before="0" w:after="283"/>
              <w:jc w:val="left"/>
              <w:rPr/>
            </w:pPr>
            <w:r>
              <w:rPr/>
              <w:t> </w:t>
            </w:r>
          </w:p>
        </w:tc>
        <w:tc>
          <w:tcPr>
            <w:tcW w:w="1135"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240" w:type="dxa"/>
            <w:tcBorders/>
            <w:shd w:fill="CCE2F1" w:val="clear"/>
            <w:vAlign w:val="center"/>
          </w:tcPr>
          <w:p>
            <w:pPr>
              <w:pStyle w:val="TableContents"/>
              <w:bidi w:val="0"/>
              <w:spacing w:before="0" w:after="283"/>
              <w:jc w:val="left"/>
              <w:rPr/>
            </w:pPr>
            <w:r>
              <w:rPr/>
              <w:t>    </w:t>
            </w:r>
          </w:p>
        </w:tc>
        <w:tc>
          <w:tcPr>
            <w:tcW w:w="176" w:type="dxa"/>
            <w:tcBorders/>
            <w:shd w:fill="CCE2F1" w:val="clear"/>
            <w:vAlign w:val="center"/>
          </w:tcPr>
          <w:p>
            <w:pPr>
              <w:pStyle w:val="TableContents"/>
              <w:bidi w:val="0"/>
              <w:spacing w:before="0" w:after="283"/>
              <w:jc w:val="left"/>
              <w:rPr/>
            </w:pPr>
            <w:r>
              <w:rPr/>
              <w:t> </w:t>
            </w:r>
          </w:p>
        </w:tc>
        <w:tc>
          <w:tcPr>
            <w:tcW w:w="2018" w:type="dxa"/>
            <w:tcBorders/>
            <w:shd w:fill="CCE2F1" w:val="clear"/>
            <w:vAlign w:val="center"/>
          </w:tcPr>
          <w:p>
            <w:pPr>
              <w:pStyle w:val="TableContents"/>
              <w:bidi w:val="0"/>
              <w:spacing w:before="0" w:after="283"/>
              <w:jc w:val="right"/>
              <w:rPr/>
            </w:pPr>
            <w:r>
              <w:rPr/>
              <w:t>0  </w:t>
            </w:r>
          </w:p>
        </w:tc>
        <w:tc>
          <w:tcPr>
            <w:tcW w:w="75" w:type="dxa"/>
            <w:tcBorders/>
            <w:shd w:fill="CCE2F1"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1970"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2509" w:type="dxa"/>
            <w:gridSpan w:val="4"/>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0"/>
              <w:jc w:val="left"/>
              <w:rPr/>
            </w:pPr>
            <w:r>
              <w:rPr/>
              <w:t> </w:t>
            </w:r>
            <w:r>
              <w:rPr>
                <w:rFonts w:ascii="arial" w:hAnsi="arial"/>
                <w:sz w:val="18"/>
              </w:rPr>
              <w:t>Michael V . Drake</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645"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2018" w:type="dxa"/>
            <w:tcBorders/>
            <w:vAlign w:val="center"/>
          </w:tcPr>
          <w:p>
            <w:pPr>
              <w:pStyle w:val="TableContents"/>
              <w:bidi w:val="0"/>
              <w:spacing w:before="0" w:after="283"/>
              <w:jc w:val="right"/>
              <w:rPr/>
            </w:pPr>
            <w:r>
              <w:rPr/>
              <w:t>2,339  </w:t>
            </w:r>
          </w:p>
        </w:tc>
        <w:tc>
          <w:tcPr>
            <w:tcW w:w="75" w:type="dxa"/>
            <w:tcBorders/>
            <w:vAlign w:val="center"/>
          </w:tcPr>
          <w:p>
            <w:pPr>
              <w:pStyle w:val="TableContents"/>
              <w:bidi w:val="0"/>
              <w:spacing w:before="0" w:after="283"/>
              <w:jc w:val="left"/>
              <w:rPr/>
            </w:pPr>
            <w:r>
              <w:rPr/>
              <w:t> </w:t>
            </w:r>
          </w:p>
        </w:tc>
      </w:tr>
      <w:tr>
        <w:trPr/>
        <w:tc>
          <w:tcPr>
            <w:tcW w:w="1895" w:type="dxa"/>
            <w:tcBorders/>
            <w:shd w:fill="CCE2F1" w:val="clear"/>
            <w:vAlign w:val="center"/>
          </w:tcPr>
          <w:p>
            <w:pPr>
              <w:pStyle w:val="TableContents"/>
              <w:bidi w:val="0"/>
              <w:spacing w:before="0" w:after="283"/>
              <w:jc w:val="left"/>
              <w:rPr>
                <w:sz w:val="4"/>
                <w:szCs w:val="4"/>
              </w:rPr>
            </w:pPr>
            <w:r>
              <w:rPr>
                <w:sz w:val="4"/>
                <w:szCs w:val="4"/>
              </w:rPr>
            </w:r>
          </w:p>
        </w:tc>
        <w:tc>
          <w:tcPr>
            <w:tcW w:w="1970" w:type="dxa"/>
            <w:gridSpan w:val="4"/>
            <w:tcBorders/>
            <w:shd w:fill="CCE2F1" w:val="clear"/>
            <w:vAlign w:val="center"/>
          </w:tcPr>
          <w:p>
            <w:pPr>
              <w:pStyle w:val="TableContents"/>
              <w:bidi w:val="0"/>
              <w:spacing w:before="0" w:after="283"/>
              <w:jc w:val="left"/>
              <w:rPr>
                <w:sz w:val="4"/>
                <w:szCs w:val="4"/>
              </w:rPr>
            </w:pPr>
            <w:r>
              <w:rPr>
                <w:sz w:val="4"/>
                <w:szCs w:val="4"/>
              </w:rPr>
            </w:r>
          </w:p>
        </w:tc>
        <w:tc>
          <w:tcPr>
            <w:tcW w:w="1520" w:type="dxa"/>
            <w:gridSpan w:val="4"/>
            <w:tcBorders/>
            <w:shd w:fill="CCE2F1" w:val="clear"/>
            <w:vAlign w:val="center"/>
          </w:tcPr>
          <w:p>
            <w:pPr>
              <w:pStyle w:val="TableContents"/>
              <w:bidi w:val="0"/>
              <w:spacing w:before="0" w:after="283"/>
              <w:jc w:val="left"/>
              <w:rPr>
                <w:sz w:val="4"/>
                <w:szCs w:val="4"/>
              </w:rPr>
            </w:pPr>
            <w:r>
              <w:rPr>
                <w:sz w:val="4"/>
                <w:szCs w:val="4"/>
              </w:rPr>
            </w:r>
          </w:p>
        </w:tc>
        <w:tc>
          <w:tcPr>
            <w:tcW w:w="2509"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1895" w:type="dxa"/>
            <w:tcBorders/>
            <w:shd w:fill="CCE2F1" w:val="clear"/>
            <w:vAlign w:val="center"/>
          </w:tcPr>
          <w:p>
            <w:pPr>
              <w:pStyle w:val="TableContents"/>
              <w:bidi w:val="0"/>
              <w:spacing w:before="0" w:after="0"/>
              <w:jc w:val="left"/>
              <w:rPr/>
            </w:pPr>
            <w:r>
              <w:rPr/>
              <w:t> </w:t>
            </w:r>
            <w:r>
              <w:rPr>
                <w:rFonts w:ascii="arial" w:hAnsi="arial"/>
                <w:sz w:val="18"/>
              </w:rPr>
              <w:t>Brian J. Druker</w:t>
            </w:r>
          </w:p>
        </w:tc>
        <w:tc>
          <w:tcPr>
            <w:tcW w:w="120" w:type="dxa"/>
            <w:tcBorders/>
            <w:shd w:fill="CCE2F1" w:val="clear"/>
            <w:vAlign w:val="center"/>
          </w:tcPr>
          <w:p>
            <w:pPr>
              <w:pStyle w:val="TableContents"/>
              <w:bidi w:val="0"/>
              <w:spacing w:before="0" w:after="283"/>
              <w:jc w:val="left"/>
              <w:rPr/>
            </w:pPr>
            <w:r>
              <w:rPr/>
              <w:t>  </w:t>
            </w:r>
          </w:p>
        </w:tc>
        <w:tc>
          <w:tcPr>
            <w:tcW w:w="145" w:type="dxa"/>
            <w:tcBorders/>
            <w:shd w:fill="CCE2F1" w:val="clear"/>
            <w:vAlign w:val="center"/>
          </w:tcPr>
          <w:p>
            <w:pPr>
              <w:pStyle w:val="TableContents"/>
              <w:bidi w:val="0"/>
              <w:spacing w:before="0" w:after="283"/>
              <w:jc w:val="left"/>
              <w:rPr/>
            </w:pPr>
            <w:r>
              <w:rPr/>
              <w:t> </w:t>
            </w:r>
          </w:p>
        </w:tc>
        <w:tc>
          <w:tcPr>
            <w:tcW w:w="1645"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240" w:type="dxa"/>
            <w:tcBorders/>
            <w:shd w:fill="CCE2F1" w:val="clear"/>
            <w:vAlign w:val="center"/>
          </w:tcPr>
          <w:p>
            <w:pPr>
              <w:pStyle w:val="TableContents"/>
              <w:bidi w:val="0"/>
              <w:spacing w:before="0" w:after="283"/>
              <w:jc w:val="left"/>
              <w:rPr/>
            </w:pPr>
            <w:r>
              <w:rPr/>
              <w:t>    </w:t>
            </w:r>
          </w:p>
        </w:tc>
        <w:tc>
          <w:tcPr>
            <w:tcW w:w="85" w:type="dxa"/>
            <w:tcBorders/>
            <w:shd w:fill="CCE2F1" w:val="clear"/>
            <w:vAlign w:val="center"/>
          </w:tcPr>
          <w:p>
            <w:pPr>
              <w:pStyle w:val="TableContents"/>
              <w:bidi w:val="0"/>
              <w:spacing w:before="0" w:after="283"/>
              <w:jc w:val="left"/>
              <w:rPr/>
            </w:pPr>
            <w:r>
              <w:rPr/>
              <w:t> </w:t>
            </w:r>
          </w:p>
        </w:tc>
        <w:tc>
          <w:tcPr>
            <w:tcW w:w="1135"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240" w:type="dxa"/>
            <w:tcBorders/>
            <w:shd w:fill="CCE2F1" w:val="clear"/>
            <w:vAlign w:val="center"/>
          </w:tcPr>
          <w:p>
            <w:pPr>
              <w:pStyle w:val="TableContents"/>
              <w:bidi w:val="0"/>
              <w:spacing w:before="0" w:after="283"/>
              <w:jc w:val="left"/>
              <w:rPr/>
            </w:pPr>
            <w:r>
              <w:rPr/>
              <w:t>    </w:t>
            </w:r>
          </w:p>
        </w:tc>
        <w:tc>
          <w:tcPr>
            <w:tcW w:w="176" w:type="dxa"/>
            <w:tcBorders/>
            <w:shd w:fill="CCE2F1" w:val="clear"/>
            <w:vAlign w:val="center"/>
          </w:tcPr>
          <w:p>
            <w:pPr>
              <w:pStyle w:val="TableContents"/>
              <w:bidi w:val="0"/>
              <w:spacing w:before="0" w:after="283"/>
              <w:jc w:val="left"/>
              <w:rPr/>
            </w:pPr>
            <w:r>
              <w:rPr/>
              <w:t> </w:t>
            </w:r>
          </w:p>
        </w:tc>
        <w:tc>
          <w:tcPr>
            <w:tcW w:w="2018" w:type="dxa"/>
            <w:tcBorders/>
            <w:shd w:fill="CCE2F1" w:val="clear"/>
            <w:vAlign w:val="center"/>
          </w:tcPr>
          <w:p>
            <w:pPr>
              <w:pStyle w:val="TableContents"/>
              <w:bidi w:val="0"/>
              <w:spacing w:before="0" w:after="283"/>
              <w:jc w:val="right"/>
              <w:rPr/>
            </w:pPr>
            <w:r>
              <w:rPr/>
              <w:t>5,075  </w:t>
            </w:r>
          </w:p>
        </w:tc>
        <w:tc>
          <w:tcPr>
            <w:tcW w:w="75" w:type="dxa"/>
            <w:tcBorders/>
            <w:shd w:fill="CCE2F1"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1970"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2509" w:type="dxa"/>
            <w:gridSpan w:val="4"/>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0"/>
              <w:jc w:val="left"/>
              <w:rPr/>
            </w:pPr>
            <w:r>
              <w:rPr/>
              <w:t> </w:t>
            </w:r>
            <w:r>
              <w:rPr>
                <w:rFonts w:ascii="arial" w:hAnsi="arial"/>
                <w:sz w:val="18"/>
              </w:rPr>
              <w:t>Robert A . Eckert</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645"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2018" w:type="dxa"/>
            <w:tcBorders/>
            <w:vAlign w:val="center"/>
          </w:tcPr>
          <w:p>
            <w:pPr>
              <w:pStyle w:val="TableContents"/>
              <w:bidi w:val="0"/>
              <w:spacing w:before="0" w:after="283"/>
              <w:jc w:val="right"/>
              <w:rPr/>
            </w:pPr>
            <w:r>
              <w:rPr/>
              <w:t>15,952  </w:t>
            </w:r>
          </w:p>
        </w:tc>
        <w:tc>
          <w:tcPr>
            <w:tcW w:w="75" w:type="dxa"/>
            <w:tcBorders/>
            <w:vAlign w:val="center"/>
          </w:tcPr>
          <w:p>
            <w:pPr>
              <w:pStyle w:val="TableContents"/>
              <w:bidi w:val="0"/>
              <w:spacing w:before="0" w:after="283"/>
              <w:jc w:val="left"/>
              <w:rPr/>
            </w:pPr>
            <w:r>
              <w:rPr/>
              <w:t> </w:t>
            </w:r>
          </w:p>
        </w:tc>
      </w:tr>
      <w:tr>
        <w:trPr/>
        <w:tc>
          <w:tcPr>
            <w:tcW w:w="1895" w:type="dxa"/>
            <w:tcBorders/>
            <w:shd w:fill="CCE2F1" w:val="clear"/>
            <w:vAlign w:val="center"/>
          </w:tcPr>
          <w:p>
            <w:pPr>
              <w:pStyle w:val="TableContents"/>
              <w:bidi w:val="0"/>
              <w:spacing w:before="0" w:after="283"/>
              <w:jc w:val="left"/>
              <w:rPr>
                <w:sz w:val="4"/>
                <w:szCs w:val="4"/>
              </w:rPr>
            </w:pPr>
            <w:r>
              <w:rPr>
                <w:sz w:val="4"/>
                <w:szCs w:val="4"/>
              </w:rPr>
            </w:r>
          </w:p>
        </w:tc>
        <w:tc>
          <w:tcPr>
            <w:tcW w:w="1970" w:type="dxa"/>
            <w:gridSpan w:val="4"/>
            <w:tcBorders/>
            <w:shd w:fill="CCE2F1" w:val="clear"/>
            <w:vAlign w:val="center"/>
          </w:tcPr>
          <w:p>
            <w:pPr>
              <w:pStyle w:val="TableContents"/>
              <w:bidi w:val="0"/>
              <w:spacing w:before="0" w:after="283"/>
              <w:jc w:val="left"/>
              <w:rPr>
                <w:sz w:val="4"/>
                <w:szCs w:val="4"/>
              </w:rPr>
            </w:pPr>
            <w:r>
              <w:rPr>
                <w:sz w:val="4"/>
                <w:szCs w:val="4"/>
              </w:rPr>
            </w:r>
          </w:p>
        </w:tc>
        <w:tc>
          <w:tcPr>
            <w:tcW w:w="1520" w:type="dxa"/>
            <w:gridSpan w:val="4"/>
            <w:tcBorders/>
            <w:shd w:fill="CCE2F1" w:val="clear"/>
            <w:vAlign w:val="center"/>
          </w:tcPr>
          <w:p>
            <w:pPr>
              <w:pStyle w:val="TableContents"/>
              <w:bidi w:val="0"/>
              <w:spacing w:before="0" w:after="283"/>
              <w:jc w:val="left"/>
              <w:rPr>
                <w:sz w:val="4"/>
                <w:szCs w:val="4"/>
              </w:rPr>
            </w:pPr>
            <w:r>
              <w:rPr>
                <w:sz w:val="4"/>
                <w:szCs w:val="4"/>
              </w:rPr>
            </w:r>
          </w:p>
        </w:tc>
        <w:tc>
          <w:tcPr>
            <w:tcW w:w="2509"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1895" w:type="dxa"/>
            <w:tcBorders/>
            <w:shd w:fill="CCE2F1" w:val="clear"/>
            <w:vAlign w:val="center"/>
          </w:tcPr>
          <w:p>
            <w:pPr>
              <w:pStyle w:val="TableContents"/>
              <w:bidi w:val="0"/>
              <w:spacing w:before="0" w:after="0"/>
              <w:jc w:val="left"/>
              <w:rPr/>
            </w:pPr>
            <w:r>
              <w:rPr/>
              <w:t> </w:t>
            </w:r>
            <w:r>
              <w:rPr>
                <w:rFonts w:ascii="arial" w:hAnsi="arial"/>
                <w:sz w:val="18"/>
              </w:rPr>
              <w:t>Greg C. Garland</w:t>
            </w:r>
          </w:p>
        </w:tc>
        <w:tc>
          <w:tcPr>
            <w:tcW w:w="120" w:type="dxa"/>
            <w:tcBorders/>
            <w:shd w:fill="CCE2F1" w:val="clear"/>
            <w:vAlign w:val="center"/>
          </w:tcPr>
          <w:p>
            <w:pPr>
              <w:pStyle w:val="TableContents"/>
              <w:bidi w:val="0"/>
              <w:spacing w:before="0" w:after="283"/>
              <w:jc w:val="left"/>
              <w:rPr/>
            </w:pPr>
            <w:r>
              <w:rPr/>
              <w:t>  </w:t>
            </w:r>
          </w:p>
        </w:tc>
        <w:tc>
          <w:tcPr>
            <w:tcW w:w="145" w:type="dxa"/>
            <w:tcBorders/>
            <w:shd w:fill="CCE2F1" w:val="clear"/>
            <w:vAlign w:val="center"/>
          </w:tcPr>
          <w:p>
            <w:pPr>
              <w:pStyle w:val="TableContents"/>
              <w:bidi w:val="0"/>
              <w:spacing w:before="0" w:after="283"/>
              <w:jc w:val="left"/>
              <w:rPr/>
            </w:pPr>
            <w:r>
              <w:rPr/>
              <w:t> </w:t>
            </w:r>
          </w:p>
        </w:tc>
        <w:tc>
          <w:tcPr>
            <w:tcW w:w="1645"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240" w:type="dxa"/>
            <w:tcBorders/>
            <w:shd w:fill="CCE2F1" w:val="clear"/>
            <w:vAlign w:val="center"/>
          </w:tcPr>
          <w:p>
            <w:pPr>
              <w:pStyle w:val="TableContents"/>
              <w:bidi w:val="0"/>
              <w:spacing w:before="0" w:after="283"/>
              <w:jc w:val="left"/>
              <w:rPr/>
            </w:pPr>
            <w:r>
              <w:rPr/>
              <w:t>    </w:t>
            </w:r>
          </w:p>
        </w:tc>
        <w:tc>
          <w:tcPr>
            <w:tcW w:w="85" w:type="dxa"/>
            <w:tcBorders/>
            <w:shd w:fill="CCE2F1" w:val="clear"/>
            <w:vAlign w:val="center"/>
          </w:tcPr>
          <w:p>
            <w:pPr>
              <w:pStyle w:val="TableContents"/>
              <w:bidi w:val="0"/>
              <w:spacing w:before="0" w:after="283"/>
              <w:jc w:val="left"/>
              <w:rPr/>
            </w:pPr>
            <w:r>
              <w:rPr/>
              <w:t> </w:t>
            </w:r>
          </w:p>
        </w:tc>
        <w:tc>
          <w:tcPr>
            <w:tcW w:w="1135"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240" w:type="dxa"/>
            <w:tcBorders/>
            <w:shd w:fill="CCE2F1" w:val="clear"/>
            <w:vAlign w:val="center"/>
          </w:tcPr>
          <w:p>
            <w:pPr>
              <w:pStyle w:val="TableContents"/>
              <w:bidi w:val="0"/>
              <w:spacing w:before="0" w:after="283"/>
              <w:jc w:val="left"/>
              <w:rPr/>
            </w:pPr>
            <w:r>
              <w:rPr/>
              <w:t>    </w:t>
            </w:r>
          </w:p>
        </w:tc>
        <w:tc>
          <w:tcPr>
            <w:tcW w:w="176" w:type="dxa"/>
            <w:tcBorders/>
            <w:shd w:fill="CCE2F1" w:val="clear"/>
            <w:vAlign w:val="center"/>
          </w:tcPr>
          <w:p>
            <w:pPr>
              <w:pStyle w:val="TableContents"/>
              <w:bidi w:val="0"/>
              <w:spacing w:before="0" w:after="283"/>
              <w:jc w:val="left"/>
              <w:rPr/>
            </w:pPr>
            <w:r>
              <w:rPr/>
              <w:t> </w:t>
            </w:r>
          </w:p>
        </w:tc>
        <w:tc>
          <w:tcPr>
            <w:tcW w:w="2018" w:type="dxa"/>
            <w:tcBorders/>
            <w:shd w:fill="CCE2F1" w:val="clear"/>
            <w:vAlign w:val="center"/>
          </w:tcPr>
          <w:p>
            <w:pPr>
              <w:pStyle w:val="TableContents"/>
              <w:bidi w:val="0"/>
              <w:spacing w:before="0" w:after="283"/>
              <w:jc w:val="right"/>
              <w:rPr/>
            </w:pPr>
            <w:r>
              <w:rPr/>
              <w:t>0  </w:t>
            </w:r>
          </w:p>
        </w:tc>
        <w:tc>
          <w:tcPr>
            <w:tcW w:w="75" w:type="dxa"/>
            <w:tcBorders/>
            <w:shd w:fill="CCE2F1"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1970"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2509" w:type="dxa"/>
            <w:gridSpan w:val="4"/>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0"/>
              <w:jc w:val="left"/>
              <w:rPr/>
            </w:pPr>
            <w:r>
              <w:rPr/>
              <w:t> </w:t>
            </w:r>
            <w:r>
              <w:rPr>
                <w:rFonts w:ascii="arial" w:hAnsi="arial"/>
                <w:sz w:val="18"/>
              </w:rPr>
              <w:t>Charles M. Holley, Jr.</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645"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2018" w:type="dxa"/>
            <w:tcBorders/>
            <w:vAlign w:val="center"/>
          </w:tcPr>
          <w:p>
            <w:pPr>
              <w:pStyle w:val="TableContents"/>
              <w:bidi w:val="0"/>
              <w:spacing w:before="0" w:after="283"/>
              <w:jc w:val="right"/>
              <w:rPr/>
            </w:pPr>
            <w:r>
              <w:rPr/>
              <w:t>8,713  </w:t>
            </w:r>
          </w:p>
        </w:tc>
        <w:tc>
          <w:tcPr>
            <w:tcW w:w="75" w:type="dxa"/>
            <w:tcBorders/>
            <w:vAlign w:val="center"/>
          </w:tcPr>
          <w:p>
            <w:pPr>
              <w:pStyle w:val="TableContents"/>
              <w:bidi w:val="0"/>
              <w:spacing w:before="0" w:after="283"/>
              <w:jc w:val="left"/>
              <w:rPr/>
            </w:pPr>
            <w:r>
              <w:rPr/>
              <w:t> </w:t>
            </w:r>
          </w:p>
        </w:tc>
      </w:tr>
      <w:tr>
        <w:trPr/>
        <w:tc>
          <w:tcPr>
            <w:tcW w:w="1895" w:type="dxa"/>
            <w:tcBorders/>
            <w:shd w:fill="CCE2F1" w:val="clear"/>
            <w:vAlign w:val="center"/>
          </w:tcPr>
          <w:p>
            <w:pPr>
              <w:pStyle w:val="TableContents"/>
              <w:bidi w:val="0"/>
              <w:spacing w:before="0" w:after="283"/>
              <w:jc w:val="left"/>
              <w:rPr>
                <w:sz w:val="4"/>
                <w:szCs w:val="4"/>
              </w:rPr>
            </w:pPr>
            <w:r>
              <w:rPr>
                <w:sz w:val="4"/>
                <w:szCs w:val="4"/>
              </w:rPr>
            </w:r>
          </w:p>
        </w:tc>
        <w:tc>
          <w:tcPr>
            <w:tcW w:w="1970" w:type="dxa"/>
            <w:gridSpan w:val="4"/>
            <w:tcBorders/>
            <w:shd w:fill="CCE2F1" w:val="clear"/>
            <w:vAlign w:val="center"/>
          </w:tcPr>
          <w:p>
            <w:pPr>
              <w:pStyle w:val="TableContents"/>
              <w:bidi w:val="0"/>
              <w:spacing w:before="0" w:after="283"/>
              <w:jc w:val="left"/>
              <w:rPr>
                <w:sz w:val="4"/>
                <w:szCs w:val="4"/>
              </w:rPr>
            </w:pPr>
            <w:r>
              <w:rPr>
                <w:sz w:val="4"/>
                <w:szCs w:val="4"/>
              </w:rPr>
            </w:r>
          </w:p>
        </w:tc>
        <w:tc>
          <w:tcPr>
            <w:tcW w:w="1520" w:type="dxa"/>
            <w:gridSpan w:val="4"/>
            <w:tcBorders/>
            <w:shd w:fill="CCE2F1" w:val="clear"/>
            <w:vAlign w:val="center"/>
          </w:tcPr>
          <w:p>
            <w:pPr>
              <w:pStyle w:val="TableContents"/>
              <w:bidi w:val="0"/>
              <w:spacing w:before="0" w:after="283"/>
              <w:jc w:val="left"/>
              <w:rPr>
                <w:sz w:val="4"/>
                <w:szCs w:val="4"/>
              </w:rPr>
            </w:pPr>
            <w:r>
              <w:rPr>
                <w:sz w:val="4"/>
                <w:szCs w:val="4"/>
              </w:rPr>
            </w:r>
          </w:p>
        </w:tc>
        <w:tc>
          <w:tcPr>
            <w:tcW w:w="2509"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1895" w:type="dxa"/>
            <w:tcBorders/>
            <w:shd w:fill="CCE2F1" w:val="clear"/>
            <w:vAlign w:val="center"/>
          </w:tcPr>
          <w:p>
            <w:pPr>
              <w:pStyle w:val="TableContents"/>
              <w:bidi w:val="0"/>
              <w:spacing w:before="0" w:after="0"/>
              <w:jc w:val="left"/>
              <w:rPr/>
            </w:pPr>
            <w:r>
              <w:rPr/>
              <w:t> </w:t>
            </w:r>
            <w:r>
              <w:rPr>
                <w:rFonts w:ascii="arial" w:hAnsi="arial"/>
                <w:sz w:val="18"/>
              </w:rPr>
              <w:t>S. Omar Ishrak</w:t>
            </w:r>
          </w:p>
        </w:tc>
        <w:tc>
          <w:tcPr>
            <w:tcW w:w="120" w:type="dxa"/>
            <w:tcBorders/>
            <w:shd w:fill="CCE2F1" w:val="clear"/>
            <w:vAlign w:val="center"/>
          </w:tcPr>
          <w:p>
            <w:pPr>
              <w:pStyle w:val="TableContents"/>
              <w:bidi w:val="0"/>
              <w:spacing w:before="0" w:after="283"/>
              <w:jc w:val="left"/>
              <w:rPr/>
            </w:pPr>
            <w:r>
              <w:rPr/>
              <w:t>  </w:t>
            </w:r>
          </w:p>
        </w:tc>
        <w:tc>
          <w:tcPr>
            <w:tcW w:w="145" w:type="dxa"/>
            <w:tcBorders/>
            <w:shd w:fill="CCE2F1" w:val="clear"/>
            <w:vAlign w:val="center"/>
          </w:tcPr>
          <w:p>
            <w:pPr>
              <w:pStyle w:val="TableContents"/>
              <w:bidi w:val="0"/>
              <w:spacing w:before="0" w:after="283"/>
              <w:jc w:val="left"/>
              <w:rPr/>
            </w:pPr>
            <w:r>
              <w:rPr/>
              <w:t> </w:t>
            </w:r>
          </w:p>
        </w:tc>
        <w:tc>
          <w:tcPr>
            <w:tcW w:w="1645"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240" w:type="dxa"/>
            <w:tcBorders/>
            <w:shd w:fill="CCE2F1" w:val="clear"/>
            <w:vAlign w:val="center"/>
          </w:tcPr>
          <w:p>
            <w:pPr>
              <w:pStyle w:val="TableContents"/>
              <w:bidi w:val="0"/>
              <w:spacing w:before="0" w:after="283"/>
              <w:jc w:val="left"/>
              <w:rPr/>
            </w:pPr>
            <w:r>
              <w:rPr/>
              <w:t>    </w:t>
            </w:r>
          </w:p>
        </w:tc>
        <w:tc>
          <w:tcPr>
            <w:tcW w:w="85" w:type="dxa"/>
            <w:tcBorders/>
            <w:shd w:fill="CCE2F1" w:val="clear"/>
            <w:vAlign w:val="center"/>
          </w:tcPr>
          <w:p>
            <w:pPr>
              <w:pStyle w:val="TableContents"/>
              <w:bidi w:val="0"/>
              <w:spacing w:before="0" w:after="283"/>
              <w:jc w:val="left"/>
              <w:rPr/>
            </w:pPr>
            <w:r>
              <w:rPr/>
              <w:t> </w:t>
            </w:r>
          </w:p>
        </w:tc>
        <w:tc>
          <w:tcPr>
            <w:tcW w:w="1135"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240" w:type="dxa"/>
            <w:tcBorders/>
            <w:shd w:fill="CCE2F1" w:val="clear"/>
            <w:vAlign w:val="center"/>
          </w:tcPr>
          <w:p>
            <w:pPr>
              <w:pStyle w:val="TableContents"/>
              <w:bidi w:val="0"/>
              <w:spacing w:before="0" w:after="283"/>
              <w:jc w:val="left"/>
              <w:rPr/>
            </w:pPr>
            <w:r>
              <w:rPr/>
              <w:t>    </w:t>
            </w:r>
          </w:p>
        </w:tc>
        <w:tc>
          <w:tcPr>
            <w:tcW w:w="176" w:type="dxa"/>
            <w:tcBorders/>
            <w:shd w:fill="CCE2F1" w:val="clear"/>
            <w:vAlign w:val="center"/>
          </w:tcPr>
          <w:p>
            <w:pPr>
              <w:pStyle w:val="TableContents"/>
              <w:bidi w:val="0"/>
              <w:spacing w:before="0" w:after="283"/>
              <w:jc w:val="left"/>
              <w:rPr/>
            </w:pPr>
            <w:r>
              <w:rPr/>
              <w:t> </w:t>
            </w:r>
          </w:p>
        </w:tc>
        <w:tc>
          <w:tcPr>
            <w:tcW w:w="2018" w:type="dxa"/>
            <w:tcBorders/>
            <w:shd w:fill="CCE2F1" w:val="clear"/>
            <w:vAlign w:val="center"/>
          </w:tcPr>
          <w:p>
            <w:pPr>
              <w:pStyle w:val="TableContents"/>
              <w:bidi w:val="0"/>
              <w:spacing w:before="0" w:after="283"/>
              <w:jc w:val="right"/>
              <w:rPr/>
            </w:pPr>
            <w:r>
              <w:rPr/>
              <w:t>2,925  </w:t>
            </w:r>
          </w:p>
        </w:tc>
        <w:tc>
          <w:tcPr>
            <w:tcW w:w="75" w:type="dxa"/>
            <w:tcBorders/>
            <w:shd w:fill="CCE2F1"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1970"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2509" w:type="dxa"/>
            <w:gridSpan w:val="4"/>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0"/>
              <w:jc w:val="left"/>
              <w:rPr/>
            </w:pPr>
            <w:r>
              <w:rPr/>
              <w:t> </w:t>
            </w:r>
            <w:r>
              <w:rPr>
                <w:rFonts w:ascii="arial" w:hAnsi="arial"/>
                <w:sz w:val="18"/>
              </w:rPr>
              <w:t>Tyler Jacks</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645"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2018" w:type="dxa"/>
            <w:tcBorders/>
            <w:vAlign w:val="center"/>
          </w:tcPr>
          <w:p>
            <w:pPr>
              <w:pStyle w:val="TableContents"/>
              <w:bidi w:val="0"/>
              <w:spacing w:before="0" w:after="283"/>
              <w:jc w:val="right"/>
              <w:rPr/>
            </w:pPr>
            <w:r>
              <w:rPr/>
              <w:t>12,559  </w:t>
            </w:r>
          </w:p>
        </w:tc>
        <w:tc>
          <w:tcPr>
            <w:tcW w:w="75" w:type="dxa"/>
            <w:tcBorders/>
            <w:vAlign w:val="center"/>
          </w:tcPr>
          <w:p>
            <w:pPr>
              <w:pStyle w:val="TableContents"/>
              <w:bidi w:val="0"/>
              <w:spacing w:before="0" w:after="283"/>
              <w:jc w:val="left"/>
              <w:rPr/>
            </w:pPr>
            <w:r>
              <w:rPr/>
              <w:t> </w:t>
            </w:r>
          </w:p>
        </w:tc>
      </w:tr>
      <w:tr>
        <w:trPr/>
        <w:tc>
          <w:tcPr>
            <w:tcW w:w="1895" w:type="dxa"/>
            <w:tcBorders/>
            <w:shd w:fill="CCE2F1" w:val="clear"/>
            <w:vAlign w:val="center"/>
          </w:tcPr>
          <w:p>
            <w:pPr>
              <w:pStyle w:val="TableContents"/>
              <w:bidi w:val="0"/>
              <w:spacing w:before="0" w:after="283"/>
              <w:jc w:val="left"/>
              <w:rPr>
                <w:sz w:val="4"/>
                <w:szCs w:val="4"/>
              </w:rPr>
            </w:pPr>
            <w:r>
              <w:rPr>
                <w:sz w:val="4"/>
                <w:szCs w:val="4"/>
              </w:rPr>
            </w:r>
          </w:p>
        </w:tc>
        <w:tc>
          <w:tcPr>
            <w:tcW w:w="1970" w:type="dxa"/>
            <w:gridSpan w:val="4"/>
            <w:tcBorders/>
            <w:shd w:fill="CCE2F1" w:val="clear"/>
            <w:vAlign w:val="center"/>
          </w:tcPr>
          <w:p>
            <w:pPr>
              <w:pStyle w:val="TableContents"/>
              <w:bidi w:val="0"/>
              <w:spacing w:before="0" w:after="283"/>
              <w:jc w:val="left"/>
              <w:rPr>
                <w:sz w:val="4"/>
                <w:szCs w:val="4"/>
              </w:rPr>
            </w:pPr>
            <w:r>
              <w:rPr>
                <w:sz w:val="4"/>
                <w:szCs w:val="4"/>
              </w:rPr>
            </w:r>
          </w:p>
        </w:tc>
        <w:tc>
          <w:tcPr>
            <w:tcW w:w="1520" w:type="dxa"/>
            <w:gridSpan w:val="4"/>
            <w:tcBorders/>
            <w:shd w:fill="CCE2F1" w:val="clear"/>
            <w:vAlign w:val="center"/>
          </w:tcPr>
          <w:p>
            <w:pPr>
              <w:pStyle w:val="TableContents"/>
              <w:bidi w:val="0"/>
              <w:spacing w:before="0" w:after="283"/>
              <w:jc w:val="left"/>
              <w:rPr>
                <w:sz w:val="4"/>
                <w:szCs w:val="4"/>
              </w:rPr>
            </w:pPr>
            <w:r>
              <w:rPr>
                <w:sz w:val="4"/>
                <w:szCs w:val="4"/>
              </w:rPr>
            </w:r>
          </w:p>
        </w:tc>
        <w:tc>
          <w:tcPr>
            <w:tcW w:w="2509"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1895" w:type="dxa"/>
            <w:tcBorders/>
            <w:shd w:fill="CCE2F1" w:val="clear"/>
            <w:vAlign w:val="center"/>
          </w:tcPr>
          <w:p>
            <w:pPr>
              <w:pStyle w:val="TableContents"/>
              <w:bidi w:val="0"/>
              <w:spacing w:before="0" w:after="0"/>
              <w:jc w:val="left"/>
              <w:rPr/>
            </w:pPr>
            <w:r>
              <w:rPr/>
              <w:t> </w:t>
            </w:r>
            <w:r>
              <w:rPr>
                <w:rFonts w:ascii="arial" w:hAnsi="arial"/>
                <w:sz w:val="18"/>
              </w:rPr>
              <w:t>Ellen J. Kullman</w:t>
            </w:r>
          </w:p>
        </w:tc>
        <w:tc>
          <w:tcPr>
            <w:tcW w:w="120" w:type="dxa"/>
            <w:tcBorders/>
            <w:shd w:fill="CCE2F1" w:val="clear"/>
            <w:vAlign w:val="center"/>
          </w:tcPr>
          <w:p>
            <w:pPr>
              <w:pStyle w:val="TableContents"/>
              <w:bidi w:val="0"/>
              <w:spacing w:before="0" w:after="283"/>
              <w:jc w:val="left"/>
              <w:rPr/>
            </w:pPr>
            <w:r>
              <w:rPr/>
              <w:t>  </w:t>
            </w:r>
          </w:p>
        </w:tc>
        <w:tc>
          <w:tcPr>
            <w:tcW w:w="145" w:type="dxa"/>
            <w:tcBorders/>
            <w:shd w:fill="CCE2F1" w:val="clear"/>
            <w:vAlign w:val="center"/>
          </w:tcPr>
          <w:p>
            <w:pPr>
              <w:pStyle w:val="TableContents"/>
              <w:bidi w:val="0"/>
              <w:spacing w:before="0" w:after="283"/>
              <w:jc w:val="left"/>
              <w:rPr/>
            </w:pPr>
            <w:r>
              <w:rPr/>
              <w:t> </w:t>
            </w:r>
          </w:p>
        </w:tc>
        <w:tc>
          <w:tcPr>
            <w:tcW w:w="1645"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240" w:type="dxa"/>
            <w:tcBorders/>
            <w:shd w:fill="CCE2F1" w:val="clear"/>
            <w:vAlign w:val="center"/>
          </w:tcPr>
          <w:p>
            <w:pPr>
              <w:pStyle w:val="TableContents"/>
              <w:bidi w:val="0"/>
              <w:spacing w:before="0" w:after="283"/>
              <w:jc w:val="left"/>
              <w:rPr/>
            </w:pPr>
            <w:r>
              <w:rPr/>
              <w:t>    </w:t>
            </w:r>
          </w:p>
        </w:tc>
        <w:tc>
          <w:tcPr>
            <w:tcW w:w="85" w:type="dxa"/>
            <w:tcBorders/>
            <w:shd w:fill="CCE2F1" w:val="clear"/>
            <w:vAlign w:val="center"/>
          </w:tcPr>
          <w:p>
            <w:pPr>
              <w:pStyle w:val="TableContents"/>
              <w:bidi w:val="0"/>
              <w:spacing w:before="0" w:after="283"/>
              <w:jc w:val="left"/>
              <w:rPr/>
            </w:pPr>
            <w:r>
              <w:rPr/>
              <w:t> </w:t>
            </w:r>
          </w:p>
        </w:tc>
        <w:tc>
          <w:tcPr>
            <w:tcW w:w="1135"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240" w:type="dxa"/>
            <w:tcBorders/>
            <w:shd w:fill="CCE2F1" w:val="clear"/>
            <w:vAlign w:val="center"/>
          </w:tcPr>
          <w:p>
            <w:pPr>
              <w:pStyle w:val="TableContents"/>
              <w:bidi w:val="0"/>
              <w:spacing w:before="0" w:after="283"/>
              <w:jc w:val="left"/>
              <w:rPr/>
            </w:pPr>
            <w:r>
              <w:rPr/>
              <w:t>    </w:t>
            </w:r>
          </w:p>
        </w:tc>
        <w:tc>
          <w:tcPr>
            <w:tcW w:w="176" w:type="dxa"/>
            <w:tcBorders/>
            <w:shd w:fill="CCE2F1" w:val="clear"/>
            <w:vAlign w:val="center"/>
          </w:tcPr>
          <w:p>
            <w:pPr>
              <w:pStyle w:val="TableContents"/>
              <w:bidi w:val="0"/>
              <w:spacing w:before="0" w:after="283"/>
              <w:jc w:val="left"/>
              <w:rPr/>
            </w:pPr>
            <w:r>
              <w:rPr/>
              <w:t> </w:t>
            </w:r>
          </w:p>
        </w:tc>
        <w:tc>
          <w:tcPr>
            <w:tcW w:w="2018" w:type="dxa"/>
            <w:tcBorders/>
            <w:shd w:fill="CCE2F1" w:val="clear"/>
            <w:vAlign w:val="center"/>
          </w:tcPr>
          <w:p>
            <w:pPr>
              <w:pStyle w:val="TableContents"/>
              <w:bidi w:val="0"/>
              <w:spacing w:before="0" w:after="283"/>
              <w:jc w:val="right"/>
              <w:rPr/>
            </w:pPr>
            <w:r>
              <w:rPr/>
              <w:t>11,170  </w:t>
            </w:r>
          </w:p>
        </w:tc>
        <w:tc>
          <w:tcPr>
            <w:tcW w:w="75" w:type="dxa"/>
            <w:tcBorders/>
            <w:shd w:fill="CCE2F1"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1970"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2509" w:type="dxa"/>
            <w:gridSpan w:val="4"/>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0"/>
              <w:jc w:val="left"/>
              <w:rPr/>
            </w:pPr>
            <w:r>
              <w:rPr/>
              <w:t> </w:t>
            </w:r>
            <w:r>
              <w:rPr>
                <w:rFonts w:ascii="arial" w:hAnsi="arial"/>
                <w:sz w:val="18"/>
              </w:rPr>
              <w:t>Amy E. Miles</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645"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2018" w:type="dxa"/>
            <w:tcBorders/>
            <w:vAlign w:val="center"/>
          </w:tcPr>
          <w:p>
            <w:pPr>
              <w:pStyle w:val="TableContents"/>
              <w:bidi w:val="0"/>
              <w:spacing w:before="0" w:after="283"/>
              <w:jc w:val="right"/>
              <w:rPr/>
            </w:pPr>
            <w:r>
              <w:rPr/>
              <w:t>2,800  </w:t>
            </w:r>
          </w:p>
        </w:tc>
        <w:tc>
          <w:tcPr>
            <w:tcW w:w="75" w:type="dxa"/>
            <w:tcBorders/>
            <w:vAlign w:val="center"/>
          </w:tcPr>
          <w:p>
            <w:pPr>
              <w:pStyle w:val="TableContents"/>
              <w:bidi w:val="0"/>
              <w:spacing w:before="0" w:after="283"/>
              <w:jc w:val="left"/>
              <w:rPr/>
            </w:pPr>
            <w:r>
              <w:rPr/>
              <w:t> </w:t>
            </w:r>
          </w:p>
        </w:tc>
      </w:tr>
      <w:tr>
        <w:trPr/>
        <w:tc>
          <w:tcPr>
            <w:tcW w:w="1895" w:type="dxa"/>
            <w:tcBorders/>
            <w:shd w:fill="CCE2F1" w:val="clear"/>
            <w:vAlign w:val="center"/>
          </w:tcPr>
          <w:p>
            <w:pPr>
              <w:pStyle w:val="TableContents"/>
              <w:bidi w:val="0"/>
              <w:spacing w:before="0" w:after="283"/>
              <w:jc w:val="left"/>
              <w:rPr>
                <w:sz w:val="4"/>
                <w:szCs w:val="4"/>
              </w:rPr>
            </w:pPr>
            <w:r>
              <w:rPr>
                <w:sz w:val="4"/>
                <w:szCs w:val="4"/>
              </w:rPr>
            </w:r>
          </w:p>
        </w:tc>
        <w:tc>
          <w:tcPr>
            <w:tcW w:w="1970" w:type="dxa"/>
            <w:gridSpan w:val="4"/>
            <w:tcBorders/>
            <w:shd w:fill="CCE2F1" w:val="clear"/>
            <w:vAlign w:val="center"/>
          </w:tcPr>
          <w:p>
            <w:pPr>
              <w:pStyle w:val="TableContents"/>
              <w:bidi w:val="0"/>
              <w:spacing w:before="0" w:after="283"/>
              <w:jc w:val="left"/>
              <w:rPr>
                <w:sz w:val="4"/>
                <w:szCs w:val="4"/>
              </w:rPr>
            </w:pPr>
            <w:r>
              <w:rPr>
                <w:sz w:val="4"/>
                <w:szCs w:val="4"/>
              </w:rPr>
            </w:r>
          </w:p>
        </w:tc>
        <w:tc>
          <w:tcPr>
            <w:tcW w:w="1520" w:type="dxa"/>
            <w:gridSpan w:val="4"/>
            <w:tcBorders/>
            <w:shd w:fill="CCE2F1" w:val="clear"/>
            <w:vAlign w:val="center"/>
          </w:tcPr>
          <w:p>
            <w:pPr>
              <w:pStyle w:val="TableContents"/>
              <w:bidi w:val="0"/>
              <w:spacing w:before="0" w:after="283"/>
              <w:jc w:val="left"/>
              <w:rPr>
                <w:sz w:val="4"/>
                <w:szCs w:val="4"/>
              </w:rPr>
            </w:pPr>
            <w:r>
              <w:rPr>
                <w:sz w:val="4"/>
                <w:szCs w:val="4"/>
              </w:rPr>
            </w:r>
          </w:p>
        </w:tc>
        <w:tc>
          <w:tcPr>
            <w:tcW w:w="2509"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1895" w:type="dxa"/>
            <w:tcBorders/>
            <w:shd w:fill="CCE2F1" w:val="clear"/>
            <w:vAlign w:val="center"/>
          </w:tcPr>
          <w:p>
            <w:pPr>
              <w:pStyle w:val="TableContents"/>
              <w:bidi w:val="0"/>
              <w:spacing w:before="0" w:after="0"/>
              <w:jc w:val="left"/>
              <w:rPr/>
            </w:pPr>
            <w:r>
              <w:rPr/>
              <w:t> </w:t>
            </w:r>
            <w:r>
              <w:rPr>
                <w:rFonts w:ascii="arial" w:hAnsi="arial"/>
                <w:sz w:val="18"/>
              </w:rPr>
              <w:t>Ronald D. Sugar</w:t>
            </w:r>
          </w:p>
        </w:tc>
        <w:tc>
          <w:tcPr>
            <w:tcW w:w="120" w:type="dxa"/>
            <w:tcBorders/>
            <w:shd w:fill="CCE2F1" w:val="clear"/>
            <w:vAlign w:val="center"/>
          </w:tcPr>
          <w:p>
            <w:pPr>
              <w:pStyle w:val="TableContents"/>
              <w:bidi w:val="0"/>
              <w:spacing w:before="0" w:after="283"/>
              <w:jc w:val="left"/>
              <w:rPr/>
            </w:pPr>
            <w:r>
              <w:rPr/>
              <w:t>  </w:t>
            </w:r>
          </w:p>
        </w:tc>
        <w:tc>
          <w:tcPr>
            <w:tcW w:w="145" w:type="dxa"/>
            <w:tcBorders/>
            <w:shd w:fill="CCE2F1" w:val="clear"/>
            <w:vAlign w:val="center"/>
          </w:tcPr>
          <w:p>
            <w:pPr>
              <w:pStyle w:val="TableContents"/>
              <w:bidi w:val="0"/>
              <w:spacing w:before="0" w:after="283"/>
              <w:jc w:val="left"/>
              <w:rPr/>
            </w:pPr>
            <w:r>
              <w:rPr/>
              <w:t> </w:t>
            </w:r>
          </w:p>
        </w:tc>
        <w:tc>
          <w:tcPr>
            <w:tcW w:w="1645"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240" w:type="dxa"/>
            <w:tcBorders/>
            <w:shd w:fill="CCE2F1" w:val="clear"/>
            <w:vAlign w:val="center"/>
          </w:tcPr>
          <w:p>
            <w:pPr>
              <w:pStyle w:val="TableContents"/>
              <w:bidi w:val="0"/>
              <w:spacing w:before="0" w:after="283"/>
              <w:jc w:val="left"/>
              <w:rPr/>
            </w:pPr>
            <w:r>
              <w:rPr/>
              <w:t>    </w:t>
            </w:r>
          </w:p>
        </w:tc>
        <w:tc>
          <w:tcPr>
            <w:tcW w:w="85" w:type="dxa"/>
            <w:tcBorders/>
            <w:shd w:fill="CCE2F1" w:val="clear"/>
            <w:vAlign w:val="center"/>
          </w:tcPr>
          <w:p>
            <w:pPr>
              <w:pStyle w:val="TableContents"/>
              <w:bidi w:val="0"/>
              <w:spacing w:before="0" w:after="283"/>
              <w:jc w:val="left"/>
              <w:rPr/>
            </w:pPr>
            <w:r>
              <w:rPr/>
              <w:t> </w:t>
            </w:r>
          </w:p>
        </w:tc>
        <w:tc>
          <w:tcPr>
            <w:tcW w:w="1135"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240" w:type="dxa"/>
            <w:tcBorders/>
            <w:shd w:fill="CCE2F1" w:val="clear"/>
            <w:vAlign w:val="center"/>
          </w:tcPr>
          <w:p>
            <w:pPr>
              <w:pStyle w:val="TableContents"/>
              <w:bidi w:val="0"/>
              <w:spacing w:before="0" w:after="283"/>
              <w:jc w:val="left"/>
              <w:rPr/>
            </w:pPr>
            <w:r>
              <w:rPr/>
              <w:t>    </w:t>
            </w:r>
          </w:p>
        </w:tc>
        <w:tc>
          <w:tcPr>
            <w:tcW w:w="176" w:type="dxa"/>
            <w:tcBorders/>
            <w:shd w:fill="CCE2F1" w:val="clear"/>
            <w:vAlign w:val="center"/>
          </w:tcPr>
          <w:p>
            <w:pPr>
              <w:pStyle w:val="TableContents"/>
              <w:bidi w:val="0"/>
              <w:spacing w:before="0" w:after="283"/>
              <w:jc w:val="left"/>
              <w:rPr/>
            </w:pPr>
            <w:r>
              <w:rPr/>
              <w:t> </w:t>
            </w:r>
          </w:p>
        </w:tc>
        <w:tc>
          <w:tcPr>
            <w:tcW w:w="2018" w:type="dxa"/>
            <w:tcBorders/>
            <w:shd w:fill="CCE2F1" w:val="clear"/>
            <w:vAlign w:val="center"/>
          </w:tcPr>
          <w:p>
            <w:pPr>
              <w:pStyle w:val="TableContents"/>
              <w:bidi w:val="0"/>
              <w:spacing w:before="0" w:after="283"/>
              <w:jc w:val="right"/>
              <w:rPr/>
            </w:pPr>
            <w:r>
              <w:rPr/>
              <w:t>19,388  </w:t>
            </w:r>
          </w:p>
        </w:tc>
        <w:tc>
          <w:tcPr>
            <w:tcW w:w="75" w:type="dxa"/>
            <w:tcBorders/>
            <w:shd w:fill="CCE2F1"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1970"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2509" w:type="dxa"/>
            <w:gridSpan w:val="4"/>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0"/>
              <w:jc w:val="left"/>
              <w:rPr/>
            </w:pPr>
            <w:r>
              <w:rPr/>
              <w:t> </w:t>
            </w:r>
            <w:r>
              <w:rPr>
                <w:rFonts w:ascii="arial" w:hAnsi="arial"/>
                <w:sz w:val="18"/>
              </w:rPr>
              <w:t>R. Sanders Williams</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645"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2018" w:type="dxa"/>
            <w:tcBorders/>
            <w:vAlign w:val="center"/>
          </w:tcPr>
          <w:p>
            <w:pPr>
              <w:pStyle w:val="TableContents"/>
              <w:bidi w:val="0"/>
              <w:spacing w:before="0" w:after="283"/>
              <w:jc w:val="right"/>
              <w:rPr/>
            </w:pPr>
            <w:r>
              <w:rPr/>
              <w:t>0  </w:t>
            </w:r>
          </w:p>
        </w:tc>
        <w:tc>
          <w:tcPr>
            <w:tcW w:w="75" w:type="dxa"/>
            <w:tcBorders/>
            <w:vAlign w:val="center"/>
          </w:tcPr>
          <w:p>
            <w:pPr>
              <w:pStyle w:val="TableContents"/>
              <w:bidi w:val="0"/>
              <w:spacing w:before="0" w:after="283"/>
              <w:jc w:val="left"/>
              <w:rPr/>
            </w:pPr>
            <w:r>
              <w:rPr/>
              <w:t> </w:t>
            </w:r>
          </w:p>
        </w:tc>
      </w:tr>
      <w:tr>
        <w:trPr/>
        <w:tc>
          <w:tcPr>
            <w:tcW w:w="1895" w:type="dxa"/>
            <w:tcBorders/>
            <w:shd w:fill="CCE2F1" w:val="clear"/>
            <w:vAlign w:val="center"/>
          </w:tcPr>
          <w:p>
            <w:pPr>
              <w:pStyle w:val="TableContents"/>
              <w:bidi w:val="0"/>
              <w:spacing w:before="0" w:after="283"/>
              <w:jc w:val="left"/>
              <w:rPr>
                <w:sz w:val="4"/>
                <w:szCs w:val="4"/>
              </w:rPr>
            </w:pPr>
            <w:r>
              <w:rPr>
                <w:sz w:val="4"/>
                <w:szCs w:val="4"/>
              </w:rPr>
            </w:r>
          </w:p>
        </w:tc>
        <w:tc>
          <w:tcPr>
            <w:tcW w:w="1970" w:type="dxa"/>
            <w:gridSpan w:val="4"/>
            <w:tcBorders/>
            <w:shd w:fill="CCE2F1" w:val="clear"/>
            <w:vAlign w:val="center"/>
          </w:tcPr>
          <w:p>
            <w:pPr>
              <w:pStyle w:val="TableContents"/>
              <w:bidi w:val="0"/>
              <w:spacing w:before="0" w:after="283"/>
              <w:jc w:val="left"/>
              <w:rPr>
                <w:sz w:val="4"/>
                <w:szCs w:val="4"/>
              </w:rPr>
            </w:pPr>
            <w:r>
              <w:rPr>
                <w:sz w:val="4"/>
                <w:szCs w:val="4"/>
              </w:rPr>
            </w:r>
          </w:p>
        </w:tc>
        <w:tc>
          <w:tcPr>
            <w:tcW w:w="1520" w:type="dxa"/>
            <w:gridSpan w:val="4"/>
            <w:tcBorders/>
            <w:shd w:fill="CCE2F1" w:val="clear"/>
            <w:vAlign w:val="center"/>
          </w:tcPr>
          <w:p>
            <w:pPr>
              <w:pStyle w:val="TableContents"/>
              <w:bidi w:val="0"/>
              <w:spacing w:before="0" w:after="283"/>
              <w:jc w:val="left"/>
              <w:rPr>
                <w:sz w:val="4"/>
                <w:szCs w:val="4"/>
              </w:rPr>
            </w:pPr>
            <w:r>
              <w:rPr>
                <w:sz w:val="4"/>
                <w:szCs w:val="4"/>
              </w:rPr>
            </w:r>
          </w:p>
        </w:tc>
        <w:tc>
          <w:tcPr>
            <w:tcW w:w="2509"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1895" w:type="dxa"/>
            <w:tcBorders/>
            <w:shd w:fill="CCE2F1" w:val="clear"/>
            <w:vAlign w:val="center"/>
          </w:tcPr>
          <w:p>
            <w:pPr>
              <w:pStyle w:val="TableContents"/>
              <w:bidi w:val="0"/>
              <w:spacing w:before="0" w:after="0"/>
              <w:jc w:val="left"/>
              <w:rPr/>
            </w:pPr>
            <w:r>
              <w:rPr/>
              <w:t> </w:t>
            </w:r>
            <w:r>
              <w:rPr>
                <w:rFonts w:ascii="arial" w:hAnsi="arial"/>
                <w:sz w:val="18"/>
              </w:rPr>
              <w:t>Robert A . Bradway</w:t>
            </w:r>
          </w:p>
        </w:tc>
        <w:tc>
          <w:tcPr>
            <w:tcW w:w="120" w:type="dxa"/>
            <w:tcBorders/>
            <w:shd w:fill="CCE2F1" w:val="clear"/>
            <w:vAlign w:val="center"/>
          </w:tcPr>
          <w:p>
            <w:pPr>
              <w:pStyle w:val="TableContents"/>
              <w:bidi w:val="0"/>
              <w:spacing w:before="0" w:after="283"/>
              <w:jc w:val="left"/>
              <w:rPr/>
            </w:pPr>
            <w:r>
              <w:rPr/>
              <w:t>  </w:t>
            </w:r>
          </w:p>
        </w:tc>
        <w:tc>
          <w:tcPr>
            <w:tcW w:w="145" w:type="dxa"/>
            <w:tcBorders/>
            <w:shd w:fill="CCE2F1" w:val="clear"/>
            <w:vAlign w:val="center"/>
          </w:tcPr>
          <w:p>
            <w:pPr>
              <w:pStyle w:val="TableContents"/>
              <w:bidi w:val="0"/>
              <w:spacing w:before="0" w:after="283"/>
              <w:jc w:val="left"/>
              <w:rPr/>
            </w:pPr>
            <w:r>
              <w:rPr/>
              <w:t> </w:t>
            </w:r>
          </w:p>
        </w:tc>
        <w:tc>
          <w:tcPr>
            <w:tcW w:w="1645" w:type="dxa"/>
            <w:tcBorders/>
            <w:shd w:fill="CCE2F1" w:val="clear"/>
            <w:vAlign w:val="center"/>
          </w:tcPr>
          <w:p>
            <w:pPr>
              <w:pStyle w:val="TableContents"/>
              <w:bidi w:val="0"/>
              <w:spacing w:before="0" w:after="283"/>
              <w:jc w:val="right"/>
              <w:rPr/>
            </w:pPr>
            <w:r>
              <w:rPr/>
              <w:t>14,384</w:t>
            </w:r>
          </w:p>
        </w:tc>
        <w:tc>
          <w:tcPr>
            <w:tcW w:w="60" w:type="dxa"/>
            <w:tcBorders/>
            <w:shd w:fill="CCE2F1" w:val="clear"/>
            <w:vAlign w:val="center"/>
          </w:tcPr>
          <w:p>
            <w:pPr>
              <w:pStyle w:val="TableContents"/>
              <w:bidi w:val="0"/>
              <w:spacing w:before="0" w:after="283"/>
              <w:jc w:val="left"/>
              <w:rPr/>
            </w:pPr>
            <w:r>
              <w:rPr/>
              <w:t> </w:t>
            </w:r>
          </w:p>
        </w:tc>
        <w:tc>
          <w:tcPr>
            <w:tcW w:w="240" w:type="dxa"/>
            <w:tcBorders/>
            <w:shd w:fill="CCE2F1" w:val="clear"/>
            <w:vAlign w:val="center"/>
          </w:tcPr>
          <w:p>
            <w:pPr>
              <w:pStyle w:val="TableContents"/>
              <w:bidi w:val="0"/>
              <w:spacing w:before="0" w:after="283"/>
              <w:jc w:val="left"/>
              <w:rPr/>
            </w:pPr>
            <w:r>
              <w:rPr/>
              <w:t>    </w:t>
            </w:r>
          </w:p>
        </w:tc>
        <w:tc>
          <w:tcPr>
            <w:tcW w:w="85" w:type="dxa"/>
            <w:tcBorders/>
            <w:shd w:fill="CCE2F1" w:val="clear"/>
            <w:vAlign w:val="center"/>
          </w:tcPr>
          <w:p>
            <w:pPr>
              <w:pStyle w:val="TableContents"/>
              <w:bidi w:val="0"/>
              <w:spacing w:before="0" w:after="283"/>
              <w:jc w:val="left"/>
              <w:rPr/>
            </w:pPr>
            <w:r>
              <w:rPr/>
              <w:t> </w:t>
            </w:r>
          </w:p>
        </w:tc>
        <w:tc>
          <w:tcPr>
            <w:tcW w:w="1135" w:type="dxa"/>
            <w:tcBorders/>
            <w:shd w:fill="CCE2F1" w:val="clear"/>
            <w:vAlign w:val="center"/>
          </w:tcPr>
          <w:p>
            <w:pPr>
              <w:pStyle w:val="TableContents"/>
              <w:bidi w:val="0"/>
              <w:spacing w:before="0" w:after="283"/>
              <w:jc w:val="right"/>
              <w:rPr/>
            </w:pPr>
            <w:r>
              <w:rPr/>
              <w:t>712,044</w:t>
            </w:r>
          </w:p>
        </w:tc>
        <w:tc>
          <w:tcPr>
            <w:tcW w:w="60" w:type="dxa"/>
            <w:tcBorders/>
            <w:shd w:fill="CCE2F1" w:val="clear"/>
            <w:vAlign w:val="center"/>
          </w:tcPr>
          <w:p>
            <w:pPr>
              <w:pStyle w:val="TableContents"/>
              <w:bidi w:val="0"/>
              <w:spacing w:before="0" w:after="283"/>
              <w:jc w:val="left"/>
              <w:rPr/>
            </w:pPr>
            <w:r>
              <w:rPr/>
              <w:t> </w:t>
            </w:r>
          </w:p>
        </w:tc>
        <w:tc>
          <w:tcPr>
            <w:tcW w:w="240" w:type="dxa"/>
            <w:tcBorders/>
            <w:shd w:fill="CCE2F1" w:val="clear"/>
            <w:vAlign w:val="center"/>
          </w:tcPr>
          <w:p>
            <w:pPr>
              <w:pStyle w:val="TableContents"/>
              <w:bidi w:val="0"/>
              <w:spacing w:before="0" w:after="283"/>
              <w:jc w:val="left"/>
              <w:rPr/>
            </w:pPr>
            <w:r>
              <w:rPr/>
              <w:t>    </w:t>
            </w:r>
          </w:p>
        </w:tc>
        <w:tc>
          <w:tcPr>
            <w:tcW w:w="176" w:type="dxa"/>
            <w:tcBorders/>
            <w:shd w:fill="CCE2F1" w:val="clear"/>
            <w:vAlign w:val="center"/>
          </w:tcPr>
          <w:p>
            <w:pPr>
              <w:pStyle w:val="TableContents"/>
              <w:bidi w:val="0"/>
              <w:spacing w:before="0" w:after="283"/>
              <w:jc w:val="left"/>
              <w:rPr/>
            </w:pPr>
            <w:r>
              <w:rPr/>
              <w:t> </w:t>
            </w:r>
          </w:p>
        </w:tc>
        <w:tc>
          <w:tcPr>
            <w:tcW w:w="2018" w:type="dxa"/>
            <w:tcBorders/>
            <w:shd w:fill="CCE2F1" w:val="clear"/>
            <w:vAlign w:val="center"/>
          </w:tcPr>
          <w:p>
            <w:pPr>
              <w:pStyle w:val="TableContents"/>
              <w:bidi w:val="0"/>
              <w:spacing w:before="0" w:after="283"/>
              <w:jc w:val="right"/>
              <w:rPr/>
            </w:pPr>
            <w:r>
              <w:rPr/>
              <w:t>0  </w:t>
            </w:r>
          </w:p>
        </w:tc>
        <w:tc>
          <w:tcPr>
            <w:tcW w:w="75" w:type="dxa"/>
            <w:tcBorders/>
            <w:shd w:fill="CCE2F1"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1970"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2509" w:type="dxa"/>
            <w:gridSpan w:val="4"/>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0"/>
              <w:jc w:val="left"/>
              <w:rPr/>
            </w:pPr>
            <w:r>
              <w:rPr/>
              <w:t> </w:t>
            </w:r>
            <w:r>
              <w:rPr>
                <w:rFonts w:ascii="arial" w:hAnsi="arial"/>
                <w:sz w:val="18"/>
              </w:rPr>
              <w:t>Murdo Gordon</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645" w:type="dxa"/>
            <w:tcBorders/>
            <w:vAlign w:val="center"/>
          </w:tcPr>
          <w:p>
            <w:pPr>
              <w:pStyle w:val="TableContents"/>
              <w:bidi w:val="0"/>
              <w:spacing w:before="0" w:after="283"/>
              <w:jc w:val="right"/>
              <w:rPr/>
            </w:pPr>
            <w:r>
              <w:rPr/>
              <w:t>4,379</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pPr>
            <w:r>
              <w:rPr/>
              <w:t>104,010</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2018" w:type="dxa"/>
            <w:tcBorders/>
            <w:vAlign w:val="center"/>
          </w:tcPr>
          <w:p>
            <w:pPr>
              <w:pStyle w:val="TableContents"/>
              <w:bidi w:val="0"/>
              <w:spacing w:before="0" w:after="283"/>
              <w:jc w:val="right"/>
              <w:rPr/>
            </w:pPr>
            <w:r>
              <w:rPr/>
              <w:t>0  </w:t>
            </w:r>
          </w:p>
        </w:tc>
        <w:tc>
          <w:tcPr>
            <w:tcW w:w="75" w:type="dxa"/>
            <w:tcBorders/>
            <w:vAlign w:val="center"/>
          </w:tcPr>
          <w:p>
            <w:pPr>
              <w:pStyle w:val="TableContents"/>
              <w:bidi w:val="0"/>
              <w:spacing w:before="0" w:after="283"/>
              <w:jc w:val="left"/>
              <w:rPr/>
            </w:pPr>
            <w:r>
              <w:rPr/>
              <w:t> </w:t>
            </w:r>
          </w:p>
        </w:tc>
      </w:tr>
      <w:tr>
        <w:trPr/>
        <w:tc>
          <w:tcPr>
            <w:tcW w:w="1895" w:type="dxa"/>
            <w:tcBorders/>
            <w:shd w:fill="CCE2F1" w:val="clear"/>
            <w:vAlign w:val="center"/>
          </w:tcPr>
          <w:p>
            <w:pPr>
              <w:pStyle w:val="TableContents"/>
              <w:bidi w:val="0"/>
              <w:spacing w:before="0" w:after="283"/>
              <w:jc w:val="left"/>
              <w:rPr>
                <w:sz w:val="4"/>
                <w:szCs w:val="4"/>
              </w:rPr>
            </w:pPr>
            <w:r>
              <w:rPr>
                <w:sz w:val="4"/>
                <w:szCs w:val="4"/>
              </w:rPr>
            </w:r>
          </w:p>
        </w:tc>
        <w:tc>
          <w:tcPr>
            <w:tcW w:w="1970" w:type="dxa"/>
            <w:gridSpan w:val="4"/>
            <w:tcBorders/>
            <w:shd w:fill="CCE2F1" w:val="clear"/>
            <w:vAlign w:val="center"/>
          </w:tcPr>
          <w:p>
            <w:pPr>
              <w:pStyle w:val="TableContents"/>
              <w:bidi w:val="0"/>
              <w:spacing w:before="0" w:after="283"/>
              <w:jc w:val="left"/>
              <w:rPr>
                <w:sz w:val="4"/>
                <w:szCs w:val="4"/>
              </w:rPr>
            </w:pPr>
            <w:r>
              <w:rPr>
                <w:sz w:val="4"/>
                <w:szCs w:val="4"/>
              </w:rPr>
            </w:r>
          </w:p>
        </w:tc>
        <w:tc>
          <w:tcPr>
            <w:tcW w:w="1520" w:type="dxa"/>
            <w:gridSpan w:val="4"/>
            <w:tcBorders/>
            <w:shd w:fill="CCE2F1" w:val="clear"/>
            <w:vAlign w:val="center"/>
          </w:tcPr>
          <w:p>
            <w:pPr>
              <w:pStyle w:val="TableContents"/>
              <w:bidi w:val="0"/>
              <w:spacing w:before="0" w:after="283"/>
              <w:jc w:val="left"/>
              <w:rPr>
                <w:sz w:val="4"/>
                <w:szCs w:val="4"/>
              </w:rPr>
            </w:pPr>
            <w:r>
              <w:rPr>
                <w:sz w:val="4"/>
                <w:szCs w:val="4"/>
              </w:rPr>
            </w:r>
          </w:p>
        </w:tc>
        <w:tc>
          <w:tcPr>
            <w:tcW w:w="2509"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1895" w:type="dxa"/>
            <w:tcBorders/>
            <w:shd w:fill="CCE2F1" w:val="clear"/>
            <w:vAlign w:val="center"/>
          </w:tcPr>
          <w:p>
            <w:pPr>
              <w:pStyle w:val="TableContents"/>
              <w:bidi w:val="0"/>
              <w:spacing w:before="0" w:after="0"/>
              <w:jc w:val="left"/>
              <w:rPr/>
            </w:pPr>
            <w:r>
              <w:rPr/>
              <w:t> </w:t>
            </w:r>
            <w:r>
              <w:rPr>
                <w:rFonts w:ascii="arial" w:hAnsi="arial"/>
                <w:sz w:val="18"/>
              </w:rPr>
              <w:t>David M. Reese</w:t>
            </w:r>
          </w:p>
        </w:tc>
        <w:tc>
          <w:tcPr>
            <w:tcW w:w="120" w:type="dxa"/>
            <w:tcBorders/>
            <w:shd w:fill="CCE2F1" w:val="clear"/>
            <w:vAlign w:val="center"/>
          </w:tcPr>
          <w:p>
            <w:pPr>
              <w:pStyle w:val="TableContents"/>
              <w:bidi w:val="0"/>
              <w:spacing w:before="0" w:after="283"/>
              <w:jc w:val="left"/>
              <w:rPr/>
            </w:pPr>
            <w:r>
              <w:rPr/>
              <w:t>  </w:t>
            </w:r>
          </w:p>
        </w:tc>
        <w:tc>
          <w:tcPr>
            <w:tcW w:w="145" w:type="dxa"/>
            <w:tcBorders/>
            <w:shd w:fill="CCE2F1" w:val="clear"/>
            <w:vAlign w:val="center"/>
          </w:tcPr>
          <w:p>
            <w:pPr>
              <w:pStyle w:val="TableContents"/>
              <w:bidi w:val="0"/>
              <w:spacing w:before="0" w:after="283"/>
              <w:jc w:val="left"/>
              <w:rPr/>
            </w:pPr>
            <w:r>
              <w:rPr/>
              <w:t> </w:t>
            </w:r>
          </w:p>
        </w:tc>
        <w:tc>
          <w:tcPr>
            <w:tcW w:w="1645" w:type="dxa"/>
            <w:tcBorders/>
            <w:shd w:fill="CCE2F1" w:val="clear"/>
            <w:vAlign w:val="center"/>
          </w:tcPr>
          <w:p>
            <w:pPr>
              <w:pStyle w:val="TableContents"/>
              <w:bidi w:val="0"/>
              <w:spacing w:before="0" w:after="283"/>
              <w:jc w:val="right"/>
              <w:rPr/>
            </w:pPr>
            <w:r>
              <w:rPr/>
              <w:t>4,125</w:t>
            </w:r>
          </w:p>
        </w:tc>
        <w:tc>
          <w:tcPr>
            <w:tcW w:w="60" w:type="dxa"/>
            <w:tcBorders/>
            <w:shd w:fill="CCE2F1" w:val="clear"/>
            <w:vAlign w:val="center"/>
          </w:tcPr>
          <w:p>
            <w:pPr>
              <w:pStyle w:val="TableContents"/>
              <w:bidi w:val="0"/>
              <w:spacing w:before="0" w:after="283"/>
              <w:jc w:val="left"/>
              <w:rPr/>
            </w:pPr>
            <w:r>
              <w:rPr/>
              <w:t> </w:t>
            </w:r>
          </w:p>
        </w:tc>
        <w:tc>
          <w:tcPr>
            <w:tcW w:w="240" w:type="dxa"/>
            <w:tcBorders/>
            <w:shd w:fill="CCE2F1" w:val="clear"/>
            <w:vAlign w:val="center"/>
          </w:tcPr>
          <w:p>
            <w:pPr>
              <w:pStyle w:val="TableContents"/>
              <w:bidi w:val="0"/>
              <w:spacing w:before="0" w:after="283"/>
              <w:jc w:val="left"/>
              <w:rPr/>
            </w:pPr>
            <w:r>
              <w:rPr/>
              <w:t>    </w:t>
            </w:r>
          </w:p>
        </w:tc>
        <w:tc>
          <w:tcPr>
            <w:tcW w:w="85" w:type="dxa"/>
            <w:tcBorders/>
            <w:shd w:fill="CCE2F1" w:val="clear"/>
            <w:vAlign w:val="center"/>
          </w:tcPr>
          <w:p>
            <w:pPr>
              <w:pStyle w:val="TableContents"/>
              <w:bidi w:val="0"/>
              <w:spacing w:before="0" w:after="283"/>
              <w:jc w:val="left"/>
              <w:rPr/>
            </w:pPr>
            <w:r>
              <w:rPr/>
              <w:t> </w:t>
            </w:r>
          </w:p>
        </w:tc>
        <w:tc>
          <w:tcPr>
            <w:tcW w:w="1135" w:type="dxa"/>
            <w:tcBorders/>
            <w:shd w:fill="CCE2F1" w:val="clear"/>
            <w:vAlign w:val="center"/>
          </w:tcPr>
          <w:p>
            <w:pPr>
              <w:pStyle w:val="TableContents"/>
              <w:bidi w:val="0"/>
              <w:spacing w:before="0" w:after="283"/>
              <w:jc w:val="right"/>
              <w:rPr/>
            </w:pPr>
            <w:r>
              <w:rPr/>
              <w:t>127,467</w:t>
            </w:r>
          </w:p>
        </w:tc>
        <w:tc>
          <w:tcPr>
            <w:tcW w:w="60" w:type="dxa"/>
            <w:tcBorders/>
            <w:shd w:fill="CCE2F1" w:val="clear"/>
            <w:vAlign w:val="center"/>
          </w:tcPr>
          <w:p>
            <w:pPr>
              <w:pStyle w:val="TableContents"/>
              <w:bidi w:val="0"/>
              <w:spacing w:before="0" w:after="283"/>
              <w:jc w:val="left"/>
              <w:rPr/>
            </w:pPr>
            <w:r>
              <w:rPr/>
              <w:t> </w:t>
            </w:r>
          </w:p>
        </w:tc>
        <w:tc>
          <w:tcPr>
            <w:tcW w:w="240" w:type="dxa"/>
            <w:tcBorders/>
            <w:shd w:fill="CCE2F1" w:val="clear"/>
            <w:vAlign w:val="center"/>
          </w:tcPr>
          <w:p>
            <w:pPr>
              <w:pStyle w:val="TableContents"/>
              <w:bidi w:val="0"/>
              <w:spacing w:before="0" w:after="283"/>
              <w:jc w:val="left"/>
              <w:rPr/>
            </w:pPr>
            <w:r>
              <w:rPr/>
              <w:t>    </w:t>
            </w:r>
          </w:p>
        </w:tc>
        <w:tc>
          <w:tcPr>
            <w:tcW w:w="176" w:type="dxa"/>
            <w:tcBorders/>
            <w:shd w:fill="CCE2F1" w:val="clear"/>
            <w:vAlign w:val="center"/>
          </w:tcPr>
          <w:p>
            <w:pPr>
              <w:pStyle w:val="TableContents"/>
              <w:bidi w:val="0"/>
              <w:spacing w:before="0" w:after="283"/>
              <w:jc w:val="left"/>
              <w:rPr/>
            </w:pPr>
            <w:r>
              <w:rPr/>
              <w:t> </w:t>
            </w:r>
          </w:p>
        </w:tc>
        <w:tc>
          <w:tcPr>
            <w:tcW w:w="2018" w:type="dxa"/>
            <w:tcBorders/>
            <w:shd w:fill="CCE2F1" w:val="clear"/>
            <w:vAlign w:val="center"/>
          </w:tcPr>
          <w:p>
            <w:pPr>
              <w:pStyle w:val="TableContents"/>
              <w:bidi w:val="0"/>
              <w:spacing w:before="0" w:after="283"/>
              <w:jc w:val="right"/>
              <w:rPr/>
            </w:pPr>
            <w:r>
              <w:rPr/>
              <w:t>0  </w:t>
            </w:r>
          </w:p>
        </w:tc>
        <w:tc>
          <w:tcPr>
            <w:tcW w:w="75" w:type="dxa"/>
            <w:tcBorders/>
            <w:shd w:fill="CCE2F1" w:val="clear"/>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1970" w:type="dxa"/>
            <w:gridSpan w:val="4"/>
            <w:tcBorders/>
            <w:vAlign w:val="center"/>
          </w:tcPr>
          <w:p>
            <w:pPr>
              <w:pStyle w:val="TableContents"/>
              <w:bidi w:val="0"/>
              <w:spacing w:before="0" w:after="283"/>
              <w:jc w:val="left"/>
              <w:rPr>
                <w:sz w:val="4"/>
                <w:szCs w:val="4"/>
              </w:rPr>
            </w:pPr>
            <w:r>
              <w:rPr>
                <w:sz w:val="4"/>
                <w:szCs w:val="4"/>
              </w:rPr>
            </w:r>
          </w:p>
        </w:tc>
        <w:tc>
          <w:tcPr>
            <w:tcW w:w="1520" w:type="dxa"/>
            <w:gridSpan w:val="4"/>
            <w:tcBorders/>
            <w:vAlign w:val="center"/>
          </w:tcPr>
          <w:p>
            <w:pPr>
              <w:pStyle w:val="TableContents"/>
              <w:bidi w:val="0"/>
              <w:spacing w:before="0" w:after="283"/>
              <w:jc w:val="left"/>
              <w:rPr>
                <w:sz w:val="4"/>
                <w:szCs w:val="4"/>
              </w:rPr>
            </w:pPr>
            <w:r>
              <w:rPr>
                <w:sz w:val="4"/>
                <w:szCs w:val="4"/>
              </w:rPr>
            </w:r>
          </w:p>
        </w:tc>
        <w:tc>
          <w:tcPr>
            <w:tcW w:w="2509" w:type="dxa"/>
            <w:gridSpan w:val="4"/>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0"/>
              <w:jc w:val="left"/>
              <w:rPr/>
            </w:pPr>
            <w:r>
              <w:rPr/>
              <w:t> </w:t>
            </w:r>
            <w:r>
              <w:rPr>
                <w:rFonts w:ascii="arial" w:hAnsi="arial"/>
                <w:sz w:val="18"/>
              </w:rPr>
              <w:t>Peter H. Griffith</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645" w:type="dxa"/>
            <w:tcBorders/>
            <w:vAlign w:val="center"/>
          </w:tcPr>
          <w:p>
            <w:pPr>
              <w:pStyle w:val="TableContents"/>
              <w:bidi w:val="0"/>
              <w:spacing w:before="0" w:after="283"/>
              <w:jc w:val="right"/>
              <w:rPr/>
            </w:pPr>
            <w:r>
              <w:rPr/>
              <w:t>3,892</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pPr>
            <w:r>
              <w:rPr/>
              <w:t>57,970</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2018" w:type="dxa"/>
            <w:tcBorders/>
            <w:vAlign w:val="center"/>
          </w:tcPr>
          <w:p>
            <w:pPr>
              <w:pStyle w:val="TableContents"/>
              <w:bidi w:val="0"/>
              <w:spacing w:before="0" w:after="283"/>
              <w:jc w:val="right"/>
              <w:rPr/>
            </w:pPr>
            <w:r>
              <w:rPr/>
              <w:t>0  </w:t>
            </w:r>
          </w:p>
        </w:tc>
        <w:tc>
          <w:tcPr>
            <w:tcW w:w="75" w:type="dxa"/>
            <w:tcBorders/>
            <w:vAlign w:val="center"/>
          </w:tcPr>
          <w:p>
            <w:pPr>
              <w:pStyle w:val="TableContents"/>
              <w:bidi w:val="0"/>
              <w:spacing w:before="0" w:after="283"/>
              <w:jc w:val="left"/>
              <w:rPr/>
            </w:pPr>
            <w:r>
              <w:rPr/>
              <w:t> </w:t>
            </w:r>
          </w:p>
        </w:tc>
      </w:tr>
      <w:tr>
        <w:trPr/>
        <w:tc>
          <w:tcPr>
            <w:tcW w:w="1895" w:type="dxa"/>
            <w:tcBorders/>
            <w:shd w:fill="CCE2F1" w:val="clear"/>
            <w:vAlign w:val="center"/>
          </w:tcPr>
          <w:p>
            <w:pPr>
              <w:pStyle w:val="TableContents"/>
              <w:bidi w:val="0"/>
              <w:spacing w:before="0" w:after="283"/>
              <w:jc w:val="left"/>
              <w:rPr>
                <w:sz w:val="4"/>
                <w:szCs w:val="4"/>
              </w:rPr>
            </w:pPr>
            <w:r>
              <w:rPr>
                <w:sz w:val="4"/>
                <w:szCs w:val="4"/>
              </w:rPr>
            </w:r>
          </w:p>
        </w:tc>
        <w:tc>
          <w:tcPr>
            <w:tcW w:w="1970" w:type="dxa"/>
            <w:gridSpan w:val="4"/>
            <w:tcBorders/>
            <w:shd w:fill="CCE2F1" w:val="clear"/>
            <w:vAlign w:val="center"/>
          </w:tcPr>
          <w:p>
            <w:pPr>
              <w:pStyle w:val="TableContents"/>
              <w:bidi w:val="0"/>
              <w:spacing w:before="0" w:after="283"/>
              <w:jc w:val="left"/>
              <w:rPr>
                <w:sz w:val="4"/>
                <w:szCs w:val="4"/>
              </w:rPr>
            </w:pPr>
            <w:r>
              <w:rPr>
                <w:sz w:val="4"/>
                <w:szCs w:val="4"/>
              </w:rPr>
            </w:r>
          </w:p>
        </w:tc>
        <w:tc>
          <w:tcPr>
            <w:tcW w:w="1520" w:type="dxa"/>
            <w:gridSpan w:val="4"/>
            <w:tcBorders/>
            <w:shd w:fill="CCE2F1" w:val="clear"/>
            <w:vAlign w:val="center"/>
          </w:tcPr>
          <w:p>
            <w:pPr>
              <w:pStyle w:val="TableContents"/>
              <w:bidi w:val="0"/>
              <w:spacing w:before="0" w:after="283"/>
              <w:jc w:val="left"/>
              <w:rPr>
                <w:sz w:val="4"/>
                <w:szCs w:val="4"/>
              </w:rPr>
            </w:pPr>
            <w:r>
              <w:rPr>
                <w:sz w:val="4"/>
                <w:szCs w:val="4"/>
              </w:rPr>
            </w:r>
          </w:p>
        </w:tc>
        <w:tc>
          <w:tcPr>
            <w:tcW w:w="2509"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1895" w:type="dxa"/>
            <w:tcBorders>
              <w:bottom w:val="single" w:sz="8" w:space="0" w:color="0171B9"/>
            </w:tcBorders>
            <w:shd w:fill="CCE2F1" w:val="clear"/>
            <w:tcMar>
              <w:bottom w:w="60" w:type="dxa"/>
            </w:tcMar>
            <w:vAlign w:val="center"/>
          </w:tcPr>
          <w:p>
            <w:pPr>
              <w:pStyle w:val="TableContents"/>
              <w:bidi w:val="0"/>
              <w:spacing w:before="0" w:after="0"/>
              <w:jc w:val="left"/>
              <w:rPr/>
            </w:pPr>
            <w:r>
              <w:rPr/>
              <w:t> </w:t>
            </w:r>
            <w:r>
              <w:rPr>
                <w:rFonts w:ascii="arial" w:hAnsi="arial"/>
                <w:sz w:val="18"/>
              </w:rPr>
              <w:t>Esteban Santos</w:t>
            </w:r>
          </w:p>
        </w:tc>
        <w:tc>
          <w:tcPr>
            <w:tcW w:w="12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145" w:type="dxa"/>
            <w:tcBorders>
              <w:bottom w:val="single" w:sz="8" w:space="0" w:color="0171B9"/>
            </w:tcBorders>
            <w:shd w:fill="CCE2F1" w:val="clear"/>
            <w:tcMar>
              <w:bottom w:w="60" w:type="dxa"/>
            </w:tcMar>
            <w:vAlign w:val="center"/>
          </w:tcPr>
          <w:p>
            <w:pPr>
              <w:pStyle w:val="TableContents"/>
              <w:bidi w:val="0"/>
              <w:spacing w:before="0" w:after="283"/>
              <w:jc w:val="left"/>
              <w:rPr/>
            </w:pPr>
            <w:r>
              <w:rPr/>
              <w:t> </w:t>
            </w:r>
          </w:p>
        </w:tc>
        <w:tc>
          <w:tcPr>
            <w:tcW w:w="1645" w:type="dxa"/>
            <w:tcBorders>
              <w:bottom w:val="single" w:sz="8" w:space="0" w:color="0171B9"/>
            </w:tcBorders>
            <w:shd w:fill="CCE2F1" w:val="clear"/>
            <w:tcMar>
              <w:bottom w:w="60" w:type="dxa"/>
            </w:tcMar>
            <w:vAlign w:val="center"/>
          </w:tcPr>
          <w:p>
            <w:pPr>
              <w:pStyle w:val="TableContents"/>
              <w:bidi w:val="0"/>
              <w:spacing w:before="0" w:after="283"/>
              <w:jc w:val="right"/>
              <w:rPr/>
            </w:pPr>
            <w:r>
              <w:rPr/>
              <w:t>3,998</w:t>
            </w:r>
          </w:p>
        </w:tc>
        <w:tc>
          <w:tcPr>
            <w:tcW w:w="60" w:type="dxa"/>
            <w:tcBorders>
              <w:bottom w:val="single" w:sz="8" w:space="0" w:color="0171B9"/>
            </w:tcBorders>
            <w:shd w:fill="CCE2F1" w:val="clear"/>
            <w:tcMar>
              <w:bottom w:w="60" w:type="dxa"/>
            </w:tcMar>
            <w:vAlign w:val="center"/>
          </w:tcPr>
          <w:p>
            <w:pPr>
              <w:pStyle w:val="TableContents"/>
              <w:bidi w:val="0"/>
              <w:spacing w:before="0" w:after="283"/>
              <w:jc w:val="left"/>
              <w:rPr/>
            </w:pPr>
            <w:r>
              <w:rPr/>
              <w:t> </w:t>
            </w:r>
          </w:p>
        </w:tc>
        <w:tc>
          <w:tcPr>
            <w:tcW w:w="24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85" w:type="dxa"/>
            <w:tcBorders>
              <w:bottom w:val="single" w:sz="8" w:space="0" w:color="0171B9"/>
            </w:tcBorders>
            <w:shd w:fill="CCE2F1" w:val="clear"/>
            <w:tcMar>
              <w:bottom w:w="60" w:type="dxa"/>
            </w:tcMar>
            <w:vAlign w:val="center"/>
          </w:tcPr>
          <w:p>
            <w:pPr>
              <w:pStyle w:val="TableContents"/>
              <w:bidi w:val="0"/>
              <w:spacing w:before="0" w:after="283"/>
              <w:jc w:val="left"/>
              <w:rPr/>
            </w:pPr>
            <w:r>
              <w:rPr/>
              <w:t> </w:t>
            </w:r>
          </w:p>
        </w:tc>
        <w:tc>
          <w:tcPr>
            <w:tcW w:w="1135" w:type="dxa"/>
            <w:tcBorders>
              <w:bottom w:val="single" w:sz="8" w:space="0" w:color="0171B9"/>
            </w:tcBorders>
            <w:shd w:fill="CCE2F1" w:val="clear"/>
            <w:tcMar>
              <w:bottom w:w="60" w:type="dxa"/>
            </w:tcMar>
            <w:vAlign w:val="center"/>
          </w:tcPr>
          <w:p>
            <w:pPr>
              <w:pStyle w:val="TableContents"/>
              <w:bidi w:val="0"/>
              <w:spacing w:before="0" w:after="283"/>
              <w:jc w:val="right"/>
              <w:rPr/>
            </w:pPr>
            <w:r>
              <w:rPr/>
              <w:t>158,820</w:t>
            </w:r>
          </w:p>
        </w:tc>
        <w:tc>
          <w:tcPr>
            <w:tcW w:w="60" w:type="dxa"/>
            <w:tcBorders>
              <w:bottom w:val="single" w:sz="8" w:space="0" w:color="0171B9"/>
            </w:tcBorders>
            <w:shd w:fill="CCE2F1" w:val="clear"/>
            <w:tcMar>
              <w:bottom w:w="60" w:type="dxa"/>
            </w:tcMar>
            <w:vAlign w:val="center"/>
          </w:tcPr>
          <w:p>
            <w:pPr>
              <w:pStyle w:val="TableContents"/>
              <w:bidi w:val="0"/>
              <w:spacing w:before="0" w:after="283"/>
              <w:jc w:val="left"/>
              <w:rPr/>
            </w:pPr>
            <w:r>
              <w:rPr/>
              <w:t> </w:t>
            </w:r>
          </w:p>
        </w:tc>
        <w:tc>
          <w:tcPr>
            <w:tcW w:w="24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176" w:type="dxa"/>
            <w:tcBorders>
              <w:bottom w:val="single" w:sz="8" w:space="0" w:color="0171B9"/>
            </w:tcBorders>
            <w:shd w:fill="CCE2F1" w:val="clear"/>
            <w:tcMar>
              <w:bottom w:w="60" w:type="dxa"/>
            </w:tcMar>
            <w:vAlign w:val="center"/>
          </w:tcPr>
          <w:p>
            <w:pPr>
              <w:pStyle w:val="TableContents"/>
              <w:bidi w:val="0"/>
              <w:spacing w:before="0" w:after="283"/>
              <w:jc w:val="left"/>
              <w:rPr/>
            </w:pPr>
            <w:r>
              <w:rPr/>
              <w:t> </w:t>
            </w:r>
          </w:p>
        </w:tc>
        <w:tc>
          <w:tcPr>
            <w:tcW w:w="2018" w:type="dxa"/>
            <w:tcBorders>
              <w:bottom w:val="single" w:sz="8" w:space="0" w:color="0171B9"/>
            </w:tcBorders>
            <w:shd w:fill="CCE2F1" w:val="clear"/>
            <w:tcMar>
              <w:bottom w:w="60" w:type="dxa"/>
            </w:tcMar>
            <w:vAlign w:val="center"/>
          </w:tcPr>
          <w:p>
            <w:pPr>
              <w:pStyle w:val="TableContents"/>
              <w:bidi w:val="0"/>
              <w:spacing w:before="0" w:after="283"/>
              <w:jc w:val="right"/>
              <w:rPr/>
            </w:pPr>
            <w:r>
              <w:rPr/>
              <w:t>0  </w:t>
            </w:r>
          </w:p>
        </w:tc>
        <w:tc>
          <w:tcPr>
            <w:tcW w:w="75" w:type="dxa"/>
            <w:tcBorders>
              <w:bottom w:val="single" w:sz="8" w:space="0" w:color="0171B9"/>
            </w:tcBorders>
            <w:shd w:fill="CCE2F1" w:val="clear"/>
            <w:tcMar>
              <w:bottom w:w="6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685" w:type="dxa"/>
        <w:jc w:val="left"/>
        <w:tblInd w:w="0" w:type="dxa"/>
        <w:tblLayout w:type="fixed"/>
        <w:tblCellMar>
          <w:top w:w="0" w:type="dxa"/>
          <w:left w:w="0" w:type="dxa"/>
          <w:bottom w:w="0" w:type="dxa"/>
          <w:right w:w="0" w:type="dxa"/>
        </w:tblCellMar>
      </w:tblPr>
      <w:tblGrid>
        <w:gridCol w:w="365"/>
        <w:gridCol w:w="3320"/>
      </w:tblGrid>
      <w:tr>
        <w:trPr/>
        <w:tc>
          <w:tcPr>
            <w:tcW w:w="365" w:type="dxa"/>
            <w:tcBorders/>
            <w:vAlign w:val="center"/>
          </w:tcPr>
          <w:p>
            <w:pPr>
              <w:pStyle w:val="TableContents"/>
              <w:bidi w:val="0"/>
              <w:spacing w:before="0" w:after="283"/>
              <w:jc w:val="left"/>
              <w:rPr/>
            </w:pPr>
            <w:r>
              <w:rPr/>
              <w:t>(4) </w:t>
            </w:r>
          </w:p>
        </w:tc>
        <w:tc>
          <w:tcPr>
            <w:tcW w:w="3320" w:type="dxa"/>
            <w:tcBorders/>
            <w:vAlign w:val="center"/>
          </w:tcPr>
          <w:p>
            <w:pPr>
              <w:pStyle w:val="TableContents"/>
              <w:bidi w:val="0"/>
              <w:spacing w:before="0" w:after="0"/>
              <w:jc w:val="both"/>
              <w:rPr>
                <w:rFonts w:ascii="arial" w:hAnsi="arial"/>
                <w:sz w:val="16"/>
              </w:rPr>
            </w:pPr>
            <w:r>
              <w:rPr>
                <w:rFonts w:ascii="arial" w:hAnsi="arial"/>
                <w:sz w:val="16"/>
              </w:rPr>
              <w:t xml:space="preserve">Shares held through the Holley Family Trust. </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(5) </w:t>
            </w:r>
          </w:p>
        </w:tc>
        <w:tc>
          <w:tcPr>
            <w:tcW w:w="9951" w:type="dxa"/>
            <w:tcBorders/>
            <w:vAlign w:val="center"/>
          </w:tcPr>
          <w:p>
            <w:pPr>
              <w:pStyle w:val="TableContents"/>
              <w:bidi w:val="0"/>
              <w:spacing w:before="0" w:after="0"/>
              <w:jc w:val="both"/>
              <w:rPr>
                <w:rFonts w:ascii="arial" w:hAnsi="arial"/>
                <w:sz w:val="16"/>
              </w:rPr>
            </w:pPr>
            <w:r>
              <w:rPr>
                <w:rFonts w:ascii="arial" w:hAnsi="arial"/>
                <w:sz w:val="16"/>
              </w:rPr>
              <w:t xml:space="preserve">Includes 257,709 shares (excluding fractional shares) held by the five executive officers who are not NEOs and who have a right to acquire such shares upon the vesting of RSUs that have not been deferred to a date later than 60 days after April 1, 2024, or upon exercise of vested stock options as of April 1, 2024, or within 60 days thereafter. All current directors, NEOs, and executive officers as a group have the right to acquire a total of 36,287 shares upon vesting of RSUs, and related dividend equivalents, where the shares are issuable as of April 1, 2024, or within 60 days thereafter and 1,370,631 shares upon exercise of stock options that are vested as of April 1, 2024, or within 60 days thereafter. </w:t>
            </w:r>
          </w:p>
        </w:tc>
      </w:tr>
    </w:tbl>
    <w:tbl>
      <w:tblPr>
        <w:tblW w:w="6520" w:type="dxa"/>
        <w:jc w:val="left"/>
        <w:tblInd w:w="0" w:type="dxa"/>
        <w:tblLayout w:type="fixed"/>
        <w:tblCellMar>
          <w:top w:w="0" w:type="dxa"/>
          <w:left w:w="0" w:type="dxa"/>
          <w:bottom w:w="0" w:type="dxa"/>
          <w:right w:w="0" w:type="dxa"/>
        </w:tblCellMar>
      </w:tblPr>
      <w:tblGrid>
        <w:gridCol w:w="365"/>
        <w:gridCol w:w="6155"/>
      </w:tblGrid>
      <w:tr>
        <w:trPr/>
        <w:tc>
          <w:tcPr>
            <w:tcW w:w="365" w:type="dxa"/>
            <w:tcBorders/>
            <w:vAlign w:val="center"/>
          </w:tcPr>
          <w:p>
            <w:pPr>
              <w:pStyle w:val="TableContents"/>
              <w:bidi w:val="0"/>
              <w:spacing w:before="0" w:after="283"/>
              <w:jc w:val="left"/>
              <w:rPr/>
            </w:pPr>
            <w:r>
              <w:rPr/>
              <w:t>(6) </w:t>
            </w:r>
          </w:p>
        </w:tc>
        <w:tc>
          <w:tcPr>
            <w:tcW w:w="6155" w:type="dxa"/>
            <w:tcBorders/>
            <w:vAlign w:val="center"/>
          </w:tcPr>
          <w:p>
            <w:pPr>
              <w:pStyle w:val="TableContents"/>
              <w:bidi w:val="0"/>
              <w:spacing w:before="0" w:after="0"/>
              <w:jc w:val="both"/>
              <w:rPr>
                <w:rFonts w:ascii="arial" w:hAnsi="arial"/>
                <w:sz w:val="16"/>
              </w:rPr>
            </w:pPr>
            <w:r>
              <w:rPr>
                <w:rFonts w:ascii="arial" w:hAnsi="arial"/>
                <w:sz w:val="16"/>
              </w:rPr>
              <w:t xml:space="preserve">Excludes fractional shares which are paid out in cash on the applicable payout date. </w:t>
            </w:r>
          </w:p>
        </w:tc>
      </w:tr>
    </w:tbl>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396"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Image186" descr=""/>
                    <pic:cNvPicPr>
                      <a:picLocks noChangeAspect="1" noChangeArrowheads="1"/>
                    </pic:cNvPicPr>
                  </pic:nvPicPr>
                  <pic:blipFill>
                    <a:blip r:embed="rId199"/>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119</w:t>
      </w:r>
      <w:r>
        <w:rPr>
          <w:rFonts w:ascii="arial" w:hAnsi="arial"/>
          <w:b/>
          <w:sz w:val="22"/>
        </w:rPr>
        <w:t xml:space="preserve"> </w:t>
      </w:r>
      <w:r>
        <w:br w:type="page"/>
      </w:r>
    </w:p>
    <w:p>
      <w:pPr>
        <w:pStyle w:val="HorizontalLine"/>
        <w:bidi w:val="0"/>
        <w:jc w:val="left"/>
        <w:rPr/>
      </w:pPr>
      <w:r>
        <w:rPr/>
      </w:r>
    </w:p>
    <w:tbl>
      <w:tblPr>
        <w:tblW w:w="602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554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554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Security Ownership of Certain Beneficial Owners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171B9"/>
          <w:sz w:val="44"/>
        </w:rPr>
      </w:pPr>
      <w:bookmarkStart w:id="64" w:name="toc445034_48"/>
      <w:bookmarkEnd w:id="64"/>
      <w:r>
        <w:rPr>
          <w:rFonts w:ascii="arial" w:hAnsi="arial"/>
          <w:b/>
          <w:color w:val="0171B9"/>
          <w:sz w:val="44"/>
        </w:rPr>
        <w:t xml:space="preserve">Security Ownership of Certain Beneficial Owners </w:t>
      </w:r>
    </w:p>
    <w:p>
      <w:pPr>
        <w:pStyle w:val="TextBody"/>
        <w:bidi w:val="0"/>
        <w:spacing w:before="240" w:after="0"/>
        <w:jc w:val="both"/>
        <w:rPr>
          <w:rFonts w:ascii="arial" w:hAnsi="arial"/>
          <w:sz w:val="19"/>
        </w:rPr>
      </w:pPr>
      <w:r>
        <w:rPr>
          <w:rFonts w:ascii="arial" w:hAnsi="arial"/>
          <w:sz w:val="19"/>
        </w:rPr>
        <w:t xml:space="preserve">The following table shows the number of shares of our Common Stock owned by each person or entity known to the Company to be the beneficial owners of more than 5% of our Common Stock as of April 1, 2024, based on a review of publicly available statements of beneficial ownership filed with the SEC on Schedules 13D and 13G through April 1, 2024. </w:t>
      </w:r>
    </w:p>
    <w:p>
      <w:pPr>
        <w:pStyle w:val="TextBody"/>
        <w:bidi w:val="0"/>
        <w:spacing w:before="0" w:after="0"/>
        <w:jc w:val="left"/>
        <w:rPr/>
      </w:pPr>
      <w:r>
        <w:rPr/>
        <w:t> </w:t>
      </w:r>
    </w:p>
    <w:tbl>
      <w:tblPr>
        <w:tblW w:w="7934" w:type="dxa"/>
        <w:jc w:val="left"/>
        <w:tblInd w:w="0" w:type="dxa"/>
        <w:tblLayout w:type="fixed"/>
        <w:tblCellMar>
          <w:top w:w="0" w:type="dxa"/>
          <w:left w:w="0" w:type="dxa"/>
          <w:bottom w:w="0" w:type="dxa"/>
          <w:right w:w="0" w:type="dxa"/>
        </w:tblCellMar>
      </w:tblPr>
      <w:tblGrid>
        <w:gridCol w:w="4175"/>
        <w:gridCol w:w="120"/>
        <w:gridCol w:w="81"/>
        <w:gridCol w:w="1499"/>
        <w:gridCol w:w="60"/>
        <w:gridCol w:w="240"/>
        <w:gridCol w:w="255"/>
        <w:gridCol w:w="1429"/>
        <w:gridCol w:w="75"/>
      </w:tblGrid>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175" w:type="dxa"/>
            <w:tcBorders/>
            <w:shd w:fill="0171B9" w:val="clear"/>
            <w:vAlign w:val="center"/>
          </w:tcPr>
          <w:p>
            <w:pPr>
              <w:pStyle w:val="TableContents"/>
              <w:bidi w:val="0"/>
              <w:spacing w:before="0" w:after="283"/>
              <w:jc w:val="left"/>
              <w:rPr/>
            </w:pPr>
            <w:r>
              <w:rPr/>
              <w:t> </w:t>
            </w:r>
          </w:p>
        </w:tc>
        <w:tc>
          <w:tcPr>
            <w:tcW w:w="120" w:type="dxa"/>
            <w:tcBorders/>
            <w:shd w:fill="0171B9" w:val="clear"/>
            <w:vAlign w:val="center"/>
          </w:tcPr>
          <w:p>
            <w:pPr>
              <w:pStyle w:val="TableContents"/>
              <w:bidi w:val="0"/>
              <w:spacing w:before="0" w:after="283"/>
              <w:jc w:val="left"/>
              <w:rPr/>
            </w:pPr>
            <w:r>
              <w:rPr/>
              <w:t>  </w:t>
            </w:r>
          </w:p>
        </w:tc>
        <w:tc>
          <w:tcPr>
            <w:tcW w:w="3564" w:type="dxa"/>
            <w:gridSpan w:val="6"/>
            <w:tcBorders>
              <w:bottom w:val="single" w:sz="8" w:space="0" w:color="FFFFFF"/>
            </w:tcBorders>
            <w:shd w:fill="0171B9"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Common Stock</w:t>
              <w:br/>
              <w:t>Beneficially Owned</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283"/>
              <w:jc w:val="left"/>
              <w:rPr/>
            </w:pPr>
            <w:r>
              <w:rPr/>
              <w:t> </w:t>
            </w:r>
          </w:p>
        </w:tc>
      </w:tr>
      <w:tr>
        <w:trPr/>
        <w:tc>
          <w:tcPr>
            <w:tcW w:w="4175" w:type="dxa"/>
            <w:tcBorders>
              <w:bottom w:val="single" w:sz="8" w:space="0" w:color="FFFFFF"/>
            </w:tcBorders>
            <w:shd w:fill="0171B9" w:val="clear"/>
            <w:tcMar>
              <w:bottom w:w="28" w:type="dxa"/>
            </w:tcMar>
            <w:vAlign w:val="center"/>
          </w:tcPr>
          <w:p>
            <w:pPr>
              <w:pStyle w:val="TableContents"/>
              <w:bidi w:val="0"/>
              <w:spacing w:before="0" w:after="283"/>
              <w:jc w:val="left"/>
              <w:rPr>
                <w:color w:val="FFFFFF"/>
              </w:rPr>
            </w:pPr>
            <w:r>
              <w:rPr>
                <w:color w:val="FFFFFF"/>
              </w:rPr>
              <w:t> </w:t>
            </w:r>
            <w:r>
              <w:rPr>
                <w:b/>
                <w:color w:val="FFFFFF"/>
              </w:rPr>
              <w:t>Name and Address of Beneficial Owner</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580" w:type="dxa"/>
            <w:gridSpan w:val="2"/>
            <w:tcBorders>
              <w:bottom w:val="single" w:sz="8" w:space="0" w:color="FFFFFF"/>
            </w:tcBorders>
            <w:shd w:fill="0171B9"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Number of Shares</w:t>
            </w:r>
          </w:p>
          <w:p>
            <w:pPr>
              <w:pStyle w:val="TableContents"/>
              <w:bidi w:val="0"/>
              <w:spacing w:before="0" w:after="20"/>
              <w:jc w:val="left"/>
              <w:rPr/>
            </w:pPr>
            <w:r>
              <w:rPr/>
              <w:t> </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24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684" w:type="dxa"/>
            <w:gridSpan w:val="2"/>
            <w:tcBorders>
              <w:bottom w:val="single" w:sz="8" w:space="0" w:color="FFFFFF"/>
            </w:tcBorders>
            <w:shd w:fill="0171B9"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Percent of Total(1) </w:t>
            </w:r>
          </w:p>
          <w:p>
            <w:pPr>
              <w:pStyle w:val="TableContents"/>
              <w:bidi w:val="0"/>
              <w:spacing w:before="0" w:after="20"/>
              <w:jc w:val="left"/>
              <w:rPr/>
            </w:pPr>
            <w:r>
              <w:rPr/>
              <w:t> </w:t>
            </w:r>
          </w:p>
        </w:tc>
        <w:tc>
          <w:tcPr>
            <w:tcW w:w="75"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r>
      <w:tr>
        <w:trPr/>
        <w:tc>
          <w:tcPr>
            <w:tcW w:w="4175" w:type="dxa"/>
            <w:tcBorders/>
            <w:shd w:fill="CCE2F1" w:val="clear"/>
            <w:vAlign w:val="center"/>
          </w:tcPr>
          <w:p>
            <w:pPr>
              <w:pStyle w:val="TableContents"/>
              <w:bidi w:val="0"/>
              <w:spacing w:before="0" w:after="283"/>
              <w:jc w:val="left"/>
              <w:rPr>
                <w:sz w:val="4"/>
                <w:szCs w:val="4"/>
              </w:rPr>
            </w:pPr>
            <w:r>
              <w:rPr>
                <w:sz w:val="4"/>
                <w:szCs w:val="4"/>
              </w:rPr>
            </w:r>
          </w:p>
        </w:tc>
        <w:tc>
          <w:tcPr>
            <w:tcW w:w="1760" w:type="dxa"/>
            <w:gridSpan w:val="4"/>
            <w:tcBorders/>
            <w:shd w:fill="CCE2F1" w:val="clear"/>
            <w:vAlign w:val="center"/>
          </w:tcPr>
          <w:p>
            <w:pPr>
              <w:pStyle w:val="TableContents"/>
              <w:bidi w:val="0"/>
              <w:spacing w:before="0" w:after="283"/>
              <w:jc w:val="left"/>
              <w:rPr>
                <w:sz w:val="4"/>
                <w:szCs w:val="4"/>
              </w:rPr>
            </w:pPr>
            <w:r>
              <w:rPr>
                <w:sz w:val="4"/>
                <w:szCs w:val="4"/>
              </w:rPr>
            </w:r>
          </w:p>
        </w:tc>
        <w:tc>
          <w:tcPr>
            <w:tcW w:w="1999"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4175" w:type="dxa"/>
            <w:tcBorders/>
            <w:shd w:fill="CCE2F1" w:val="clear"/>
            <w:vAlign w:val="center"/>
          </w:tcPr>
          <w:p>
            <w:pPr>
              <w:pStyle w:val="TableContents"/>
              <w:bidi w:val="0"/>
              <w:spacing w:before="0" w:after="0"/>
              <w:jc w:val="left"/>
              <w:rPr/>
            </w:pPr>
            <w:r>
              <w:rPr/>
              <w:t> </w:t>
            </w:r>
            <w:r>
              <w:rPr>
                <w:rFonts w:ascii="arial" w:hAnsi="arial"/>
                <w:sz w:val="18"/>
              </w:rPr>
              <w:t>The Vanguard Group(2)</w:t>
            </w:r>
          </w:p>
          <w:p>
            <w:pPr>
              <w:pStyle w:val="TableContents"/>
              <w:bidi w:val="0"/>
              <w:spacing w:before="0" w:after="0"/>
              <w:jc w:val="left"/>
              <w:rPr/>
            </w:pPr>
            <w:r>
              <w:rPr/>
              <w:t> </w:t>
            </w:r>
            <w:r>
              <w:rPr>
                <w:rFonts w:ascii="arial" w:hAnsi="arial"/>
                <w:sz w:val="18"/>
              </w:rPr>
              <w:t>100 Vanguard Blvd.</w:t>
            </w:r>
          </w:p>
          <w:p>
            <w:pPr>
              <w:pStyle w:val="TableContents"/>
              <w:bidi w:val="0"/>
              <w:spacing w:before="0" w:after="20"/>
              <w:jc w:val="left"/>
              <w:rPr/>
            </w:pPr>
            <w:r>
              <w:rPr/>
              <w:t> </w:t>
            </w:r>
            <w:r>
              <w:rPr>
                <w:rFonts w:ascii="arial" w:hAnsi="arial"/>
                <w:sz w:val="18"/>
              </w:rPr>
              <w:t>Malvern, PA 19355</w:t>
            </w:r>
          </w:p>
        </w:tc>
        <w:tc>
          <w:tcPr>
            <w:tcW w:w="120" w:type="dxa"/>
            <w:tcBorders/>
            <w:shd w:fill="CCE2F1" w:val="clear"/>
            <w:vAlign w:val="center"/>
          </w:tcPr>
          <w:p>
            <w:pPr>
              <w:pStyle w:val="TableContents"/>
              <w:bidi w:val="0"/>
              <w:spacing w:before="0" w:after="283"/>
              <w:jc w:val="left"/>
              <w:rPr/>
            </w:pPr>
            <w:r>
              <w:rPr/>
              <w:t>  </w:t>
            </w:r>
          </w:p>
        </w:tc>
        <w:tc>
          <w:tcPr>
            <w:tcW w:w="81" w:type="dxa"/>
            <w:tcBorders/>
            <w:shd w:fill="CCE2F1" w:val="clear"/>
            <w:vAlign w:val="center"/>
          </w:tcPr>
          <w:p>
            <w:pPr>
              <w:pStyle w:val="TableContents"/>
              <w:bidi w:val="0"/>
              <w:spacing w:before="0" w:after="283"/>
              <w:jc w:val="left"/>
              <w:rPr/>
            </w:pPr>
            <w:r>
              <w:rPr/>
              <w:t> </w:t>
            </w:r>
          </w:p>
        </w:tc>
        <w:tc>
          <w:tcPr>
            <w:tcW w:w="1499" w:type="dxa"/>
            <w:tcBorders/>
            <w:shd w:fill="CCE2F1" w:val="clear"/>
            <w:vAlign w:val="center"/>
          </w:tcPr>
          <w:p>
            <w:pPr>
              <w:pStyle w:val="TableContents"/>
              <w:bidi w:val="0"/>
              <w:spacing w:before="0" w:after="283"/>
              <w:jc w:val="right"/>
              <w:rPr/>
            </w:pPr>
            <w:r>
              <w:rPr/>
              <w:t>49,036,311</w:t>
            </w:r>
          </w:p>
        </w:tc>
        <w:tc>
          <w:tcPr>
            <w:tcW w:w="60" w:type="dxa"/>
            <w:tcBorders/>
            <w:shd w:fill="CCE2F1" w:val="clear"/>
            <w:vAlign w:val="center"/>
          </w:tcPr>
          <w:p>
            <w:pPr>
              <w:pStyle w:val="TableContents"/>
              <w:bidi w:val="0"/>
              <w:spacing w:before="0" w:after="283"/>
              <w:jc w:val="left"/>
              <w:rPr/>
            </w:pPr>
            <w:r>
              <w:rPr/>
              <w:t> </w:t>
            </w:r>
          </w:p>
        </w:tc>
        <w:tc>
          <w:tcPr>
            <w:tcW w:w="240" w:type="dxa"/>
            <w:tcBorders/>
            <w:shd w:fill="CCE2F1" w:val="clear"/>
            <w:vAlign w:val="center"/>
          </w:tcPr>
          <w:p>
            <w:pPr>
              <w:pStyle w:val="TableContents"/>
              <w:bidi w:val="0"/>
              <w:spacing w:before="0" w:after="283"/>
              <w:jc w:val="left"/>
              <w:rPr/>
            </w:pPr>
            <w:r>
              <w:rPr/>
              <w:t>    </w:t>
            </w:r>
          </w:p>
        </w:tc>
        <w:tc>
          <w:tcPr>
            <w:tcW w:w="255" w:type="dxa"/>
            <w:tcBorders/>
            <w:shd w:fill="CCE2F1" w:val="clear"/>
            <w:vAlign w:val="center"/>
          </w:tcPr>
          <w:p>
            <w:pPr>
              <w:pStyle w:val="TableContents"/>
              <w:bidi w:val="0"/>
              <w:spacing w:before="0" w:after="283"/>
              <w:jc w:val="left"/>
              <w:rPr/>
            </w:pPr>
            <w:r>
              <w:rPr/>
              <w:t> </w:t>
            </w:r>
          </w:p>
        </w:tc>
        <w:tc>
          <w:tcPr>
            <w:tcW w:w="1429" w:type="dxa"/>
            <w:tcBorders/>
            <w:shd w:fill="CCE2F1" w:val="clear"/>
            <w:vAlign w:val="center"/>
          </w:tcPr>
          <w:p>
            <w:pPr>
              <w:pStyle w:val="TableContents"/>
              <w:bidi w:val="0"/>
              <w:spacing w:before="0" w:after="283"/>
              <w:jc w:val="right"/>
              <w:rPr/>
            </w:pPr>
            <w:r>
              <w:rPr/>
              <w:t>9.1% </w:t>
            </w:r>
          </w:p>
        </w:tc>
        <w:tc>
          <w:tcPr>
            <w:tcW w:w="75" w:type="dxa"/>
            <w:tcBorders/>
            <w:shd w:fill="CCE2F1" w:val="clear"/>
            <w:vAlign w:val="center"/>
          </w:tcPr>
          <w:p>
            <w:pPr>
              <w:pStyle w:val="TableContents"/>
              <w:bidi w:val="0"/>
              <w:spacing w:before="0" w:after="283"/>
              <w:jc w:val="left"/>
              <w:rPr>
                <w:sz w:val="4"/>
                <w:szCs w:val="4"/>
              </w:rPr>
            </w:pPr>
            <w:r>
              <w:rPr>
                <w:sz w:val="4"/>
                <w:szCs w:val="4"/>
              </w:rPr>
            </w:r>
          </w:p>
        </w:tc>
      </w:tr>
      <w:tr>
        <w:trPr/>
        <w:tc>
          <w:tcPr>
            <w:tcW w:w="4175" w:type="dxa"/>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c>
          <w:tcPr>
            <w:tcW w:w="1999" w:type="dxa"/>
            <w:gridSpan w:val="4"/>
            <w:tcBorders/>
            <w:vAlign w:val="center"/>
          </w:tcPr>
          <w:p>
            <w:pPr>
              <w:pStyle w:val="TableContents"/>
              <w:bidi w:val="0"/>
              <w:spacing w:before="0" w:after="283"/>
              <w:jc w:val="left"/>
              <w:rPr>
                <w:sz w:val="4"/>
                <w:szCs w:val="4"/>
              </w:rPr>
            </w:pPr>
            <w:r>
              <w:rPr>
                <w:sz w:val="4"/>
                <w:szCs w:val="4"/>
              </w:rPr>
            </w:r>
          </w:p>
        </w:tc>
      </w:tr>
      <w:tr>
        <w:trPr/>
        <w:tc>
          <w:tcPr>
            <w:tcW w:w="4175" w:type="dxa"/>
            <w:tcBorders/>
            <w:vAlign w:val="center"/>
          </w:tcPr>
          <w:p>
            <w:pPr>
              <w:pStyle w:val="TableContents"/>
              <w:bidi w:val="0"/>
              <w:spacing w:before="0" w:after="0"/>
              <w:jc w:val="left"/>
              <w:rPr/>
            </w:pPr>
            <w:r>
              <w:rPr/>
              <w:t> </w:t>
            </w:r>
            <w:r>
              <w:rPr>
                <w:rFonts w:ascii="arial" w:hAnsi="arial"/>
                <w:sz w:val="18"/>
              </w:rPr>
              <w:t>BlackRock, Inc.(3)</w:t>
            </w:r>
          </w:p>
          <w:p>
            <w:pPr>
              <w:pStyle w:val="TableContents"/>
              <w:bidi w:val="0"/>
              <w:spacing w:before="0" w:after="0"/>
              <w:jc w:val="left"/>
              <w:rPr/>
            </w:pPr>
            <w:r>
              <w:rPr/>
              <w:t> </w:t>
            </w:r>
            <w:r>
              <w:rPr>
                <w:rFonts w:ascii="arial" w:hAnsi="arial"/>
                <w:sz w:val="18"/>
              </w:rPr>
              <w:t>50 Hudson Yards</w:t>
            </w:r>
          </w:p>
          <w:p>
            <w:pPr>
              <w:pStyle w:val="TableContents"/>
              <w:bidi w:val="0"/>
              <w:spacing w:before="0" w:after="20"/>
              <w:jc w:val="left"/>
              <w:rPr/>
            </w:pPr>
            <w:r>
              <w:rPr/>
              <w:t> </w:t>
            </w:r>
            <w:r>
              <w:rPr>
                <w:rFonts w:ascii="arial" w:hAnsi="arial"/>
                <w:sz w:val="18"/>
              </w:rPr>
              <w:t>New York, NY 10001</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499" w:type="dxa"/>
            <w:tcBorders/>
            <w:vAlign w:val="center"/>
          </w:tcPr>
          <w:p>
            <w:pPr>
              <w:pStyle w:val="TableContents"/>
              <w:bidi w:val="0"/>
              <w:spacing w:before="0" w:after="283"/>
              <w:jc w:val="right"/>
              <w:rPr/>
            </w:pPr>
            <w:r>
              <w:rPr/>
              <w:t>47,811,356</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429" w:type="dxa"/>
            <w:tcBorders/>
            <w:vAlign w:val="center"/>
          </w:tcPr>
          <w:p>
            <w:pPr>
              <w:pStyle w:val="TableContents"/>
              <w:bidi w:val="0"/>
              <w:spacing w:before="0" w:after="283"/>
              <w:jc w:val="right"/>
              <w:rPr/>
            </w:pPr>
            <w:r>
              <w:rPr/>
              <w:t>8.9% </w:t>
            </w:r>
          </w:p>
        </w:tc>
        <w:tc>
          <w:tcPr>
            <w:tcW w:w="75" w:type="dxa"/>
            <w:tcBorders/>
            <w:vAlign w:val="center"/>
          </w:tcPr>
          <w:p>
            <w:pPr>
              <w:pStyle w:val="TableContents"/>
              <w:bidi w:val="0"/>
              <w:spacing w:before="0" w:after="283"/>
              <w:jc w:val="left"/>
              <w:rPr>
                <w:sz w:val="4"/>
                <w:szCs w:val="4"/>
              </w:rPr>
            </w:pPr>
            <w:r>
              <w:rPr>
                <w:sz w:val="4"/>
                <w:szCs w:val="4"/>
              </w:rPr>
            </w:r>
          </w:p>
        </w:tc>
      </w:tr>
      <w:tr>
        <w:trPr/>
        <w:tc>
          <w:tcPr>
            <w:tcW w:w="4175" w:type="dxa"/>
            <w:tcBorders/>
            <w:shd w:fill="CCE2F1" w:val="clear"/>
            <w:vAlign w:val="center"/>
          </w:tcPr>
          <w:p>
            <w:pPr>
              <w:pStyle w:val="TableContents"/>
              <w:bidi w:val="0"/>
              <w:spacing w:before="0" w:after="283"/>
              <w:jc w:val="left"/>
              <w:rPr>
                <w:sz w:val="4"/>
                <w:szCs w:val="4"/>
              </w:rPr>
            </w:pPr>
            <w:r>
              <w:rPr>
                <w:sz w:val="4"/>
                <w:szCs w:val="4"/>
              </w:rPr>
            </w:r>
          </w:p>
        </w:tc>
        <w:tc>
          <w:tcPr>
            <w:tcW w:w="1760" w:type="dxa"/>
            <w:gridSpan w:val="4"/>
            <w:tcBorders/>
            <w:shd w:fill="CCE2F1" w:val="clear"/>
            <w:vAlign w:val="center"/>
          </w:tcPr>
          <w:p>
            <w:pPr>
              <w:pStyle w:val="TableContents"/>
              <w:bidi w:val="0"/>
              <w:spacing w:before="0" w:after="283"/>
              <w:jc w:val="left"/>
              <w:rPr>
                <w:sz w:val="4"/>
                <w:szCs w:val="4"/>
              </w:rPr>
            </w:pPr>
            <w:r>
              <w:rPr>
                <w:sz w:val="4"/>
                <w:szCs w:val="4"/>
              </w:rPr>
            </w:r>
          </w:p>
        </w:tc>
        <w:tc>
          <w:tcPr>
            <w:tcW w:w="1999"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4175" w:type="dxa"/>
            <w:tcBorders>
              <w:bottom w:val="single" w:sz="8" w:space="0" w:color="0171B9"/>
            </w:tcBorders>
            <w:shd w:fill="CCE2F1" w:val="clear"/>
            <w:tcMar>
              <w:bottom w:w="40" w:type="dxa"/>
            </w:tcMar>
            <w:vAlign w:val="center"/>
          </w:tcPr>
          <w:p>
            <w:pPr>
              <w:pStyle w:val="TableContents"/>
              <w:bidi w:val="0"/>
              <w:spacing w:before="0" w:after="0"/>
              <w:jc w:val="left"/>
              <w:rPr/>
            </w:pPr>
            <w:r>
              <w:rPr/>
              <w:t> </w:t>
            </w:r>
            <w:r>
              <w:rPr>
                <w:rFonts w:ascii="arial" w:hAnsi="arial"/>
                <w:sz w:val="18"/>
              </w:rPr>
              <w:t>State Street Corporation(4)</w:t>
            </w:r>
          </w:p>
          <w:p>
            <w:pPr>
              <w:pStyle w:val="TableContents"/>
              <w:bidi w:val="0"/>
              <w:spacing w:before="0" w:after="0"/>
              <w:jc w:val="left"/>
              <w:rPr/>
            </w:pPr>
            <w:r>
              <w:rPr/>
              <w:t> </w:t>
            </w:r>
            <w:r>
              <w:rPr>
                <w:rFonts w:ascii="arial" w:hAnsi="arial"/>
                <w:sz w:val="18"/>
              </w:rPr>
              <w:t>State Street Financial Center</w:t>
            </w:r>
          </w:p>
          <w:p>
            <w:pPr>
              <w:pStyle w:val="TableContents"/>
              <w:bidi w:val="0"/>
              <w:spacing w:before="0" w:after="0"/>
              <w:jc w:val="left"/>
              <w:rPr/>
            </w:pPr>
            <w:r>
              <w:rPr/>
              <w:t> </w:t>
            </w:r>
            <w:r>
              <w:rPr>
                <w:rFonts w:ascii="arial" w:hAnsi="arial"/>
                <w:sz w:val="18"/>
              </w:rPr>
              <w:t>One Lincoln Street</w:t>
            </w:r>
          </w:p>
          <w:p>
            <w:pPr>
              <w:pStyle w:val="TableContents"/>
              <w:bidi w:val="0"/>
              <w:spacing w:before="0" w:after="20"/>
              <w:jc w:val="left"/>
              <w:rPr/>
            </w:pPr>
            <w:r>
              <w:rPr/>
              <w:t> </w:t>
            </w:r>
            <w:r>
              <w:rPr>
                <w:rFonts w:ascii="arial" w:hAnsi="arial"/>
                <w:sz w:val="18"/>
              </w:rPr>
              <w:t>Boston, MA 02111</w:t>
            </w:r>
          </w:p>
        </w:tc>
        <w:tc>
          <w:tcPr>
            <w:tcW w:w="12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81" w:type="dxa"/>
            <w:tcBorders>
              <w:bottom w:val="single" w:sz="8" w:space="0" w:color="0171B9"/>
            </w:tcBorders>
            <w:shd w:fill="CCE2F1" w:val="clear"/>
            <w:tcMar>
              <w:bottom w:w="40" w:type="dxa"/>
            </w:tcMar>
            <w:vAlign w:val="center"/>
          </w:tcPr>
          <w:p>
            <w:pPr>
              <w:pStyle w:val="TableContents"/>
              <w:bidi w:val="0"/>
              <w:spacing w:before="0" w:after="283"/>
              <w:jc w:val="left"/>
              <w:rPr/>
            </w:pPr>
            <w:r>
              <w:rPr/>
              <w:t> </w:t>
            </w:r>
          </w:p>
        </w:tc>
        <w:tc>
          <w:tcPr>
            <w:tcW w:w="1499" w:type="dxa"/>
            <w:tcBorders>
              <w:bottom w:val="single" w:sz="8" w:space="0" w:color="0171B9"/>
            </w:tcBorders>
            <w:shd w:fill="CCE2F1" w:val="clear"/>
            <w:tcMar>
              <w:bottom w:w="40" w:type="dxa"/>
            </w:tcMar>
            <w:vAlign w:val="center"/>
          </w:tcPr>
          <w:p>
            <w:pPr>
              <w:pStyle w:val="TableContents"/>
              <w:bidi w:val="0"/>
              <w:spacing w:before="0" w:after="283"/>
              <w:jc w:val="right"/>
              <w:rPr/>
            </w:pPr>
            <w:r>
              <w:rPr/>
              <w:t>29,543,705</w:t>
            </w:r>
          </w:p>
        </w:tc>
        <w:tc>
          <w:tcPr>
            <w:tcW w:w="60" w:type="dxa"/>
            <w:tcBorders>
              <w:bottom w:val="single" w:sz="8" w:space="0" w:color="0171B9"/>
            </w:tcBorders>
            <w:shd w:fill="CCE2F1" w:val="clear"/>
            <w:tcMar>
              <w:bottom w:w="40" w:type="dxa"/>
            </w:tcMar>
            <w:vAlign w:val="center"/>
          </w:tcPr>
          <w:p>
            <w:pPr>
              <w:pStyle w:val="TableContents"/>
              <w:bidi w:val="0"/>
              <w:spacing w:before="0" w:after="283"/>
              <w:jc w:val="left"/>
              <w:rPr/>
            </w:pPr>
            <w:r>
              <w:rPr/>
              <w:t> </w:t>
            </w:r>
          </w:p>
        </w:tc>
        <w:tc>
          <w:tcPr>
            <w:tcW w:w="24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255" w:type="dxa"/>
            <w:tcBorders>
              <w:bottom w:val="single" w:sz="8" w:space="0" w:color="0171B9"/>
            </w:tcBorders>
            <w:shd w:fill="CCE2F1" w:val="clear"/>
            <w:tcMar>
              <w:bottom w:w="40" w:type="dxa"/>
            </w:tcMar>
            <w:vAlign w:val="center"/>
          </w:tcPr>
          <w:p>
            <w:pPr>
              <w:pStyle w:val="TableContents"/>
              <w:bidi w:val="0"/>
              <w:spacing w:before="0" w:after="283"/>
              <w:jc w:val="left"/>
              <w:rPr/>
            </w:pPr>
            <w:r>
              <w:rPr/>
              <w:t> </w:t>
            </w:r>
          </w:p>
        </w:tc>
        <w:tc>
          <w:tcPr>
            <w:tcW w:w="1429" w:type="dxa"/>
            <w:tcBorders>
              <w:bottom w:val="single" w:sz="8" w:space="0" w:color="0171B9"/>
            </w:tcBorders>
            <w:shd w:fill="CCE2F1" w:val="clear"/>
            <w:tcMar>
              <w:bottom w:w="40" w:type="dxa"/>
            </w:tcMar>
            <w:vAlign w:val="center"/>
          </w:tcPr>
          <w:p>
            <w:pPr>
              <w:pStyle w:val="TableContents"/>
              <w:bidi w:val="0"/>
              <w:spacing w:before="0" w:after="283"/>
              <w:jc w:val="right"/>
              <w:rPr/>
            </w:pPr>
            <w:r>
              <w:rPr/>
              <w:t>5.5% </w:t>
            </w:r>
          </w:p>
        </w:tc>
        <w:tc>
          <w:tcPr>
            <w:tcW w:w="75" w:type="dxa"/>
            <w:tcBorders>
              <w:bottom w:val="single" w:sz="8" w:space="0" w:color="0171B9"/>
            </w:tcBorders>
            <w:shd w:fill="CCE2F1" w:val="clear"/>
            <w:tcMar>
              <w:bottom w:w="4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pPr>
            <w:r>
              <w:rPr/>
              <w:t>(1) </w:t>
            </w:r>
          </w:p>
        </w:tc>
        <w:tc>
          <w:tcPr>
            <w:tcW w:w="9908" w:type="dxa"/>
            <w:tcBorders/>
            <w:vAlign w:val="center"/>
          </w:tcPr>
          <w:p>
            <w:pPr>
              <w:pStyle w:val="TableContents"/>
              <w:bidi w:val="0"/>
              <w:spacing w:before="0" w:after="0"/>
              <w:jc w:val="both"/>
              <w:rPr>
                <w:rFonts w:ascii="arial" w:hAnsi="arial"/>
                <w:sz w:val="16"/>
              </w:rPr>
            </w:pPr>
            <w:r>
              <w:rPr>
                <w:rFonts w:ascii="arial" w:hAnsi="arial"/>
                <w:sz w:val="16"/>
              </w:rPr>
              <w:t xml:space="preserve">The “Percent of Total” reported in this column has been calculated based upon the numbers of shares of Common Stock outstanding as of April 1, 2024, and may differ from the “Percent of Class” reported in statements of beneficial ownership filed with the SEC.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(2) </w:t>
            </w:r>
          </w:p>
        </w:tc>
        <w:tc>
          <w:tcPr>
            <w:tcW w:w="9934" w:type="dxa"/>
            <w:tcBorders/>
            <w:vAlign w:val="center"/>
          </w:tcPr>
          <w:p>
            <w:pPr>
              <w:pStyle w:val="TableContents"/>
              <w:bidi w:val="0"/>
              <w:spacing w:before="0" w:after="0"/>
              <w:jc w:val="both"/>
              <w:rPr>
                <w:rFonts w:ascii="arial" w:hAnsi="arial"/>
                <w:sz w:val="16"/>
              </w:rPr>
            </w:pPr>
            <w:r>
              <w:rPr>
                <w:rFonts w:ascii="arial" w:hAnsi="arial"/>
                <w:sz w:val="16"/>
              </w:rPr>
              <w:t xml:space="preserve">The amounts shown and the following information was provided by The Vanguard Group pursuant to a Schedule 13G/A filed with the SEC on February 13, 2024. The Vanguard Group reports that it has sole voting power over 0 of these shares, shared voting power over 700,938 of these shares, sole dispositive power over 46,645,485 of these shares, and shared dispositive power over 2,390,826 of these shares. </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(3) </w:t>
            </w:r>
          </w:p>
        </w:tc>
        <w:tc>
          <w:tcPr>
            <w:tcW w:w="9916" w:type="dxa"/>
            <w:tcBorders/>
            <w:vAlign w:val="center"/>
          </w:tcPr>
          <w:p>
            <w:pPr>
              <w:pStyle w:val="TableContents"/>
              <w:bidi w:val="0"/>
              <w:spacing w:before="0" w:after="0"/>
              <w:jc w:val="both"/>
              <w:rPr>
                <w:rFonts w:ascii="arial" w:hAnsi="arial"/>
                <w:sz w:val="16"/>
              </w:rPr>
            </w:pPr>
            <w:r>
              <w:rPr>
                <w:rFonts w:ascii="arial" w:hAnsi="arial"/>
                <w:sz w:val="16"/>
              </w:rPr>
              <w:t xml:space="preserve">The amounts shown and the following information was provided by BlackRock, Inc. pursuant to a Schedule 13G/A filed with the SEC on January 25, 2024. BlackRock, Inc. reports that it has sole voting power over 47,811,356 of these shares and sole dispositive power over 47,811,356 shares.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(4) </w:t>
            </w:r>
          </w:p>
        </w:tc>
        <w:tc>
          <w:tcPr>
            <w:tcW w:w="9934" w:type="dxa"/>
            <w:tcBorders/>
            <w:vAlign w:val="center"/>
          </w:tcPr>
          <w:p>
            <w:pPr>
              <w:pStyle w:val="TableContents"/>
              <w:bidi w:val="0"/>
              <w:spacing w:before="0" w:after="0"/>
              <w:jc w:val="both"/>
              <w:rPr>
                <w:rFonts w:ascii="arial" w:hAnsi="arial"/>
                <w:sz w:val="16"/>
              </w:rPr>
            </w:pPr>
            <w:r>
              <w:rPr>
                <w:rFonts w:ascii="arial" w:hAnsi="arial"/>
                <w:sz w:val="16"/>
              </w:rPr>
              <w:t xml:space="preserve">The amounts shown and the following information was provided by State Street Corporation pursuant to a Schedule 13G/A filed with the SEC on January 30, 2024. State Street Corporation reports that it has sole voting power over 0 of these shares, shared voting power over 14,301,198 of these shares, sole dispositive power over 0 of these shares, and shared dispositive power over 29,463,970 of these shares. </w:t>
            </w:r>
          </w:p>
        </w:tc>
      </w:tr>
    </w:tbl>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120  </w:t>
      </w:r>
      <w:r>
        <w:rPr>
          <w:rFonts w:ascii="arial" w:hAnsi="arial"/>
          <w:b/>
          <w:color w:val="474747"/>
          <w:sz w:val="22"/>
        </w:rPr>
        <w:drawing>
          <wp:inline distT="0" distB="0" distL="0" distR="0">
            <wp:extent cx="64770" cy="15240"/>
            <wp:effectExtent l="0" t="0" r="0" b="0"/>
            <wp:docPr id="397"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Image187" descr=""/>
                    <pic:cNvPicPr>
                      <a:picLocks noChangeAspect="1" noChangeArrowheads="1"/>
                    </pic:cNvPicPr>
                  </pic:nvPicPr>
                  <pic:blipFill>
                    <a:blip r:embed="rId200"/>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942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894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4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894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Securities Authorized for Issuance Under Existing Equity Compensation Plans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171B9"/>
          <w:sz w:val="44"/>
        </w:rPr>
      </w:pPr>
      <w:bookmarkStart w:id="65" w:name="toc445034_49"/>
      <w:bookmarkEnd w:id="65"/>
      <w:r>
        <w:rPr>
          <w:rFonts w:ascii="arial" w:hAnsi="arial"/>
          <w:b/>
          <w:color w:val="0171B9"/>
          <w:sz w:val="44"/>
        </w:rPr>
        <w:t xml:space="preserve">Securities Authorized for Issuance Under Existing Equity Compensation Plans </w:t>
      </w:r>
    </w:p>
    <w:p>
      <w:pPr>
        <w:pStyle w:val="TextBody"/>
        <w:bidi w:val="0"/>
        <w:spacing w:before="240" w:after="0"/>
        <w:jc w:val="both"/>
        <w:rPr>
          <w:rFonts w:ascii="arial" w:hAnsi="arial"/>
          <w:sz w:val="19"/>
        </w:rPr>
      </w:pPr>
      <w:r>
        <w:rPr>
          <w:rFonts w:ascii="arial" w:hAnsi="arial"/>
          <w:sz w:val="19"/>
        </w:rPr>
        <w:t xml:space="preserve">The following table sets forth certain information as of December 31, 2023, concerning the shares of our common stock that may be issued under any form of award granted under our equity compensation plans in effect as of December 31, 2023 (including upon the exercise of options, upon the vesting of awards of RSUs or when performance units are earned and related dividend equivalents have been granted).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248"/>
        <w:gridCol w:w="120"/>
        <w:gridCol w:w="63"/>
        <w:gridCol w:w="1157"/>
        <w:gridCol w:w="60"/>
        <w:gridCol w:w="120"/>
        <w:gridCol w:w="85"/>
        <w:gridCol w:w="1135"/>
        <w:gridCol w:w="60"/>
        <w:gridCol w:w="120"/>
        <w:gridCol w:w="100"/>
        <w:gridCol w:w="1860"/>
        <w:gridCol w:w="77"/>
      </w:tblGrid>
      <w:tr>
        <w:trPr/>
        <w:tc>
          <w:tcPr>
            <w:tcW w:w="52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5248" w:type="dxa"/>
            <w:tcBorders/>
            <w:shd w:fill="0171B9" w:val="clear"/>
            <w:vAlign w:val="center"/>
          </w:tcPr>
          <w:p>
            <w:pPr>
              <w:pStyle w:val="TableContents"/>
              <w:bidi w:val="0"/>
              <w:spacing w:before="0" w:after="283"/>
              <w:jc w:val="left"/>
              <w:rPr/>
            </w:pPr>
            <w:r>
              <w:rPr/>
              <w:t> </w:t>
            </w:r>
          </w:p>
        </w:tc>
        <w:tc>
          <w:tcPr>
            <w:tcW w:w="120" w:type="dxa"/>
            <w:tcBorders/>
            <w:shd w:fill="0171B9" w:val="clear"/>
            <w:vAlign w:val="center"/>
          </w:tcPr>
          <w:p>
            <w:pPr>
              <w:pStyle w:val="TableContents"/>
              <w:bidi w:val="0"/>
              <w:spacing w:before="0" w:after="283"/>
              <w:jc w:val="left"/>
              <w:rPr/>
            </w:pPr>
            <w:r>
              <w:rPr/>
              <w:t>  </w:t>
            </w:r>
          </w:p>
        </w:tc>
        <w:tc>
          <w:tcPr>
            <w:tcW w:w="1220" w:type="dxa"/>
            <w:gridSpan w:val="2"/>
            <w:tcBorders>
              <w:bottom w:val="single" w:sz="8" w:space="0" w:color="FFFFFF"/>
            </w:tcBorders>
            <w:shd w:fill="0171B9" w:val="clear"/>
            <w:tcMar>
              <w:bottom w:w="28" w:type="dxa"/>
            </w:tcMar>
            <w:vAlign w:val="center"/>
          </w:tcPr>
          <w:p>
            <w:pPr>
              <w:pStyle w:val="TableContents"/>
              <w:bidi w:val="0"/>
              <w:spacing w:before="0" w:after="283"/>
              <w:jc w:val="center"/>
              <w:rPr>
                <w:b/>
                <w:color w:val="FFFFFF"/>
              </w:rPr>
            </w:pPr>
            <w:r>
              <w:rPr>
                <w:b/>
                <w:color w:val="FFFFFF"/>
              </w:rPr>
              <w:t>(a)</w:t>
            </w:r>
          </w:p>
        </w:tc>
        <w:tc>
          <w:tcPr>
            <w:tcW w:w="60" w:type="dxa"/>
            <w:tcBorders/>
            <w:shd w:fill="0171B9" w:val="clear"/>
            <w:vAlign w:val="center"/>
          </w:tcPr>
          <w:p>
            <w:pPr>
              <w:pStyle w:val="TableContents"/>
              <w:bidi w:val="0"/>
              <w:spacing w:before="0" w:after="283"/>
              <w:jc w:val="left"/>
              <w:rPr/>
            </w:pPr>
            <w:r>
              <w:rPr/>
              <w:t> </w:t>
            </w:r>
          </w:p>
        </w:tc>
        <w:tc>
          <w:tcPr>
            <w:tcW w:w="120" w:type="dxa"/>
            <w:tcBorders/>
            <w:shd w:fill="0171B9" w:val="clear"/>
            <w:vAlign w:val="center"/>
          </w:tcPr>
          <w:p>
            <w:pPr>
              <w:pStyle w:val="TableContents"/>
              <w:bidi w:val="0"/>
              <w:spacing w:before="0" w:after="283"/>
              <w:jc w:val="left"/>
              <w:rPr/>
            </w:pPr>
            <w:r>
              <w:rPr/>
              <w:t>  </w:t>
            </w:r>
          </w:p>
        </w:tc>
        <w:tc>
          <w:tcPr>
            <w:tcW w:w="1220" w:type="dxa"/>
            <w:gridSpan w:val="2"/>
            <w:tcBorders>
              <w:bottom w:val="single" w:sz="8" w:space="0" w:color="FFFFFF"/>
            </w:tcBorders>
            <w:shd w:fill="0171B9" w:val="clear"/>
            <w:tcMar>
              <w:bottom w:w="28" w:type="dxa"/>
            </w:tcMar>
            <w:vAlign w:val="center"/>
          </w:tcPr>
          <w:p>
            <w:pPr>
              <w:pStyle w:val="TableContents"/>
              <w:bidi w:val="0"/>
              <w:spacing w:before="0" w:after="283"/>
              <w:jc w:val="center"/>
              <w:rPr>
                <w:b/>
                <w:color w:val="FFFFFF"/>
              </w:rPr>
            </w:pPr>
            <w:r>
              <w:rPr>
                <w:b/>
                <w:color w:val="FFFFFF"/>
              </w:rPr>
              <w:t>(b)</w:t>
            </w:r>
          </w:p>
        </w:tc>
        <w:tc>
          <w:tcPr>
            <w:tcW w:w="60" w:type="dxa"/>
            <w:tcBorders/>
            <w:shd w:fill="0171B9" w:val="clear"/>
            <w:vAlign w:val="center"/>
          </w:tcPr>
          <w:p>
            <w:pPr>
              <w:pStyle w:val="TableContents"/>
              <w:bidi w:val="0"/>
              <w:spacing w:before="0" w:after="283"/>
              <w:jc w:val="left"/>
              <w:rPr/>
            </w:pPr>
            <w:r>
              <w:rPr/>
              <w:t> </w:t>
            </w:r>
          </w:p>
        </w:tc>
        <w:tc>
          <w:tcPr>
            <w:tcW w:w="120" w:type="dxa"/>
            <w:tcBorders/>
            <w:shd w:fill="0171B9" w:val="clear"/>
            <w:vAlign w:val="center"/>
          </w:tcPr>
          <w:p>
            <w:pPr>
              <w:pStyle w:val="TableContents"/>
              <w:bidi w:val="0"/>
              <w:spacing w:before="0" w:after="283"/>
              <w:jc w:val="left"/>
              <w:rPr/>
            </w:pPr>
            <w:r>
              <w:rPr/>
              <w:t>  </w:t>
            </w:r>
          </w:p>
        </w:tc>
        <w:tc>
          <w:tcPr>
            <w:tcW w:w="1960" w:type="dxa"/>
            <w:gridSpan w:val="2"/>
            <w:tcBorders>
              <w:bottom w:val="single" w:sz="8" w:space="0" w:color="FFFFFF"/>
            </w:tcBorders>
            <w:shd w:fill="0171B9" w:val="clear"/>
            <w:tcMar>
              <w:bottom w:w="28" w:type="dxa"/>
            </w:tcMar>
            <w:vAlign w:val="center"/>
          </w:tcPr>
          <w:p>
            <w:pPr>
              <w:pStyle w:val="TableContents"/>
              <w:bidi w:val="0"/>
              <w:spacing w:before="0" w:after="283"/>
              <w:jc w:val="center"/>
              <w:rPr>
                <w:b/>
                <w:color w:val="FFFFFF"/>
              </w:rPr>
            </w:pPr>
            <w:r>
              <w:rPr>
                <w:b/>
                <w:color w:val="FFFFFF"/>
              </w:rPr>
              <w:t>(c)</w:t>
            </w:r>
          </w:p>
        </w:tc>
        <w:tc>
          <w:tcPr>
            <w:tcW w:w="77" w:type="dxa"/>
            <w:tcBorders/>
            <w:shd w:fill="0171B9" w:val="clear"/>
            <w:vAlign w:val="center"/>
          </w:tcPr>
          <w:p>
            <w:pPr>
              <w:pStyle w:val="TableContents"/>
              <w:bidi w:val="0"/>
              <w:spacing w:before="0" w:after="283"/>
              <w:jc w:val="left"/>
              <w:rPr/>
            </w:pPr>
            <w:r>
              <w:rPr/>
              <w:t> </w:t>
            </w:r>
          </w:p>
        </w:tc>
      </w:tr>
      <w:tr>
        <w:trPr/>
        <w:tc>
          <w:tcPr>
            <w:tcW w:w="5248" w:type="dxa"/>
            <w:tcBorders>
              <w:bottom w:val="single" w:sz="8" w:space="0" w:color="FFFFFF"/>
            </w:tcBorders>
            <w:shd w:fill="0171B9" w:val="clear"/>
            <w:tcMar>
              <w:bottom w:w="28" w:type="dxa"/>
            </w:tcMar>
            <w:vAlign w:val="center"/>
          </w:tcPr>
          <w:p>
            <w:pPr>
              <w:pStyle w:val="TableContents"/>
              <w:bidi w:val="0"/>
              <w:spacing w:before="0" w:after="0"/>
              <w:jc w:val="left"/>
              <w:rPr>
                <w:rFonts w:ascii="arial" w:hAnsi="arial"/>
                <w:b/>
                <w:color w:val="FFFFFF"/>
                <w:sz w:val="18"/>
              </w:rPr>
            </w:pPr>
            <w:r>
              <w:rPr>
                <w:rFonts w:ascii="arial" w:hAnsi="arial"/>
                <w:b/>
                <w:color w:val="FFFFFF"/>
                <w:sz w:val="18"/>
              </w:rPr>
              <w:t>Plan category</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20" w:type="dxa"/>
            <w:gridSpan w:val="2"/>
            <w:tcBorders>
              <w:bottom w:val="single" w:sz="8" w:space="0" w:color="FFFFFF"/>
            </w:tcBorders>
            <w:shd w:fill="0171B9" w:val="clear"/>
            <w:tcMar>
              <w:bottom w:w="28" w:type="dxa"/>
            </w:tcMar>
            <w:vAlign w:val="center"/>
          </w:tcPr>
          <w:p>
            <w:pPr>
              <w:pStyle w:val="TableContents"/>
              <w:bidi w:val="0"/>
              <w:spacing w:before="0" w:after="283"/>
              <w:jc w:val="right"/>
              <w:rPr>
                <w:b/>
                <w:color w:val="FFFFFF"/>
              </w:rPr>
            </w:pPr>
            <w:r>
              <w:rPr>
                <w:b/>
                <w:color w:val="FFFFFF"/>
              </w:rPr>
              <w:t>Number of</w:t>
              <w:br/>
              <w:t>securities</w:t>
              <w:br/>
              <w:t>to be</w:t>
              <w:br/>
              <w:t>issued</w:t>
              <w:br/>
              <w:t>upon</w:t>
              <w:br/>
              <w:t>exercise of</w:t>
              <w:br/>
              <w:t>outstanding</w:t>
              <w:br/>
              <w:t>options</w:t>
              <w:br/>
              <w:t>and rights</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20" w:type="dxa"/>
            <w:gridSpan w:val="2"/>
            <w:tcBorders>
              <w:bottom w:val="single" w:sz="8" w:space="0" w:color="FFFFFF"/>
            </w:tcBorders>
            <w:shd w:fill="0171B9" w:val="clear"/>
            <w:tcMar>
              <w:bottom w:w="28" w:type="dxa"/>
            </w:tcMar>
            <w:vAlign w:val="center"/>
          </w:tcPr>
          <w:p>
            <w:pPr>
              <w:pStyle w:val="TableContents"/>
              <w:bidi w:val="0"/>
              <w:spacing w:before="0" w:after="283"/>
              <w:jc w:val="right"/>
              <w:rPr>
                <w:b/>
                <w:color w:val="FFFFFF"/>
              </w:rPr>
            </w:pPr>
            <w:r>
              <w:rPr>
                <w:b/>
                <w:color w:val="FFFFFF"/>
              </w:rPr>
              <w:t>Weighted-</w:t>
              <w:br/>
              <w:t>average</w:t>
              <w:br/>
              <w:t>exercise</w:t>
              <w:br/>
              <w:t>price of</w:t>
              <w:br/>
              <w:t>outstanding</w:t>
              <w:br/>
              <w:t>options</w:t>
              <w:br/>
              <w:t>and rights</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960" w:type="dxa"/>
            <w:gridSpan w:val="2"/>
            <w:tcBorders>
              <w:bottom w:val="single" w:sz="8" w:space="0" w:color="FFFFFF"/>
            </w:tcBorders>
            <w:shd w:fill="0171B9" w:val="clear"/>
            <w:tcMar>
              <w:bottom w:w="28" w:type="dxa"/>
            </w:tcMar>
            <w:vAlign w:val="center"/>
          </w:tcPr>
          <w:p>
            <w:pPr>
              <w:pStyle w:val="TableContents"/>
              <w:bidi w:val="0"/>
              <w:spacing w:before="0" w:after="283"/>
              <w:jc w:val="right"/>
              <w:rPr>
                <w:b/>
                <w:color w:val="FFFFFF"/>
              </w:rPr>
            </w:pPr>
            <w:r>
              <w:rPr>
                <w:b/>
                <w:color w:val="FFFFFF"/>
              </w:rPr>
              <w:t>Number of</w:t>
              <w:br/>
              <w:t>securities</w:t>
              <w:br/>
              <w:t>remaining</w:t>
              <w:br/>
              <w:t>available for future</w:t>
              <w:br/>
              <w:t>issuance under</w:t>
              <w:br/>
              <w:t>equity</w:t>
              <w:br/>
              <w:t>compensation</w:t>
              <w:br/>
              <w:t>plans (excluding</w:t>
              <w:br/>
              <w:t>securities reflected</w:t>
              <w:br/>
              <w:t>in column (a))</w:t>
            </w:r>
          </w:p>
        </w:tc>
        <w:tc>
          <w:tcPr>
            <w:tcW w:w="77"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r>
      <w:tr>
        <w:trPr/>
        <w:tc>
          <w:tcPr>
            <w:tcW w:w="5248" w:type="dxa"/>
            <w:tcBorders/>
            <w:shd w:fill="CCE2F1" w:val="clear"/>
            <w:vAlign w:val="center"/>
          </w:tcPr>
          <w:p>
            <w:pPr>
              <w:pStyle w:val="TableContents"/>
              <w:bidi w:val="0"/>
              <w:spacing w:before="0" w:after="283"/>
              <w:jc w:val="left"/>
              <w:rPr>
                <w:sz w:val="4"/>
                <w:szCs w:val="4"/>
              </w:rPr>
            </w:pPr>
            <w:r>
              <w:rPr>
                <w:sz w:val="4"/>
                <w:szCs w:val="4"/>
              </w:rPr>
            </w:r>
          </w:p>
        </w:tc>
        <w:tc>
          <w:tcPr>
            <w:tcW w:w="1400" w:type="dxa"/>
            <w:gridSpan w:val="4"/>
            <w:tcBorders/>
            <w:shd w:fill="CCE2F1" w:val="clear"/>
            <w:vAlign w:val="center"/>
          </w:tcPr>
          <w:p>
            <w:pPr>
              <w:pStyle w:val="TableContents"/>
              <w:bidi w:val="0"/>
              <w:spacing w:before="0" w:after="283"/>
              <w:jc w:val="left"/>
              <w:rPr>
                <w:sz w:val="4"/>
                <w:szCs w:val="4"/>
              </w:rPr>
            </w:pPr>
            <w:r>
              <w:rPr>
                <w:sz w:val="4"/>
                <w:szCs w:val="4"/>
              </w:rPr>
            </w:r>
          </w:p>
        </w:tc>
        <w:tc>
          <w:tcPr>
            <w:tcW w:w="1400" w:type="dxa"/>
            <w:gridSpan w:val="4"/>
            <w:tcBorders/>
            <w:shd w:fill="CCE2F1" w:val="clear"/>
            <w:vAlign w:val="center"/>
          </w:tcPr>
          <w:p>
            <w:pPr>
              <w:pStyle w:val="TableContents"/>
              <w:bidi w:val="0"/>
              <w:spacing w:before="0" w:after="283"/>
              <w:jc w:val="left"/>
              <w:rPr>
                <w:sz w:val="4"/>
                <w:szCs w:val="4"/>
              </w:rPr>
            </w:pPr>
            <w:r>
              <w:rPr>
                <w:sz w:val="4"/>
                <w:szCs w:val="4"/>
              </w:rPr>
            </w:r>
          </w:p>
        </w:tc>
        <w:tc>
          <w:tcPr>
            <w:tcW w:w="2157"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5248" w:type="dxa"/>
            <w:tcBorders/>
            <w:shd w:fill="CCE2F1" w:val="clear"/>
            <w:vAlign w:val="center"/>
          </w:tcPr>
          <w:p>
            <w:pPr>
              <w:pStyle w:val="TableContents"/>
              <w:bidi w:val="0"/>
              <w:spacing w:before="0" w:after="0"/>
              <w:jc w:val="left"/>
              <w:rPr>
                <w:rFonts w:ascii="arial" w:hAnsi="arial"/>
                <w:sz w:val="18"/>
              </w:rPr>
            </w:pPr>
            <w:r>
              <w:rPr>
                <w:rFonts w:ascii="arial" w:hAnsi="arial"/>
                <w:sz w:val="18"/>
              </w:rPr>
              <w:t>Equity compensation plans approved by Amgen security holders:</w:t>
            </w:r>
          </w:p>
        </w:tc>
        <w:tc>
          <w:tcPr>
            <w:tcW w:w="120" w:type="dxa"/>
            <w:tcBorders/>
            <w:shd w:fill="CCE2F1" w:val="clear"/>
            <w:vAlign w:val="center"/>
          </w:tcPr>
          <w:p>
            <w:pPr>
              <w:pStyle w:val="TableContents"/>
              <w:bidi w:val="0"/>
              <w:spacing w:before="0" w:after="283"/>
              <w:jc w:val="left"/>
              <w:rPr/>
            </w:pPr>
            <w:r>
              <w:rPr/>
              <w:t>  </w:t>
            </w:r>
          </w:p>
        </w:tc>
        <w:tc>
          <w:tcPr>
            <w:tcW w:w="63" w:type="dxa"/>
            <w:tcBorders/>
            <w:shd w:fill="CCE2F1" w:val="clear"/>
            <w:vAlign w:val="center"/>
          </w:tcPr>
          <w:p>
            <w:pPr>
              <w:pStyle w:val="TableContents"/>
              <w:bidi w:val="0"/>
              <w:spacing w:before="0" w:after="0"/>
              <w:jc w:val="left"/>
              <w:rPr/>
            </w:pPr>
            <w:r>
              <w:rPr/>
              <w:t> </w:t>
            </w:r>
          </w:p>
        </w:tc>
        <w:tc>
          <w:tcPr>
            <w:tcW w:w="1157" w:type="dxa"/>
            <w:tcBorders/>
            <w:shd w:fill="CCE2F1" w:val="clear"/>
            <w:vAlign w:val="center"/>
          </w:tcPr>
          <w:p>
            <w:pPr>
              <w:pStyle w:val="TableContents"/>
              <w:bidi w:val="0"/>
              <w:spacing w:before="0" w:after="0"/>
              <w:jc w:val="left"/>
              <w:rPr/>
            </w:pPr>
            <w:r>
              <w:rPr/>
              <w:t> </w:t>
            </w:r>
          </w:p>
        </w:tc>
        <w:tc>
          <w:tcPr>
            <w:tcW w:w="60" w:type="dxa"/>
            <w:tcBorders/>
            <w:shd w:fill="CCE2F1" w:val="clear"/>
            <w:vAlign w:val="center"/>
          </w:tcPr>
          <w:p>
            <w:pPr>
              <w:pStyle w:val="TableContents"/>
              <w:bidi w:val="0"/>
              <w:spacing w:before="0" w:after="0"/>
              <w:jc w:val="left"/>
              <w:rPr/>
            </w:pPr>
            <w:r>
              <w:rPr/>
              <w:t> </w:t>
            </w:r>
          </w:p>
        </w:tc>
        <w:tc>
          <w:tcPr>
            <w:tcW w:w="120" w:type="dxa"/>
            <w:tcBorders/>
            <w:shd w:fill="CCE2F1" w:val="clear"/>
            <w:vAlign w:val="center"/>
          </w:tcPr>
          <w:p>
            <w:pPr>
              <w:pStyle w:val="TableContents"/>
              <w:bidi w:val="0"/>
              <w:spacing w:before="0" w:after="283"/>
              <w:jc w:val="left"/>
              <w:rPr/>
            </w:pPr>
            <w:r>
              <w:rPr/>
              <w:t>  </w:t>
            </w:r>
          </w:p>
        </w:tc>
        <w:tc>
          <w:tcPr>
            <w:tcW w:w="85" w:type="dxa"/>
            <w:tcBorders/>
            <w:shd w:fill="CCE2F1" w:val="clear"/>
            <w:vAlign w:val="center"/>
          </w:tcPr>
          <w:p>
            <w:pPr>
              <w:pStyle w:val="TableContents"/>
              <w:bidi w:val="0"/>
              <w:spacing w:before="0" w:after="0"/>
              <w:jc w:val="left"/>
              <w:rPr/>
            </w:pPr>
            <w:r>
              <w:rPr/>
              <w:t> </w:t>
            </w:r>
          </w:p>
        </w:tc>
        <w:tc>
          <w:tcPr>
            <w:tcW w:w="1135" w:type="dxa"/>
            <w:tcBorders/>
            <w:shd w:fill="CCE2F1" w:val="clear"/>
            <w:vAlign w:val="center"/>
          </w:tcPr>
          <w:p>
            <w:pPr>
              <w:pStyle w:val="TableContents"/>
              <w:bidi w:val="0"/>
              <w:spacing w:before="0" w:after="0"/>
              <w:jc w:val="left"/>
              <w:rPr/>
            </w:pPr>
            <w:r>
              <w:rPr/>
              <w:t> </w:t>
            </w:r>
          </w:p>
        </w:tc>
        <w:tc>
          <w:tcPr>
            <w:tcW w:w="60" w:type="dxa"/>
            <w:tcBorders/>
            <w:shd w:fill="CCE2F1" w:val="clear"/>
            <w:vAlign w:val="center"/>
          </w:tcPr>
          <w:p>
            <w:pPr>
              <w:pStyle w:val="TableContents"/>
              <w:bidi w:val="0"/>
              <w:spacing w:before="0" w:after="0"/>
              <w:jc w:val="left"/>
              <w:rPr/>
            </w:pPr>
            <w:r>
              <w:rPr/>
              <w:t> </w:t>
            </w:r>
          </w:p>
        </w:tc>
        <w:tc>
          <w:tcPr>
            <w:tcW w:w="120" w:type="dxa"/>
            <w:tcBorders/>
            <w:shd w:fill="CCE2F1" w:val="clear"/>
            <w:vAlign w:val="center"/>
          </w:tcPr>
          <w:p>
            <w:pPr>
              <w:pStyle w:val="TableContents"/>
              <w:bidi w:val="0"/>
              <w:spacing w:before="0" w:after="283"/>
              <w:jc w:val="left"/>
              <w:rPr/>
            </w:pPr>
            <w:r>
              <w:rPr/>
              <w:t>  </w:t>
            </w:r>
          </w:p>
        </w:tc>
        <w:tc>
          <w:tcPr>
            <w:tcW w:w="100" w:type="dxa"/>
            <w:tcBorders/>
            <w:shd w:fill="CCE2F1" w:val="clear"/>
            <w:vAlign w:val="center"/>
          </w:tcPr>
          <w:p>
            <w:pPr>
              <w:pStyle w:val="TableContents"/>
              <w:bidi w:val="0"/>
              <w:spacing w:before="0" w:after="0"/>
              <w:jc w:val="left"/>
              <w:rPr/>
            </w:pPr>
            <w:r>
              <w:rPr/>
              <w:t> </w:t>
            </w:r>
          </w:p>
        </w:tc>
        <w:tc>
          <w:tcPr>
            <w:tcW w:w="1860" w:type="dxa"/>
            <w:tcBorders/>
            <w:shd w:fill="CCE2F1" w:val="clear"/>
            <w:vAlign w:val="center"/>
          </w:tcPr>
          <w:p>
            <w:pPr>
              <w:pStyle w:val="TableContents"/>
              <w:bidi w:val="0"/>
              <w:spacing w:before="0" w:after="0"/>
              <w:jc w:val="left"/>
              <w:rPr/>
            </w:pPr>
            <w:r>
              <w:rPr/>
              <w:t> </w:t>
            </w:r>
          </w:p>
        </w:tc>
        <w:tc>
          <w:tcPr>
            <w:tcW w:w="77" w:type="dxa"/>
            <w:tcBorders/>
            <w:shd w:fill="CCE2F1" w:val="clear"/>
            <w:vAlign w:val="center"/>
          </w:tcPr>
          <w:p>
            <w:pPr>
              <w:pStyle w:val="TableContents"/>
              <w:bidi w:val="0"/>
              <w:spacing w:before="0" w:after="0"/>
              <w:jc w:val="left"/>
              <w:rPr/>
            </w:pPr>
            <w:r>
              <w:rPr/>
              <w:t> </w:t>
            </w:r>
          </w:p>
        </w:tc>
      </w:tr>
      <w:tr>
        <w:trPr/>
        <w:tc>
          <w:tcPr>
            <w:tcW w:w="5248" w:type="dxa"/>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2157" w:type="dxa"/>
            <w:gridSpan w:val="4"/>
            <w:tcBorders/>
            <w:vAlign w:val="center"/>
          </w:tcPr>
          <w:p>
            <w:pPr>
              <w:pStyle w:val="TableContents"/>
              <w:bidi w:val="0"/>
              <w:spacing w:before="0" w:after="283"/>
              <w:jc w:val="left"/>
              <w:rPr>
                <w:sz w:val="4"/>
                <w:szCs w:val="4"/>
              </w:rPr>
            </w:pPr>
            <w:r>
              <w:rPr>
                <w:sz w:val="4"/>
                <w:szCs w:val="4"/>
              </w:rPr>
            </w:r>
          </w:p>
        </w:tc>
      </w:tr>
      <w:tr>
        <w:trPr/>
        <w:tc>
          <w:tcPr>
            <w:tcW w:w="5248" w:type="dxa"/>
            <w:tcBorders/>
            <w:vAlign w:val="center"/>
          </w:tcPr>
          <w:p>
            <w:pPr>
              <w:pStyle w:val="TableContents"/>
              <w:bidi w:val="0"/>
              <w:spacing w:before="0" w:after="0"/>
              <w:jc w:val="left"/>
              <w:rPr>
                <w:rFonts w:ascii="arial" w:hAnsi="arial"/>
                <w:sz w:val="18"/>
              </w:rPr>
            </w:pPr>
            <w:r>
              <w:rPr>
                <w:rFonts w:ascii="arial" w:hAnsi="arial"/>
                <w:sz w:val="18"/>
              </w:rPr>
              <w:t>Amended and Restated 2009 Equity Incentive Plan(1)</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10,553,711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pPr>
            <w:r>
              <w:rPr/>
              <w:t>$213.90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860" w:type="dxa"/>
            <w:tcBorders/>
            <w:vAlign w:val="center"/>
          </w:tcPr>
          <w:p>
            <w:pPr>
              <w:pStyle w:val="TableContents"/>
              <w:bidi w:val="0"/>
              <w:spacing w:before="0" w:after="283"/>
              <w:jc w:val="right"/>
              <w:rPr/>
            </w:pPr>
            <w:r>
              <w:rPr/>
              <w:t>12,345,301</w:t>
            </w:r>
          </w:p>
        </w:tc>
        <w:tc>
          <w:tcPr>
            <w:tcW w:w="77" w:type="dxa"/>
            <w:tcBorders/>
            <w:vAlign w:val="center"/>
          </w:tcPr>
          <w:p>
            <w:pPr>
              <w:pStyle w:val="TableContents"/>
              <w:bidi w:val="0"/>
              <w:spacing w:before="0" w:after="283"/>
              <w:jc w:val="left"/>
              <w:rPr/>
            </w:pPr>
            <w:r>
              <w:rPr/>
              <w:t> </w:t>
            </w:r>
          </w:p>
        </w:tc>
      </w:tr>
      <w:tr>
        <w:trPr/>
        <w:tc>
          <w:tcPr>
            <w:tcW w:w="5248" w:type="dxa"/>
            <w:tcBorders/>
            <w:shd w:fill="CCE2F1" w:val="clear"/>
            <w:vAlign w:val="center"/>
          </w:tcPr>
          <w:p>
            <w:pPr>
              <w:pStyle w:val="TableContents"/>
              <w:bidi w:val="0"/>
              <w:spacing w:before="0" w:after="283"/>
              <w:jc w:val="left"/>
              <w:rPr>
                <w:sz w:val="4"/>
                <w:szCs w:val="4"/>
              </w:rPr>
            </w:pPr>
            <w:r>
              <w:rPr>
                <w:sz w:val="4"/>
                <w:szCs w:val="4"/>
              </w:rPr>
            </w:r>
          </w:p>
        </w:tc>
        <w:tc>
          <w:tcPr>
            <w:tcW w:w="1400" w:type="dxa"/>
            <w:gridSpan w:val="4"/>
            <w:tcBorders/>
            <w:shd w:fill="CCE2F1" w:val="clear"/>
            <w:vAlign w:val="center"/>
          </w:tcPr>
          <w:p>
            <w:pPr>
              <w:pStyle w:val="TableContents"/>
              <w:bidi w:val="0"/>
              <w:spacing w:before="0" w:after="283"/>
              <w:jc w:val="left"/>
              <w:rPr>
                <w:sz w:val="4"/>
                <w:szCs w:val="4"/>
              </w:rPr>
            </w:pPr>
            <w:r>
              <w:rPr>
                <w:sz w:val="4"/>
                <w:szCs w:val="4"/>
              </w:rPr>
            </w:r>
          </w:p>
        </w:tc>
        <w:tc>
          <w:tcPr>
            <w:tcW w:w="1400" w:type="dxa"/>
            <w:gridSpan w:val="4"/>
            <w:tcBorders/>
            <w:shd w:fill="CCE2F1" w:val="clear"/>
            <w:vAlign w:val="center"/>
          </w:tcPr>
          <w:p>
            <w:pPr>
              <w:pStyle w:val="TableContents"/>
              <w:bidi w:val="0"/>
              <w:spacing w:before="0" w:after="283"/>
              <w:jc w:val="left"/>
              <w:rPr>
                <w:sz w:val="4"/>
                <w:szCs w:val="4"/>
              </w:rPr>
            </w:pPr>
            <w:r>
              <w:rPr>
                <w:sz w:val="4"/>
                <w:szCs w:val="4"/>
              </w:rPr>
            </w:r>
          </w:p>
        </w:tc>
        <w:tc>
          <w:tcPr>
            <w:tcW w:w="2157"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5248" w:type="dxa"/>
            <w:tcBorders/>
            <w:shd w:fill="CCE2F1" w:val="clear"/>
            <w:vAlign w:val="center"/>
          </w:tcPr>
          <w:p>
            <w:pPr>
              <w:pStyle w:val="TableContents"/>
              <w:bidi w:val="0"/>
              <w:spacing w:before="0" w:after="0"/>
              <w:jc w:val="left"/>
              <w:rPr>
                <w:rFonts w:ascii="arial" w:hAnsi="arial"/>
                <w:sz w:val="18"/>
              </w:rPr>
            </w:pPr>
            <w:r>
              <w:rPr>
                <w:rFonts w:ascii="arial" w:hAnsi="arial"/>
                <w:sz w:val="18"/>
              </w:rPr>
              <w:t>Amended and Restated 1991 Equity Incentive Plan(2)</w:t>
            </w:r>
          </w:p>
        </w:tc>
        <w:tc>
          <w:tcPr>
            <w:tcW w:w="120" w:type="dxa"/>
            <w:tcBorders/>
            <w:shd w:fill="CCE2F1" w:val="clear"/>
            <w:vAlign w:val="center"/>
          </w:tcPr>
          <w:p>
            <w:pPr>
              <w:pStyle w:val="TableContents"/>
              <w:bidi w:val="0"/>
              <w:spacing w:before="0" w:after="283"/>
              <w:jc w:val="left"/>
              <w:rPr/>
            </w:pPr>
            <w:r>
              <w:rPr/>
              <w:t>  </w:t>
            </w:r>
          </w:p>
        </w:tc>
        <w:tc>
          <w:tcPr>
            <w:tcW w:w="63" w:type="dxa"/>
            <w:tcBorders/>
            <w:shd w:fill="CCE2F1" w:val="clear"/>
            <w:vAlign w:val="center"/>
          </w:tcPr>
          <w:p>
            <w:pPr>
              <w:pStyle w:val="TableContents"/>
              <w:bidi w:val="0"/>
              <w:spacing w:before="0" w:after="283"/>
              <w:jc w:val="left"/>
              <w:rPr/>
            </w:pPr>
            <w:r>
              <w:rPr/>
              <w:t> </w:t>
            </w:r>
          </w:p>
        </w:tc>
        <w:tc>
          <w:tcPr>
            <w:tcW w:w="1157" w:type="dxa"/>
            <w:tcBorders/>
            <w:shd w:fill="CCE2F1" w:val="clear"/>
            <w:vAlign w:val="center"/>
          </w:tcPr>
          <w:p>
            <w:pPr>
              <w:pStyle w:val="TableContents"/>
              <w:bidi w:val="0"/>
              <w:spacing w:before="0" w:after="283"/>
              <w:jc w:val="right"/>
              <w:rPr/>
            </w:pPr>
            <w:r>
              <w:rPr/>
              <w:t>1,182</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85" w:type="dxa"/>
            <w:tcBorders/>
            <w:shd w:fill="CCE2F1" w:val="clear"/>
            <w:vAlign w:val="center"/>
          </w:tcPr>
          <w:p>
            <w:pPr>
              <w:pStyle w:val="TableContents"/>
              <w:bidi w:val="0"/>
              <w:spacing w:before="0" w:after="0"/>
              <w:jc w:val="left"/>
              <w:rPr/>
            </w:pPr>
            <w:r>
              <w:rPr/>
              <w:t> </w:t>
            </w:r>
          </w:p>
        </w:tc>
        <w:tc>
          <w:tcPr>
            <w:tcW w:w="1135" w:type="dxa"/>
            <w:tcBorders/>
            <w:shd w:fill="CCE2F1" w:val="clear"/>
            <w:vAlign w:val="center"/>
          </w:tcPr>
          <w:p>
            <w:pPr>
              <w:pStyle w:val="TableContents"/>
              <w:bidi w:val="0"/>
              <w:spacing w:before="0" w:after="0"/>
              <w:jc w:val="left"/>
              <w:rPr/>
            </w:pPr>
            <w:r>
              <w:rPr/>
              <w:t> </w:t>
            </w:r>
          </w:p>
        </w:tc>
        <w:tc>
          <w:tcPr>
            <w:tcW w:w="60" w:type="dxa"/>
            <w:tcBorders/>
            <w:shd w:fill="CCE2F1" w:val="clear"/>
            <w:vAlign w:val="center"/>
          </w:tcPr>
          <w:p>
            <w:pPr>
              <w:pStyle w:val="TableContents"/>
              <w:bidi w:val="0"/>
              <w:spacing w:before="0" w:after="0"/>
              <w:jc w:val="left"/>
              <w:rPr/>
            </w:pPr>
            <w:r>
              <w:rPr/>
              <w:t> </w:t>
            </w:r>
          </w:p>
        </w:tc>
        <w:tc>
          <w:tcPr>
            <w:tcW w:w="120" w:type="dxa"/>
            <w:tcBorders/>
            <w:shd w:fill="CCE2F1" w:val="clear"/>
            <w:vAlign w:val="center"/>
          </w:tcPr>
          <w:p>
            <w:pPr>
              <w:pStyle w:val="TableContents"/>
              <w:bidi w:val="0"/>
              <w:spacing w:before="0" w:after="283"/>
              <w:jc w:val="left"/>
              <w:rPr/>
            </w:pPr>
            <w:r>
              <w:rPr/>
              <w:t>  </w:t>
            </w:r>
          </w:p>
        </w:tc>
        <w:tc>
          <w:tcPr>
            <w:tcW w:w="100" w:type="dxa"/>
            <w:tcBorders/>
            <w:shd w:fill="CCE2F1" w:val="clear"/>
            <w:vAlign w:val="center"/>
          </w:tcPr>
          <w:p>
            <w:pPr>
              <w:pStyle w:val="TableContents"/>
              <w:bidi w:val="0"/>
              <w:spacing w:before="0" w:after="0"/>
              <w:jc w:val="left"/>
              <w:rPr/>
            </w:pPr>
            <w:r>
              <w:rPr/>
              <w:t> </w:t>
            </w:r>
          </w:p>
        </w:tc>
        <w:tc>
          <w:tcPr>
            <w:tcW w:w="1860" w:type="dxa"/>
            <w:tcBorders/>
            <w:shd w:fill="CCE2F1" w:val="clear"/>
            <w:vAlign w:val="center"/>
          </w:tcPr>
          <w:p>
            <w:pPr>
              <w:pStyle w:val="TableContents"/>
              <w:bidi w:val="0"/>
              <w:spacing w:before="0" w:after="0"/>
              <w:jc w:val="left"/>
              <w:rPr/>
            </w:pPr>
            <w:r>
              <w:rPr/>
              <w:t> </w:t>
            </w:r>
          </w:p>
        </w:tc>
        <w:tc>
          <w:tcPr>
            <w:tcW w:w="77" w:type="dxa"/>
            <w:tcBorders/>
            <w:shd w:fill="CCE2F1" w:val="clear"/>
            <w:vAlign w:val="center"/>
          </w:tcPr>
          <w:p>
            <w:pPr>
              <w:pStyle w:val="TableContents"/>
              <w:bidi w:val="0"/>
              <w:spacing w:before="0" w:after="0"/>
              <w:jc w:val="left"/>
              <w:rPr/>
            </w:pPr>
            <w:r>
              <w:rPr/>
              <w:t> </w:t>
            </w:r>
          </w:p>
        </w:tc>
      </w:tr>
      <w:tr>
        <w:trPr/>
        <w:tc>
          <w:tcPr>
            <w:tcW w:w="5248" w:type="dxa"/>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2157" w:type="dxa"/>
            <w:gridSpan w:val="4"/>
            <w:tcBorders/>
            <w:vAlign w:val="center"/>
          </w:tcPr>
          <w:p>
            <w:pPr>
              <w:pStyle w:val="TableContents"/>
              <w:bidi w:val="0"/>
              <w:spacing w:before="0" w:after="283"/>
              <w:jc w:val="left"/>
              <w:rPr>
                <w:sz w:val="4"/>
                <w:szCs w:val="4"/>
              </w:rPr>
            </w:pPr>
            <w:r>
              <w:rPr>
                <w:sz w:val="4"/>
                <w:szCs w:val="4"/>
              </w:rPr>
            </w:r>
          </w:p>
        </w:tc>
      </w:tr>
      <w:tr>
        <w:trPr/>
        <w:tc>
          <w:tcPr>
            <w:tcW w:w="5248" w:type="dxa"/>
            <w:tcBorders/>
            <w:vAlign w:val="center"/>
          </w:tcPr>
          <w:p>
            <w:pPr>
              <w:pStyle w:val="TableContents"/>
              <w:bidi w:val="0"/>
              <w:spacing w:before="0" w:after="0"/>
              <w:jc w:val="left"/>
              <w:rPr>
                <w:rFonts w:ascii="arial" w:hAnsi="arial"/>
                <w:sz w:val="18"/>
              </w:rPr>
            </w:pPr>
            <w:r>
              <w:rPr>
                <w:rFonts w:ascii="arial" w:hAnsi="arial"/>
                <w:sz w:val="18"/>
              </w:rPr>
              <w:t>Amended and Restated Employee Stock Purchase Plan</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pPr>
            <w:r>
              <w:rPr/>
              <w:t> </w:t>
            </w:r>
          </w:p>
        </w:tc>
        <w:tc>
          <w:tcPr>
            <w:tcW w:w="1157"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0"/>
              <w:jc w:val="left"/>
              <w:rPr/>
            </w:pPr>
            <w:r>
              <w:rPr/>
              <w:t> </w:t>
            </w:r>
          </w:p>
        </w:tc>
        <w:tc>
          <w:tcPr>
            <w:tcW w:w="113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860" w:type="dxa"/>
            <w:tcBorders/>
            <w:vAlign w:val="center"/>
          </w:tcPr>
          <w:p>
            <w:pPr>
              <w:pStyle w:val="TableContents"/>
              <w:bidi w:val="0"/>
              <w:spacing w:before="0" w:after="283"/>
              <w:jc w:val="right"/>
              <w:rPr/>
            </w:pPr>
            <w:r>
              <w:rPr/>
              <w:t>4,081,262</w:t>
            </w:r>
          </w:p>
        </w:tc>
        <w:tc>
          <w:tcPr>
            <w:tcW w:w="77" w:type="dxa"/>
            <w:tcBorders/>
            <w:vAlign w:val="center"/>
          </w:tcPr>
          <w:p>
            <w:pPr>
              <w:pStyle w:val="TableContents"/>
              <w:bidi w:val="0"/>
              <w:spacing w:before="0" w:after="283"/>
              <w:jc w:val="left"/>
              <w:rPr/>
            </w:pPr>
            <w:r>
              <w:rPr/>
              <w:t> </w:t>
            </w:r>
          </w:p>
        </w:tc>
      </w:tr>
      <w:tr>
        <w:trPr/>
        <w:tc>
          <w:tcPr>
            <w:tcW w:w="5248" w:type="dxa"/>
            <w:tcBorders/>
            <w:shd w:fill="CCE2F1" w:val="clear"/>
            <w:vAlign w:val="center"/>
          </w:tcPr>
          <w:p>
            <w:pPr>
              <w:pStyle w:val="TableContents"/>
              <w:bidi w:val="0"/>
              <w:spacing w:before="0" w:after="283"/>
              <w:jc w:val="left"/>
              <w:rPr>
                <w:sz w:val="4"/>
                <w:szCs w:val="4"/>
              </w:rPr>
            </w:pPr>
            <w:r>
              <w:rPr>
                <w:sz w:val="4"/>
                <w:szCs w:val="4"/>
              </w:rPr>
            </w:r>
          </w:p>
        </w:tc>
        <w:tc>
          <w:tcPr>
            <w:tcW w:w="1400" w:type="dxa"/>
            <w:gridSpan w:val="4"/>
            <w:tcBorders/>
            <w:shd w:fill="CCE2F1" w:val="clear"/>
            <w:vAlign w:val="center"/>
          </w:tcPr>
          <w:p>
            <w:pPr>
              <w:pStyle w:val="TableContents"/>
              <w:bidi w:val="0"/>
              <w:spacing w:before="0" w:after="283"/>
              <w:jc w:val="left"/>
              <w:rPr>
                <w:sz w:val="4"/>
                <w:szCs w:val="4"/>
              </w:rPr>
            </w:pPr>
            <w:r>
              <w:rPr>
                <w:sz w:val="4"/>
                <w:szCs w:val="4"/>
              </w:rPr>
            </w:r>
          </w:p>
        </w:tc>
        <w:tc>
          <w:tcPr>
            <w:tcW w:w="1400" w:type="dxa"/>
            <w:gridSpan w:val="4"/>
            <w:tcBorders/>
            <w:shd w:fill="CCE2F1" w:val="clear"/>
            <w:vAlign w:val="center"/>
          </w:tcPr>
          <w:p>
            <w:pPr>
              <w:pStyle w:val="TableContents"/>
              <w:bidi w:val="0"/>
              <w:spacing w:before="0" w:after="283"/>
              <w:jc w:val="left"/>
              <w:rPr>
                <w:sz w:val="4"/>
                <w:szCs w:val="4"/>
              </w:rPr>
            </w:pPr>
            <w:r>
              <w:rPr>
                <w:sz w:val="4"/>
                <w:szCs w:val="4"/>
              </w:rPr>
            </w:r>
          </w:p>
        </w:tc>
        <w:tc>
          <w:tcPr>
            <w:tcW w:w="2157"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5248" w:type="dxa"/>
            <w:tcBorders/>
            <w:shd w:fill="CCE2F1" w:val="clear"/>
            <w:vAlign w:val="center"/>
          </w:tcPr>
          <w:p>
            <w:pPr>
              <w:pStyle w:val="TableContents"/>
              <w:bidi w:val="0"/>
              <w:spacing w:before="0" w:after="0"/>
              <w:jc w:val="left"/>
              <w:rPr>
                <w:rFonts w:ascii="arial" w:hAnsi="arial"/>
                <w:sz w:val="18"/>
              </w:rPr>
            </w:pPr>
            <w:r>
              <w:rPr>
                <w:rFonts w:ascii="arial" w:hAnsi="arial"/>
                <w:sz w:val="18"/>
              </w:rPr>
              <w:t>Total approved plans</w:t>
            </w:r>
          </w:p>
        </w:tc>
        <w:tc>
          <w:tcPr>
            <w:tcW w:w="120" w:type="dxa"/>
            <w:tcBorders/>
            <w:shd w:fill="CCE2F1" w:val="clear"/>
            <w:vAlign w:val="center"/>
          </w:tcPr>
          <w:p>
            <w:pPr>
              <w:pStyle w:val="TableContents"/>
              <w:bidi w:val="0"/>
              <w:spacing w:before="0" w:after="283"/>
              <w:jc w:val="left"/>
              <w:rPr/>
            </w:pPr>
            <w:r>
              <w:rPr/>
              <w:t>  </w:t>
            </w:r>
          </w:p>
        </w:tc>
        <w:tc>
          <w:tcPr>
            <w:tcW w:w="63" w:type="dxa"/>
            <w:tcBorders/>
            <w:shd w:fill="CCE2F1" w:val="clear"/>
            <w:vAlign w:val="center"/>
          </w:tcPr>
          <w:p>
            <w:pPr>
              <w:pStyle w:val="TableContents"/>
              <w:bidi w:val="0"/>
              <w:spacing w:before="0" w:after="283"/>
              <w:jc w:val="left"/>
              <w:rPr/>
            </w:pPr>
            <w:r>
              <w:rPr/>
              <w:t> </w:t>
            </w:r>
          </w:p>
        </w:tc>
        <w:tc>
          <w:tcPr>
            <w:tcW w:w="1157" w:type="dxa"/>
            <w:tcBorders/>
            <w:shd w:fill="CCE2F1" w:val="clear"/>
            <w:vAlign w:val="center"/>
          </w:tcPr>
          <w:p>
            <w:pPr>
              <w:pStyle w:val="TableContents"/>
              <w:bidi w:val="0"/>
              <w:spacing w:before="0" w:after="283"/>
              <w:jc w:val="right"/>
              <w:rPr/>
            </w:pPr>
            <w:r>
              <w:rPr/>
              <w:t>10,554,893</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85" w:type="dxa"/>
            <w:tcBorders/>
            <w:shd w:fill="CCE2F1" w:val="clear"/>
            <w:vAlign w:val="center"/>
          </w:tcPr>
          <w:p>
            <w:pPr>
              <w:pStyle w:val="TableContents"/>
              <w:bidi w:val="0"/>
              <w:spacing w:before="0" w:after="283"/>
              <w:jc w:val="left"/>
              <w:rPr/>
            </w:pPr>
            <w:r>
              <w:rPr/>
              <w:t> </w:t>
            </w:r>
          </w:p>
        </w:tc>
        <w:tc>
          <w:tcPr>
            <w:tcW w:w="1135" w:type="dxa"/>
            <w:tcBorders/>
            <w:shd w:fill="CCE2F1" w:val="clear"/>
            <w:vAlign w:val="center"/>
          </w:tcPr>
          <w:p>
            <w:pPr>
              <w:pStyle w:val="TableContents"/>
              <w:bidi w:val="0"/>
              <w:spacing w:before="0" w:after="283"/>
              <w:jc w:val="right"/>
              <w:rPr/>
            </w:pPr>
            <w:r>
              <w:rPr/>
              <w:t>$213.90</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100" w:type="dxa"/>
            <w:tcBorders/>
            <w:shd w:fill="CCE2F1" w:val="clear"/>
            <w:vAlign w:val="center"/>
          </w:tcPr>
          <w:p>
            <w:pPr>
              <w:pStyle w:val="TableContents"/>
              <w:bidi w:val="0"/>
              <w:spacing w:before="0" w:after="283"/>
              <w:jc w:val="left"/>
              <w:rPr/>
            </w:pPr>
            <w:r>
              <w:rPr/>
              <w:t> </w:t>
            </w:r>
          </w:p>
        </w:tc>
        <w:tc>
          <w:tcPr>
            <w:tcW w:w="1860" w:type="dxa"/>
            <w:tcBorders/>
            <w:shd w:fill="CCE2F1" w:val="clear"/>
            <w:vAlign w:val="center"/>
          </w:tcPr>
          <w:p>
            <w:pPr>
              <w:pStyle w:val="TableContents"/>
              <w:bidi w:val="0"/>
              <w:spacing w:before="0" w:after="283"/>
              <w:jc w:val="right"/>
              <w:rPr/>
            </w:pPr>
            <w:r>
              <w:rPr/>
              <w:t>16,426,563</w:t>
            </w:r>
          </w:p>
        </w:tc>
        <w:tc>
          <w:tcPr>
            <w:tcW w:w="77" w:type="dxa"/>
            <w:tcBorders/>
            <w:shd w:fill="CCE2F1" w:val="clear"/>
            <w:vAlign w:val="center"/>
          </w:tcPr>
          <w:p>
            <w:pPr>
              <w:pStyle w:val="TableContents"/>
              <w:bidi w:val="0"/>
              <w:spacing w:before="0" w:after="283"/>
              <w:jc w:val="left"/>
              <w:rPr/>
            </w:pPr>
            <w:r>
              <w:rPr/>
              <w:t> </w:t>
            </w:r>
          </w:p>
        </w:tc>
      </w:tr>
      <w:tr>
        <w:trPr/>
        <w:tc>
          <w:tcPr>
            <w:tcW w:w="5248" w:type="dxa"/>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2157" w:type="dxa"/>
            <w:gridSpan w:val="4"/>
            <w:tcBorders/>
            <w:vAlign w:val="center"/>
          </w:tcPr>
          <w:p>
            <w:pPr>
              <w:pStyle w:val="TableContents"/>
              <w:bidi w:val="0"/>
              <w:spacing w:before="0" w:after="283"/>
              <w:jc w:val="left"/>
              <w:rPr>
                <w:sz w:val="4"/>
                <w:szCs w:val="4"/>
              </w:rPr>
            </w:pPr>
            <w:r>
              <w:rPr>
                <w:sz w:val="4"/>
                <w:szCs w:val="4"/>
              </w:rPr>
            </w:r>
          </w:p>
        </w:tc>
      </w:tr>
      <w:tr>
        <w:trPr/>
        <w:tc>
          <w:tcPr>
            <w:tcW w:w="5248" w:type="dxa"/>
            <w:tcBorders/>
            <w:vAlign w:val="center"/>
          </w:tcPr>
          <w:p>
            <w:pPr>
              <w:pStyle w:val="TableContents"/>
              <w:bidi w:val="0"/>
              <w:spacing w:before="0" w:after="0"/>
              <w:jc w:val="left"/>
              <w:rPr/>
            </w:pPr>
            <w:r>
              <w:rPr/>
              <w:t> </w:t>
            </w:r>
            <w:r>
              <w:rPr>
                <w:rFonts w:ascii="arial" w:hAnsi="arial"/>
                <w:sz w:val="18"/>
              </w:rPr>
              <w:t>Equity compensation plan not approved by Amgen security holders:</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0"/>
              <w:jc w:val="left"/>
              <w:rPr/>
            </w:pPr>
            <w:r>
              <w:rPr/>
              <w:t> </w:t>
            </w:r>
          </w:p>
        </w:tc>
        <w:tc>
          <w:tcPr>
            <w:tcW w:w="1157"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0"/>
              <w:jc w:val="left"/>
              <w:rPr/>
            </w:pPr>
            <w:r>
              <w:rPr/>
              <w:t> </w:t>
            </w:r>
          </w:p>
        </w:tc>
        <w:tc>
          <w:tcPr>
            <w:tcW w:w="113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0"/>
              <w:jc w:val="left"/>
              <w:rPr/>
            </w:pPr>
            <w:r>
              <w:rPr/>
              <w:t> </w:t>
            </w:r>
          </w:p>
        </w:tc>
        <w:tc>
          <w:tcPr>
            <w:tcW w:w="1860" w:type="dxa"/>
            <w:tcBorders/>
            <w:vAlign w:val="center"/>
          </w:tcPr>
          <w:p>
            <w:pPr>
              <w:pStyle w:val="TableContents"/>
              <w:bidi w:val="0"/>
              <w:spacing w:before="0" w:after="0"/>
              <w:jc w:val="left"/>
              <w:rPr/>
            </w:pPr>
            <w:r>
              <w:rPr/>
              <w:t> </w:t>
            </w:r>
          </w:p>
        </w:tc>
        <w:tc>
          <w:tcPr>
            <w:tcW w:w="77" w:type="dxa"/>
            <w:tcBorders/>
            <w:vAlign w:val="center"/>
          </w:tcPr>
          <w:p>
            <w:pPr>
              <w:pStyle w:val="TableContents"/>
              <w:bidi w:val="0"/>
              <w:spacing w:before="0" w:after="0"/>
              <w:jc w:val="left"/>
              <w:rPr/>
            </w:pPr>
            <w:r>
              <w:rPr/>
              <w:t> </w:t>
            </w:r>
          </w:p>
        </w:tc>
      </w:tr>
      <w:tr>
        <w:trPr/>
        <w:tc>
          <w:tcPr>
            <w:tcW w:w="5248" w:type="dxa"/>
            <w:tcBorders/>
            <w:shd w:fill="CCE2F1" w:val="clear"/>
            <w:vAlign w:val="center"/>
          </w:tcPr>
          <w:p>
            <w:pPr>
              <w:pStyle w:val="TableContents"/>
              <w:bidi w:val="0"/>
              <w:spacing w:before="0" w:after="283"/>
              <w:jc w:val="left"/>
              <w:rPr>
                <w:sz w:val="4"/>
                <w:szCs w:val="4"/>
              </w:rPr>
            </w:pPr>
            <w:r>
              <w:rPr>
                <w:sz w:val="4"/>
                <w:szCs w:val="4"/>
              </w:rPr>
            </w:r>
          </w:p>
        </w:tc>
        <w:tc>
          <w:tcPr>
            <w:tcW w:w="1400" w:type="dxa"/>
            <w:gridSpan w:val="4"/>
            <w:tcBorders/>
            <w:shd w:fill="CCE2F1" w:val="clear"/>
            <w:vAlign w:val="center"/>
          </w:tcPr>
          <w:p>
            <w:pPr>
              <w:pStyle w:val="TableContents"/>
              <w:bidi w:val="0"/>
              <w:spacing w:before="0" w:after="283"/>
              <w:jc w:val="left"/>
              <w:rPr>
                <w:sz w:val="4"/>
                <w:szCs w:val="4"/>
              </w:rPr>
            </w:pPr>
            <w:r>
              <w:rPr>
                <w:sz w:val="4"/>
                <w:szCs w:val="4"/>
              </w:rPr>
            </w:r>
          </w:p>
        </w:tc>
        <w:tc>
          <w:tcPr>
            <w:tcW w:w="1400" w:type="dxa"/>
            <w:gridSpan w:val="4"/>
            <w:tcBorders/>
            <w:shd w:fill="CCE2F1" w:val="clear"/>
            <w:vAlign w:val="center"/>
          </w:tcPr>
          <w:p>
            <w:pPr>
              <w:pStyle w:val="TableContents"/>
              <w:bidi w:val="0"/>
              <w:spacing w:before="0" w:after="283"/>
              <w:jc w:val="left"/>
              <w:rPr>
                <w:sz w:val="4"/>
                <w:szCs w:val="4"/>
              </w:rPr>
            </w:pPr>
            <w:r>
              <w:rPr>
                <w:sz w:val="4"/>
                <w:szCs w:val="4"/>
              </w:rPr>
            </w:r>
          </w:p>
        </w:tc>
        <w:tc>
          <w:tcPr>
            <w:tcW w:w="2157"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5248" w:type="dxa"/>
            <w:tcBorders/>
            <w:shd w:fill="CCE2F1" w:val="clear"/>
            <w:vAlign w:val="center"/>
          </w:tcPr>
          <w:p>
            <w:pPr>
              <w:pStyle w:val="TableContents"/>
              <w:bidi w:val="0"/>
              <w:spacing w:before="0" w:after="0"/>
              <w:jc w:val="left"/>
              <w:rPr>
                <w:rFonts w:ascii="arial" w:hAnsi="arial"/>
                <w:sz w:val="18"/>
              </w:rPr>
            </w:pPr>
            <w:r>
              <w:rPr>
                <w:rFonts w:ascii="arial" w:hAnsi="arial"/>
                <w:sz w:val="18"/>
              </w:rPr>
              <w:t>Amgen Profit Sharing Plan for Employees in Ireland(3)</w:t>
            </w:r>
          </w:p>
        </w:tc>
        <w:tc>
          <w:tcPr>
            <w:tcW w:w="120" w:type="dxa"/>
            <w:tcBorders/>
            <w:shd w:fill="CCE2F1" w:val="clear"/>
            <w:vAlign w:val="center"/>
          </w:tcPr>
          <w:p>
            <w:pPr>
              <w:pStyle w:val="TableContents"/>
              <w:bidi w:val="0"/>
              <w:spacing w:before="0" w:after="283"/>
              <w:jc w:val="left"/>
              <w:rPr/>
            </w:pPr>
            <w:r>
              <w:rPr/>
              <w:t>  </w:t>
            </w:r>
          </w:p>
        </w:tc>
        <w:tc>
          <w:tcPr>
            <w:tcW w:w="63" w:type="dxa"/>
            <w:tcBorders/>
            <w:shd w:fill="CCE2F1" w:val="clear"/>
            <w:vAlign w:val="center"/>
          </w:tcPr>
          <w:p>
            <w:pPr>
              <w:pStyle w:val="TableContents"/>
              <w:bidi w:val="0"/>
              <w:spacing w:before="0" w:after="0"/>
              <w:jc w:val="left"/>
              <w:rPr/>
            </w:pPr>
            <w:r>
              <w:rPr/>
              <w:t> </w:t>
            </w:r>
          </w:p>
        </w:tc>
        <w:tc>
          <w:tcPr>
            <w:tcW w:w="1157" w:type="dxa"/>
            <w:tcBorders/>
            <w:shd w:fill="CCE2F1" w:val="clear"/>
            <w:vAlign w:val="center"/>
          </w:tcPr>
          <w:p>
            <w:pPr>
              <w:pStyle w:val="TableContents"/>
              <w:bidi w:val="0"/>
              <w:spacing w:before="0" w:after="0"/>
              <w:jc w:val="left"/>
              <w:rPr/>
            </w:pPr>
            <w:r>
              <w:rPr/>
              <w:t> </w:t>
            </w:r>
          </w:p>
        </w:tc>
        <w:tc>
          <w:tcPr>
            <w:tcW w:w="60" w:type="dxa"/>
            <w:tcBorders/>
            <w:shd w:fill="CCE2F1" w:val="clear"/>
            <w:vAlign w:val="center"/>
          </w:tcPr>
          <w:p>
            <w:pPr>
              <w:pStyle w:val="TableContents"/>
              <w:bidi w:val="0"/>
              <w:spacing w:before="0" w:after="0"/>
              <w:jc w:val="left"/>
              <w:rPr/>
            </w:pPr>
            <w:r>
              <w:rPr/>
              <w:t> </w:t>
            </w:r>
          </w:p>
        </w:tc>
        <w:tc>
          <w:tcPr>
            <w:tcW w:w="120" w:type="dxa"/>
            <w:tcBorders/>
            <w:shd w:fill="CCE2F1" w:val="clear"/>
            <w:vAlign w:val="center"/>
          </w:tcPr>
          <w:p>
            <w:pPr>
              <w:pStyle w:val="TableContents"/>
              <w:bidi w:val="0"/>
              <w:spacing w:before="0" w:after="283"/>
              <w:jc w:val="left"/>
              <w:rPr/>
            </w:pPr>
            <w:r>
              <w:rPr/>
              <w:t>  </w:t>
            </w:r>
          </w:p>
        </w:tc>
        <w:tc>
          <w:tcPr>
            <w:tcW w:w="85" w:type="dxa"/>
            <w:tcBorders/>
            <w:shd w:fill="CCE2F1" w:val="clear"/>
            <w:vAlign w:val="center"/>
          </w:tcPr>
          <w:p>
            <w:pPr>
              <w:pStyle w:val="TableContents"/>
              <w:bidi w:val="0"/>
              <w:spacing w:before="0" w:after="0"/>
              <w:jc w:val="left"/>
              <w:rPr/>
            </w:pPr>
            <w:r>
              <w:rPr/>
              <w:t> </w:t>
            </w:r>
          </w:p>
        </w:tc>
        <w:tc>
          <w:tcPr>
            <w:tcW w:w="1135" w:type="dxa"/>
            <w:tcBorders/>
            <w:shd w:fill="CCE2F1" w:val="clear"/>
            <w:vAlign w:val="center"/>
          </w:tcPr>
          <w:p>
            <w:pPr>
              <w:pStyle w:val="TableContents"/>
              <w:bidi w:val="0"/>
              <w:spacing w:before="0" w:after="0"/>
              <w:jc w:val="left"/>
              <w:rPr/>
            </w:pPr>
            <w:r>
              <w:rPr/>
              <w:t> </w:t>
            </w:r>
          </w:p>
        </w:tc>
        <w:tc>
          <w:tcPr>
            <w:tcW w:w="60" w:type="dxa"/>
            <w:tcBorders/>
            <w:shd w:fill="CCE2F1" w:val="clear"/>
            <w:vAlign w:val="center"/>
          </w:tcPr>
          <w:p>
            <w:pPr>
              <w:pStyle w:val="TableContents"/>
              <w:bidi w:val="0"/>
              <w:spacing w:before="0" w:after="0"/>
              <w:jc w:val="left"/>
              <w:rPr/>
            </w:pPr>
            <w:r>
              <w:rPr/>
              <w:t> </w:t>
            </w:r>
          </w:p>
        </w:tc>
        <w:tc>
          <w:tcPr>
            <w:tcW w:w="120" w:type="dxa"/>
            <w:tcBorders/>
            <w:shd w:fill="CCE2F1" w:val="clear"/>
            <w:vAlign w:val="center"/>
          </w:tcPr>
          <w:p>
            <w:pPr>
              <w:pStyle w:val="TableContents"/>
              <w:bidi w:val="0"/>
              <w:spacing w:before="0" w:after="283"/>
              <w:jc w:val="left"/>
              <w:rPr/>
            </w:pPr>
            <w:r>
              <w:rPr/>
              <w:t>  </w:t>
            </w:r>
          </w:p>
        </w:tc>
        <w:tc>
          <w:tcPr>
            <w:tcW w:w="100" w:type="dxa"/>
            <w:tcBorders/>
            <w:shd w:fill="CCE2F1" w:val="clear"/>
            <w:vAlign w:val="center"/>
          </w:tcPr>
          <w:p>
            <w:pPr>
              <w:pStyle w:val="TableContents"/>
              <w:bidi w:val="0"/>
              <w:spacing w:before="0" w:after="283"/>
              <w:jc w:val="left"/>
              <w:rPr/>
            </w:pPr>
            <w:r>
              <w:rPr/>
              <w:t> </w:t>
            </w:r>
          </w:p>
        </w:tc>
        <w:tc>
          <w:tcPr>
            <w:tcW w:w="1860" w:type="dxa"/>
            <w:tcBorders/>
            <w:shd w:fill="CCE2F1" w:val="clear"/>
            <w:vAlign w:val="center"/>
          </w:tcPr>
          <w:p>
            <w:pPr>
              <w:pStyle w:val="TableContents"/>
              <w:bidi w:val="0"/>
              <w:spacing w:before="0" w:after="283"/>
              <w:jc w:val="right"/>
              <w:rPr/>
            </w:pPr>
            <w:r>
              <w:rPr/>
              <w:t>201,231</w:t>
            </w:r>
          </w:p>
        </w:tc>
        <w:tc>
          <w:tcPr>
            <w:tcW w:w="77" w:type="dxa"/>
            <w:tcBorders/>
            <w:shd w:fill="CCE2F1" w:val="clear"/>
            <w:vAlign w:val="center"/>
          </w:tcPr>
          <w:p>
            <w:pPr>
              <w:pStyle w:val="TableContents"/>
              <w:bidi w:val="0"/>
              <w:spacing w:before="0" w:after="283"/>
              <w:jc w:val="left"/>
              <w:rPr/>
            </w:pPr>
            <w:r>
              <w:rPr/>
              <w:t> </w:t>
            </w:r>
          </w:p>
        </w:tc>
      </w:tr>
      <w:tr>
        <w:trPr/>
        <w:tc>
          <w:tcPr>
            <w:tcW w:w="5248" w:type="dxa"/>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2157" w:type="dxa"/>
            <w:gridSpan w:val="4"/>
            <w:tcBorders/>
            <w:vAlign w:val="center"/>
          </w:tcPr>
          <w:p>
            <w:pPr>
              <w:pStyle w:val="TableContents"/>
              <w:bidi w:val="0"/>
              <w:spacing w:before="0" w:after="283"/>
              <w:jc w:val="left"/>
              <w:rPr>
                <w:sz w:val="4"/>
                <w:szCs w:val="4"/>
              </w:rPr>
            </w:pPr>
            <w:r>
              <w:rPr>
                <w:sz w:val="4"/>
                <w:szCs w:val="4"/>
              </w:rPr>
            </w:r>
          </w:p>
        </w:tc>
      </w:tr>
      <w:tr>
        <w:trPr/>
        <w:tc>
          <w:tcPr>
            <w:tcW w:w="5248" w:type="dxa"/>
            <w:tcBorders/>
            <w:vAlign w:val="center"/>
          </w:tcPr>
          <w:p>
            <w:pPr>
              <w:pStyle w:val="TableContents"/>
              <w:bidi w:val="0"/>
              <w:spacing w:before="0" w:after="0"/>
              <w:jc w:val="left"/>
              <w:rPr>
                <w:rFonts w:ascii="arial" w:hAnsi="arial"/>
                <w:sz w:val="18"/>
              </w:rPr>
            </w:pPr>
            <w:r>
              <w:rPr>
                <w:rFonts w:ascii="arial" w:hAnsi="arial"/>
                <w:sz w:val="18"/>
              </w:rPr>
              <w:t>Horizon stock plans(4)</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1,360,908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0"/>
              <w:jc w:val="left"/>
              <w:rPr/>
            </w:pPr>
            <w:r>
              <w:rPr/>
              <w:t> </w:t>
            </w:r>
          </w:p>
        </w:tc>
        <w:tc>
          <w:tcPr>
            <w:tcW w:w="113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860" w:type="dxa"/>
            <w:tcBorders/>
            <w:vAlign w:val="center"/>
          </w:tcPr>
          <w:p>
            <w:pPr>
              <w:pStyle w:val="TableContents"/>
              <w:bidi w:val="0"/>
              <w:spacing w:before="0" w:after="283"/>
              <w:jc w:val="right"/>
              <w:rPr/>
            </w:pPr>
            <w:r>
              <w:rPr/>
              <w:t>—</w:t>
            </w:r>
          </w:p>
        </w:tc>
        <w:tc>
          <w:tcPr>
            <w:tcW w:w="77" w:type="dxa"/>
            <w:tcBorders/>
            <w:vAlign w:val="center"/>
          </w:tcPr>
          <w:p>
            <w:pPr>
              <w:pStyle w:val="TableContents"/>
              <w:bidi w:val="0"/>
              <w:spacing w:before="0" w:after="283"/>
              <w:jc w:val="left"/>
              <w:rPr/>
            </w:pPr>
            <w:r>
              <w:rPr/>
              <w:t> </w:t>
            </w:r>
          </w:p>
        </w:tc>
      </w:tr>
      <w:tr>
        <w:trPr/>
        <w:tc>
          <w:tcPr>
            <w:tcW w:w="5248" w:type="dxa"/>
            <w:tcBorders/>
            <w:shd w:fill="CCE2F1" w:val="clear"/>
            <w:vAlign w:val="center"/>
          </w:tcPr>
          <w:p>
            <w:pPr>
              <w:pStyle w:val="TableContents"/>
              <w:bidi w:val="0"/>
              <w:spacing w:before="0" w:after="283"/>
              <w:jc w:val="left"/>
              <w:rPr>
                <w:sz w:val="4"/>
                <w:szCs w:val="4"/>
              </w:rPr>
            </w:pPr>
            <w:r>
              <w:rPr>
                <w:sz w:val="4"/>
                <w:szCs w:val="4"/>
              </w:rPr>
            </w:r>
          </w:p>
        </w:tc>
        <w:tc>
          <w:tcPr>
            <w:tcW w:w="1400" w:type="dxa"/>
            <w:gridSpan w:val="4"/>
            <w:tcBorders/>
            <w:shd w:fill="CCE2F1" w:val="clear"/>
            <w:vAlign w:val="center"/>
          </w:tcPr>
          <w:p>
            <w:pPr>
              <w:pStyle w:val="TableContents"/>
              <w:bidi w:val="0"/>
              <w:spacing w:before="0" w:after="283"/>
              <w:jc w:val="left"/>
              <w:rPr>
                <w:sz w:val="4"/>
                <w:szCs w:val="4"/>
              </w:rPr>
            </w:pPr>
            <w:r>
              <w:rPr>
                <w:sz w:val="4"/>
                <w:szCs w:val="4"/>
              </w:rPr>
            </w:r>
          </w:p>
        </w:tc>
        <w:tc>
          <w:tcPr>
            <w:tcW w:w="1400" w:type="dxa"/>
            <w:gridSpan w:val="4"/>
            <w:tcBorders/>
            <w:shd w:fill="CCE2F1" w:val="clear"/>
            <w:vAlign w:val="center"/>
          </w:tcPr>
          <w:p>
            <w:pPr>
              <w:pStyle w:val="TableContents"/>
              <w:bidi w:val="0"/>
              <w:spacing w:before="0" w:after="283"/>
              <w:jc w:val="left"/>
              <w:rPr>
                <w:sz w:val="4"/>
                <w:szCs w:val="4"/>
              </w:rPr>
            </w:pPr>
            <w:r>
              <w:rPr>
                <w:sz w:val="4"/>
                <w:szCs w:val="4"/>
              </w:rPr>
            </w:r>
          </w:p>
        </w:tc>
        <w:tc>
          <w:tcPr>
            <w:tcW w:w="2157"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5248" w:type="dxa"/>
            <w:tcBorders/>
            <w:shd w:fill="CCE2F1" w:val="clear"/>
            <w:vAlign w:val="center"/>
          </w:tcPr>
          <w:p>
            <w:pPr>
              <w:pStyle w:val="TableContents"/>
              <w:bidi w:val="0"/>
              <w:spacing w:before="0" w:after="0"/>
              <w:jc w:val="left"/>
              <w:rPr>
                <w:rFonts w:ascii="arial" w:hAnsi="arial"/>
                <w:sz w:val="18"/>
              </w:rPr>
            </w:pPr>
            <w:r>
              <w:rPr>
                <w:rFonts w:ascii="arial" w:hAnsi="arial"/>
                <w:sz w:val="18"/>
              </w:rPr>
              <w:t>Total unapproved plans</w:t>
            </w:r>
          </w:p>
        </w:tc>
        <w:tc>
          <w:tcPr>
            <w:tcW w:w="120" w:type="dxa"/>
            <w:tcBorders/>
            <w:shd w:fill="CCE2F1" w:val="clear"/>
            <w:vAlign w:val="center"/>
          </w:tcPr>
          <w:p>
            <w:pPr>
              <w:pStyle w:val="TableContents"/>
              <w:bidi w:val="0"/>
              <w:spacing w:before="0" w:after="283"/>
              <w:jc w:val="left"/>
              <w:rPr/>
            </w:pPr>
            <w:r>
              <w:rPr/>
              <w:t>  </w:t>
            </w:r>
          </w:p>
        </w:tc>
        <w:tc>
          <w:tcPr>
            <w:tcW w:w="63" w:type="dxa"/>
            <w:tcBorders/>
            <w:shd w:fill="CCE2F1" w:val="clear"/>
            <w:vAlign w:val="center"/>
          </w:tcPr>
          <w:p>
            <w:pPr>
              <w:pStyle w:val="TableContents"/>
              <w:bidi w:val="0"/>
              <w:spacing w:before="0" w:after="283"/>
              <w:jc w:val="left"/>
              <w:rPr/>
            </w:pPr>
            <w:r>
              <w:rPr/>
              <w:t> </w:t>
            </w:r>
          </w:p>
        </w:tc>
        <w:tc>
          <w:tcPr>
            <w:tcW w:w="1157" w:type="dxa"/>
            <w:tcBorders/>
            <w:shd w:fill="CCE2F1" w:val="clear"/>
            <w:vAlign w:val="center"/>
          </w:tcPr>
          <w:p>
            <w:pPr>
              <w:pStyle w:val="TableContents"/>
              <w:bidi w:val="0"/>
              <w:spacing w:before="0" w:after="283"/>
              <w:jc w:val="right"/>
              <w:rPr/>
            </w:pPr>
            <w:r>
              <w:rPr/>
              <w:t>1,360,908</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85" w:type="dxa"/>
            <w:tcBorders/>
            <w:shd w:fill="CCE2F1" w:val="clear"/>
            <w:vAlign w:val="center"/>
          </w:tcPr>
          <w:p>
            <w:pPr>
              <w:pStyle w:val="TableContents"/>
              <w:bidi w:val="0"/>
              <w:spacing w:before="0" w:after="283"/>
              <w:jc w:val="left"/>
              <w:rPr/>
            </w:pPr>
            <w:r>
              <w:rPr/>
              <w:t> </w:t>
            </w:r>
          </w:p>
        </w:tc>
        <w:tc>
          <w:tcPr>
            <w:tcW w:w="1135" w:type="dxa"/>
            <w:tcBorders/>
            <w:shd w:fill="CCE2F1" w:val="clear"/>
            <w:vAlign w:val="center"/>
          </w:tcPr>
          <w:p>
            <w:pPr>
              <w:pStyle w:val="TableContents"/>
              <w:bidi w:val="0"/>
              <w:spacing w:before="0" w:after="283"/>
              <w:jc w:val="right"/>
              <w:rPr/>
            </w:pPr>
            <w:r>
              <w:rPr/>
              <w:t>—</w:t>
            </w:r>
          </w:p>
        </w:tc>
        <w:tc>
          <w:tcPr>
            <w:tcW w:w="60" w:type="dxa"/>
            <w:tcBorders/>
            <w:shd w:fill="CCE2F1" w:val="clear"/>
            <w:vAlign w:val="center"/>
          </w:tcPr>
          <w:p>
            <w:pPr>
              <w:pStyle w:val="TableContents"/>
              <w:bidi w:val="0"/>
              <w:spacing w:before="0" w:after="283"/>
              <w:jc w:val="left"/>
              <w:rPr/>
            </w:pPr>
            <w:r>
              <w:rPr/>
              <w:t> </w:t>
            </w:r>
          </w:p>
        </w:tc>
        <w:tc>
          <w:tcPr>
            <w:tcW w:w="120" w:type="dxa"/>
            <w:tcBorders/>
            <w:shd w:fill="CCE2F1" w:val="clear"/>
            <w:vAlign w:val="center"/>
          </w:tcPr>
          <w:p>
            <w:pPr>
              <w:pStyle w:val="TableContents"/>
              <w:bidi w:val="0"/>
              <w:spacing w:before="0" w:after="283"/>
              <w:jc w:val="left"/>
              <w:rPr/>
            </w:pPr>
            <w:r>
              <w:rPr/>
              <w:t>  </w:t>
            </w:r>
          </w:p>
        </w:tc>
        <w:tc>
          <w:tcPr>
            <w:tcW w:w="100" w:type="dxa"/>
            <w:tcBorders/>
            <w:shd w:fill="CCE2F1" w:val="clear"/>
            <w:vAlign w:val="center"/>
          </w:tcPr>
          <w:p>
            <w:pPr>
              <w:pStyle w:val="TableContents"/>
              <w:bidi w:val="0"/>
              <w:spacing w:before="0" w:after="283"/>
              <w:jc w:val="left"/>
              <w:rPr/>
            </w:pPr>
            <w:r>
              <w:rPr/>
              <w:t> </w:t>
            </w:r>
          </w:p>
        </w:tc>
        <w:tc>
          <w:tcPr>
            <w:tcW w:w="1860" w:type="dxa"/>
            <w:tcBorders/>
            <w:shd w:fill="CCE2F1" w:val="clear"/>
            <w:vAlign w:val="center"/>
          </w:tcPr>
          <w:p>
            <w:pPr>
              <w:pStyle w:val="TableContents"/>
              <w:bidi w:val="0"/>
              <w:spacing w:before="0" w:after="283"/>
              <w:jc w:val="right"/>
              <w:rPr/>
            </w:pPr>
            <w:r>
              <w:rPr/>
              <w:t>201,231</w:t>
            </w:r>
          </w:p>
        </w:tc>
        <w:tc>
          <w:tcPr>
            <w:tcW w:w="77" w:type="dxa"/>
            <w:tcBorders/>
            <w:shd w:fill="CCE2F1" w:val="clear"/>
            <w:vAlign w:val="center"/>
          </w:tcPr>
          <w:p>
            <w:pPr>
              <w:pStyle w:val="TableContents"/>
              <w:bidi w:val="0"/>
              <w:spacing w:before="0" w:after="283"/>
              <w:jc w:val="left"/>
              <w:rPr/>
            </w:pPr>
            <w:r>
              <w:rPr/>
              <w:t> </w:t>
            </w:r>
          </w:p>
        </w:tc>
      </w:tr>
      <w:tr>
        <w:trPr/>
        <w:tc>
          <w:tcPr>
            <w:tcW w:w="5248" w:type="dxa"/>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2157" w:type="dxa"/>
            <w:gridSpan w:val="4"/>
            <w:tcBorders/>
            <w:vAlign w:val="center"/>
          </w:tcPr>
          <w:p>
            <w:pPr>
              <w:pStyle w:val="TableContents"/>
              <w:bidi w:val="0"/>
              <w:spacing w:before="0" w:after="283"/>
              <w:jc w:val="left"/>
              <w:rPr>
                <w:sz w:val="4"/>
                <w:szCs w:val="4"/>
              </w:rPr>
            </w:pPr>
            <w:r>
              <w:rPr>
                <w:sz w:val="4"/>
                <w:szCs w:val="4"/>
              </w:rPr>
            </w:r>
          </w:p>
        </w:tc>
      </w:tr>
      <w:tr>
        <w:trPr/>
        <w:tc>
          <w:tcPr>
            <w:tcW w:w="5248" w:type="dxa"/>
            <w:tcBorders>
              <w:bottom w:val="single" w:sz="8" w:space="0" w:color="0171B9"/>
            </w:tcBorders>
            <w:tcMar>
              <w:bottom w:w="60" w:type="dxa"/>
            </w:tcMar>
            <w:vAlign w:val="center"/>
          </w:tcPr>
          <w:p>
            <w:pPr>
              <w:pStyle w:val="TableContents"/>
              <w:bidi w:val="0"/>
              <w:spacing w:before="0" w:after="0"/>
              <w:jc w:val="left"/>
              <w:rPr>
                <w:rFonts w:ascii="arial" w:hAnsi="arial"/>
                <w:sz w:val="18"/>
              </w:rPr>
            </w:pPr>
            <w:r>
              <w:rPr>
                <w:rFonts w:ascii="arial" w:hAnsi="arial"/>
                <w:sz w:val="18"/>
              </w:rPr>
              <w:t>Total all plans</w:t>
            </w:r>
          </w:p>
        </w:tc>
        <w:tc>
          <w:tcPr>
            <w:tcW w:w="120" w:type="dxa"/>
            <w:tcBorders>
              <w:bottom w:val="single" w:sz="8" w:space="0" w:color="0171B9"/>
            </w:tcBorders>
            <w:tcMar>
              <w:bottom w:w="28" w:type="dxa"/>
            </w:tcMar>
            <w:vAlign w:val="center"/>
          </w:tcPr>
          <w:p>
            <w:pPr>
              <w:pStyle w:val="TableContents"/>
              <w:bidi w:val="0"/>
              <w:spacing w:before="0" w:after="283"/>
              <w:jc w:val="left"/>
              <w:rPr/>
            </w:pPr>
            <w:r>
              <w:rPr/>
              <w:t>  </w:t>
            </w:r>
          </w:p>
        </w:tc>
        <w:tc>
          <w:tcPr>
            <w:tcW w:w="63" w:type="dxa"/>
            <w:tcBorders>
              <w:bottom w:val="single" w:sz="8" w:space="0" w:color="0171B9"/>
            </w:tcBorders>
            <w:tcMar>
              <w:bottom w:w="60" w:type="dxa"/>
            </w:tcMar>
            <w:vAlign w:val="center"/>
          </w:tcPr>
          <w:p>
            <w:pPr>
              <w:pStyle w:val="TableContents"/>
              <w:bidi w:val="0"/>
              <w:spacing w:before="0" w:after="283"/>
              <w:jc w:val="left"/>
              <w:rPr/>
            </w:pPr>
            <w:r>
              <w:rPr/>
              <w:t> </w:t>
            </w:r>
          </w:p>
        </w:tc>
        <w:tc>
          <w:tcPr>
            <w:tcW w:w="1157" w:type="dxa"/>
            <w:tcBorders>
              <w:bottom w:val="single" w:sz="8" w:space="0" w:color="0171B9"/>
            </w:tcBorders>
            <w:tcMar>
              <w:bottom w:w="60" w:type="dxa"/>
            </w:tcMar>
            <w:vAlign w:val="center"/>
          </w:tcPr>
          <w:p>
            <w:pPr>
              <w:pStyle w:val="TableContents"/>
              <w:bidi w:val="0"/>
              <w:spacing w:before="0" w:after="283"/>
              <w:jc w:val="right"/>
              <w:rPr/>
            </w:pPr>
            <w:r>
              <w:rPr/>
              <w:t>11,915,801</w:t>
            </w:r>
          </w:p>
        </w:tc>
        <w:tc>
          <w:tcPr>
            <w:tcW w:w="60" w:type="dxa"/>
            <w:tcBorders>
              <w:bottom w:val="single" w:sz="8" w:space="0" w:color="0171B9"/>
            </w:tcBorders>
            <w:tcMar>
              <w:bottom w:w="60" w:type="dxa"/>
            </w:tcMar>
            <w:vAlign w:val="center"/>
          </w:tcPr>
          <w:p>
            <w:pPr>
              <w:pStyle w:val="TableContents"/>
              <w:bidi w:val="0"/>
              <w:spacing w:before="0" w:after="283"/>
              <w:jc w:val="left"/>
              <w:rPr/>
            </w:pPr>
            <w:r>
              <w:rPr/>
              <w:t> </w:t>
            </w:r>
          </w:p>
        </w:tc>
        <w:tc>
          <w:tcPr>
            <w:tcW w:w="120" w:type="dxa"/>
            <w:tcBorders>
              <w:bottom w:val="single" w:sz="8" w:space="0" w:color="0171B9"/>
            </w:tcBorders>
            <w:tcMar>
              <w:bottom w:w="28" w:type="dxa"/>
            </w:tcMar>
            <w:vAlign w:val="center"/>
          </w:tcPr>
          <w:p>
            <w:pPr>
              <w:pStyle w:val="TableContents"/>
              <w:bidi w:val="0"/>
              <w:spacing w:before="0" w:after="283"/>
              <w:jc w:val="left"/>
              <w:rPr/>
            </w:pPr>
            <w:r>
              <w:rPr/>
              <w:t>  </w:t>
            </w:r>
          </w:p>
        </w:tc>
        <w:tc>
          <w:tcPr>
            <w:tcW w:w="85" w:type="dxa"/>
            <w:tcBorders>
              <w:bottom w:val="single" w:sz="8" w:space="0" w:color="0171B9"/>
            </w:tcBorders>
            <w:tcMar>
              <w:bottom w:w="60" w:type="dxa"/>
            </w:tcMar>
            <w:vAlign w:val="center"/>
          </w:tcPr>
          <w:p>
            <w:pPr>
              <w:pStyle w:val="TableContents"/>
              <w:bidi w:val="0"/>
              <w:spacing w:before="0" w:after="283"/>
              <w:jc w:val="left"/>
              <w:rPr/>
            </w:pPr>
            <w:r>
              <w:rPr/>
              <w:t> </w:t>
            </w:r>
          </w:p>
        </w:tc>
        <w:tc>
          <w:tcPr>
            <w:tcW w:w="1135" w:type="dxa"/>
            <w:tcBorders>
              <w:bottom w:val="single" w:sz="8" w:space="0" w:color="0171B9"/>
            </w:tcBorders>
            <w:tcMar>
              <w:bottom w:w="60" w:type="dxa"/>
            </w:tcMar>
            <w:vAlign w:val="center"/>
          </w:tcPr>
          <w:p>
            <w:pPr>
              <w:pStyle w:val="TableContents"/>
              <w:bidi w:val="0"/>
              <w:spacing w:before="0" w:after="283"/>
              <w:jc w:val="right"/>
              <w:rPr/>
            </w:pPr>
            <w:r>
              <w:rPr/>
              <w:t>$213.90</w:t>
            </w:r>
          </w:p>
        </w:tc>
        <w:tc>
          <w:tcPr>
            <w:tcW w:w="60" w:type="dxa"/>
            <w:tcBorders>
              <w:bottom w:val="single" w:sz="8" w:space="0" w:color="0171B9"/>
            </w:tcBorders>
            <w:tcMar>
              <w:bottom w:w="60" w:type="dxa"/>
            </w:tcMar>
            <w:vAlign w:val="center"/>
          </w:tcPr>
          <w:p>
            <w:pPr>
              <w:pStyle w:val="TableContents"/>
              <w:bidi w:val="0"/>
              <w:spacing w:before="0" w:after="283"/>
              <w:jc w:val="left"/>
              <w:rPr/>
            </w:pPr>
            <w:r>
              <w:rPr/>
              <w:t> </w:t>
            </w:r>
          </w:p>
        </w:tc>
        <w:tc>
          <w:tcPr>
            <w:tcW w:w="120" w:type="dxa"/>
            <w:tcBorders>
              <w:bottom w:val="single" w:sz="8" w:space="0" w:color="0171B9"/>
            </w:tcBorders>
            <w:tcMar>
              <w:bottom w:w="28" w:type="dxa"/>
            </w:tcMar>
            <w:vAlign w:val="center"/>
          </w:tcPr>
          <w:p>
            <w:pPr>
              <w:pStyle w:val="TableContents"/>
              <w:bidi w:val="0"/>
              <w:spacing w:before="0" w:after="283"/>
              <w:jc w:val="left"/>
              <w:rPr/>
            </w:pPr>
            <w:r>
              <w:rPr/>
              <w:t>  </w:t>
            </w:r>
          </w:p>
        </w:tc>
        <w:tc>
          <w:tcPr>
            <w:tcW w:w="100" w:type="dxa"/>
            <w:tcBorders>
              <w:bottom w:val="single" w:sz="8" w:space="0" w:color="0171B9"/>
            </w:tcBorders>
            <w:tcMar>
              <w:bottom w:w="60" w:type="dxa"/>
            </w:tcMar>
            <w:vAlign w:val="center"/>
          </w:tcPr>
          <w:p>
            <w:pPr>
              <w:pStyle w:val="TableContents"/>
              <w:bidi w:val="0"/>
              <w:spacing w:before="0" w:after="283"/>
              <w:jc w:val="left"/>
              <w:rPr/>
            </w:pPr>
            <w:r>
              <w:rPr/>
              <w:t> </w:t>
            </w:r>
          </w:p>
        </w:tc>
        <w:tc>
          <w:tcPr>
            <w:tcW w:w="1860" w:type="dxa"/>
            <w:tcBorders>
              <w:bottom w:val="single" w:sz="8" w:space="0" w:color="0171B9"/>
            </w:tcBorders>
            <w:tcMar>
              <w:bottom w:w="60" w:type="dxa"/>
            </w:tcMar>
            <w:vAlign w:val="center"/>
          </w:tcPr>
          <w:p>
            <w:pPr>
              <w:pStyle w:val="TableContents"/>
              <w:bidi w:val="0"/>
              <w:spacing w:before="0" w:after="283"/>
              <w:jc w:val="right"/>
              <w:rPr/>
            </w:pPr>
            <w:r>
              <w:rPr/>
              <w:t>16,627,794</w:t>
            </w:r>
          </w:p>
        </w:tc>
        <w:tc>
          <w:tcPr>
            <w:tcW w:w="77" w:type="dxa"/>
            <w:tcBorders>
              <w:bottom w:val="single" w:sz="8" w:space="0" w:color="0171B9"/>
            </w:tcBorders>
            <w:tcMar>
              <w:bottom w:w="6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(1) </w:t>
            </w:r>
          </w:p>
        </w:tc>
        <w:tc>
          <w:tcPr>
            <w:tcW w:w="9963" w:type="dxa"/>
            <w:tcBorders/>
            <w:vAlign w:val="center"/>
          </w:tcPr>
          <w:p>
            <w:pPr>
              <w:pStyle w:val="TableContents"/>
              <w:bidi w:val="0"/>
              <w:spacing w:before="0" w:after="0"/>
              <w:jc w:val="both"/>
              <w:rPr>
                <w:rFonts w:ascii="arial" w:hAnsi="arial"/>
                <w:sz w:val="16"/>
              </w:rPr>
            </w:pPr>
            <w:r>
              <w:rPr>
                <w:rFonts w:ascii="arial" w:hAnsi="arial"/>
                <w:sz w:val="16"/>
              </w:rPr>
              <w:t xml:space="preserve">The Amended 2009 Plan employs a fungible share-counting formula for determining the number of shares available for issuance under the plan. In accordance with this formula, each option or stock appreciation right counts as one share, while each RSU, performance unit or dividend equivalent counts as 1.9 shares. The number under column (a) represents the actual number of shares issuable under our outstanding awards without giving effect to the fungible share-counting formula. The number under column (c) represents the number of shares available for issuance under this plan based on each such available share counting as one share. Commencing with the grants made in April 2012, RSUs and performance units accrue dividend equivalents that are payable in shares only to the extent and when the underlying RSUs vest or underlying performance units have been earned and the related shares are issued to the grantee. The performance units granted under this plan are earned based on the accomplishment of specified performance goals at the end of their respective three-year performance periods; the number of performance units granted represent target performance, and the maximum number of units that could be earned based on our performance is 200% of the performance units granted in 2021, 2022 and 2023.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 </w:t>
            </w:r>
          </w:p>
        </w:tc>
        <w:tc>
          <w:tcPr>
            <w:tcW w:w="10050" w:type="dxa"/>
            <w:tcBorders/>
            <w:vAlign w:val="center"/>
          </w:tcPr>
          <w:p>
            <w:pPr>
              <w:pStyle w:val="TableContents"/>
              <w:bidi w:val="0"/>
              <w:spacing w:before="0" w:after="0"/>
              <w:jc w:val="both"/>
              <w:rPr>
                <w:rFonts w:ascii="arial" w:hAnsi="arial"/>
                <w:sz w:val="16"/>
              </w:rPr>
            </w:pPr>
            <w:r>
              <w:rPr>
                <w:rFonts w:ascii="arial" w:hAnsi="arial"/>
                <w:sz w:val="16"/>
              </w:rPr>
              <w:t xml:space="preserve">As of December 31, 2023, the number of outstanding awards under column (a) includes (i) 5,900,964 shares issuable upon the exercise of outstanding options with a weighted-average exercise price of $213.90; (ii) 2,870,171 shares issuable upon the vesting of outstanding RSUs (including 189,342 related dividend equivalents); and (iii) 1,782,576 shares subject to outstanding 2021, 2022 and 2023 performance units (including 97,199 related dividend equivalents). The weighted-average exercise price shown in column (b) is for the outstanding options only. The number of available shares under column (c) represents the number of shares that remain available for future issuance under this plan as of December 31, 2023, employing the fungible share formula and presumes the issuance of target shares under the performance units granted in 2021, 2022 and 2023 and related dividend equivalents. The numbers under columns (a) and (c) do not give effect to the additional shares that could be issuable in the event above target performance on the performance goals under these outstanding performance units is achieved. Maximum performance under these goals could result in 200% of target shares being awarded for performance units granted in 2021, 2022 and 2023. </w:t>
            </w:r>
          </w:p>
        </w:tc>
      </w:tr>
    </w:tbl>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283"/>
              <w:jc w:val="left"/>
              <w:rPr/>
            </w:pPr>
            <w:r>
              <w:rPr/>
              <w:t>(2) </w:t>
            </w:r>
          </w:p>
        </w:tc>
        <w:tc>
          <w:tcPr>
            <w:tcW w:w="9893" w:type="dxa"/>
            <w:tcBorders/>
            <w:vAlign w:val="center"/>
          </w:tcPr>
          <w:p>
            <w:pPr>
              <w:pStyle w:val="TableContents"/>
              <w:bidi w:val="0"/>
              <w:spacing w:before="0" w:after="0"/>
              <w:jc w:val="both"/>
              <w:rPr>
                <w:rFonts w:ascii="arial" w:hAnsi="arial"/>
                <w:sz w:val="16"/>
              </w:rPr>
            </w:pPr>
            <w:r>
              <w:rPr>
                <w:rFonts w:ascii="arial" w:hAnsi="arial"/>
                <w:sz w:val="16"/>
              </w:rPr>
              <w:t xml:space="preserve">This plan has terminated as to future grants. The number under column (a) with respect to this plan includes 1,182 shares issuable upon the settlement of deferred RSUs (including 296 related dividend equivalents). </w:t>
            </w:r>
          </w:p>
        </w:tc>
      </w:tr>
    </w:tbl>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398"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Image188" descr=""/>
                    <pic:cNvPicPr>
                      <a:picLocks noChangeAspect="1" noChangeArrowheads="1"/>
                    </pic:cNvPicPr>
                  </pic:nvPicPr>
                  <pic:blipFill>
                    <a:blip r:embed="rId201"/>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121</w:t>
      </w:r>
      <w:r>
        <w:rPr>
          <w:rFonts w:ascii="arial" w:hAnsi="arial"/>
          <w:b/>
          <w:sz w:val="22"/>
        </w:rPr>
        <w:t xml:space="preserve"> </w:t>
      </w:r>
      <w:r>
        <w:br w:type="page"/>
      </w:r>
    </w:p>
    <w:p>
      <w:pPr>
        <w:pStyle w:val="HorizontalLine"/>
        <w:bidi w:val="0"/>
        <w:jc w:val="left"/>
        <w:rPr/>
      </w:pPr>
      <w:r>
        <w:rPr/>
      </w:r>
    </w:p>
    <w:tbl>
      <w:tblPr>
        <w:tblW w:w="942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894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4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894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Securities Authorized for Issuance Under Existing Equity Compensation Plans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(3) </w:t>
            </w:r>
          </w:p>
        </w:tc>
        <w:tc>
          <w:tcPr>
            <w:tcW w:w="9935" w:type="dxa"/>
            <w:tcBorders/>
            <w:vAlign w:val="center"/>
          </w:tcPr>
          <w:p>
            <w:pPr>
              <w:pStyle w:val="TableContents"/>
              <w:bidi w:val="0"/>
              <w:spacing w:before="0" w:after="0"/>
              <w:jc w:val="both"/>
              <w:rPr>
                <w:rFonts w:ascii="arial" w:hAnsi="arial"/>
                <w:sz w:val="16"/>
              </w:rPr>
            </w:pPr>
            <w:r>
              <w:rPr>
                <w:rFonts w:ascii="arial" w:hAnsi="arial"/>
                <w:sz w:val="16"/>
              </w:rPr>
              <w:t xml:space="preserve">The Profit Sharing Plan was approved by the Board of Directors on July 28, 2011. The Profit Sharing Plan permits eligible employees of the Company’s subsidiaries located in Ireland who participate in the Profit Sharing Plan to apply a portion of their qualifying bonus and salary to the purchase of the Company’s common stock on the open market at the market price by a third-party trustee as described in the Profit Sharing Plan.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(4) </w:t>
            </w:r>
          </w:p>
        </w:tc>
        <w:tc>
          <w:tcPr>
            <w:tcW w:w="9953" w:type="dxa"/>
            <w:tcBorders/>
            <w:vAlign w:val="center"/>
          </w:tcPr>
          <w:p>
            <w:pPr>
              <w:pStyle w:val="TableContents"/>
              <w:bidi w:val="0"/>
              <w:spacing w:before="0" w:after="0"/>
              <w:jc w:val="both"/>
              <w:rPr>
                <w:rFonts w:ascii="arial" w:hAnsi="arial"/>
                <w:sz w:val="16"/>
              </w:rPr>
            </w:pPr>
            <w:r>
              <w:rPr>
                <w:rFonts w:ascii="arial" w:hAnsi="arial"/>
                <w:sz w:val="16"/>
              </w:rPr>
              <w:t xml:space="preserve">The Horizon Therapeutics Public Limited Company Amended and Restated 2014 Equity Incentive Plan, the Horizon Therapeutics Public Limited Company Amended and Restated 2020 Equity Incentive Plan and 2020 Restricted Stock Unit Award Sub-Plan and the Horizon Therapeutics Public Limited Company Amended and Restated 2018 Equity Incentive Plan and 2018 Restricted Stock Unit Award Sub-Plan (collectively, the “Horizon stock plans”) were acquired on October 6, 2023, pursuant to our acquisition of Horizon. In connection with the closing of the Horizon acquisition and pursuant to its terms, outstanding RSUs issued under the Horizon stock plans were converted into Amgen RSUs and these plans terminated as to future grants on October 6, 2023. </w:t>
            </w:r>
          </w:p>
        </w:tc>
      </w:tr>
    </w:tbl>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122  </w:t>
      </w:r>
      <w:r>
        <w:rPr>
          <w:rFonts w:ascii="arial" w:hAnsi="arial"/>
          <w:b/>
          <w:color w:val="474747"/>
          <w:sz w:val="22"/>
        </w:rPr>
        <w:drawing>
          <wp:inline distT="0" distB="0" distL="0" distR="0">
            <wp:extent cx="64770" cy="15240"/>
            <wp:effectExtent l="0" t="0" r="0" b="0"/>
            <wp:docPr id="399"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Image189" descr=""/>
                    <pic:cNvPicPr>
                      <a:picLocks noChangeAspect="1" noChangeArrowheads="1"/>
                    </pic:cNvPicPr>
                  </pic:nvPicPr>
                  <pic:blipFill>
                    <a:blip r:embed="rId202"/>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963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915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5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915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Item 4 — Ratification of Selection of Independent Registered Public Accountants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171B9"/>
          <w:sz w:val="44"/>
        </w:rPr>
      </w:pPr>
      <w:bookmarkStart w:id="66" w:name="toc445034_50"/>
      <w:bookmarkEnd w:id="66"/>
      <w:r>
        <w:rPr>
          <w:rFonts w:ascii="arial" w:hAnsi="arial"/>
          <w:b/>
          <w:color w:val="0171B9"/>
          <w:sz w:val="44"/>
        </w:rPr>
        <w:t xml:space="preserve">Item 4 </w:t>
      </w:r>
    </w:p>
    <w:p>
      <w:pPr>
        <w:pStyle w:val="TextBody"/>
        <w:bidi w:val="0"/>
        <w:spacing w:before="240" w:after="0"/>
        <w:jc w:val="left"/>
        <w:rPr>
          <w:rFonts w:ascii="arial" w:hAnsi="arial"/>
          <w:b/>
          <w:color w:val="0171B9"/>
          <w:sz w:val="34"/>
        </w:rPr>
      </w:pPr>
      <w:r>
        <w:rPr>
          <w:rFonts w:ascii="arial" w:hAnsi="arial"/>
          <w:b/>
          <w:color w:val="0171B9"/>
          <w:sz w:val="34"/>
        </w:rPr>
        <w:t xml:space="preserve">Ratification of Selection of Independent Registered Public Accountants </w:t>
      </w:r>
    </w:p>
    <w:p>
      <w:pPr>
        <w:pStyle w:val="TextBody"/>
        <w:pBdr>
          <w:bottom w:val="single" w:sz="2" w:space="1" w:color="666666"/>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436">
                <wp:simplePos x="0" y="0"/>
                <wp:positionH relativeFrom="column">
                  <wp:align>left</wp:align>
                </wp:positionH>
                <wp:positionV relativeFrom="line">
                  <wp:posOffset>635</wp:posOffset>
                </wp:positionV>
                <wp:extent cx="3110230" cy="4152900"/>
                <wp:effectExtent l="0" t="0" r="0" b="0"/>
                <wp:wrapSquare wrapText="right"/>
                <wp:docPr id="400" name="Frame199"/>
                <a:graphic xmlns:a="http://schemas.openxmlformats.org/drawingml/2006/main">
                  <a:graphicData uri="http://schemas.microsoft.com/office/word/2010/wordprocessingShape">
                    <wps:wsp>
                      <wps:cNvSpPr txBox="1"/>
                      <wps:spPr>
                        <a:xfrm>
                          <a:off x="0" y="0"/>
                          <a:ext cx="3110230" cy="415290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The Audit Committee of the Board of Directors, or Board, has sole authority for the appointment, compensation, and oversight of the work of the independent registered public accountants. The Audit Committee has selected Ernst &amp; Young LLP, or EY, as our independent registered public accountants for the fiscal year ending December 31, 2024, and the Board has directed that management submit this selection for ratification by the stockholders at our 2024 Annual Meeting of Stockholders, or Annual Meeting. EY has served as our independent registered public accounting firm and has audited our financial statements since the Company’s inception in 1980. Each year, the Audit Committee evaluates the qualifications and performance of the Company’s independent registered public accountants and determines whether to re-engage the current independent registered public accountants or whether there should be a rotation of our independent registered public accountants. In doing so, the Audit Committee considers the quality and efficiency of the services provided by the independent registered public accountants, their technical expertise, knowledge of our complex global operations and industry, the appropriateness of EY’s fees, as well as external data on audit quality and performance, including independent assessments by the Public Company Accounting Oversight Board (PCAOB) on EY and its peer firms. Based on this evaluation, the members of the Audit Committee believe that the continued retention of EY as our independent registered public accountants for 2024 is in the best interests of the Company and its stockholders.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27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The Audit Committee of the Board of Directors, or Board, has sole authority for the appointment, compensation, and oversight of the work of the independent registered public accountants. The Audit Committee has selected Ernst &amp; Young LLP, or EY, as our independent registered public accountants for the fiscal year ending December 31, 2024, and the Board has directed that management submit this selection for ratification by the stockholders at our 2024 Annual Meeting of Stockholders, or Annual Meeting. EY has served as our independent registered public accounting firm and has audited our financial statements since the Company’s inception in 1980. Each year, the Audit Committee evaluates the qualifications and performance of the Company’s independent registered public accountants and determines whether to re-engage the current independent registered public accountants or whether there should be a rotation of our independent registered public accountants. In doing so, the Audit Committee considers the quality and efficiency of the services provided by the independent registered public accountants, their technical expertise, knowledge of our complex global operations and industry, the appropriateness of EY’s fees, as well as external data on audit quality and performance, including independent assessments by the Public Company Accounting Oversight Board (PCAOB) on EY and its peer firms. Based on this evaluation, the members of the Audit Committee believe that the continued retention of EY as our independent registered public accountants for 2024 is in the best interests of the Company and its stockholders. </w:t>
                      </w:r>
                    </w:p>
                  </w:txbxContent>
                </v:textbox>
                <w10:wrap type="square" side="right"/>
              </v:rect>
            </w:pict>
          </mc:Fallback>
        </mc:AlternateContent>
      </w:r>
      <w:r>
        <mc:AlternateContent>
          <mc:Choice Requires="wps">
            <w:drawing>
              <wp:anchor behindDoc="0" distT="0" distB="0" distL="0" distR="0" simplePos="0" locked="0" layoutInCell="1" allowOverlap="1" relativeHeight="437">
                <wp:simplePos x="0" y="0"/>
                <wp:positionH relativeFrom="column">
                  <wp:align>left</wp:align>
                </wp:positionH>
                <wp:positionV relativeFrom="line">
                  <wp:posOffset>635</wp:posOffset>
                </wp:positionV>
                <wp:extent cx="3175000" cy="4505960"/>
                <wp:effectExtent l="0" t="0" r="0" b="0"/>
                <wp:wrapSquare wrapText="right"/>
                <wp:docPr id="401" name="Frame200"/>
                <a:graphic xmlns:a="http://schemas.openxmlformats.org/drawingml/2006/main">
                  <a:graphicData uri="http://schemas.microsoft.com/office/word/2010/wordprocessingShape">
                    <wps:wsp>
                      <wps:cNvSpPr txBox="1"/>
                      <wps:spPr>
                        <a:xfrm>
                          <a:off x="0" y="0"/>
                          <a:ext cx="3175000" cy="450596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In conjunction with the mandated rotation of EY’s lead engagement partner, the Audit Committee and its Chair are directly involved in the selection of EY’s new lead engagement partner. The process for selection of EY’s lead engagement partner involves a meeting between the Audit Committee’s Chair and the candidate, as well as an assessment by the full Audit Committee and management. To ensure a smooth transition, the new lead engagement partner shadows the lead engagement partner and attends Audit Committee meetings in advance of assuming the responsibilities. The selection of a new lead engagement partner most recently occurred in 2021 and was effective after the completion of our 2021 Annual Report on Form 10-K. A representative of EY is expected to be in attendance at the Annual Meeting and will have an opportunity to make a statement and respond to appropriate questions. </w:t>
                            </w:r>
                          </w:p>
                          <w:p>
                            <w:pPr>
                              <w:pStyle w:val="TextBody"/>
                              <w:bidi w:val="0"/>
                              <w:spacing w:before="120" w:after="0"/>
                              <w:jc w:val="both"/>
                              <w:rPr>
                                <w:rFonts w:ascii="arial" w:hAnsi="arial"/>
                                <w:sz w:val="19"/>
                              </w:rPr>
                            </w:pPr>
                            <w:r>
                              <w:rPr>
                                <w:rFonts w:ascii="arial" w:hAnsi="arial"/>
                                <w:sz w:val="19"/>
                              </w:rPr>
                              <w:t xml:space="preserve">Stockholder ratification of the selection of EY as our independent registered public accountants is not required by the Amgen Inc. Restated Certificate of Incorporation, the Amended and Restated Bylaws of Amgen Inc., or otherwise. However, the Board is submitting the selection of EY to our stockholders for ratification because we believe it is a matter of good corporate governance practice. If our stockholders fail to ratify the selection, the Audit Committee will reconsider whether or not to retain EY, but still may retain them. Even if the selection is ratified, the Audit Committee in its discretion may direct the appointment of a different independent registered public accounting firm at any time during the year if the Audit Committee determines that such a change would be in our best interests and that of our stockholders.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54.8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In conjunction with the mandated rotation of EY’s lead engagement partner, the Audit Committee and its Chair are directly involved in the selection of EY’s new lead engagement partner. The process for selection of EY’s lead engagement partner involves a meeting between the Audit Committee’s Chair and the candidate, as well as an assessment by the full Audit Committee and management. To ensure a smooth transition, the new lead engagement partner shadows the lead engagement partner and attends Audit Committee meetings in advance of assuming the responsibilities. The selection of a new lead engagement partner most recently occurred in 2021 and was effective after the completion of our 2021 Annual Report on Form 10-K. A representative of EY is expected to be in attendance at the Annual Meeting and will have an opportunity to make a statement and respond to appropriate questions. </w:t>
                      </w:r>
                    </w:p>
                    <w:p>
                      <w:pPr>
                        <w:pStyle w:val="TextBody"/>
                        <w:bidi w:val="0"/>
                        <w:spacing w:before="120" w:after="0"/>
                        <w:jc w:val="both"/>
                        <w:rPr>
                          <w:rFonts w:ascii="arial" w:hAnsi="arial"/>
                          <w:sz w:val="19"/>
                        </w:rPr>
                      </w:pPr>
                      <w:r>
                        <w:rPr>
                          <w:rFonts w:ascii="arial" w:hAnsi="arial"/>
                          <w:sz w:val="19"/>
                        </w:rPr>
                        <w:t xml:space="preserve">Stockholder ratification of the selection of EY as our independent registered public accountants is not required by the Amgen Inc. Restated Certificate of Incorporation, the Amended and Restated Bylaws of Amgen Inc., or otherwise. However, the Board is submitting the selection of EY to our stockholders for ratification because we believe it is a matter of good corporate governance practice. If our stockholders fail to ratify the selection, the Audit Committee will reconsider whether or not to retain EY, but still may retain them. Even if the selection is ratified, the Audit Committee in its discretion may direct the appointment of a different independent registered public accounting firm at any time during the year if the Audit Committee determines that such a change would be in our best interests and that of our stockholders. </w:t>
                      </w:r>
                    </w:p>
                  </w:txbxContent>
                </v:textbox>
                <w10:wrap type="square" side="right"/>
              </v:rect>
            </w:pict>
          </mc:Fallback>
        </mc:AlternateContent>
      </w:r>
    </w:p>
    <w:p>
      <w:pPr>
        <w:pStyle w:val="TextBody"/>
        <w:bidi w:val="0"/>
        <w:spacing w:before="0" w:after="0"/>
        <w:jc w:val="left"/>
        <w:rPr/>
      </w:pPr>
      <w:r>
        <w:rPr/>
        <w:t> </w:t>
      </w:r>
    </w:p>
    <w:p>
      <w:pPr>
        <w:pStyle w:val="TextBody"/>
        <w:pBdr/>
        <w:bidi w:val="0"/>
        <w:spacing w:before="0" w:after="40"/>
        <w:jc w:val="both"/>
        <w:rPr>
          <w:rFonts w:ascii="arial" w:hAnsi="arial"/>
          <w:b/>
          <w:color w:val="0171B9"/>
          <w:sz w:val="23"/>
          <w:bdr w:val="single" w:sz="8" w:space="2" w:color="666666"/>
          <w:shd w:fill="CCE2F1" w:val="clear"/>
        </w:rPr>
      </w:pPr>
      <w:r>
        <w:rPr>
          <w:rFonts w:ascii="arial" w:hAnsi="arial"/>
          <w:b/>
          <w:color w:val="0171B9"/>
          <w:sz w:val="23"/>
          <w:bdr w:val="single" w:sz="8" w:space="2" w:color="666666"/>
          <w:shd w:fill="CCE2F1" w:val="clear"/>
        </w:rPr>
        <w:t xml:space="preserve">THE BOARD OF DIRECTORS RECOMMENDS A VOTE “FOR” RATIFICATION OF OUR INDEPENDENT REGISTERED PUBLIC ACCOUNTANTS. </w:t>
      </w:r>
    </w:p>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402"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Image190" descr=""/>
                    <pic:cNvPicPr>
                      <a:picLocks noChangeAspect="1" noChangeArrowheads="1"/>
                    </pic:cNvPicPr>
                  </pic:nvPicPr>
                  <pic:blipFill>
                    <a:blip r:embed="rId203"/>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123</w:t>
      </w:r>
      <w:r>
        <w:rPr>
          <w:rFonts w:ascii="arial" w:hAnsi="arial"/>
          <w:b/>
          <w:sz w:val="22"/>
        </w:rPr>
        <w:t xml:space="preserve"> </w:t>
      </w:r>
      <w:r>
        <w:br w:type="page"/>
      </w:r>
    </w:p>
    <w:p>
      <w:pPr>
        <w:pStyle w:val="HorizontalLine"/>
        <w:bidi w:val="0"/>
        <w:jc w:val="left"/>
        <w:rPr/>
      </w:pPr>
      <w:r>
        <w:rPr/>
      </w:r>
    </w:p>
    <w:tbl>
      <w:tblPr>
        <w:tblW w:w="201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153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153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Audit Matters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171B9"/>
          <w:sz w:val="44"/>
        </w:rPr>
      </w:pPr>
      <w:bookmarkStart w:id="67" w:name="toc445034_51"/>
      <w:bookmarkEnd w:id="67"/>
      <w:r>
        <w:rPr>
          <w:rFonts w:ascii="arial" w:hAnsi="arial"/>
          <w:b/>
          <w:color w:val="0171B9"/>
          <w:sz w:val="44"/>
        </w:rPr>
        <w:t xml:space="preserve">Audit Matters </w:t>
      </w:r>
    </w:p>
    <w:p>
      <w:pPr>
        <w:pStyle w:val="TextBody"/>
        <w:bidi w:val="0"/>
        <w:spacing w:before="120" w:after="0"/>
        <w:jc w:val="left"/>
        <w:rPr>
          <w:rFonts w:ascii="arial" w:hAnsi="arial"/>
          <w:b/>
          <w:color w:val="0171B9"/>
          <w:sz w:val="28"/>
        </w:rPr>
      </w:pPr>
      <w:r>
        <w:rPr>
          <w:rFonts w:ascii="arial" w:hAnsi="arial"/>
          <w:b/>
          <w:color w:val="0171B9"/>
          <w:sz w:val="28"/>
        </w:rPr>
        <w:t xml:space="preserve">Audit Committee Report </w:t>
      </w:r>
    </w:p>
    <w:p>
      <w:pPr>
        <w:pStyle w:val="TextBody"/>
        <w:pBdr>
          <w:bottom w:val="single" w:sz="2" w:space="1" w:color="666666"/>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438">
                <wp:simplePos x="0" y="0"/>
                <wp:positionH relativeFrom="column">
                  <wp:align>left</wp:align>
                </wp:positionH>
                <wp:positionV relativeFrom="line">
                  <wp:posOffset>635</wp:posOffset>
                </wp:positionV>
                <wp:extent cx="3110230" cy="1813560"/>
                <wp:effectExtent l="0" t="0" r="0" b="0"/>
                <wp:wrapSquare wrapText="right"/>
                <wp:docPr id="403" name="Frame201"/>
                <a:graphic xmlns:a="http://schemas.openxmlformats.org/drawingml/2006/main">
                  <a:graphicData uri="http://schemas.microsoft.com/office/word/2010/wordprocessingShape">
                    <wps:wsp>
                      <wps:cNvSpPr txBox="1"/>
                      <wps:spPr>
                        <a:xfrm>
                          <a:off x="0" y="0"/>
                          <a:ext cx="3110230" cy="181356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The Audit Committee has reviewed and discussed with management the Company’s audited consolidated financial statements as of and for the year ended December 31, 2023. </w:t>
                            </w:r>
                          </w:p>
                          <w:p>
                            <w:pPr>
                              <w:pStyle w:val="TextBody"/>
                              <w:bidi w:val="0"/>
                              <w:spacing w:before="120" w:after="0"/>
                              <w:jc w:val="both"/>
                              <w:rPr>
                                <w:rFonts w:ascii="arial" w:hAnsi="arial"/>
                                <w:sz w:val="19"/>
                              </w:rPr>
                            </w:pPr>
                            <w:r>
                              <w:rPr>
                                <w:rFonts w:ascii="arial" w:hAnsi="arial"/>
                                <w:sz w:val="19"/>
                              </w:rPr>
                              <w:t xml:space="preserve">The Audit Committee has also discussed with Ernst &amp; Young LLP, or EY, the matters required to be discussed by the applicable requirements of the Public Company Accounting Oversight Board (PCAOB) and the Securities and Exchange Commission. </w:t>
                            </w:r>
                          </w:p>
                          <w:p>
                            <w:pPr>
                              <w:pStyle w:val="TextBody"/>
                              <w:bidi w:val="0"/>
                              <w:spacing w:before="120" w:after="0"/>
                              <w:jc w:val="both"/>
                              <w:rPr>
                                <w:rFonts w:ascii="arial" w:hAnsi="arial"/>
                                <w:sz w:val="19"/>
                              </w:rPr>
                            </w:pPr>
                            <w:r>
                              <w:rPr>
                                <w:rFonts w:ascii="arial" w:hAnsi="arial"/>
                                <w:sz w:val="19"/>
                              </w:rPr>
                              <w:t xml:space="preserve">The Audit Committee has received and reviewed the written disclosures and the letter from EY required by the applicable requirements of the PCAOB regarding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42.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The Audit Committee has reviewed and discussed with management the Company’s audited consolidated financial statements as of and for the year ended December 31, 2023. </w:t>
                      </w:r>
                    </w:p>
                    <w:p>
                      <w:pPr>
                        <w:pStyle w:val="TextBody"/>
                        <w:bidi w:val="0"/>
                        <w:spacing w:before="120" w:after="0"/>
                        <w:jc w:val="both"/>
                        <w:rPr>
                          <w:rFonts w:ascii="arial" w:hAnsi="arial"/>
                          <w:sz w:val="19"/>
                        </w:rPr>
                      </w:pPr>
                      <w:r>
                        <w:rPr>
                          <w:rFonts w:ascii="arial" w:hAnsi="arial"/>
                          <w:sz w:val="19"/>
                        </w:rPr>
                        <w:t xml:space="preserve">The Audit Committee has also discussed with Ernst &amp; Young LLP, or EY, the matters required to be discussed by the applicable requirements of the Public Company Accounting Oversight Board (PCAOB) and the Securities and Exchange Commission. </w:t>
                      </w:r>
                    </w:p>
                    <w:p>
                      <w:pPr>
                        <w:pStyle w:val="TextBody"/>
                        <w:bidi w:val="0"/>
                        <w:spacing w:before="120" w:after="0"/>
                        <w:jc w:val="both"/>
                        <w:rPr>
                          <w:rFonts w:ascii="arial" w:hAnsi="arial"/>
                          <w:sz w:val="19"/>
                        </w:rPr>
                      </w:pPr>
                      <w:r>
                        <w:rPr>
                          <w:rFonts w:ascii="arial" w:hAnsi="arial"/>
                          <w:sz w:val="19"/>
                        </w:rPr>
                        <w:t xml:space="preserve">The Audit Committee has received and reviewed the written disclosures and the letter from EY required by the applicable requirements of the PCAOB regarding </w:t>
                      </w:r>
                    </w:p>
                  </w:txbxContent>
                </v:textbox>
                <w10:wrap type="square" side="right"/>
              </v:rect>
            </w:pict>
          </mc:Fallback>
        </mc:AlternateContent>
      </w:r>
      <w:r>
        <mc:AlternateContent>
          <mc:Choice Requires="wps">
            <w:drawing>
              <wp:anchor behindDoc="0" distT="0" distB="0" distL="0" distR="0" simplePos="0" locked="0" layoutInCell="1" allowOverlap="1" relativeHeight="439">
                <wp:simplePos x="0" y="0"/>
                <wp:positionH relativeFrom="column">
                  <wp:align>left</wp:align>
                </wp:positionH>
                <wp:positionV relativeFrom="line">
                  <wp:posOffset>635</wp:posOffset>
                </wp:positionV>
                <wp:extent cx="3175000" cy="1460500"/>
                <wp:effectExtent l="0" t="0" r="0" b="0"/>
                <wp:wrapSquare wrapText="right"/>
                <wp:docPr id="404" name="Frame202"/>
                <a:graphic xmlns:a="http://schemas.openxmlformats.org/drawingml/2006/main">
                  <a:graphicData uri="http://schemas.microsoft.com/office/word/2010/wordprocessingShape">
                    <wps:wsp>
                      <wps:cNvSpPr txBox="1"/>
                      <wps:spPr>
                        <a:xfrm>
                          <a:off x="0" y="0"/>
                          <a:ext cx="3175000" cy="146050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EY’s communication with the Audit Committee concerning independence and has discussed with EY their independence. </w:t>
                            </w:r>
                          </w:p>
                          <w:p>
                            <w:pPr>
                              <w:pStyle w:val="TextBody"/>
                              <w:bidi w:val="0"/>
                              <w:spacing w:before="120" w:after="0"/>
                              <w:jc w:val="both"/>
                              <w:rPr>
                                <w:rFonts w:ascii="arial" w:hAnsi="arial"/>
                                <w:sz w:val="19"/>
                              </w:rPr>
                            </w:pPr>
                            <w:r>
                              <w:rPr>
                                <w:rFonts w:ascii="arial" w:hAnsi="arial"/>
                                <w:sz w:val="19"/>
                              </w:rPr>
                              <w:t xml:space="preserve">Based on the reviews and discussions referred to above, the Audit Committee recommended to the Board of Directors that the audited consolidated financial statements referred to above be included in the Company’s Annual Report on Form 10-K for the year ended December 31, 2023 for filing with the Securities and Exchange Commission.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1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EY’s communication with the Audit Committee concerning independence and has discussed with EY their independence. </w:t>
                      </w:r>
                    </w:p>
                    <w:p>
                      <w:pPr>
                        <w:pStyle w:val="TextBody"/>
                        <w:bidi w:val="0"/>
                        <w:spacing w:before="120" w:after="0"/>
                        <w:jc w:val="both"/>
                        <w:rPr>
                          <w:rFonts w:ascii="arial" w:hAnsi="arial"/>
                          <w:sz w:val="19"/>
                        </w:rPr>
                      </w:pPr>
                      <w:r>
                        <w:rPr>
                          <w:rFonts w:ascii="arial" w:hAnsi="arial"/>
                          <w:sz w:val="19"/>
                        </w:rPr>
                        <w:t xml:space="preserve">Based on the reviews and discussions referred to above, the Audit Committee recommended to the Board of Directors that the audited consolidated financial statements referred to above be included in the Company’s Annual Report on Form 10-K for the year ended December 31, 2023 for filing with the Securities and Exchange Commission.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center"/>
        <w:rPr>
          <w:rFonts w:ascii="arial" w:hAnsi="arial"/>
          <w:b/>
          <w:sz w:val="20"/>
        </w:rPr>
      </w:pPr>
      <w:r>
        <w:rPr>
          <w:rFonts w:ascii="arial" w:hAnsi="arial"/>
          <w:b/>
          <w:sz w:val="20"/>
        </w:rPr>
        <w:t xml:space="preserve">Audit Committee of the Board of Directors </w:t>
      </w:r>
    </w:p>
    <w:p>
      <w:pPr>
        <w:pStyle w:val="TextBody"/>
        <w:bidi w:val="0"/>
        <w:spacing w:before="120" w:after="0"/>
        <w:jc w:val="center"/>
        <w:rPr>
          <w:rFonts w:ascii="arial" w:hAnsi="arial"/>
          <w:sz w:val="19"/>
        </w:rPr>
      </w:pPr>
      <w:r>
        <w:rPr>
          <w:rFonts w:ascii="arial" w:hAnsi="arial"/>
          <w:sz w:val="19"/>
        </w:rPr>
        <w:t xml:space="preserve">Charles M. Holley, Jr., Chair </w:t>
      </w:r>
    </w:p>
    <w:p>
      <w:pPr>
        <w:pStyle w:val="TextBody"/>
        <w:bidi w:val="0"/>
        <w:spacing w:before="0" w:after="0"/>
        <w:jc w:val="center"/>
        <w:rPr>
          <w:rFonts w:ascii="arial" w:hAnsi="arial"/>
          <w:sz w:val="19"/>
        </w:rPr>
      </w:pPr>
      <w:r>
        <w:rPr>
          <w:rFonts w:ascii="arial" w:hAnsi="arial"/>
          <w:sz w:val="19"/>
        </w:rPr>
        <w:t xml:space="preserve">Wanda M. Austin </w:t>
      </w:r>
    </w:p>
    <w:p>
      <w:pPr>
        <w:pStyle w:val="TextBody"/>
        <w:bidi w:val="0"/>
        <w:spacing w:before="0" w:after="0"/>
        <w:jc w:val="center"/>
        <w:rPr>
          <w:rFonts w:ascii="arial" w:hAnsi="arial"/>
          <w:sz w:val="19"/>
        </w:rPr>
      </w:pPr>
      <w:r>
        <w:rPr>
          <w:rFonts w:ascii="arial" w:hAnsi="arial"/>
          <w:sz w:val="19"/>
        </w:rPr>
        <w:t xml:space="preserve">Ellen J. Kullman </w:t>
      </w:r>
    </w:p>
    <w:p>
      <w:pPr>
        <w:pStyle w:val="TextBody"/>
        <w:bidi w:val="0"/>
        <w:spacing w:before="0" w:after="0"/>
        <w:jc w:val="center"/>
        <w:rPr>
          <w:rFonts w:ascii="arial" w:hAnsi="arial"/>
          <w:sz w:val="19"/>
        </w:rPr>
      </w:pPr>
      <w:r>
        <w:rPr>
          <w:rFonts w:ascii="arial" w:hAnsi="arial"/>
          <w:sz w:val="19"/>
        </w:rPr>
        <w:t xml:space="preserve">Amy E. Miles </w:t>
      </w:r>
    </w:p>
    <w:p>
      <w:pPr>
        <w:pStyle w:val="TextBody"/>
        <w:bidi w:val="0"/>
        <w:spacing w:before="360" w:after="0"/>
        <w:jc w:val="left"/>
        <w:rPr>
          <w:rFonts w:ascii="arial" w:hAnsi="arial"/>
          <w:b/>
          <w:color w:val="0171B9"/>
          <w:sz w:val="28"/>
        </w:rPr>
      </w:pPr>
      <w:r>
        <w:rPr>
          <w:rFonts w:ascii="arial" w:hAnsi="arial"/>
          <w:b/>
          <w:color w:val="0171B9"/>
          <w:sz w:val="28"/>
        </w:rPr>
        <w:t xml:space="preserve">Independent Registered Public Accountants </w:t>
      </w:r>
    </w:p>
    <w:p>
      <w:pPr>
        <w:pStyle w:val="TextBody"/>
        <w:pBdr>
          <w:bottom w:val="single" w:sz="2" w:space="1" w:color="666666"/>
        </w:pBdr>
        <w:bidi w:val="0"/>
        <w:spacing w:lineRule="atLeast" w:line="142" w:before="0" w:after="40"/>
        <w:jc w:val="left"/>
        <w:rPr/>
      </w:pPr>
      <w:r>
        <w:rPr/>
        <w:t> </w:t>
      </w:r>
    </w:p>
    <w:p>
      <w:pPr>
        <w:pStyle w:val="TextBody"/>
        <w:bidi w:val="0"/>
        <w:spacing w:before="120" w:after="0"/>
        <w:jc w:val="both"/>
        <w:rPr>
          <w:rFonts w:ascii="arial" w:hAnsi="arial"/>
          <w:sz w:val="19"/>
        </w:rPr>
      </w:pPr>
      <w:r>
        <w:rPr>
          <w:rFonts w:ascii="arial" w:hAnsi="arial"/>
          <w:sz w:val="19"/>
        </w:rPr>
        <w:t xml:space="preserve">The following table presents fees for professional services provided or to be provided by EY for audits of the years ended December 31, 2023 and December 31, 2022, and fees for other services rendered by EY during these periods. </w:t>
      </w:r>
    </w:p>
    <w:p>
      <w:pPr>
        <w:pStyle w:val="TextBody"/>
        <w:bidi w:val="0"/>
        <w:spacing w:before="0" w:after="0"/>
        <w:jc w:val="left"/>
        <w:rPr/>
      </w:pPr>
      <w:r>
        <w:rPr/>
        <w:t> </w:t>
      </w:r>
    </w:p>
    <w:tbl>
      <w:tblPr>
        <w:tblW w:w="4390" w:type="dxa"/>
        <w:jc w:val="left"/>
        <w:tblInd w:w="0" w:type="dxa"/>
        <w:tblLayout w:type="fixed"/>
        <w:tblCellMar>
          <w:top w:w="0" w:type="dxa"/>
          <w:left w:w="0" w:type="dxa"/>
          <w:bottom w:w="0" w:type="dxa"/>
          <w:right w:w="0" w:type="dxa"/>
        </w:tblCellMar>
      </w:tblPr>
      <w:tblGrid>
        <w:gridCol w:w="1415"/>
        <w:gridCol w:w="120"/>
        <w:gridCol w:w="140"/>
        <w:gridCol w:w="1100"/>
        <w:gridCol w:w="60"/>
        <w:gridCol w:w="240"/>
        <w:gridCol w:w="140"/>
        <w:gridCol w:w="1100"/>
        <w:gridCol w:w="75"/>
      </w:tblGrid>
      <w:tr>
        <w:trPr/>
        <w:tc>
          <w:tcPr>
            <w:tcW w:w="14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15"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40" w:type="dxa"/>
            <w:gridSpan w:val="2"/>
            <w:tcBorders>
              <w:bottom w:val="single" w:sz="8" w:space="0" w:color="FFFFFF"/>
            </w:tcBorders>
            <w:shd w:fill="0171B9" w:val="clear"/>
            <w:tcMar>
              <w:bottom w:w="28" w:type="dxa"/>
            </w:tcMar>
            <w:vAlign w:val="center"/>
          </w:tcPr>
          <w:p>
            <w:pPr>
              <w:pStyle w:val="TableContents"/>
              <w:bidi w:val="0"/>
              <w:spacing w:before="0" w:after="283"/>
              <w:jc w:val="right"/>
              <w:rPr>
                <w:b/>
                <w:color w:val="FFFFFF"/>
              </w:rPr>
            </w:pPr>
            <w:r>
              <w:rPr>
                <w:b/>
                <w:color w:val="FFFFFF"/>
              </w:rPr>
              <w:t>2023</w:t>
            </w:r>
          </w:p>
        </w:tc>
        <w:tc>
          <w:tcPr>
            <w:tcW w:w="6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240"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c>
          <w:tcPr>
            <w:tcW w:w="1240" w:type="dxa"/>
            <w:gridSpan w:val="2"/>
            <w:tcBorders>
              <w:bottom w:val="single" w:sz="8" w:space="0" w:color="FFFFFF"/>
            </w:tcBorders>
            <w:shd w:fill="0171B9" w:val="clear"/>
            <w:tcMar>
              <w:bottom w:w="28" w:type="dxa"/>
            </w:tcMar>
            <w:vAlign w:val="center"/>
          </w:tcPr>
          <w:p>
            <w:pPr>
              <w:pStyle w:val="TableContents"/>
              <w:bidi w:val="0"/>
              <w:spacing w:before="0" w:after="283"/>
              <w:jc w:val="right"/>
              <w:rPr>
                <w:b/>
                <w:color w:val="FFFFFF"/>
              </w:rPr>
            </w:pPr>
            <w:r>
              <w:rPr>
                <w:b/>
                <w:color w:val="FFFFFF"/>
              </w:rPr>
              <w:t>2022 </w:t>
            </w:r>
          </w:p>
        </w:tc>
        <w:tc>
          <w:tcPr>
            <w:tcW w:w="75" w:type="dxa"/>
            <w:tcBorders>
              <w:bottom w:val="single" w:sz="8" w:space="0" w:color="FFFFFF"/>
            </w:tcBorders>
            <w:shd w:fill="0171B9" w:val="clear"/>
            <w:tcMar>
              <w:bottom w:w="28" w:type="dxa"/>
            </w:tcMar>
            <w:vAlign w:val="center"/>
          </w:tcPr>
          <w:p>
            <w:pPr>
              <w:pStyle w:val="TableContents"/>
              <w:bidi w:val="0"/>
              <w:spacing w:before="0" w:after="283"/>
              <w:jc w:val="left"/>
              <w:rPr/>
            </w:pPr>
            <w:r>
              <w:rPr/>
              <w:t> </w:t>
            </w:r>
          </w:p>
        </w:tc>
      </w:tr>
      <w:tr>
        <w:trPr/>
        <w:tc>
          <w:tcPr>
            <w:tcW w:w="1415" w:type="dxa"/>
            <w:tcBorders/>
            <w:shd w:fill="CCE2F1" w:val="clear"/>
            <w:vAlign w:val="center"/>
          </w:tcPr>
          <w:p>
            <w:pPr>
              <w:pStyle w:val="TableContents"/>
              <w:bidi w:val="0"/>
              <w:spacing w:before="0" w:after="283"/>
              <w:jc w:val="left"/>
              <w:rPr>
                <w:sz w:val="4"/>
                <w:szCs w:val="4"/>
              </w:rPr>
            </w:pPr>
            <w:r>
              <w:rPr>
                <w:sz w:val="4"/>
                <w:szCs w:val="4"/>
              </w:rPr>
            </w:r>
          </w:p>
        </w:tc>
        <w:tc>
          <w:tcPr>
            <w:tcW w:w="1420" w:type="dxa"/>
            <w:gridSpan w:val="4"/>
            <w:tcBorders/>
            <w:shd w:fill="CCE2F1" w:val="clear"/>
            <w:vAlign w:val="center"/>
          </w:tcPr>
          <w:p>
            <w:pPr>
              <w:pStyle w:val="TableContents"/>
              <w:bidi w:val="0"/>
              <w:spacing w:before="0" w:after="283"/>
              <w:jc w:val="left"/>
              <w:rPr>
                <w:sz w:val="4"/>
                <w:szCs w:val="4"/>
              </w:rPr>
            </w:pPr>
            <w:r>
              <w:rPr>
                <w:sz w:val="4"/>
                <w:szCs w:val="4"/>
              </w:rPr>
            </w:r>
          </w:p>
        </w:tc>
        <w:tc>
          <w:tcPr>
            <w:tcW w:w="1555"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1415" w:type="dxa"/>
            <w:tcBorders/>
            <w:shd w:fill="CCE2F1" w:val="clear"/>
            <w:vAlign w:val="center"/>
          </w:tcPr>
          <w:p>
            <w:pPr>
              <w:pStyle w:val="TableContents"/>
              <w:bidi w:val="0"/>
              <w:spacing w:before="0" w:after="0"/>
              <w:jc w:val="left"/>
              <w:rPr/>
            </w:pPr>
            <w:r>
              <w:rPr/>
              <w:t> </w:t>
            </w:r>
            <w:r>
              <w:rPr>
                <w:rFonts w:ascii="arial" w:hAnsi="arial"/>
                <w:sz w:val="19"/>
              </w:rPr>
              <w:t>Audit</w:t>
            </w:r>
          </w:p>
        </w:tc>
        <w:tc>
          <w:tcPr>
            <w:tcW w:w="120" w:type="dxa"/>
            <w:tcBorders/>
            <w:shd w:fill="CCE2F1" w:val="clear"/>
            <w:vAlign w:val="center"/>
          </w:tcPr>
          <w:p>
            <w:pPr>
              <w:pStyle w:val="TableContents"/>
              <w:bidi w:val="0"/>
              <w:spacing w:before="0" w:after="283"/>
              <w:jc w:val="left"/>
              <w:rPr/>
            </w:pPr>
            <w:r>
              <w:rPr/>
              <w:t>  </w:t>
            </w:r>
          </w:p>
        </w:tc>
        <w:tc>
          <w:tcPr>
            <w:tcW w:w="140" w:type="dxa"/>
            <w:tcBorders/>
            <w:shd w:fill="CCE2F1" w:val="clear"/>
            <w:vAlign w:val="center"/>
          </w:tcPr>
          <w:p>
            <w:pPr>
              <w:pStyle w:val="TableContents"/>
              <w:bidi w:val="0"/>
              <w:spacing w:before="0" w:after="283"/>
              <w:jc w:val="left"/>
              <w:rPr/>
            </w:pPr>
            <w:r>
              <w:rPr/>
              <w:t>$</w:t>
            </w:r>
          </w:p>
        </w:tc>
        <w:tc>
          <w:tcPr>
            <w:tcW w:w="1100" w:type="dxa"/>
            <w:tcBorders/>
            <w:shd w:fill="CCE2F1" w:val="clear"/>
            <w:vAlign w:val="center"/>
          </w:tcPr>
          <w:p>
            <w:pPr>
              <w:pStyle w:val="TableContents"/>
              <w:bidi w:val="0"/>
              <w:spacing w:before="0" w:after="283"/>
              <w:jc w:val="right"/>
              <w:rPr/>
            </w:pPr>
            <w:r>
              <w:rPr/>
              <w:t>14,482,000</w:t>
            </w:r>
          </w:p>
        </w:tc>
        <w:tc>
          <w:tcPr>
            <w:tcW w:w="60" w:type="dxa"/>
            <w:tcBorders/>
            <w:shd w:fill="CCE2F1" w:val="clear"/>
            <w:vAlign w:val="center"/>
          </w:tcPr>
          <w:p>
            <w:pPr>
              <w:pStyle w:val="TableContents"/>
              <w:bidi w:val="0"/>
              <w:spacing w:before="0" w:after="283"/>
              <w:jc w:val="left"/>
              <w:rPr/>
            </w:pPr>
            <w:r>
              <w:rPr/>
              <w:t> </w:t>
            </w:r>
          </w:p>
        </w:tc>
        <w:tc>
          <w:tcPr>
            <w:tcW w:w="240" w:type="dxa"/>
            <w:tcBorders/>
            <w:shd w:fill="CCE2F1" w:val="clear"/>
            <w:vAlign w:val="center"/>
          </w:tcPr>
          <w:p>
            <w:pPr>
              <w:pStyle w:val="TableContents"/>
              <w:bidi w:val="0"/>
              <w:spacing w:before="0" w:after="283"/>
              <w:jc w:val="left"/>
              <w:rPr/>
            </w:pPr>
            <w:r>
              <w:rPr/>
              <w:t>    </w:t>
            </w:r>
          </w:p>
        </w:tc>
        <w:tc>
          <w:tcPr>
            <w:tcW w:w="140" w:type="dxa"/>
            <w:tcBorders/>
            <w:shd w:fill="CCE2F1" w:val="clear"/>
            <w:vAlign w:val="center"/>
          </w:tcPr>
          <w:p>
            <w:pPr>
              <w:pStyle w:val="TableContents"/>
              <w:bidi w:val="0"/>
              <w:spacing w:before="0" w:after="283"/>
              <w:jc w:val="left"/>
              <w:rPr/>
            </w:pPr>
            <w:r>
              <w:rPr/>
              <w:t>$</w:t>
            </w:r>
          </w:p>
        </w:tc>
        <w:tc>
          <w:tcPr>
            <w:tcW w:w="1100" w:type="dxa"/>
            <w:tcBorders/>
            <w:shd w:fill="CCE2F1" w:val="clear"/>
            <w:vAlign w:val="center"/>
          </w:tcPr>
          <w:p>
            <w:pPr>
              <w:pStyle w:val="TableContents"/>
              <w:bidi w:val="0"/>
              <w:spacing w:before="0" w:after="283"/>
              <w:jc w:val="right"/>
              <w:rPr/>
            </w:pPr>
            <w:r>
              <w:rPr/>
              <w:t>9,454,000 </w:t>
            </w:r>
          </w:p>
        </w:tc>
        <w:tc>
          <w:tcPr>
            <w:tcW w:w="75" w:type="dxa"/>
            <w:tcBorders/>
            <w:shd w:fill="CCE2F1" w:val="clear"/>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c>
          <w:tcPr>
            <w:tcW w:w="1555" w:type="dxa"/>
            <w:gridSpan w:val="4"/>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0"/>
              <w:jc w:val="left"/>
              <w:rPr/>
            </w:pPr>
            <w:r>
              <w:rPr/>
              <w:t> </w:t>
            </w:r>
            <w:r>
              <w:rPr>
                <w:rFonts w:ascii="arial" w:hAnsi="arial"/>
                <w:sz w:val="19"/>
              </w:rPr>
              <w:t>Audit-Related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716,000</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442,000 </w:t>
            </w:r>
          </w:p>
        </w:tc>
        <w:tc>
          <w:tcPr>
            <w:tcW w:w="75" w:type="dxa"/>
            <w:tcBorders/>
            <w:vAlign w:val="center"/>
          </w:tcPr>
          <w:p>
            <w:pPr>
              <w:pStyle w:val="TableContents"/>
              <w:bidi w:val="0"/>
              <w:spacing w:before="0" w:after="283"/>
              <w:jc w:val="left"/>
              <w:rPr/>
            </w:pPr>
            <w:r>
              <w:rPr/>
              <w:t> </w:t>
            </w:r>
          </w:p>
        </w:tc>
      </w:tr>
      <w:tr>
        <w:trPr/>
        <w:tc>
          <w:tcPr>
            <w:tcW w:w="1415" w:type="dxa"/>
            <w:tcBorders/>
            <w:shd w:fill="CCE2F1" w:val="clear"/>
            <w:vAlign w:val="center"/>
          </w:tcPr>
          <w:p>
            <w:pPr>
              <w:pStyle w:val="TableContents"/>
              <w:bidi w:val="0"/>
              <w:spacing w:before="0" w:after="283"/>
              <w:jc w:val="left"/>
              <w:rPr>
                <w:sz w:val="4"/>
                <w:szCs w:val="4"/>
              </w:rPr>
            </w:pPr>
            <w:r>
              <w:rPr>
                <w:sz w:val="4"/>
                <w:szCs w:val="4"/>
              </w:rPr>
            </w:r>
          </w:p>
        </w:tc>
        <w:tc>
          <w:tcPr>
            <w:tcW w:w="1420" w:type="dxa"/>
            <w:gridSpan w:val="4"/>
            <w:tcBorders/>
            <w:shd w:fill="CCE2F1" w:val="clear"/>
            <w:vAlign w:val="center"/>
          </w:tcPr>
          <w:p>
            <w:pPr>
              <w:pStyle w:val="TableContents"/>
              <w:bidi w:val="0"/>
              <w:spacing w:before="0" w:after="283"/>
              <w:jc w:val="left"/>
              <w:rPr>
                <w:sz w:val="4"/>
                <w:szCs w:val="4"/>
              </w:rPr>
            </w:pPr>
            <w:r>
              <w:rPr>
                <w:sz w:val="4"/>
                <w:szCs w:val="4"/>
              </w:rPr>
            </w:r>
          </w:p>
        </w:tc>
        <w:tc>
          <w:tcPr>
            <w:tcW w:w="1555" w:type="dxa"/>
            <w:gridSpan w:val="4"/>
            <w:tcBorders/>
            <w:shd w:fill="CCE2F1" w:val="clear"/>
            <w:vAlign w:val="center"/>
          </w:tcPr>
          <w:p>
            <w:pPr>
              <w:pStyle w:val="TableContents"/>
              <w:bidi w:val="0"/>
              <w:spacing w:before="0" w:after="283"/>
              <w:jc w:val="left"/>
              <w:rPr>
                <w:sz w:val="4"/>
                <w:szCs w:val="4"/>
              </w:rPr>
            </w:pPr>
            <w:r>
              <w:rPr>
                <w:sz w:val="4"/>
                <w:szCs w:val="4"/>
              </w:rPr>
            </w:r>
          </w:p>
        </w:tc>
      </w:tr>
      <w:tr>
        <w:trPr/>
        <w:tc>
          <w:tcPr>
            <w:tcW w:w="1415" w:type="dxa"/>
            <w:tcBorders/>
            <w:shd w:fill="CCE2F1" w:val="clear"/>
            <w:vAlign w:val="center"/>
          </w:tcPr>
          <w:p>
            <w:pPr>
              <w:pStyle w:val="TableContents"/>
              <w:bidi w:val="0"/>
              <w:spacing w:before="0" w:after="0"/>
              <w:jc w:val="left"/>
              <w:rPr/>
            </w:pPr>
            <w:r>
              <w:rPr/>
              <w:t> </w:t>
            </w:r>
            <w:r>
              <w:rPr>
                <w:rFonts w:ascii="arial" w:hAnsi="arial"/>
                <w:sz w:val="19"/>
              </w:rPr>
              <w:t>Tax</w:t>
            </w:r>
          </w:p>
        </w:tc>
        <w:tc>
          <w:tcPr>
            <w:tcW w:w="120" w:type="dxa"/>
            <w:tcBorders/>
            <w:shd w:fill="CCE2F1" w:val="clear"/>
            <w:vAlign w:val="center"/>
          </w:tcPr>
          <w:p>
            <w:pPr>
              <w:pStyle w:val="TableContents"/>
              <w:bidi w:val="0"/>
              <w:spacing w:before="0" w:after="283"/>
              <w:jc w:val="left"/>
              <w:rPr/>
            </w:pPr>
            <w:r>
              <w:rPr/>
              <w:t>  </w:t>
            </w:r>
          </w:p>
        </w:tc>
        <w:tc>
          <w:tcPr>
            <w:tcW w:w="140" w:type="dxa"/>
            <w:tcBorders/>
            <w:shd w:fill="CCE2F1" w:val="clear"/>
            <w:vAlign w:val="center"/>
          </w:tcPr>
          <w:p>
            <w:pPr>
              <w:pStyle w:val="TableContents"/>
              <w:bidi w:val="0"/>
              <w:spacing w:before="0" w:after="283"/>
              <w:jc w:val="left"/>
              <w:rPr/>
            </w:pPr>
            <w:r>
              <w:rPr/>
              <w:t> </w:t>
            </w:r>
          </w:p>
        </w:tc>
        <w:tc>
          <w:tcPr>
            <w:tcW w:w="1100" w:type="dxa"/>
            <w:tcBorders/>
            <w:shd w:fill="CCE2F1" w:val="clear"/>
            <w:vAlign w:val="center"/>
          </w:tcPr>
          <w:p>
            <w:pPr>
              <w:pStyle w:val="TableContents"/>
              <w:bidi w:val="0"/>
              <w:spacing w:before="0" w:after="283"/>
              <w:jc w:val="right"/>
              <w:rPr/>
            </w:pPr>
            <w:r>
              <w:rPr/>
              <w:t>0</w:t>
            </w:r>
          </w:p>
        </w:tc>
        <w:tc>
          <w:tcPr>
            <w:tcW w:w="60" w:type="dxa"/>
            <w:tcBorders/>
            <w:shd w:fill="CCE2F1" w:val="clear"/>
            <w:vAlign w:val="center"/>
          </w:tcPr>
          <w:p>
            <w:pPr>
              <w:pStyle w:val="TableContents"/>
              <w:bidi w:val="0"/>
              <w:spacing w:before="0" w:after="283"/>
              <w:jc w:val="left"/>
              <w:rPr/>
            </w:pPr>
            <w:r>
              <w:rPr/>
              <w:t> </w:t>
            </w:r>
          </w:p>
        </w:tc>
        <w:tc>
          <w:tcPr>
            <w:tcW w:w="240" w:type="dxa"/>
            <w:tcBorders/>
            <w:shd w:fill="CCE2F1" w:val="clear"/>
            <w:vAlign w:val="center"/>
          </w:tcPr>
          <w:p>
            <w:pPr>
              <w:pStyle w:val="TableContents"/>
              <w:bidi w:val="0"/>
              <w:spacing w:before="0" w:after="283"/>
              <w:jc w:val="left"/>
              <w:rPr/>
            </w:pPr>
            <w:r>
              <w:rPr/>
              <w:t>    </w:t>
            </w:r>
          </w:p>
        </w:tc>
        <w:tc>
          <w:tcPr>
            <w:tcW w:w="140" w:type="dxa"/>
            <w:tcBorders/>
            <w:shd w:fill="CCE2F1" w:val="clear"/>
            <w:vAlign w:val="center"/>
          </w:tcPr>
          <w:p>
            <w:pPr>
              <w:pStyle w:val="TableContents"/>
              <w:bidi w:val="0"/>
              <w:spacing w:before="0" w:after="283"/>
              <w:jc w:val="left"/>
              <w:rPr/>
            </w:pPr>
            <w:r>
              <w:rPr/>
              <w:t> </w:t>
            </w:r>
          </w:p>
        </w:tc>
        <w:tc>
          <w:tcPr>
            <w:tcW w:w="1100" w:type="dxa"/>
            <w:tcBorders/>
            <w:shd w:fill="CCE2F1" w:val="clear"/>
            <w:vAlign w:val="center"/>
          </w:tcPr>
          <w:p>
            <w:pPr>
              <w:pStyle w:val="TableContents"/>
              <w:bidi w:val="0"/>
              <w:spacing w:before="0" w:after="283"/>
              <w:jc w:val="right"/>
              <w:rPr/>
            </w:pPr>
            <w:r>
              <w:rPr/>
              <w:t>35,000 </w:t>
            </w:r>
          </w:p>
        </w:tc>
        <w:tc>
          <w:tcPr>
            <w:tcW w:w="75" w:type="dxa"/>
            <w:tcBorders/>
            <w:shd w:fill="CCE2F1" w:val="clear"/>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283"/>
              <w:jc w:val="left"/>
              <w:rPr>
                <w:sz w:val="4"/>
                <w:szCs w:val="4"/>
              </w:rPr>
            </w:pPr>
            <w:r>
              <w:rPr>
                <w:sz w:val="4"/>
                <w:szCs w:val="4"/>
              </w:rPr>
            </w:r>
          </w:p>
        </w:tc>
        <w:tc>
          <w:tcPr>
            <w:tcW w:w="1420" w:type="dxa"/>
            <w:gridSpan w:val="4"/>
            <w:tcBorders/>
            <w:vAlign w:val="center"/>
          </w:tcPr>
          <w:p>
            <w:pPr>
              <w:pStyle w:val="TableContents"/>
              <w:bidi w:val="0"/>
              <w:spacing w:before="0" w:after="283"/>
              <w:jc w:val="left"/>
              <w:rPr>
                <w:sz w:val="4"/>
                <w:szCs w:val="4"/>
              </w:rPr>
            </w:pPr>
            <w:r>
              <w:rPr>
                <w:sz w:val="4"/>
                <w:szCs w:val="4"/>
              </w:rPr>
            </w:r>
          </w:p>
        </w:tc>
        <w:tc>
          <w:tcPr>
            <w:tcW w:w="1555" w:type="dxa"/>
            <w:gridSpan w:val="4"/>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0"/>
              <w:jc w:val="left"/>
              <w:rPr/>
            </w:pPr>
            <w:r>
              <w:rPr/>
              <w:t> </w:t>
            </w:r>
            <w:r>
              <w:rPr>
                <w:rFonts w:ascii="arial" w:hAnsi="arial"/>
                <w:sz w:val="19"/>
              </w:rPr>
              <w:t>All Other Fees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0 </w:t>
            </w:r>
          </w:p>
        </w:tc>
        <w:tc>
          <w:tcPr>
            <w:tcW w:w="75" w:type="dxa"/>
            <w:tcBorders/>
            <w:vAlign w:val="center"/>
          </w:tcPr>
          <w:p>
            <w:pPr>
              <w:pStyle w:val="TableContents"/>
              <w:bidi w:val="0"/>
              <w:spacing w:before="0" w:after="283"/>
              <w:jc w:val="left"/>
              <w:rPr/>
            </w:pPr>
            <w:r>
              <w:rPr/>
              <w:t> </w:t>
            </w:r>
          </w:p>
        </w:tc>
      </w:tr>
      <w:tr>
        <w:trPr/>
        <w:tc>
          <w:tcPr>
            <w:tcW w:w="1415" w:type="dxa"/>
            <w:tcBorders>
              <w:top w:val="single" w:sz="8" w:space="0" w:color="0171B9"/>
            </w:tcBorders>
            <w:shd w:fill="CCE2F1" w:val="clear"/>
            <w:tcMar>
              <w:top w:w="28" w:type="dxa"/>
            </w:tcMar>
            <w:vAlign w:val="center"/>
          </w:tcPr>
          <w:p>
            <w:pPr>
              <w:pStyle w:val="TableContents"/>
              <w:bidi w:val="0"/>
              <w:spacing w:before="0" w:after="283"/>
              <w:jc w:val="left"/>
              <w:rPr/>
            </w:pPr>
            <w:r>
              <w:rPr/>
              <w:t> </w:t>
            </w:r>
          </w:p>
        </w:tc>
        <w:tc>
          <w:tcPr>
            <w:tcW w:w="1420" w:type="dxa"/>
            <w:gridSpan w:val="4"/>
            <w:tcBorders>
              <w:top w:val="single" w:sz="8" w:space="0" w:color="0171B9"/>
            </w:tcBorders>
            <w:shd w:fill="CCE2F1" w:val="clear"/>
            <w:tcMar>
              <w:top w:w="28" w:type="dxa"/>
            </w:tcMar>
            <w:vAlign w:val="center"/>
          </w:tcPr>
          <w:p>
            <w:pPr>
              <w:pStyle w:val="TableContents"/>
              <w:bidi w:val="0"/>
              <w:spacing w:before="0" w:after="283"/>
              <w:jc w:val="left"/>
              <w:rPr/>
            </w:pPr>
            <w:r>
              <w:rPr/>
              <w:t> </w:t>
            </w:r>
          </w:p>
        </w:tc>
        <w:tc>
          <w:tcPr>
            <w:tcW w:w="1555" w:type="dxa"/>
            <w:gridSpan w:val="4"/>
            <w:tcBorders>
              <w:top w:val="single" w:sz="8" w:space="0" w:color="0171B9"/>
            </w:tcBorders>
            <w:shd w:fill="CCE2F1" w:val="clear"/>
            <w:tcMar>
              <w:top w:w="28" w:type="dxa"/>
            </w:tcMar>
            <w:vAlign w:val="center"/>
          </w:tcPr>
          <w:p>
            <w:pPr>
              <w:pStyle w:val="TableContents"/>
              <w:bidi w:val="0"/>
              <w:spacing w:before="0" w:after="283"/>
              <w:jc w:val="left"/>
              <w:rPr/>
            </w:pPr>
            <w:r>
              <w:rPr/>
              <w:t> </w:t>
            </w:r>
          </w:p>
        </w:tc>
      </w:tr>
      <w:tr>
        <w:trPr/>
        <w:tc>
          <w:tcPr>
            <w:tcW w:w="1415" w:type="dxa"/>
            <w:tcBorders>
              <w:bottom w:val="single" w:sz="8" w:space="0" w:color="0171B9"/>
            </w:tcBorders>
            <w:shd w:fill="CCE2F1" w:val="clear"/>
            <w:tcMar>
              <w:bottom w:w="40" w:type="dxa"/>
            </w:tcMar>
            <w:vAlign w:val="center"/>
          </w:tcPr>
          <w:p>
            <w:pPr>
              <w:pStyle w:val="TableContents"/>
              <w:bidi w:val="0"/>
              <w:spacing w:before="0" w:after="0"/>
              <w:jc w:val="left"/>
              <w:rPr/>
            </w:pPr>
            <w:r>
              <w:rPr/>
              <w:t> </w:t>
            </w:r>
            <w:r>
              <w:rPr>
                <w:rFonts w:ascii="arial" w:hAnsi="arial"/>
                <w:sz w:val="19"/>
              </w:rPr>
              <w:t>Total Fees</w:t>
            </w:r>
          </w:p>
        </w:tc>
        <w:tc>
          <w:tcPr>
            <w:tcW w:w="12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140" w:type="dxa"/>
            <w:tcBorders>
              <w:bottom w:val="single" w:sz="8" w:space="0" w:color="0171B9"/>
            </w:tcBorders>
            <w:shd w:fill="CCE2F1" w:val="clear"/>
            <w:tcMar>
              <w:bottom w:w="40" w:type="dxa"/>
            </w:tcMar>
            <w:vAlign w:val="center"/>
          </w:tcPr>
          <w:p>
            <w:pPr>
              <w:pStyle w:val="TableContents"/>
              <w:bidi w:val="0"/>
              <w:spacing w:before="0" w:after="283"/>
              <w:jc w:val="left"/>
              <w:rPr/>
            </w:pPr>
            <w:r>
              <w:rPr/>
              <w:t>$</w:t>
            </w:r>
          </w:p>
        </w:tc>
        <w:tc>
          <w:tcPr>
            <w:tcW w:w="1100" w:type="dxa"/>
            <w:tcBorders>
              <w:bottom w:val="single" w:sz="8" w:space="0" w:color="0171B9"/>
            </w:tcBorders>
            <w:shd w:fill="CCE2F1" w:val="clear"/>
            <w:tcMar>
              <w:bottom w:w="40" w:type="dxa"/>
            </w:tcMar>
            <w:vAlign w:val="center"/>
          </w:tcPr>
          <w:p>
            <w:pPr>
              <w:pStyle w:val="TableContents"/>
              <w:bidi w:val="0"/>
              <w:spacing w:before="0" w:after="283"/>
              <w:jc w:val="right"/>
              <w:rPr/>
            </w:pPr>
            <w:r>
              <w:rPr/>
              <w:t>15,198,000</w:t>
            </w:r>
          </w:p>
        </w:tc>
        <w:tc>
          <w:tcPr>
            <w:tcW w:w="60" w:type="dxa"/>
            <w:tcBorders>
              <w:bottom w:val="single" w:sz="8" w:space="0" w:color="0171B9"/>
            </w:tcBorders>
            <w:shd w:fill="CCE2F1" w:val="clear"/>
            <w:tcMar>
              <w:bottom w:w="40" w:type="dxa"/>
            </w:tcMar>
            <w:vAlign w:val="center"/>
          </w:tcPr>
          <w:p>
            <w:pPr>
              <w:pStyle w:val="TableContents"/>
              <w:bidi w:val="0"/>
              <w:spacing w:before="0" w:after="283"/>
              <w:jc w:val="left"/>
              <w:rPr/>
            </w:pPr>
            <w:r>
              <w:rPr/>
              <w:t> </w:t>
            </w:r>
          </w:p>
        </w:tc>
        <w:tc>
          <w:tcPr>
            <w:tcW w:w="240" w:type="dxa"/>
            <w:tcBorders>
              <w:bottom w:val="single" w:sz="8" w:space="0" w:color="0171B9"/>
            </w:tcBorders>
            <w:shd w:fill="CCE2F1" w:val="clear"/>
            <w:tcMar>
              <w:bottom w:w="28" w:type="dxa"/>
            </w:tcMar>
            <w:vAlign w:val="center"/>
          </w:tcPr>
          <w:p>
            <w:pPr>
              <w:pStyle w:val="TableContents"/>
              <w:bidi w:val="0"/>
              <w:spacing w:before="0" w:after="283"/>
              <w:jc w:val="left"/>
              <w:rPr/>
            </w:pPr>
            <w:r>
              <w:rPr/>
              <w:t>    </w:t>
            </w:r>
          </w:p>
        </w:tc>
        <w:tc>
          <w:tcPr>
            <w:tcW w:w="140" w:type="dxa"/>
            <w:tcBorders>
              <w:bottom w:val="single" w:sz="8" w:space="0" w:color="0171B9"/>
            </w:tcBorders>
            <w:shd w:fill="CCE2F1" w:val="clear"/>
            <w:tcMar>
              <w:bottom w:w="40" w:type="dxa"/>
            </w:tcMar>
            <w:vAlign w:val="center"/>
          </w:tcPr>
          <w:p>
            <w:pPr>
              <w:pStyle w:val="TableContents"/>
              <w:bidi w:val="0"/>
              <w:spacing w:before="0" w:after="283"/>
              <w:jc w:val="left"/>
              <w:rPr/>
            </w:pPr>
            <w:r>
              <w:rPr/>
              <w:t>$</w:t>
            </w:r>
          </w:p>
        </w:tc>
        <w:tc>
          <w:tcPr>
            <w:tcW w:w="1100" w:type="dxa"/>
            <w:tcBorders>
              <w:bottom w:val="single" w:sz="8" w:space="0" w:color="0171B9"/>
            </w:tcBorders>
            <w:shd w:fill="CCE2F1" w:val="clear"/>
            <w:tcMar>
              <w:bottom w:w="40" w:type="dxa"/>
            </w:tcMar>
            <w:vAlign w:val="center"/>
          </w:tcPr>
          <w:p>
            <w:pPr>
              <w:pStyle w:val="TableContents"/>
              <w:bidi w:val="0"/>
              <w:spacing w:before="0" w:after="283"/>
              <w:jc w:val="right"/>
              <w:rPr/>
            </w:pPr>
            <w:r>
              <w:rPr/>
              <w:t>9,931,000 </w:t>
            </w:r>
          </w:p>
        </w:tc>
        <w:tc>
          <w:tcPr>
            <w:tcW w:w="75" w:type="dxa"/>
            <w:tcBorders>
              <w:bottom w:val="single" w:sz="8" w:space="0" w:color="0171B9"/>
            </w:tcBorders>
            <w:shd w:fill="CCE2F1" w:val="clear"/>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440">
                <wp:simplePos x="0" y="0"/>
                <wp:positionH relativeFrom="column">
                  <wp:align>left</wp:align>
                </wp:positionH>
                <wp:positionV relativeFrom="line">
                  <wp:posOffset>635</wp:posOffset>
                </wp:positionV>
                <wp:extent cx="3110230" cy="1522730"/>
                <wp:effectExtent l="0" t="0" r="0" b="0"/>
                <wp:wrapSquare wrapText="right"/>
                <wp:docPr id="405" name="Frame203"/>
                <a:graphic xmlns:a="http://schemas.openxmlformats.org/drawingml/2006/main">
                  <a:graphicData uri="http://schemas.microsoft.com/office/word/2010/wordprocessingShape">
                    <wps:wsp>
                      <wps:cNvSpPr txBox="1"/>
                      <wps:spPr>
                        <a:xfrm>
                          <a:off x="0" y="0"/>
                          <a:ext cx="3110230" cy="152273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Included in Audit fees above are professional services associated with the integrated audit of our consolidated financial statements and our internal control over financial reporting and the statutory audits of various subsidiaries of the Company. Audit-Related fees are attributable to assurance and related services that are also performed by our independent registered public accountants, including attest related services, accounting consultations, and audits of employee benefit plan information. The Audit Committee has considered whether the Audit-Related services provided by EY are compatible with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19.9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Included in Audit fees above are professional services associated with the integrated audit of our consolidated financial statements and our internal control over financial reporting and the statutory audits of various subsidiaries of the Company. Audit-Related fees are attributable to assurance and related services that are also performed by our independent registered public accountants, including attest related services, accounting consultations, and audits of employee benefit plan information. The Audit Committee has considered whether the Audit-Related services provided by EY are compatible with </w:t>
                      </w:r>
                    </w:p>
                  </w:txbxContent>
                </v:textbox>
                <w10:wrap type="square" side="right"/>
              </v:rect>
            </w:pict>
          </mc:Fallback>
        </mc:AlternateContent>
      </w:r>
      <w:r>
        <mc:AlternateContent>
          <mc:Choice Requires="wps">
            <w:drawing>
              <wp:anchor behindDoc="0" distT="0" distB="0" distL="0" distR="0" simplePos="0" locked="0" layoutInCell="1" allowOverlap="1" relativeHeight="441">
                <wp:simplePos x="0" y="0"/>
                <wp:positionH relativeFrom="column">
                  <wp:align>left</wp:align>
                </wp:positionH>
                <wp:positionV relativeFrom="line">
                  <wp:posOffset>635</wp:posOffset>
                </wp:positionV>
                <wp:extent cx="3175000" cy="1737360"/>
                <wp:effectExtent l="0" t="0" r="0" b="0"/>
                <wp:wrapSquare wrapText="right"/>
                <wp:docPr id="406" name="Frame204"/>
                <a:graphic xmlns:a="http://schemas.openxmlformats.org/drawingml/2006/main">
                  <a:graphicData uri="http://schemas.microsoft.com/office/word/2010/wordprocessingShape">
                    <wps:wsp>
                      <wps:cNvSpPr txBox="1"/>
                      <wps:spPr>
                        <a:xfrm>
                          <a:off x="0" y="0"/>
                          <a:ext cx="3175000" cy="173736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maintaining that firm’s independence. Tax fees include assistance with various corporate tax compliance and tax-related matters. </w:t>
                            </w:r>
                          </w:p>
                          <w:p>
                            <w:pPr>
                              <w:pStyle w:val="TextBody"/>
                              <w:bidi w:val="0"/>
                              <w:spacing w:before="120" w:after="0"/>
                              <w:jc w:val="both"/>
                              <w:rPr>
                                <w:rFonts w:ascii="arial" w:hAnsi="arial"/>
                                <w:sz w:val="19"/>
                              </w:rPr>
                            </w:pPr>
                            <w:r>
                              <w:rPr>
                                <w:rFonts w:ascii="arial" w:hAnsi="arial"/>
                                <w:sz w:val="19"/>
                              </w:rPr>
                              <w:t xml:space="preserve">The Audit Committee has approved all audit and permissible non-audit services prior to such services being provided by EY. The Audit Committee, or the Chair of the Audit Committee who has been granted authority by the Audit Committee, approves each audit or non-audit service prior to the engagement of EY for such service. Each such service approved by the Chair of the Audit Committee is presented to the entire Audit Committee at a subsequent meeting.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36.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maintaining that firm’s independence. Tax fees include assistance with various corporate tax compliance and tax-related matters. </w:t>
                      </w:r>
                    </w:p>
                    <w:p>
                      <w:pPr>
                        <w:pStyle w:val="TextBody"/>
                        <w:bidi w:val="0"/>
                        <w:spacing w:before="120" w:after="0"/>
                        <w:jc w:val="both"/>
                        <w:rPr>
                          <w:rFonts w:ascii="arial" w:hAnsi="arial"/>
                          <w:sz w:val="19"/>
                        </w:rPr>
                      </w:pPr>
                      <w:r>
                        <w:rPr>
                          <w:rFonts w:ascii="arial" w:hAnsi="arial"/>
                          <w:sz w:val="19"/>
                        </w:rPr>
                        <w:t xml:space="preserve">The Audit Committee has approved all audit and permissible non-audit services prior to such services being provided by EY. The Audit Committee, or the Chair of the Audit Committee who has been granted authority by the Audit Committee, approves each audit or non-audit service prior to the engagement of EY for such service. Each such service approved by the Chair of the Audit Committee is presented to the entire Audit Committee at a subsequent meeting.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124  </w:t>
      </w:r>
      <w:r>
        <w:rPr>
          <w:rFonts w:ascii="arial" w:hAnsi="arial"/>
          <w:b/>
          <w:color w:val="474747"/>
          <w:sz w:val="22"/>
        </w:rPr>
        <w:drawing>
          <wp:inline distT="0" distB="0" distL="0" distR="0">
            <wp:extent cx="64770" cy="15240"/>
            <wp:effectExtent l="0" t="0" r="0" b="0"/>
            <wp:docPr id="407"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 name="Image191" descr=""/>
                    <pic:cNvPicPr>
                      <a:picLocks noChangeAspect="1" noChangeArrowheads="1"/>
                    </pic:cNvPicPr>
                  </pic:nvPicPr>
                  <pic:blipFill>
                    <a:blip r:embed="rId204"/>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377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329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9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329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Annual Report on Form 10-K</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171B9"/>
          <w:sz w:val="44"/>
        </w:rPr>
      </w:pPr>
      <w:bookmarkStart w:id="68" w:name="toc445034_52"/>
      <w:bookmarkEnd w:id="68"/>
      <w:r>
        <w:rPr>
          <w:rFonts w:ascii="arial" w:hAnsi="arial"/>
          <w:b/>
          <w:color w:val="0171B9"/>
          <w:sz w:val="44"/>
        </w:rPr>
        <w:t xml:space="preserve">Annual Report on Form 10-K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442">
                <wp:simplePos x="0" y="0"/>
                <wp:positionH relativeFrom="column">
                  <wp:align>left</wp:align>
                </wp:positionH>
                <wp:positionV relativeFrom="line">
                  <wp:posOffset>635</wp:posOffset>
                </wp:positionV>
                <wp:extent cx="3110230" cy="1737360"/>
                <wp:effectExtent l="0" t="0" r="0" b="0"/>
                <wp:wrapSquare wrapText="right"/>
                <wp:docPr id="408" name="Frame205"/>
                <a:graphic xmlns:a="http://schemas.openxmlformats.org/drawingml/2006/main">
                  <a:graphicData uri="http://schemas.microsoft.com/office/word/2010/wordprocessingShape">
                    <wps:wsp>
                      <wps:cNvSpPr txBox="1"/>
                      <wps:spPr>
                        <a:xfrm>
                          <a:off x="0" y="0"/>
                          <a:ext cx="3110230" cy="173736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The Company’s Annual Report on Form 10-K for fiscal 2023, which contains the consolidated financial statements of the Company for fiscal 2023, accompanies this proxy statement, but is not a part of the Company’s soliciting materials. </w:t>
                            </w:r>
                          </w:p>
                          <w:p>
                            <w:pPr>
                              <w:pStyle w:val="TextBody"/>
                              <w:bidi w:val="0"/>
                              <w:spacing w:before="120" w:after="0"/>
                              <w:jc w:val="both"/>
                              <w:rPr>
                                <w:rFonts w:ascii="arial" w:hAnsi="arial"/>
                                <w:sz w:val="19"/>
                              </w:rPr>
                            </w:pPr>
                            <w:r>
                              <w:rPr>
                                <w:rFonts w:ascii="arial" w:hAnsi="arial"/>
                                <w:b/>
                                <w:sz w:val="19"/>
                              </w:rPr>
                              <w:t>Stockholders may obtain, without charge, a copy of the Company’s Annual Report on Form 10-K for fiscal 2023, filed with the Securities and Exchange Commission, including the financial statements and schedules thereto, without the accompanying exhibits, by writing to: Investor Relations, Senior Project</w:t>
                            </w:r>
                            <w:r>
                              <w:rPr>
                                <w:rFonts w:ascii="arial" w:hAnsi="arial"/>
                                <w:sz w:val="19"/>
                              </w:rPr>
                              <w:t xml:space="preserv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36.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The Company’s Annual Report on Form 10-K for fiscal 2023, which contains the consolidated financial statements of the Company for fiscal 2023, accompanies this proxy statement, but is not a part of the Company’s soliciting materials. </w:t>
                      </w:r>
                    </w:p>
                    <w:p>
                      <w:pPr>
                        <w:pStyle w:val="TextBody"/>
                        <w:bidi w:val="0"/>
                        <w:spacing w:before="120" w:after="0"/>
                        <w:jc w:val="both"/>
                        <w:rPr>
                          <w:rFonts w:ascii="arial" w:hAnsi="arial"/>
                          <w:sz w:val="19"/>
                        </w:rPr>
                      </w:pPr>
                      <w:r>
                        <w:rPr>
                          <w:rFonts w:ascii="arial" w:hAnsi="arial"/>
                          <w:b/>
                          <w:sz w:val="19"/>
                        </w:rPr>
                        <w:t>Stockholders may obtain, without charge, a copy of the Company’s Annual Report on Form 10-K for fiscal 2023, filed with the Securities and Exchange Commission, including the financial statements and schedules thereto, without the accompanying exhibits, by writing to: Investor Relations, Senior Project</w:t>
                      </w:r>
                      <w:r>
                        <w:rPr>
                          <w:rFonts w:ascii="arial" w:hAnsi="arial"/>
                          <w:sz w:val="19"/>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443">
                <wp:simplePos x="0" y="0"/>
                <wp:positionH relativeFrom="column">
                  <wp:align>left</wp:align>
                </wp:positionH>
                <wp:positionV relativeFrom="line">
                  <wp:posOffset>635</wp:posOffset>
                </wp:positionV>
                <wp:extent cx="3175000" cy="1522730"/>
                <wp:effectExtent l="0" t="0" r="0" b="0"/>
                <wp:wrapSquare wrapText="right"/>
                <wp:docPr id="409" name="Frame206"/>
                <a:graphic xmlns:a="http://schemas.openxmlformats.org/drawingml/2006/main">
                  <a:graphicData uri="http://schemas.microsoft.com/office/word/2010/wordprocessingShape">
                    <wps:wsp>
                      <wps:cNvSpPr txBox="1"/>
                      <wps:spPr>
                        <a:xfrm>
                          <a:off x="0" y="0"/>
                          <a:ext cx="3175000" cy="1522730"/>
                        </a:xfrm>
                        <a:prstGeom prst="rect"/>
                        <a:solidFill>
                          <a:srgbClr val="FFFFFF"/>
                        </a:solidFill>
                      </wps:spPr>
                      <wps:txbx>
                        <w:txbxContent>
                          <w:p>
                            <w:pPr>
                              <w:pStyle w:val="TextBody"/>
                              <w:bidi w:val="0"/>
                              <w:spacing w:before="0" w:after="0"/>
                              <w:jc w:val="both"/>
                              <w:rPr>
                                <w:rFonts w:ascii="arial" w:hAnsi="arial"/>
                                <w:sz w:val="19"/>
                              </w:rPr>
                            </w:pPr>
                            <w:r>
                              <w:rPr>
                                <w:rFonts w:ascii="arial" w:hAnsi="arial"/>
                                <w:b/>
                                <w:sz w:val="19"/>
                              </w:rPr>
                              <w:t>Management Coordinator,</w:t>
                            </w:r>
                            <w:r>
                              <w:rPr>
                                <w:rFonts w:ascii="arial" w:hAnsi="arial"/>
                                <w:sz w:val="19"/>
                              </w:rPr>
                              <w:t xml:space="preserve"> </w:t>
                            </w:r>
                            <w:r>
                              <w:rPr>
                                <w:rFonts w:ascii="arial" w:hAnsi="arial"/>
                                <w:b/>
                                <w:sz w:val="19"/>
                              </w:rPr>
                              <w:t>Amgen Inc., One Amgen Center Drive, Thousand Oaks, CA 91320-1799, or contact Investor Relations by telephone at (805) 447-1060 or email at investor.relations@amgen.com. The Company’s</w:t>
                            </w:r>
                            <w:r>
                              <w:rPr>
                                <w:rFonts w:ascii="arial" w:hAnsi="arial"/>
                                <w:sz w:val="19"/>
                              </w:rPr>
                              <w:t xml:space="preserve"> </w:t>
                            </w:r>
                            <w:r>
                              <w:rPr>
                                <w:rFonts w:ascii="arial" w:hAnsi="arial"/>
                                <w:b/>
                                <w:sz w:val="19"/>
                              </w:rPr>
                              <w:t>Annual Report on Form 10-K is also</w:t>
                            </w:r>
                            <w:r>
                              <w:rPr>
                                <w:rFonts w:ascii="arial" w:hAnsi="arial"/>
                                <w:sz w:val="19"/>
                              </w:rPr>
                              <w:t xml:space="preserve"> </w:t>
                            </w:r>
                            <w:r>
                              <w:rPr>
                                <w:rFonts w:ascii="arial" w:hAnsi="arial"/>
                                <w:b/>
                                <w:sz w:val="19"/>
                              </w:rPr>
                              <w:t xml:space="preserve">available online on the Company’s website at </w:t>
                            </w:r>
                            <w:r>
                              <w:rPr>
                                <w:rFonts w:ascii="arial" w:hAnsi="arial"/>
                                <w:b/>
                                <w:color w:val="0171B9"/>
                                <w:sz w:val="19"/>
                              </w:rPr>
                              <w:t>www.amgen.com</w:t>
                            </w:r>
                            <w:r>
                              <w:rPr>
                                <w:rFonts w:ascii="arial" w:hAnsi="arial"/>
                                <w:b/>
                                <w:sz w:val="19"/>
                              </w:rPr>
                              <w:t>.(1) A list of exhibits is included in the Form 10-K and exhibits are available online on the Company’s website or may be obtained from the Company upon payment to the Company of the cost of furnishing them.</w:t>
                            </w:r>
                            <w:r>
                              <w:rPr>
                                <w:rFonts w:ascii="arial" w:hAnsi="arial"/>
                                <w:sz w:val="19"/>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19.9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b/>
                          <w:sz w:val="19"/>
                        </w:rPr>
                        <w:t>Management Coordinator,</w:t>
                      </w:r>
                      <w:r>
                        <w:rPr>
                          <w:rFonts w:ascii="arial" w:hAnsi="arial"/>
                          <w:sz w:val="19"/>
                        </w:rPr>
                        <w:t xml:space="preserve"> </w:t>
                      </w:r>
                      <w:r>
                        <w:rPr>
                          <w:rFonts w:ascii="arial" w:hAnsi="arial"/>
                          <w:b/>
                          <w:sz w:val="19"/>
                        </w:rPr>
                        <w:t>Amgen Inc., One Amgen Center Drive, Thousand Oaks, CA 91320-1799, or contact Investor Relations by telephone at (805) 447-1060 or email at investor.relations@amgen.com. The Company’s</w:t>
                      </w:r>
                      <w:r>
                        <w:rPr>
                          <w:rFonts w:ascii="arial" w:hAnsi="arial"/>
                          <w:sz w:val="19"/>
                        </w:rPr>
                        <w:t xml:space="preserve"> </w:t>
                      </w:r>
                      <w:r>
                        <w:rPr>
                          <w:rFonts w:ascii="arial" w:hAnsi="arial"/>
                          <w:b/>
                          <w:sz w:val="19"/>
                        </w:rPr>
                        <w:t>Annual Report on Form 10-K is also</w:t>
                      </w:r>
                      <w:r>
                        <w:rPr>
                          <w:rFonts w:ascii="arial" w:hAnsi="arial"/>
                          <w:sz w:val="19"/>
                        </w:rPr>
                        <w:t xml:space="preserve"> </w:t>
                      </w:r>
                      <w:r>
                        <w:rPr>
                          <w:rFonts w:ascii="arial" w:hAnsi="arial"/>
                          <w:b/>
                          <w:sz w:val="19"/>
                        </w:rPr>
                        <w:t xml:space="preserve">available online on the Company’s website at </w:t>
                      </w:r>
                      <w:r>
                        <w:rPr>
                          <w:rFonts w:ascii="arial" w:hAnsi="arial"/>
                          <w:b/>
                          <w:color w:val="0171B9"/>
                          <w:sz w:val="19"/>
                        </w:rPr>
                        <w:t>www.amgen.com</w:t>
                      </w:r>
                      <w:r>
                        <w:rPr>
                          <w:rFonts w:ascii="arial" w:hAnsi="arial"/>
                          <w:b/>
                          <w:sz w:val="19"/>
                        </w:rPr>
                        <w:t>.(1) A list of exhibits is included in the Form 10-K and exhibits are available online on the Company’s website or may be obtained from the Company upon payment to the Company of the cost of furnishing them.</w:t>
                      </w:r>
                      <w:r>
                        <w:rPr>
                          <w:rFonts w:ascii="arial" w:hAnsi="arial"/>
                          <w:sz w:val="19"/>
                        </w:rPr>
                        <w:t xml:space="preserve"> </w:t>
                      </w:r>
                    </w:p>
                  </w:txbxContent>
                </v:textbox>
                <w10:wrap type="square" side="right"/>
              </v:rect>
            </w:pict>
          </mc:Fallback>
        </mc:AlternateContent>
      </w:r>
    </w:p>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341"/>
        <w:gridCol w:w="9864"/>
      </w:tblGrid>
      <w:tr>
        <w:trPr/>
        <w:tc>
          <w:tcPr>
            <w:tcW w:w="341" w:type="dxa"/>
            <w:tcBorders/>
            <w:vAlign w:val="center"/>
          </w:tcPr>
          <w:p>
            <w:pPr>
              <w:pStyle w:val="TableContents"/>
              <w:bidi w:val="0"/>
              <w:spacing w:before="0" w:after="283"/>
              <w:jc w:val="left"/>
              <w:rPr/>
            </w:pPr>
            <w:r>
              <w:rPr/>
              <w:t>(1) </w:t>
            </w:r>
          </w:p>
        </w:tc>
        <w:tc>
          <w:tcPr>
            <w:tcW w:w="9864" w:type="dxa"/>
            <w:tcBorders/>
            <w:vAlign w:val="center"/>
          </w:tcPr>
          <w:p>
            <w:pPr>
              <w:pStyle w:val="TableContents"/>
              <w:bidi w:val="0"/>
              <w:spacing w:before="0" w:after="0"/>
              <w:jc w:val="both"/>
              <w:rPr>
                <w:rFonts w:ascii="arial" w:hAnsi="arial"/>
                <w:sz w:val="16"/>
              </w:rPr>
            </w:pPr>
            <w:r>
              <w:rPr>
                <w:rFonts w:ascii="arial" w:hAnsi="arial"/>
                <w:sz w:val="16"/>
              </w:rPr>
              <w:t xml:space="preserve">Reference to our website is not intended to function as a hyperlink and the information contained on our website is not intended to be part of this proxy statement. </w:t>
            </w:r>
          </w:p>
        </w:tc>
      </w:tr>
    </w:tbl>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410"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Image192" descr=""/>
                    <pic:cNvPicPr>
                      <a:picLocks noChangeAspect="1" noChangeArrowheads="1"/>
                    </pic:cNvPicPr>
                  </pic:nvPicPr>
                  <pic:blipFill>
                    <a:blip r:embed="rId205"/>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125</w:t>
      </w:r>
      <w:r>
        <w:rPr>
          <w:rFonts w:ascii="arial" w:hAnsi="arial"/>
          <w:b/>
          <w:sz w:val="22"/>
        </w:rPr>
        <w:t xml:space="preserve"> </w:t>
      </w:r>
      <w:r>
        <w:br w:type="page"/>
      </w:r>
    </w:p>
    <w:p>
      <w:pPr>
        <w:pStyle w:val="HorizontalLine"/>
        <w:bidi w:val="0"/>
        <w:jc w:val="left"/>
        <w:rPr/>
      </w:pPr>
      <w:r>
        <w:rPr/>
      </w:r>
    </w:p>
    <w:tbl>
      <w:tblPr>
        <w:tblW w:w="594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546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6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546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Certain Relationships and Related Transactions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171B9"/>
          <w:sz w:val="44"/>
        </w:rPr>
      </w:pPr>
      <w:bookmarkStart w:id="69" w:name="toc445034_53"/>
      <w:bookmarkEnd w:id="69"/>
      <w:r>
        <w:rPr>
          <w:rFonts w:ascii="arial" w:hAnsi="arial"/>
          <w:b/>
          <w:color w:val="0171B9"/>
          <w:sz w:val="44"/>
        </w:rPr>
        <w:t xml:space="preserve">Certain Relationships and Related Transactions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444">
                <wp:simplePos x="0" y="0"/>
                <wp:positionH relativeFrom="column">
                  <wp:align>left</wp:align>
                </wp:positionH>
                <wp:positionV relativeFrom="line">
                  <wp:posOffset>635</wp:posOffset>
                </wp:positionV>
                <wp:extent cx="3110230" cy="6658610"/>
                <wp:effectExtent l="0" t="0" r="0" b="0"/>
                <wp:wrapSquare wrapText="right"/>
                <wp:docPr id="411" name="Frame207"/>
                <a:graphic xmlns:a="http://schemas.openxmlformats.org/drawingml/2006/main">
                  <a:graphicData uri="http://schemas.microsoft.com/office/word/2010/wordprocessingShape">
                    <wps:wsp>
                      <wps:cNvSpPr txBox="1"/>
                      <wps:spPr>
                        <a:xfrm>
                          <a:off x="0" y="0"/>
                          <a:ext cx="3110230" cy="665861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Under our written Approval of Related Party Transactions policy, a SEC Related Party Transaction (as defined below) may be consummated or may continue only if the Audit Committee approves or ratifies the transaction in accordance with the guidelines set forth in the policy. The policy applies to: (1) any person who is, or at any time since the beginning of our last fiscal year was, a member of our Board of Directors, or Board, one of our executive officers or a nominee to become a member of our Board; (2) any person who is known to be the beneficial owner of more than 5% of any class of our voting securities; (3) any immediate family member, as defined in the policy, of, or sharing a household with, any of the foregoing persons; and (4) any firm, corporation or other entity in which any of the foregoing persons is employed, or is a partner or principal or in a similar position or in which such person has a 5% or greater beneficial ownership interest. </w:t>
                            </w:r>
                          </w:p>
                          <w:p>
                            <w:pPr>
                              <w:pStyle w:val="TextBody"/>
                              <w:bidi w:val="0"/>
                              <w:spacing w:before="120" w:after="0"/>
                              <w:jc w:val="both"/>
                              <w:rPr>
                                <w:rFonts w:ascii="arial" w:hAnsi="arial"/>
                                <w:sz w:val="19"/>
                              </w:rPr>
                            </w:pPr>
                            <w:r>
                              <w:rPr>
                                <w:rFonts w:ascii="arial" w:hAnsi="arial"/>
                                <w:sz w:val="19"/>
                              </w:rPr>
                              <w:t xml:space="preserve">A “SEC Related Party Transaction” is defined in the policy as a transaction, arrangement or relationship, or series of similar transactions, arrangements or relationships (including but not limited to any indebtedness or guarantee of indebtedness) between us and any of the persons listed in the first paragraph of this section. A related party transaction also includes any material amendment or modification to an existing related party transaction. All potential related party transactions are presented to the Audit Committee for its consideration and, if the Audit Committee deems it appropriate, approval. The Audit Committee considers all relevant facts and circumstances available to it, including the recommendation of management. No member of the Audit Committee participates in any review, consideration, or approval of any related party transaction involving such member or any of his or her immediate family members, except that such member is required to provide all material information concerning the related party transaction to the Audit Committee. </w:t>
                            </w:r>
                          </w:p>
                          <w:p>
                            <w:pPr>
                              <w:pStyle w:val="TextBody"/>
                              <w:bidi w:val="0"/>
                              <w:spacing w:before="120" w:after="0"/>
                              <w:jc w:val="both"/>
                              <w:rPr>
                                <w:rFonts w:ascii="arial" w:hAnsi="arial"/>
                                <w:sz w:val="19"/>
                              </w:rPr>
                            </w:pPr>
                            <w:r>
                              <w:rPr>
                                <w:rFonts w:ascii="arial" w:hAnsi="arial"/>
                                <w:sz w:val="19"/>
                              </w:rPr>
                              <w:t xml:space="preserve">Related party transactions may be preliminarily entered into by management subject to ratification by the Audit Committee; provided that if ratification shall not be forthcoming, management shall make all reasonable efforts to cancel or annul such transaction. At each scheduled meeting of the Audit Committee, management is required to update the Audit Committee as to any material changes to any approved or ratified related party transaction. The Audit Committee has excluded each of the following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24.3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Under our written Approval of Related Party Transactions policy, a SEC Related Party Transaction (as defined below) may be consummated or may continue only if the Audit Committee approves or ratifies the transaction in accordance with the guidelines set forth in the policy. The policy applies to: (1) any person who is, or at any time since the beginning of our last fiscal year was, a member of our Board of Directors, or Board, one of our executive officers or a nominee to become a member of our Board; (2) any person who is known to be the beneficial owner of more than 5% of any class of our voting securities; (3) any immediate family member, as defined in the policy, of, or sharing a household with, any of the foregoing persons; and (4) any firm, corporation or other entity in which any of the foregoing persons is employed, or is a partner or principal or in a similar position or in which such person has a 5% or greater beneficial ownership interest. </w:t>
                      </w:r>
                    </w:p>
                    <w:p>
                      <w:pPr>
                        <w:pStyle w:val="TextBody"/>
                        <w:bidi w:val="0"/>
                        <w:spacing w:before="120" w:after="0"/>
                        <w:jc w:val="both"/>
                        <w:rPr>
                          <w:rFonts w:ascii="arial" w:hAnsi="arial"/>
                          <w:sz w:val="19"/>
                        </w:rPr>
                      </w:pPr>
                      <w:r>
                        <w:rPr>
                          <w:rFonts w:ascii="arial" w:hAnsi="arial"/>
                          <w:sz w:val="19"/>
                        </w:rPr>
                        <w:t xml:space="preserve">A “SEC Related Party Transaction” is defined in the policy as a transaction, arrangement or relationship, or series of similar transactions, arrangements or relationships (including but not limited to any indebtedness or guarantee of indebtedness) between us and any of the persons listed in the first paragraph of this section. A related party transaction also includes any material amendment or modification to an existing related party transaction. All potential related party transactions are presented to the Audit Committee for its consideration and, if the Audit Committee deems it appropriate, approval. The Audit Committee considers all relevant facts and circumstances available to it, including the recommendation of management. No member of the Audit Committee participates in any review, consideration, or approval of any related party transaction involving such member or any of his or her immediate family members, except that such member is required to provide all material information concerning the related party transaction to the Audit Committee. </w:t>
                      </w:r>
                    </w:p>
                    <w:p>
                      <w:pPr>
                        <w:pStyle w:val="TextBody"/>
                        <w:bidi w:val="0"/>
                        <w:spacing w:before="120" w:after="0"/>
                        <w:jc w:val="both"/>
                        <w:rPr>
                          <w:rFonts w:ascii="arial" w:hAnsi="arial"/>
                          <w:sz w:val="19"/>
                        </w:rPr>
                      </w:pPr>
                      <w:r>
                        <w:rPr>
                          <w:rFonts w:ascii="arial" w:hAnsi="arial"/>
                          <w:sz w:val="19"/>
                        </w:rPr>
                        <w:t xml:space="preserve">Related party transactions may be preliminarily entered into by management subject to ratification by the Audit Committee; provided that if ratification shall not be forthcoming, management shall make all reasonable efforts to cancel or annul such transaction. At each scheduled meeting of the Audit Committee, management is required to update the Audit Committee as to any material changes to any approved or ratified related party transaction. The Audit Committee has excluded each of the following </w:t>
                      </w:r>
                    </w:p>
                  </w:txbxContent>
                </v:textbox>
                <w10:wrap type="square" side="right"/>
              </v:rect>
            </w:pict>
          </mc:Fallback>
        </mc:AlternateContent>
      </w:r>
      <w:r>
        <mc:AlternateContent>
          <mc:Choice Requires="wps">
            <w:drawing>
              <wp:anchor behindDoc="0" distT="0" distB="0" distL="0" distR="0" simplePos="0" locked="0" layoutInCell="1" allowOverlap="1" relativeHeight="445">
                <wp:simplePos x="0" y="0"/>
                <wp:positionH relativeFrom="column">
                  <wp:align>left</wp:align>
                </wp:positionH>
                <wp:positionV relativeFrom="line">
                  <wp:posOffset>635</wp:posOffset>
                </wp:positionV>
                <wp:extent cx="3175000" cy="5825490"/>
                <wp:effectExtent l="0" t="0" r="0" b="0"/>
                <wp:wrapSquare wrapText="right"/>
                <wp:docPr id="412" name="Frame208"/>
                <a:graphic xmlns:a="http://schemas.openxmlformats.org/drawingml/2006/main">
                  <a:graphicData uri="http://schemas.microsoft.com/office/word/2010/wordprocessingShape">
                    <wps:wsp>
                      <wps:cNvSpPr txBox="1"/>
                      <wps:spPr>
                        <a:xfrm>
                          <a:off x="0" y="0"/>
                          <a:ext cx="3175000" cy="582549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related party transactions under the terms of our Approval of Related Party Transactions policy: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283"/>
                                    <w:jc w:val="left"/>
                                    <w:rPr>
                                      <w:color w:val="0171B9"/>
                                    </w:rPr>
                                  </w:pPr>
                                  <w:r>
                                    <w:rPr>
                                      <w:color w:val="0171B9"/>
                                    </w:rPr>
                                    <w:t>1.</w:t>
                                  </w:r>
                                </w:p>
                              </w:tc>
                              <w:tc>
                                <w:tcPr>
                                  <w:tcW w:w="10024" w:type="dxa"/>
                                  <w:tcBorders/>
                                  <w:vAlign w:val="center"/>
                                </w:tcPr>
                                <w:p>
                                  <w:pPr>
                                    <w:pStyle w:val="TableContents"/>
                                    <w:bidi w:val="0"/>
                                    <w:spacing w:before="0" w:after="0"/>
                                    <w:jc w:val="both"/>
                                    <w:rPr>
                                      <w:rFonts w:ascii="arial" w:hAnsi="arial"/>
                                    </w:rPr>
                                  </w:pPr>
                                  <w:r>
                                    <w:rPr>
                                      <w:rFonts w:ascii="arial" w:hAnsi="arial"/>
                                    </w:rPr>
                                    <w:t xml:space="preserve">Any matters related to compensation or benefits to the extent such compensation or benefits would not be required to be disclosed under Item 404 of Regulation S-K under the Securities Act of 1933;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283"/>
                                    <w:jc w:val="left"/>
                                    <w:rPr>
                                      <w:color w:val="0171B9"/>
                                    </w:rPr>
                                  </w:pPr>
                                  <w:r>
                                    <w:rPr>
                                      <w:color w:val="0171B9"/>
                                    </w:rPr>
                                    <w:t>2.</w:t>
                                  </w:r>
                                </w:p>
                              </w:tc>
                              <w:tc>
                                <w:tcPr>
                                  <w:tcW w:w="10036" w:type="dxa"/>
                                  <w:tcBorders/>
                                  <w:vAlign w:val="center"/>
                                </w:tcPr>
                                <w:p>
                                  <w:pPr>
                                    <w:pStyle w:val="TableContents"/>
                                    <w:bidi w:val="0"/>
                                    <w:spacing w:before="0" w:after="0"/>
                                    <w:jc w:val="both"/>
                                    <w:rPr>
                                      <w:rFonts w:ascii="arial" w:hAnsi="arial"/>
                                    </w:rPr>
                                  </w:pPr>
                                  <w:r>
                                    <w:rPr>
                                      <w:rFonts w:ascii="arial" w:hAnsi="arial"/>
                                    </w:rPr>
                                    <w:t xml:space="preserve">Transactions involving less than $120,000 (or such different amount as may require disclosure or approval under any future amendment to the rules and regulations of the SEC, including Item 404 of Regulation S-K, or the listing requirements of The NASDAQ Stock Market LLC, including Rule 5630) when aggregated with all similar transactions; or </w:t>
                                  </w:r>
                                </w:p>
                              </w:tc>
                            </w:tr>
                          </w:tbl>
                          <w:p>
                            <w:pPr>
                              <w:pStyle w:val="TextBody"/>
                              <w:bidi w:val="0"/>
                              <w:spacing w:before="0" w:after="0"/>
                              <w:jc w:val="left"/>
                              <w:rPr/>
                            </w:pPr>
                            <w:r>
                              <w:rPr/>
                              <w:t> </w:t>
                            </w:r>
                          </w:p>
                          <w:tbl>
                            <w:tblPr>
                              <w:tblW w:w="7900" w:type="dxa"/>
                              <w:jc w:val="left"/>
                              <w:tblInd w:w="0" w:type="dxa"/>
                              <w:tblLayout w:type="fixed"/>
                              <w:tblCellMar>
                                <w:top w:w="0" w:type="dxa"/>
                                <w:left w:w="0" w:type="dxa"/>
                                <w:bottom w:w="0" w:type="dxa"/>
                                <w:right w:w="0" w:type="dxa"/>
                              </w:tblCellMar>
                            </w:tblPr>
                            <w:tblGrid>
                              <w:gridCol w:w="215"/>
                              <w:gridCol w:w="7685"/>
                            </w:tblGrid>
                            <w:tr>
                              <w:trPr/>
                              <w:tc>
                                <w:tcPr>
                                  <w:tcW w:w="215" w:type="dxa"/>
                                  <w:tcBorders/>
                                  <w:vAlign w:val="center"/>
                                </w:tcPr>
                                <w:p>
                                  <w:pPr>
                                    <w:pStyle w:val="TableContents"/>
                                    <w:bidi w:val="0"/>
                                    <w:spacing w:before="0" w:after="283"/>
                                    <w:jc w:val="left"/>
                                    <w:rPr>
                                      <w:color w:val="0171B9"/>
                                    </w:rPr>
                                  </w:pPr>
                                  <w:r>
                                    <w:rPr>
                                      <w:color w:val="0171B9"/>
                                    </w:rPr>
                                    <w:t>3.</w:t>
                                  </w:r>
                                </w:p>
                              </w:tc>
                              <w:tc>
                                <w:tcPr>
                                  <w:tcW w:w="7685" w:type="dxa"/>
                                  <w:tcBorders/>
                                  <w:vAlign w:val="center"/>
                                </w:tcPr>
                                <w:p>
                                  <w:pPr>
                                    <w:pStyle w:val="TableContents"/>
                                    <w:bidi w:val="0"/>
                                    <w:spacing w:before="0" w:after="0"/>
                                    <w:jc w:val="both"/>
                                    <w:rPr>
                                      <w:rFonts w:ascii="arial" w:hAnsi="arial"/>
                                    </w:rPr>
                                  </w:pPr>
                                  <w:r>
                                    <w:rPr>
                                      <w:rFonts w:ascii="arial" w:hAnsi="arial"/>
                                    </w:rPr>
                                    <w:t xml:space="preserve">Transactions approved by another independent committee of the Board. </w:t>
                                  </w:r>
                                </w:p>
                              </w:tc>
                            </w:tr>
                          </w:tbl>
                          <w:p>
                            <w:pPr>
                              <w:pStyle w:val="TextBody"/>
                              <w:bidi w:val="0"/>
                              <w:spacing w:before="120" w:after="0"/>
                              <w:jc w:val="both"/>
                              <w:rPr>
                                <w:rFonts w:ascii="arial" w:hAnsi="arial"/>
                                <w:sz w:val="19"/>
                              </w:rPr>
                            </w:pPr>
                            <w:r>
                              <w:rPr>
                                <w:rFonts w:ascii="arial" w:hAnsi="arial"/>
                                <w:sz w:val="19"/>
                              </w:rPr>
                              <w:t xml:space="preserve">In deciding whether to approve or ratify a related party transaction, the Audit Committee will consider the following factors: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Whether the terms of the transaction are (i) fair to the Company and (ii) at least as favorable to the Company as would apply if the transaction did not involve a related party; </w:t>
                                  </w:r>
                                </w:p>
                              </w:tc>
                            </w:tr>
                          </w:tbl>
                          <w:p>
                            <w:pPr>
                              <w:pStyle w:val="TextBody"/>
                              <w:bidi w:val="0"/>
                              <w:spacing w:before="0" w:after="0"/>
                              <w:jc w:val="left"/>
                              <w:rPr/>
                            </w:pPr>
                            <w:r>
                              <w:rPr/>
                              <w:t> </w:t>
                            </w:r>
                          </w:p>
                          <w:tbl>
                            <w:tblPr>
                              <w:tblW w:w="8650" w:type="dxa"/>
                              <w:jc w:val="left"/>
                              <w:tblInd w:w="0" w:type="dxa"/>
                              <w:tblLayout w:type="fixed"/>
                              <w:tblCellMar>
                                <w:top w:w="0" w:type="dxa"/>
                                <w:left w:w="0" w:type="dxa"/>
                                <w:bottom w:w="0" w:type="dxa"/>
                                <w:right w:w="0" w:type="dxa"/>
                              </w:tblCellMar>
                            </w:tblPr>
                            <w:tblGrid>
                              <w:gridCol w:w="125"/>
                              <w:gridCol w:w="60"/>
                              <w:gridCol w:w="8465"/>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0"/>
                                    <w:jc w:val="both"/>
                                    <w:rPr>
                                      <w:rFonts w:ascii="arial" w:hAnsi="arial"/>
                                      <w:sz w:val="19"/>
                                    </w:rPr>
                                  </w:pPr>
                                  <w:r>
                                    <w:rPr>
                                      <w:rFonts w:ascii="arial" w:hAnsi="arial"/>
                                      <w:sz w:val="19"/>
                                    </w:rPr>
                                    <w:t xml:space="preserve">Whether there are demonstrable business reasons for the Company to enter into the transaction; </w:t>
                                  </w:r>
                                </w:p>
                              </w:tc>
                            </w:tr>
                          </w:tbl>
                          <w:p>
                            <w:pPr>
                              <w:pStyle w:val="TextBody"/>
                              <w:bidi w:val="0"/>
                              <w:spacing w:before="0" w:after="0"/>
                              <w:jc w:val="left"/>
                              <w:rPr/>
                            </w:pPr>
                            <w:r>
                              <w:rPr/>
                              <w:t> </w:t>
                            </w:r>
                          </w:p>
                          <w:tbl>
                            <w:tblPr>
                              <w:tblW w:w="7405" w:type="dxa"/>
                              <w:jc w:val="left"/>
                              <w:tblInd w:w="0" w:type="dxa"/>
                              <w:tblLayout w:type="fixed"/>
                              <w:tblCellMar>
                                <w:top w:w="0" w:type="dxa"/>
                                <w:left w:w="0" w:type="dxa"/>
                                <w:bottom w:w="0" w:type="dxa"/>
                                <w:right w:w="0" w:type="dxa"/>
                              </w:tblCellMar>
                            </w:tblPr>
                            <w:tblGrid>
                              <w:gridCol w:w="125"/>
                              <w:gridCol w:w="60"/>
                              <w:gridCol w:w="72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7220" w:type="dxa"/>
                                  <w:tcBorders/>
                                  <w:vAlign w:val="center"/>
                                </w:tcPr>
                                <w:p>
                                  <w:pPr>
                                    <w:pStyle w:val="TableContents"/>
                                    <w:bidi w:val="0"/>
                                    <w:spacing w:before="0" w:after="0"/>
                                    <w:jc w:val="both"/>
                                    <w:rPr>
                                      <w:rFonts w:ascii="arial" w:hAnsi="arial"/>
                                      <w:sz w:val="19"/>
                                    </w:rPr>
                                  </w:pPr>
                                  <w:r>
                                    <w:rPr>
                                      <w:rFonts w:ascii="arial" w:hAnsi="arial"/>
                                      <w:sz w:val="19"/>
                                    </w:rPr>
                                    <w:t xml:space="preserve">Whether the transaction would impair the independence of an outside director;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Whether the transaction would present an improper conflict of interest for any director or executive officer, taking into account the size of the transaction, the overall financial position of the related party, the direct or indirect nature of the related party’s interest in the transaction and the ongoing nature of any proposed relationship, and any other factors the Audit Committee deems relevant. </w:t>
                                  </w:r>
                                </w:p>
                              </w:tc>
                            </w:tr>
                          </w:tbl>
                          <w:p>
                            <w:pPr>
                              <w:pStyle w:val="TextBody"/>
                              <w:bidi w:val="0"/>
                              <w:spacing w:before="120" w:after="0"/>
                              <w:jc w:val="both"/>
                              <w:rPr>
                                <w:rFonts w:ascii="arial" w:hAnsi="arial"/>
                                <w:sz w:val="19"/>
                              </w:rPr>
                            </w:pPr>
                            <w:r>
                              <w:rPr>
                                <w:rFonts w:ascii="arial" w:hAnsi="arial"/>
                                <w:sz w:val="19"/>
                              </w:rPr>
                              <w:t xml:space="preserve">Separately, to avoid even the appearance of a conflict of interest related to service on our Board, we require appropriate reporting of service in scientific publications and presentations.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58.7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related party transactions under the terms of our Approval of Related Party Transactions policy: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283"/>
                              <w:jc w:val="left"/>
                              <w:rPr>
                                <w:color w:val="0171B9"/>
                              </w:rPr>
                            </w:pPr>
                            <w:r>
                              <w:rPr>
                                <w:color w:val="0171B9"/>
                              </w:rPr>
                              <w:t>1.</w:t>
                            </w:r>
                          </w:p>
                        </w:tc>
                        <w:tc>
                          <w:tcPr>
                            <w:tcW w:w="10024" w:type="dxa"/>
                            <w:tcBorders/>
                            <w:vAlign w:val="center"/>
                          </w:tcPr>
                          <w:p>
                            <w:pPr>
                              <w:pStyle w:val="TableContents"/>
                              <w:bidi w:val="0"/>
                              <w:spacing w:before="0" w:after="0"/>
                              <w:jc w:val="both"/>
                              <w:rPr>
                                <w:rFonts w:ascii="arial" w:hAnsi="arial"/>
                              </w:rPr>
                            </w:pPr>
                            <w:r>
                              <w:rPr>
                                <w:rFonts w:ascii="arial" w:hAnsi="arial"/>
                              </w:rPr>
                              <w:t xml:space="preserve">Any matters related to compensation or benefits to the extent such compensation or benefits would not be required to be disclosed under Item 404 of Regulation S-K under the Securities Act of 1933;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283"/>
                              <w:jc w:val="left"/>
                              <w:rPr>
                                <w:color w:val="0171B9"/>
                              </w:rPr>
                            </w:pPr>
                            <w:r>
                              <w:rPr>
                                <w:color w:val="0171B9"/>
                              </w:rPr>
                              <w:t>2.</w:t>
                            </w:r>
                          </w:p>
                        </w:tc>
                        <w:tc>
                          <w:tcPr>
                            <w:tcW w:w="10036" w:type="dxa"/>
                            <w:tcBorders/>
                            <w:vAlign w:val="center"/>
                          </w:tcPr>
                          <w:p>
                            <w:pPr>
                              <w:pStyle w:val="TableContents"/>
                              <w:bidi w:val="0"/>
                              <w:spacing w:before="0" w:after="0"/>
                              <w:jc w:val="both"/>
                              <w:rPr>
                                <w:rFonts w:ascii="arial" w:hAnsi="arial"/>
                              </w:rPr>
                            </w:pPr>
                            <w:r>
                              <w:rPr>
                                <w:rFonts w:ascii="arial" w:hAnsi="arial"/>
                              </w:rPr>
                              <w:t xml:space="preserve">Transactions involving less than $120,000 (or such different amount as may require disclosure or approval under any future amendment to the rules and regulations of the SEC, including Item 404 of Regulation S-K, or the listing requirements of The NASDAQ Stock Market LLC, including Rule 5630) when aggregated with all similar transactions; or </w:t>
                            </w:r>
                          </w:p>
                        </w:tc>
                      </w:tr>
                    </w:tbl>
                    <w:p>
                      <w:pPr>
                        <w:pStyle w:val="TextBody"/>
                        <w:bidi w:val="0"/>
                        <w:spacing w:before="0" w:after="0"/>
                        <w:jc w:val="left"/>
                        <w:rPr/>
                      </w:pPr>
                      <w:r>
                        <w:rPr/>
                        <w:t> </w:t>
                      </w:r>
                    </w:p>
                    <w:tbl>
                      <w:tblPr>
                        <w:tblW w:w="7900" w:type="dxa"/>
                        <w:jc w:val="left"/>
                        <w:tblInd w:w="0" w:type="dxa"/>
                        <w:tblLayout w:type="fixed"/>
                        <w:tblCellMar>
                          <w:top w:w="0" w:type="dxa"/>
                          <w:left w:w="0" w:type="dxa"/>
                          <w:bottom w:w="0" w:type="dxa"/>
                          <w:right w:w="0" w:type="dxa"/>
                        </w:tblCellMar>
                      </w:tblPr>
                      <w:tblGrid>
                        <w:gridCol w:w="215"/>
                        <w:gridCol w:w="7685"/>
                      </w:tblGrid>
                      <w:tr>
                        <w:trPr/>
                        <w:tc>
                          <w:tcPr>
                            <w:tcW w:w="215" w:type="dxa"/>
                            <w:tcBorders/>
                            <w:vAlign w:val="center"/>
                          </w:tcPr>
                          <w:p>
                            <w:pPr>
                              <w:pStyle w:val="TableContents"/>
                              <w:bidi w:val="0"/>
                              <w:spacing w:before="0" w:after="283"/>
                              <w:jc w:val="left"/>
                              <w:rPr>
                                <w:color w:val="0171B9"/>
                              </w:rPr>
                            </w:pPr>
                            <w:r>
                              <w:rPr>
                                <w:color w:val="0171B9"/>
                              </w:rPr>
                              <w:t>3.</w:t>
                            </w:r>
                          </w:p>
                        </w:tc>
                        <w:tc>
                          <w:tcPr>
                            <w:tcW w:w="7685" w:type="dxa"/>
                            <w:tcBorders/>
                            <w:vAlign w:val="center"/>
                          </w:tcPr>
                          <w:p>
                            <w:pPr>
                              <w:pStyle w:val="TableContents"/>
                              <w:bidi w:val="0"/>
                              <w:spacing w:before="0" w:after="0"/>
                              <w:jc w:val="both"/>
                              <w:rPr>
                                <w:rFonts w:ascii="arial" w:hAnsi="arial"/>
                              </w:rPr>
                            </w:pPr>
                            <w:r>
                              <w:rPr>
                                <w:rFonts w:ascii="arial" w:hAnsi="arial"/>
                              </w:rPr>
                              <w:t xml:space="preserve">Transactions approved by another independent committee of the Board. </w:t>
                            </w:r>
                          </w:p>
                        </w:tc>
                      </w:tr>
                    </w:tbl>
                    <w:p>
                      <w:pPr>
                        <w:pStyle w:val="TextBody"/>
                        <w:bidi w:val="0"/>
                        <w:spacing w:before="120" w:after="0"/>
                        <w:jc w:val="both"/>
                        <w:rPr>
                          <w:rFonts w:ascii="arial" w:hAnsi="arial"/>
                          <w:sz w:val="19"/>
                        </w:rPr>
                      </w:pPr>
                      <w:r>
                        <w:rPr>
                          <w:rFonts w:ascii="arial" w:hAnsi="arial"/>
                          <w:sz w:val="19"/>
                        </w:rPr>
                        <w:t xml:space="preserve">In deciding whether to approve or ratify a related party transaction, the Audit Committee will consider the following factors: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Whether the terms of the transaction are (i) fair to the Company and (ii) at least as favorable to the Company as would apply if the transaction did not involve a related party; </w:t>
                            </w:r>
                          </w:p>
                        </w:tc>
                      </w:tr>
                    </w:tbl>
                    <w:p>
                      <w:pPr>
                        <w:pStyle w:val="TextBody"/>
                        <w:bidi w:val="0"/>
                        <w:spacing w:before="0" w:after="0"/>
                        <w:jc w:val="left"/>
                        <w:rPr/>
                      </w:pPr>
                      <w:r>
                        <w:rPr/>
                        <w:t> </w:t>
                      </w:r>
                    </w:p>
                    <w:tbl>
                      <w:tblPr>
                        <w:tblW w:w="8650" w:type="dxa"/>
                        <w:jc w:val="left"/>
                        <w:tblInd w:w="0" w:type="dxa"/>
                        <w:tblLayout w:type="fixed"/>
                        <w:tblCellMar>
                          <w:top w:w="0" w:type="dxa"/>
                          <w:left w:w="0" w:type="dxa"/>
                          <w:bottom w:w="0" w:type="dxa"/>
                          <w:right w:w="0" w:type="dxa"/>
                        </w:tblCellMar>
                      </w:tblPr>
                      <w:tblGrid>
                        <w:gridCol w:w="125"/>
                        <w:gridCol w:w="60"/>
                        <w:gridCol w:w="8465"/>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0"/>
                              <w:jc w:val="both"/>
                              <w:rPr>
                                <w:rFonts w:ascii="arial" w:hAnsi="arial"/>
                                <w:sz w:val="19"/>
                              </w:rPr>
                            </w:pPr>
                            <w:r>
                              <w:rPr>
                                <w:rFonts w:ascii="arial" w:hAnsi="arial"/>
                                <w:sz w:val="19"/>
                              </w:rPr>
                              <w:t xml:space="preserve">Whether there are demonstrable business reasons for the Company to enter into the transaction; </w:t>
                            </w:r>
                          </w:p>
                        </w:tc>
                      </w:tr>
                    </w:tbl>
                    <w:p>
                      <w:pPr>
                        <w:pStyle w:val="TextBody"/>
                        <w:bidi w:val="0"/>
                        <w:spacing w:before="0" w:after="0"/>
                        <w:jc w:val="left"/>
                        <w:rPr/>
                      </w:pPr>
                      <w:r>
                        <w:rPr/>
                        <w:t> </w:t>
                      </w:r>
                    </w:p>
                    <w:tbl>
                      <w:tblPr>
                        <w:tblW w:w="7405" w:type="dxa"/>
                        <w:jc w:val="left"/>
                        <w:tblInd w:w="0" w:type="dxa"/>
                        <w:tblLayout w:type="fixed"/>
                        <w:tblCellMar>
                          <w:top w:w="0" w:type="dxa"/>
                          <w:left w:w="0" w:type="dxa"/>
                          <w:bottom w:w="0" w:type="dxa"/>
                          <w:right w:w="0" w:type="dxa"/>
                        </w:tblCellMar>
                      </w:tblPr>
                      <w:tblGrid>
                        <w:gridCol w:w="125"/>
                        <w:gridCol w:w="60"/>
                        <w:gridCol w:w="72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7220" w:type="dxa"/>
                            <w:tcBorders/>
                            <w:vAlign w:val="center"/>
                          </w:tcPr>
                          <w:p>
                            <w:pPr>
                              <w:pStyle w:val="TableContents"/>
                              <w:bidi w:val="0"/>
                              <w:spacing w:before="0" w:after="0"/>
                              <w:jc w:val="both"/>
                              <w:rPr>
                                <w:rFonts w:ascii="arial" w:hAnsi="arial"/>
                                <w:sz w:val="19"/>
                              </w:rPr>
                            </w:pPr>
                            <w:r>
                              <w:rPr>
                                <w:rFonts w:ascii="arial" w:hAnsi="arial"/>
                                <w:sz w:val="19"/>
                              </w:rPr>
                              <w:t xml:space="preserve">Whether the transaction would impair the independence of an outside director;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Whether the transaction would present an improper conflict of interest for any director or executive officer, taking into account the size of the transaction, the overall financial position of the related party, the direct or indirect nature of the related party’s interest in the transaction and the ongoing nature of any proposed relationship, and any other factors the Audit Committee deems relevant. </w:t>
                            </w:r>
                          </w:p>
                        </w:tc>
                      </w:tr>
                    </w:tbl>
                    <w:p>
                      <w:pPr>
                        <w:pStyle w:val="TextBody"/>
                        <w:bidi w:val="0"/>
                        <w:spacing w:before="120" w:after="0"/>
                        <w:jc w:val="both"/>
                        <w:rPr>
                          <w:rFonts w:ascii="arial" w:hAnsi="arial"/>
                          <w:sz w:val="19"/>
                        </w:rPr>
                      </w:pPr>
                      <w:r>
                        <w:rPr>
                          <w:rFonts w:ascii="arial" w:hAnsi="arial"/>
                          <w:sz w:val="19"/>
                        </w:rPr>
                        <w:t xml:space="preserve">Separately, to avoid even the appearance of a conflict of interest related to service on our Board, we require appropriate reporting of service in scientific publications and presentations.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126  </w:t>
      </w:r>
      <w:r>
        <w:rPr>
          <w:rFonts w:ascii="arial" w:hAnsi="arial"/>
          <w:b/>
          <w:color w:val="474747"/>
          <w:sz w:val="22"/>
        </w:rPr>
        <w:drawing>
          <wp:inline distT="0" distB="0" distL="0" distR="0">
            <wp:extent cx="64770" cy="15240"/>
            <wp:effectExtent l="0" t="0" r="0" b="0"/>
            <wp:docPr id="413"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 name="Image193" descr=""/>
                    <pic:cNvPicPr>
                      <a:picLocks noChangeAspect="1" noChangeArrowheads="1"/>
                    </pic:cNvPicPr>
                  </pic:nvPicPr>
                  <pic:blipFill>
                    <a:blip r:embed="rId206"/>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594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546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6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546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Certain Relationships and Related Transactions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171B9"/>
          <w:sz w:val="28"/>
        </w:rPr>
      </w:pPr>
      <w:r>
        <w:rPr>
          <w:rFonts w:ascii="arial" w:hAnsi="arial"/>
          <w:b/>
          <w:color w:val="0171B9"/>
          <w:sz w:val="28"/>
        </w:rPr>
        <w:t xml:space="preserve">Transactions with Related Persons </w:t>
      </w:r>
    </w:p>
    <w:p>
      <w:pPr>
        <w:pStyle w:val="TextBody"/>
        <w:pBdr>
          <w:bottom w:val="single" w:sz="2" w:space="1" w:color="666666"/>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446">
                <wp:simplePos x="0" y="0"/>
                <wp:positionH relativeFrom="column">
                  <wp:align>left</wp:align>
                </wp:positionH>
                <wp:positionV relativeFrom="line">
                  <wp:posOffset>635</wp:posOffset>
                </wp:positionV>
                <wp:extent cx="3110230" cy="969010"/>
                <wp:effectExtent l="0" t="0" r="0" b="0"/>
                <wp:wrapSquare wrapText="right"/>
                <wp:docPr id="414" name="Frame209"/>
                <a:graphic xmlns:a="http://schemas.openxmlformats.org/drawingml/2006/main">
                  <a:graphicData uri="http://schemas.microsoft.com/office/word/2010/wordprocessingShape">
                    <wps:wsp>
                      <wps:cNvSpPr txBox="1"/>
                      <wps:spPr>
                        <a:xfrm>
                          <a:off x="0" y="0"/>
                          <a:ext cx="3110230" cy="96901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Leandro Grimaldi, who is the son-in-law of Nancy A. Grygiel, an executive officer of the Company, is employed by us as Business Performance Director. Dr. Grimaldi’s compensation earned in 2023 consisted of $214,109 in base salary, $70,000 in annual cash incentive award, cash awards with a total value of $1,550, and grants of restricted stock units and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6.3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Leandro Grimaldi, who is the son-in-law of Nancy A. Grygiel, an executive officer of the Company, is employed by us as Business Performance Director. Dr. Grimaldi’s compensation earned in 2023 consisted of $214,109 in base salary, $70,000 in annual cash incentive award, cash awards with a total value of $1,550, and grants of restricted stock units and </w:t>
                      </w:r>
                    </w:p>
                  </w:txbxContent>
                </v:textbox>
                <w10:wrap type="square" side="right"/>
              </v:rect>
            </w:pict>
          </mc:Fallback>
        </mc:AlternateContent>
      </w:r>
      <w:r>
        <mc:AlternateContent>
          <mc:Choice Requires="wps">
            <w:drawing>
              <wp:anchor behindDoc="0" distT="0" distB="0" distL="0" distR="0" simplePos="0" locked="0" layoutInCell="1" allowOverlap="1" relativeHeight="447">
                <wp:simplePos x="0" y="0"/>
                <wp:positionH relativeFrom="column">
                  <wp:align>left</wp:align>
                </wp:positionH>
                <wp:positionV relativeFrom="line">
                  <wp:posOffset>635</wp:posOffset>
                </wp:positionV>
                <wp:extent cx="3175000" cy="830580"/>
                <wp:effectExtent l="0" t="0" r="0" b="0"/>
                <wp:wrapSquare wrapText="right"/>
                <wp:docPr id="415" name="Frame210"/>
                <a:graphic xmlns:a="http://schemas.openxmlformats.org/drawingml/2006/main">
                  <a:graphicData uri="http://schemas.microsoft.com/office/word/2010/wordprocessingShape">
                    <wps:wsp>
                      <wps:cNvSpPr txBox="1"/>
                      <wps:spPr>
                        <a:xfrm>
                          <a:off x="0" y="0"/>
                          <a:ext cx="3175000" cy="83058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performance units valued at $63,000 on the grant date. This transaction did not require the review or approval of the Audit Committee pursuant to our Approval of Related Party Transactions policy because it was approved by our Compensation and Management Development Committee in 2021 prior to Dr. Grimaldi’s hiring.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5.4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performance units valued at $63,000 on the grant date. This transaction did not require the review or approval of the Audit Committee pursuant to our Approval of Related Party Transactions policy because it was approved by our Compensation and Management Development Committee in 2021 prior to Dr. Grimaldi’s hiring.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416"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Image194" descr=""/>
                    <pic:cNvPicPr>
                      <a:picLocks noChangeAspect="1" noChangeArrowheads="1"/>
                    </pic:cNvPicPr>
                  </pic:nvPicPr>
                  <pic:blipFill>
                    <a:blip r:embed="rId207"/>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127</w:t>
      </w:r>
      <w:r>
        <w:rPr>
          <w:rFonts w:ascii="arial" w:hAnsi="arial"/>
          <w:b/>
          <w:sz w:val="22"/>
        </w:rPr>
        <w:t xml:space="preserve"> </w:t>
      </w:r>
      <w:r>
        <w:br w:type="page"/>
      </w:r>
    </w:p>
    <w:p>
      <w:pPr>
        <w:pStyle w:val="HorizontalLine"/>
        <w:bidi w:val="0"/>
        <w:jc w:val="left"/>
        <w:rPr/>
      </w:pPr>
      <w:r>
        <w:rPr/>
      </w:r>
    </w:p>
    <w:tbl>
      <w:tblPr>
        <w:tblW w:w="585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537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537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Information Concerning Voting and Solicitation</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171B9"/>
          <w:sz w:val="44"/>
        </w:rPr>
      </w:pPr>
      <w:bookmarkStart w:id="70" w:name="toc445034_57"/>
      <w:bookmarkEnd w:id="70"/>
      <w:r>
        <w:rPr>
          <w:rFonts w:ascii="arial" w:hAnsi="arial"/>
          <w:b/>
          <w:color w:val="0171B9"/>
          <w:sz w:val="44"/>
        </w:rPr>
        <w:t xml:space="preserve">Information Concerning Voting and Solicitation </w:t>
      </w:r>
    </w:p>
    <w:p>
      <w:pPr>
        <w:pStyle w:val="TextBody"/>
        <w:bidi w:val="0"/>
        <w:spacing w:before="80" w:after="0"/>
        <w:jc w:val="left"/>
        <w:rPr>
          <w:rFonts w:ascii="arial" w:hAnsi="arial"/>
          <w:b/>
          <w:color w:val="0171B9"/>
          <w:sz w:val="28"/>
        </w:rPr>
      </w:pPr>
      <w:r>
        <w:rPr>
          <w:rFonts w:ascii="arial" w:hAnsi="arial"/>
          <w:b/>
          <w:color w:val="0171B9"/>
          <w:sz w:val="28"/>
        </w:rPr>
        <w:t xml:space="preserve">General </w:t>
      </w:r>
    </w:p>
    <w:p>
      <w:pPr>
        <w:pStyle w:val="TextBody"/>
        <w:pBdr>
          <w:bottom w:val="single" w:sz="2" w:space="1" w:color="666666"/>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448">
                <wp:simplePos x="0" y="0"/>
                <wp:positionH relativeFrom="column">
                  <wp:align>left</wp:align>
                </wp:positionH>
                <wp:positionV relativeFrom="line">
                  <wp:posOffset>635</wp:posOffset>
                </wp:positionV>
                <wp:extent cx="3110230" cy="6520180"/>
                <wp:effectExtent l="0" t="0" r="0" b="0"/>
                <wp:wrapSquare wrapText="right"/>
                <wp:docPr id="417" name="Frame211"/>
                <a:graphic xmlns:a="http://schemas.openxmlformats.org/drawingml/2006/main">
                  <a:graphicData uri="http://schemas.microsoft.com/office/word/2010/wordprocessingShape">
                    <wps:wsp>
                      <wps:cNvSpPr txBox="1"/>
                      <wps:spPr>
                        <a:xfrm>
                          <a:off x="0" y="0"/>
                          <a:ext cx="3110230" cy="652018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The enclosed proxy is solicited on behalf of the Board of Directors, or Board, of Amgen Inc., a Delaware corporation, for use at our 2024 Annual Meeting of Stockholders, or Annual Meeting, to be held on Friday, May 31, 2024, at 11:00 A.M., Pacific Time, or any continuation, postponement, or adjournment thereof, for the purposes discussed in this proxy statement and in the accompanying Notice of Annual Meeting of Stockholders and any business properly brought before the Annual Meeting. Proxies are solicited to give all stockholders of record an opportunity to vote on matters properly presented at the Annual Meeting. Our 2024 Annual Meeting will be held solely by remote communication via the internet at </w:t>
                            </w:r>
                            <w:r>
                              <w:rPr>
                                <w:rFonts w:ascii="arial" w:hAnsi="arial"/>
                                <w:i/>
                                <w:color w:val="0171B9"/>
                                <w:sz w:val="19"/>
                              </w:rPr>
                              <w:t>www.virtualshareholdermeeting.com/AMGN2024</w:t>
                            </w:r>
                            <w:r>
                              <w:rPr>
                                <w:rFonts w:ascii="arial" w:hAnsi="arial"/>
                                <w:sz w:val="19"/>
                              </w:rPr>
                              <w:t xml:space="preserve">. Although the meeting will not be held in person, stockholders will, to the extent possible, be afforded the same rights and opportunities to participate at the virtual meeting similarly to how they would participate at an in-person meeting. </w:t>
                            </w:r>
                          </w:p>
                          <w:p>
                            <w:pPr>
                              <w:pStyle w:val="TextBody"/>
                              <w:bidi w:val="0"/>
                              <w:spacing w:before="120" w:after="0"/>
                              <w:jc w:val="both"/>
                              <w:rPr>
                                <w:rFonts w:ascii="arial" w:hAnsi="arial"/>
                                <w:sz w:val="19"/>
                              </w:rPr>
                            </w:pPr>
                            <w:r>
                              <w:rPr>
                                <w:rFonts w:ascii="arial" w:hAnsi="arial"/>
                                <w:sz w:val="19"/>
                              </w:rPr>
                              <w:t xml:space="preserve">Stockholders or their proxyholders may participate and vote at our Annual Meeting via the internet at </w:t>
                            </w:r>
                            <w:r>
                              <w:rPr>
                                <w:rFonts w:ascii="arial" w:hAnsi="arial"/>
                                <w:i/>
                                <w:color w:val="0171B9"/>
                                <w:sz w:val="19"/>
                              </w:rPr>
                              <w:t>www.virtualshareholdermeeting.com/AMGN2024</w:t>
                            </w:r>
                            <w:r>
                              <w:rPr>
                                <w:rFonts w:ascii="arial" w:hAnsi="arial"/>
                                <w:sz w:val="19"/>
                              </w:rPr>
                              <w:t xml:space="preserve"> and using your control number. </w:t>
                            </w:r>
                          </w:p>
                          <w:p>
                            <w:pPr>
                              <w:pStyle w:val="TextBody"/>
                              <w:bidi w:val="0"/>
                              <w:spacing w:before="120" w:after="0"/>
                              <w:jc w:val="both"/>
                              <w:rPr>
                                <w:rFonts w:ascii="arial" w:hAnsi="arial"/>
                                <w:sz w:val="19"/>
                              </w:rPr>
                            </w:pPr>
                            <w:r>
                              <w:rPr>
                                <w:rFonts w:ascii="arial" w:hAnsi="arial"/>
                                <w:sz w:val="19"/>
                              </w:rPr>
                              <w:t xml:space="preserve">Pursuant to the rules adopted by the Securities and Exchange Commission, we have elected to provide access to our proxy materials over the internet. Accordingly, we are sending a Notice Regarding the Availability of Proxy Materials, or Notice, to certain of our stockholders of record, and we are sending a paper copy of the proxy materials and proxy card to other stockholders of record who we believe would prefer receiving such materials in paper form. Brokers and other nominees who hold shares on behalf of beneficial owners will be sending their own similar Notice. Stockholders will have the ability to access the proxy materials on the website referred to in the Notice or request to receive a printed set of the proxy materials. Instructions on how to request a printed copy by mail or electronically may be found on the Notice and on the website referred to in the Notice, including an option to request paper copies on an ongoing basis. We intend to make this proxy statement available on the internet and to mail the Notice, or to mail the proxy statement and proxy card, as applicable, on or about April 17, 2024, to all stockholders entitled to notice of and to vote at the Annual Meeting.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13.4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The enclosed proxy is solicited on behalf of the Board of Directors, or Board, of Amgen Inc., a Delaware corporation, for use at our 2024 Annual Meeting of Stockholders, or Annual Meeting, to be held on Friday, May 31, 2024, at 11:00 A.M., Pacific Time, or any continuation, postponement, or adjournment thereof, for the purposes discussed in this proxy statement and in the accompanying Notice of Annual Meeting of Stockholders and any business properly brought before the Annual Meeting. Proxies are solicited to give all stockholders of record an opportunity to vote on matters properly presented at the Annual Meeting. Our 2024 Annual Meeting will be held solely by remote communication via the internet at </w:t>
                      </w:r>
                      <w:r>
                        <w:rPr>
                          <w:rFonts w:ascii="arial" w:hAnsi="arial"/>
                          <w:i/>
                          <w:color w:val="0171B9"/>
                          <w:sz w:val="19"/>
                        </w:rPr>
                        <w:t>www.virtualshareholdermeeting.com/AMGN2024</w:t>
                      </w:r>
                      <w:r>
                        <w:rPr>
                          <w:rFonts w:ascii="arial" w:hAnsi="arial"/>
                          <w:sz w:val="19"/>
                        </w:rPr>
                        <w:t xml:space="preserve">. Although the meeting will not be held in person, stockholders will, to the extent possible, be afforded the same rights and opportunities to participate at the virtual meeting similarly to how they would participate at an in-person meeting. </w:t>
                      </w:r>
                    </w:p>
                    <w:p>
                      <w:pPr>
                        <w:pStyle w:val="TextBody"/>
                        <w:bidi w:val="0"/>
                        <w:spacing w:before="120" w:after="0"/>
                        <w:jc w:val="both"/>
                        <w:rPr>
                          <w:rFonts w:ascii="arial" w:hAnsi="arial"/>
                          <w:sz w:val="19"/>
                        </w:rPr>
                      </w:pPr>
                      <w:r>
                        <w:rPr>
                          <w:rFonts w:ascii="arial" w:hAnsi="arial"/>
                          <w:sz w:val="19"/>
                        </w:rPr>
                        <w:t xml:space="preserve">Stockholders or their proxyholders may participate and vote at our Annual Meeting via the internet at </w:t>
                      </w:r>
                      <w:r>
                        <w:rPr>
                          <w:rFonts w:ascii="arial" w:hAnsi="arial"/>
                          <w:i/>
                          <w:color w:val="0171B9"/>
                          <w:sz w:val="19"/>
                        </w:rPr>
                        <w:t>www.virtualshareholdermeeting.com/AMGN2024</w:t>
                      </w:r>
                      <w:r>
                        <w:rPr>
                          <w:rFonts w:ascii="arial" w:hAnsi="arial"/>
                          <w:sz w:val="19"/>
                        </w:rPr>
                        <w:t xml:space="preserve"> and using your control number. </w:t>
                      </w:r>
                    </w:p>
                    <w:p>
                      <w:pPr>
                        <w:pStyle w:val="TextBody"/>
                        <w:bidi w:val="0"/>
                        <w:spacing w:before="120" w:after="0"/>
                        <w:jc w:val="both"/>
                        <w:rPr>
                          <w:rFonts w:ascii="arial" w:hAnsi="arial"/>
                          <w:sz w:val="19"/>
                        </w:rPr>
                      </w:pPr>
                      <w:r>
                        <w:rPr>
                          <w:rFonts w:ascii="arial" w:hAnsi="arial"/>
                          <w:sz w:val="19"/>
                        </w:rPr>
                        <w:t xml:space="preserve">Pursuant to the rules adopted by the Securities and Exchange Commission, we have elected to provide access to our proxy materials over the internet. Accordingly, we are sending a Notice Regarding the Availability of Proxy Materials, or Notice, to certain of our stockholders of record, and we are sending a paper copy of the proxy materials and proxy card to other stockholders of record who we believe would prefer receiving such materials in paper form. Brokers and other nominees who hold shares on behalf of beneficial owners will be sending their own similar Notice. Stockholders will have the ability to access the proxy materials on the website referred to in the Notice or request to receive a printed set of the proxy materials. Instructions on how to request a printed copy by mail or electronically may be found on the Notice and on the website referred to in the Notice, including an option to request paper copies on an ongoing basis. We intend to make this proxy statement available on the internet and to mail the Notice, or to mail the proxy statement and proxy card, as applicable, on or about April 17, 2024, to all stockholders entitled to notice of and to vote at the Annual Meeting. </w:t>
                      </w:r>
                    </w:p>
                  </w:txbxContent>
                </v:textbox>
                <w10:wrap type="square" side="right"/>
              </v:rect>
            </w:pict>
          </mc:Fallback>
        </mc:AlternateContent>
      </w:r>
      <w:r>
        <mc:AlternateContent>
          <mc:Choice Requires="wps">
            <w:drawing>
              <wp:anchor behindDoc="0" distT="0" distB="0" distL="0" distR="0" simplePos="0" locked="0" layoutInCell="1" allowOverlap="1" relativeHeight="449">
                <wp:simplePos x="0" y="0"/>
                <wp:positionH relativeFrom="column">
                  <wp:align>left</wp:align>
                </wp:positionH>
                <wp:positionV relativeFrom="line">
                  <wp:posOffset>635</wp:posOffset>
                </wp:positionV>
                <wp:extent cx="3175000" cy="6857365"/>
                <wp:effectExtent l="0" t="0" r="0" b="0"/>
                <wp:wrapSquare wrapText="right"/>
                <wp:docPr id="418" name="Frame212"/>
                <a:graphic xmlns:a="http://schemas.openxmlformats.org/drawingml/2006/main">
                  <a:graphicData uri="http://schemas.microsoft.com/office/word/2010/wordprocessingShape">
                    <wps:wsp>
                      <wps:cNvSpPr txBox="1"/>
                      <wps:spPr>
                        <a:xfrm>
                          <a:off x="0" y="0"/>
                          <a:ext cx="3175000" cy="6857365"/>
                        </a:xfrm>
                        <a:prstGeom prst="rect"/>
                        <a:solidFill>
                          <a:srgbClr val="FFFFFF"/>
                        </a:solidFill>
                      </wps:spPr>
                      <wps:txbx>
                        <w:txbxContent>
                          <w:p>
                            <w:pPr>
                              <w:pStyle w:val="TextBody"/>
                              <w:bidi w:val="0"/>
                              <w:spacing w:before="0" w:after="0"/>
                              <w:jc w:val="both"/>
                              <w:rPr>
                                <w:rFonts w:ascii="arial" w:hAnsi="arial"/>
                                <w:b/>
                                <w:sz w:val="19"/>
                              </w:rPr>
                            </w:pPr>
                            <w:r>
                              <w:rPr>
                                <w:rFonts w:ascii="arial" w:hAnsi="arial"/>
                                <w:b/>
                                <w:sz w:val="19"/>
                              </w:rPr>
                              <w:t xml:space="preserve">Important Notice Regarding the Availability of Proxy Materials for the 2024 Stockholder Meeting to Be Held on May 31, 2024. </w:t>
                            </w:r>
                          </w:p>
                          <w:p>
                            <w:pPr>
                              <w:pStyle w:val="TextBody"/>
                              <w:bidi w:val="0"/>
                              <w:spacing w:before="120" w:after="0"/>
                              <w:jc w:val="both"/>
                              <w:rPr>
                                <w:rFonts w:ascii="arial" w:hAnsi="arial"/>
                                <w:sz w:val="19"/>
                              </w:rPr>
                            </w:pPr>
                            <w:r>
                              <w:rPr>
                                <w:rFonts w:ascii="arial" w:hAnsi="arial"/>
                                <w:b/>
                                <w:sz w:val="19"/>
                              </w:rPr>
                              <w:t>This proxy statement, our 2023 annual report and our other proxy materials are available at:</w:t>
                            </w:r>
                            <w:r>
                              <w:rPr>
                                <w:rFonts w:ascii="arial" w:hAnsi="arial"/>
                                <w:color w:val="0171B9"/>
                                <w:sz w:val="19"/>
                              </w:rPr>
                              <w:t xml:space="preserve"> </w:t>
                            </w:r>
                            <w:r>
                              <w:rPr>
                                <w:rFonts w:ascii="arial" w:hAnsi="arial"/>
                                <w:i/>
                                <w:color w:val="0171B9"/>
                                <w:sz w:val="19"/>
                              </w:rPr>
                              <w:t>www.proxyvote.com</w:t>
                            </w:r>
                            <w:r>
                              <w:rPr>
                                <w:rFonts w:ascii="arial" w:hAnsi="arial"/>
                                <w:sz w:val="19"/>
                              </w:rPr>
                              <w:t xml:space="preserve">. At this website, you will find a complete set of the following proxy materials: notice of 2024 Annual Meeting of Stockholders; proxy statement; 2023 annual report; and form proxy card. You are encouraged to access and review all of the important information contained in the proxy materials before submitting a proxy or voting at the Annual Meeting. </w:t>
                            </w:r>
                          </w:p>
                          <w:p>
                            <w:pPr>
                              <w:pStyle w:val="TextBody"/>
                              <w:bidi w:val="0"/>
                              <w:spacing w:before="240" w:after="0"/>
                              <w:jc w:val="left"/>
                              <w:rPr>
                                <w:rFonts w:ascii="arial" w:hAnsi="arial"/>
                                <w:b/>
                                <w:sz w:val="24"/>
                              </w:rPr>
                            </w:pPr>
                            <w:r>
                              <w:rPr>
                                <w:rFonts w:ascii="arial" w:hAnsi="arial"/>
                                <w:b/>
                                <w:sz w:val="24"/>
                              </w:rPr>
                              <w:t xml:space="preserve">What Are You Voting On? </w:t>
                            </w:r>
                          </w:p>
                          <w:p>
                            <w:pPr>
                              <w:pStyle w:val="TextBody"/>
                              <w:bidi w:val="0"/>
                              <w:spacing w:before="120" w:after="0"/>
                              <w:jc w:val="both"/>
                              <w:rPr>
                                <w:rFonts w:ascii="arial" w:hAnsi="arial"/>
                                <w:sz w:val="19"/>
                              </w:rPr>
                            </w:pPr>
                            <w:r>
                              <w:rPr>
                                <w:rFonts w:ascii="arial" w:hAnsi="arial"/>
                                <w:sz w:val="19"/>
                              </w:rPr>
                              <w:t xml:space="preserve">You will be entitled to vote on the following proposals at the Annual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The election of the 12 director nominees named herein to serve on our Board for a term of office expiring at the 2025 annual meeting of stockholders; </w:t>
                                  </w:r>
                                </w:p>
                              </w:tc>
                            </w:tr>
                          </w:tbl>
                          <w:p>
                            <w:pPr>
                              <w:pStyle w:val="TextBody"/>
                              <w:bidi w:val="0"/>
                              <w:spacing w:before="0" w:after="0"/>
                              <w:jc w:val="left"/>
                              <w:rPr/>
                            </w:pPr>
                            <w:r>
                              <w:rPr/>
                              <w:t> </w:t>
                            </w:r>
                          </w:p>
                          <w:tbl>
                            <w:tblPr>
                              <w:tblW w:w="5380" w:type="dxa"/>
                              <w:jc w:val="left"/>
                              <w:tblInd w:w="0" w:type="dxa"/>
                              <w:tblLayout w:type="fixed"/>
                              <w:tblCellMar>
                                <w:top w:w="0" w:type="dxa"/>
                                <w:left w:w="0" w:type="dxa"/>
                                <w:bottom w:w="0" w:type="dxa"/>
                                <w:right w:w="0" w:type="dxa"/>
                              </w:tblCellMar>
                            </w:tblPr>
                            <w:tblGrid>
                              <w:gridCol w:w="125"/>
                              <w:gridCol w:w="60"/>
                              <w:gridCol w:w="5195"/>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0"/>
                                    <w:jc w:val="both"/>
                                    <w:rPr>
                                      <w:rFonts w:ascii="arial" w:hAnsi="arial"/>
                                      <w:sz w:val="19"/>
                                    </w:rPr>
                                  </w:pPr>
                                  <w:r>
                                    <w:rPr>
                                      <w:rFonts w:ascii="arial" w:hAnsi="arial"/>
                                      <w:sz w:val="19"/>
                                    </w:rPr>
                                    <w:t xml:space="preserve">The advisory vote to approve our executive compensation; </w:t>
                                  </w:r>
                                </w:p>
                              </w:tc>
                            </w:tr>
                          </w:tbl>
                          <w:p>
                            <w:pPr>
                              <w:pStyle w:val="TextBody"/>
                              <w:bidi w:val="0"/>
                              <w:spacing w:before="0" w:after="0"/>
                              <w:jc w:val="left"/>
                              <w:rPr/>
                            </w:pPr>
                            <w:r>
                              <w:rPr/>
                              <w:t> </w:t>
                            </w:r>
                          </w:p>
                          <w:tbl>
                            <w:tblPr>
                              <w:tblW w:w="8305" w:type="dxa"/>
                              <w:jc w:val="left"/>
                              <w:tblInd w:w="0" w:type="dxa"/>
                              <w:tblLayout w:type="fixed"/>
                              <w:tblCellMar>
                                <w:top w:w="0" w:type="dxa"/>
                                <w:left w:w="0" w:type="dxa"/>
                                <w:bottom w:w="0" w:type="dxa"/>
                                <w:right w:w="0" w:type="dxa"/>
                              </w:tblCellMar>
                            </w:tblPr>
                            <w:tblGrid>
                              <w:gridCol w:w="125"/>
                              <w:gridCol w:w="60"/>
                              <w:gridCol w:w="81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8120" w:type="dxa"/>
                                  <w:tcBorders/>
                                  <w:vAlign w:val="center"/>
                                </w:tcPr>
                                <w:p>
                                  <w:pPr>
                                    <w:pStyle w:val="TableContents"/>
                                    <w:bidi w:val="0"/>
                                    <w:spacing w:before="0" w:after="0"/>
                                    <w:jc w:val="both"/>
                                    <w:rPr>
                                      <w:rFonts w:ascii="arial" w:hAnsi="arial"/>
                                      <w:sz w:val="19"/>
                                    </w:rPr>
                                  </w:pPr>
                                  <w:r>
                                    <w:rPr>
                                      <w:rFonts w:ascii="arial" w:hAnsi="arial"/>
                                      <w:sz w:val="19"/>
                                    </w:rPr>
                                    <w:t xml:space="preserve">The approval of the Amgen Inc. Second Amended and Restated 2009 Equity Incentive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The ratification of the selection of Ernst &amp; Young LLP as our independent registered public accountants for the fiscal year ending December 31, 2024; and </w:t>
                                  </w:r>
                                </w:p>
                              </w:tc>
                            </w:tr>
                          </w:tbl>
                          <w:p>
                            <w:pPr>
                              <w:pStyle w:val="TextBody"/>
                              <w:bidi w:val="0"/>
                              <w:spacing w:before="0" w:after="0"/>
                              <w:jc w:val="left"/>
                              <w:rPr/>
                            </w:pPr>
                            <w:r>
                              <w:rPr/>
                              <w:t> </w:t>
                            </w:r>
                          </w:p>
                          <w:tbl>
                            <w:tblPr>
                              <w:tblW w:w="6355" w:type="dxa"/>
                              <w:jc w:val="left"/>
                              <w:tblInd w:w="0" w:type="dxa"/>
                              <w:tblLayout w:type="fixed"/>
                              <w:tblCellMar>
                                <w:top w:w="0" w:type="dxa"/>
                                <w:left w:w="0" w:type="dxa"/>
                                <w:bottom w:w="0" w:type="dxa"/>
                                <w:right w:w="0" w:type="dxa"/>
                              </w:tblCellMar>
                            </w:tblPr>
                            <w:tblGrid>
                              <w:gridCol w:w="125"/>
                              <w:gridCol w:w="60"/>
                              <w:gridCol w:w="617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0"/>
                                    <w:jc w:val="both"/>
                                    <w:rPr>
                                      <w:rFonts w:ascii="arial" w:hAnsi="arial"/>
                                      <w:sz w:val="19"/>
                                    </w:rPr>
                                  </w:pPr>
                                  <w:r>
                                    <w:rPr>
                                      <w:rFonts w:ascii="arial" w:hAnsi="arial"/>
                                      <w:sz w:val="19"/>
                                    </w:rPr>
                                    <w:t xml:space="preserve">Any other business as may properly come before the Annual Meeting. </w:t>
                                  </w:r>
                                </w:p>
                              </w:tc>
                            </w:tr>
                          </w:tbl>
                          <w:p>
                            <w:pPr>
                              <w:pStyle w:val="TextBody"/>
                              <w:bidi w:val="0"/>
                              <w:spacing w:before="240" w:after="0"/>
                              <w:jc w:val="left"/>
                              <w:rPr>
                                <w:rFonts w:ascii="arial" w:hAnsi="arial"/>
                                <w:b/>
                                <w:sz w:val="24"/>
                              </w:rPr>
                            </w:pPr>
                            <w:r>
                              <w:rPr>
                                <w:rFonts w:ascii="arial" w:hAnsi="arial"/>
                                <w:b/>
                                <w:sz w:val="24"/>
                              </w:rPr>
                              <w:t xml:space="preserve">Who Can Vote </w:t>
                            </w:r>
                          </w:p>
                          <w:p>
                            <w:pPr>
                              <w:pStyle w:val="TextBody"/>
                              <w:bidi w:val="0"/>
                              <w:spacing w:before="120" w:after="0"/>
                              <w:jc w:val="both"/>
                              <w:rPr>
                                <w:rFonts w:ascii="arial" w:hAnsi="arial"/>
                                <w:sz w:val="19"/>
                              </w:rPr>
                            </w:pPr>
                            <w:r>
                              <w:rPr>
                                <w:rFonts w:ascii="arial" w:hAnsi="arial"/>
                                <w:sz w:val="19"/>
                              </w:rPr>
                              <w:t xml:space="preserve">The Board has set April 1, 2024, as the record date for the Annual Meeting. You are entitled to notice and to vote if you were a stockholder of record of our Common Stock, $.0001 par value per share, or Common Stock, as of the close of business on April 1, 2024. You are entitled to one vote on each nominee’s election and on each other proposal for each share of Common Stock you held on the record date. Your shares may be voted at the Annual Meeting only if you are in attendance or your shares are represented by a valid proxy.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39.9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b/>
                          <w:sz w:val="19"/>
                        </w:rPr>
                      </w:pPr>
                      <w:r>
                        <w:rPr>
                          <w:rFonts w:ascii="arial" w:hAnsi="arial"/>
                          <w:b/>
                          <w:sz w:val="19"/>
                        </w:rPr>
                        <w:t xml:space="preserve">Important Notice Regarding the Availability of Proxy Materials for the 2024 Stockholder Meeting to Be Held on May 31, 2024. </w:t>
                      </w:r>
                    </w:p>
                    <w:p>
                      <w:pPr>
                        <w:pStyle w:val="TextBody"/>
                        <w:bidi w:val="0"/>
                        <w:spacing w:before="120" w:after="0"/>
                        <w:jc w:val="both"/>
                        <w:rPr>
                          <w:rFonts w:ascii="arial" w:hAnsi="arial"/>
                          <w:sz w:val="19"/>
                        </w:rPr>
                      </w:pPr>
                      <w:r>
                        <w:rPr>
                          <w:rFonts w:ascii="arial" w:hAnsi="arial"/>
                          <w:b/>
                          <w:sz w:val="19"/>
                        </w:rPr>
                        <w:t>This proxy statement, our 2023 annual report and our other proxy materials are available at:</w:t>
                      </w:r>
                      <w:r>
                        <w:rPr>
                          <w:rFonts w:ascii="arial" w:hAnsi="arial"/>
                          <w:color w:val="0171B9"/>
                          <w:sz w:val="19"/>
                        </w:rPr>
                        <w:t xml:space="preserve"> </w:t>
                      </w:r>
                      <w:r>
                        <w:rPr>
                          <w:rFonts w:ascii="arial" w:hAnsi="arial"/>
                          <w:i/>
                          <w:color w:val="0171B9"/>
                          <w:sz w:val="19"/>
                        </w:rPr>
                        <w:t>www.proxyvote.com</w:t>
                      </w:r>
                      <w:r>
                        <w:rPr>
                          <w:rFonts w:ascii="arial" w:hAnsi="arial"/>
                          <w:sz w:val="19"/>
                        </w:rPr>
                        <w:t xml:space="preserve">. At this website, you will find a complete set of the following proxy materials: notice of 2024 Annual Meeting of Stockholders; proxy statement; 2023 annual report; and form proxy card. You are encouraged to access and review all of the important information contained in the proxy materials before submitting a proxy or voting at the Annual Meeting. </w:t>
                      </w:r>
                    </w:p>
                    <w:p>
                      <w:pPr>
                        <w:pStyle w:val="TextBody"/>
                        <w:bidi w:val="0"/>
                        <w:spacing w:before="240" w:after="0"/>
                        <w:jc w:val="left"/>
                        <w:rPr>
                          <w:rFonts w:ascii="arial" w:hAnsi="arial"/>
                          <w:b/>
                          <w:sz w:val="24"/>
                        </w:rPr>
                      </w:pPr>
                      <w:r>
                        <w:rPr>
                          <w:rFonts w:ascii="arial" w:hAnsi="arial"/>
                          <w:b/>
                          <w:sz w:val="24"/>
                        </w:rPr>
                        <w:t xml:space="preserve">What Are You Voting On? </w:t>
                      </w:r>
                    </w:p>
                    <w:p>
                      <w:pPr>
                        <w:pStyle w:val="TextBody"/>
                        <w:bidi w:val="0"/>
                        <w:spacing w:before="120" w:after="0"/>
                        <w:jc w:val="both"/>
                        <w:rPr>
                          <w:rFonts w:ascii="arial" w:hAnsi="arial"/>
                          <w:sz w:val="19"/>
                        </w:rPr>
                      </w:pPr>
                      <w:r>
                        <w:rPr>
                          <w:rFonts w:ascii="arial" w:hAnsi="arial"/>
                          <w:sz w:val="19"/>
                        </w:rPr>
                        <w:t xml:space="preserve">You will be entitled to vote on the following proposals at the Annual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The election of the 12 director nominees named herein to serve on our Board for a term of office expiring at the 2025 annual meeting of stockholders; </w:t>
                            </w:r>
                          </w:p>
                        </w:tc>
                      </w:tr>
                    </w:tbl>
                    <w:p>
                      <w:pPr>
                        <w:pStyle w:val="TextBody"/>
                        <w:bidi w:val="0"/>
                        <w:spacing w:before="0" w:after="0"/>
                        <w:jc w:val="left"/>
                        <w:rPr/>
                      </w:pPr>
                      <w:r>
                        <w:rPr/>
                        <w:t> </w:t>
                      </w:r>
                    </w:p>
                    <w:tbl>
                      <w:tblPr>
                        <w:tblW w:w="5380" w:type="dxa"/>
                        <w:jc w:val="left"/>
                        <w:tblInd w:w="0" w:type="dxa"/>
                        <w:tblLayout w:type="fixed"/>
                        <w:tblCellMar>
                          <w:top w:w="0" w:type="dxa"/>
                          <w:left w:w="0" w:type="dxa"/>
                          <w:bottom w:w="0" w:type="dxa"/>
                          <w:right w:w="0" w:type="dxa"/>
                        </w:tblCellMar>
                      </w:tblPr>
                      <w:tblGrid>
                        <w:gridCol w:w="125"/>
                        <w:gridCol w:w="60"/>
                        <w:gridCol w:w="5195"/>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0"/>
                              <w:jc w:val="both"/>
                              <w:rPr>
                                <w:rFonts w:ascii="arial" w:hAnsi="arial"/>
                                <w:sz w:val="19"/>
                              </w:rPr>
                            </w:pPr>
                            <w:r>
                              <w:rPr>
                                <w:rFonts w:ascii="arial" w:hAnsi="arial"/>
                                <w:sz w:val="19"/>
                              </w:rPr>
                              <w:t xml:space="preserve">The advisory vote to approve our executive compensation; </w:t>
                            </w:r>
                          </w:p>
                        </w:tc>
                      </w:tr>
                    </w:tbl>
                    <w:p>
                      <w:pPr>
                        <w:pStyle w:val="TextBody"/>
                        <w:bidi w:val="0"/>
                        <w:spacing w:before="0" w:after="0"/>
                        <w:jc w:val="left"/>
                        <w:rPr/>
                      </w:pPr>
                      <w:r>
                        <w:rPr/>
                        <w:t> </w:t>
                      </w:r>
                    </w:p>
                    <w:tbl>
                      <w:tblPr>
                        <w:tblW w:w="8305" w:type="dxa"/>
                        <w:jc w:val="left"/>
                        <w:tblInd w:w="0" w:type="dxa"/>
                        <w:tblLayout w:type="fixed"/>
                        <w:tblCellMar>
                          <w:top w:w="0" w:type="dxa"/>
                          <w:left w:w="0" w:type="dxa"/>
                          <w:bottom w:w="0" w:type="dxa"/>
                          <w:right w:w="0" w:type="dxa"/>
                        </w:tblCellMar>
                      </w:tblPr>
                      <w:tblGrid>
                        <w:gridCol w:w="125"/>
                        <w:gridCol w:w="60"/>
                        <w:gridCol w:w="81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8120" w:type="dxa"/>
                            <w:tcBorders/>
                            <w:vAlign w:val="center"/>
                          </w:tcPr>
                          <w:p>
                            <w:pPr>
                              <w:pStyle w:val="TableContents"/>
                              <w:bidi w:val="0"/>
                              <w:spacing w:before="0" w:after="0"/>
                              <w:jc w:val="both"/>
                              <w:rPr>
                                <w:rFonts w:ascii="arial" w:hAnsi="arial"/>
                                <w:sz w:val="19"/>
                              </w:rPr>
                            </w:pPr>
                            <w:r>
                              <w:rPr>
                                <w:rFonts w:ascii="arial" w:hAnsi="arial"/>
                                <w:sz w:val="19"/>
                              </w:rPr>
                              <w:t xml:space="preserve">The approval of the Amgen Inc. Second Amended and Restated 2009 Equity Incentive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The ratification of the selection of Ernst &amp; Young LLP as our independent registered public accountants for the fiscal year ending December 31, 2024; and </w:t>
                            </w:r>
                          </w:p>
                        </w:tc>
                      </w:tr>
                    </w:tbl>
                    <w:p>
                      <w:pPr>
                        <w:pStyle w:val="TextBody"/>
                        <w:bidi w:val="0"/>
                        <w:spacing w:before="0" w:after="0"/>
                        <w:jc w:val="left"/>
                        <w:rPr/>
                      </w:pPr>
                      <w:r>
                        <w:rPr/>
                        <w:t> </w:t>
                      </w:r>
                    </w:p>
                    <w:tbl>
                      <w:tblPr>
                        <w:tblW w:w="6355" w:type="dxa"/>
                        <w:jc w:val="left"/>
                        <w:tblInd w:w="0" w:type="dxa"/>
                        <w:tblLayout w:type="fixed"/>
                        <w:tblCellMar>
                          <w:top w:w="0" w:type="dxa"/>
                          <w:left w:w="0" w:type="dxa"/>
                          <w:bottom w:w="0" w:type="dxa"/>
                          <w:right w:w="0" w:type="dxa"/>
                        </w:tblCellMar>
                      </w:tblPr>
                      <w:tblGrid>
                        <w:gridCol w:w="125"/>
                        <w:gridCol w:w="60"/>
                        <w:gridCol w:w="617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0"/>
                              <w:jc w:val="both"/>
                              <w:rPr>
                                <w:rFonts w:ascii="arial" w:hAnsi="arial"/>
                                <w:sz w:val="19"/>
                              </w:rPr>
                            </w:pPr>
                            <w:r>
                              <w:rPr>
                                <w:rFonts w:ascii="arial" w:hAnsi="arial"/>
                                <w:sz w:val="19"/>
                              </w:rPr>
                              <w:t xml:space="preserve">Any other business as may properly come before the Annual Meeting. </w:t>
                            </w:r>
                          </w:p>
                        </w:tc>
                      </w:tr>
                    </w:tbl>
                    <w:p>
                      <w:pPr>
                        <w:pStyle w:val="TextBody"/>
                        <w:bidi w:val="0"/>
                        <w:spacing w:before="240" w:after="0"/>
                        <w:jc w:val="left"/>
                        <w:rPr>
                          <w:rFonts w:ascii="arial" w:hAnsi="arial"/>
                          <w:b/>
                          <w:sz w:val="24"/>
                        </w:rPr>
                      </w:pPr>
                      <w:r>
                        <w:rPr>
                          <w:rFonts w:ascii="arial" w:hAnsi="arial"/>
                          <w:b/>
                          <w:sz w:val="24"/>
                        </w:rPr>
                        <w:t xml:space="preserve">Who Can Vote </w:t>
                      </w:r>
                    </w:p>
                    <w:p>
                      <w:pPr>
                        <w:pStyle w:val="TextBody"/>
                        <w:bidi w:val="0"/>
                        <w:spacing w:before="120" w:after="0"/>
                        <w:jc w:val="both"/>
                        <w:rPr>
                          <w:rFonts w:ascii="arial" w:hAnsi="arial"/>
                          <w:sz w:val="19"/>
                        </w:rPr>
                      </w:pPr>
                      <w:r>
                        <w:rPr>
                          <w:rFonts w:ascii="arial" w:hAnsi="arial"/>
                          <w:sz w:val="19"/>
                        </w:rPr>
                        <w:t xml:space="preserve">The Board has set April 1, 2024, as the record date for the Annual Meeting. You are entitled to notice and to vote if you were a stockholder of record of our Common Stock, $.0001 par value per share, or Common Stock, as of the close of business on April 1, 2024. You are entitled to one vote on each nominee’s election and on each other proposal for each share of Common Stock you held on the record date. Your shares may be voted at the Annual Meeting only if you are in attendance or your shares are represented by a valid proxy.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128  </w:t>
      </w:r>
      <w:r>
        <w:rPr>
          <w:rFonts w:ascii="arial" w:hAnsi="arial"/>
          <w:b/>
          <w:color w:val="474747"/>
          <w:sz w:val="22"/>
        </w:rPr>
        <w:drawing>
          <wp:inline distT="0" distB="0" distL="0" distR="0">
            <wp:extent cx="64770" cy="15240"/>
            <wp:effectExtent l="0" t="0" r="0" b="0"/>
            <wp:docPr id="419"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 name="Image195" descr=""/>
                    <pic:cNvPicPr>
                      <a:picLocks noChangeAspect="1" noChangeArrowheads="1"/>
                    </pic:cNvPicPr>
                  </pic:nvPicPr>
                  <pic:blipFill>
                    <a:blip r:embed="rId208"/>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585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537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537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Information Concerning Voting and Solicitation</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450">
                <wp:simplePos x="0" y="0"/>
                <wp:positionH relativeFrom="column">
                  <wp:align>left</wp:align>
                </wp:positionH>
                <wp:positionV relativeFrom="line">
                  <wp:posOffset>635</wp:posOffset>
                </wp:positionV>
                <wp:extent cx="3110230" cy="7551420"/>
                <wp:effectExtent l="0" t="0" r="0" b="0"/>
                <wp:wrapSquare wrapText="right"/>
                <wp:docPr id="420" name="Frame213"/>
                <a:graphic xmlns:a="http://schemas.openxmlformats.org/drawingml/2006/main">
                  <a:graphicData uri="http://schemas.microsoft.com/office/word/2010/wordprocessingShape">
                    <wps:wsp>
                      <wps:cNvSpPr txBox="1"/>
                      <wps:spPr>
                        <a:xfrm>
                          <a:off x="0" y="0"/>
                          <a:ext cx="3110230" cy="7551420"/>
                        </a:xfrm>
                        <a:prstGeom prst="rect"/>
                        <a:solidFill>
                          <a:srgbClr val="FFFFFF"/>
                        </a:solidFill>
                      </wps:spPr>
                      <wps:txbx>
                        <w:txbxContent>
                          <w:p>
                            <w:pPr>
                              <w:pStyle w:val="TextBody"/>
                              <w:bidi w:val="0"/>
                              <w:spacing w:before="0" w:after="0"/>
                              <w:jc w:val="left"/>
                              <w:rPr>
                                <w:rFonts w:ascii="arial" w:hAnsi="arial"/>
                                <w:b/>
                                <w:sz w:val="22"/>
                              </w:rPr>
                            </w:pPr>
                            <w:r>
                              <w:rPr>
                                <w:rFonts w:ascii="arial" w:hAnsi="arial"/>
                                <w:b/>
                                <w:sz w:val="22"/>
                              </w:rPr>
                              <w:t xml:space="preserve">Difference Between a Stockholder of Record and a “Street Name” Holder </w:t>
                            </w:r>
                          </w:p>
                          <w:p>
                            <w:pPr>
                              <w:pStyle w:val="TextBody"/>
                              <w:bidi w:val="0"/>
                              <w:spacing w:before="120" w:after="0"/>
                              <w:jc w:val="both"/>
                              <w:rPr>
                                <w:rFonts w:ascii="arial" w:hAnsi="arial"/>
                                <w:sz w:val="19"/>
                              </w:rPr>
                            </w:pPr>
                            <w:r>
                              <w:rPr>
                                <w:rFonts w:ascii="arial" w:hAnsi="arial"/>
                                <w:sz w:val="19"/>
                              </w:rPr>
                              <w:t xml:space="preserve">If your shares are registered directly in your name in the records of the Company’s transfer agent, you are considered the stockholder of record with respect to those shares. </w:t>
                            </w:r>
                          </w:p>
                          <w:p>
                            <w:pPr>
                              <w:pStyle w:val="TextBody"/>
                              <w:bidi w:val="0"/>
                              <w:spacing w:before="120" w:after="0"/>
                              <w:jc w:val="both"/>
                              <w:rPr>
                                <w:rFonts w:ascii="arial" w:hAnsi="arial"/>
                                <w:sz w:val="19"/>
                              </w:rPr>
                            </w:pPr>
                            <w:r>
                              <w:rPr>
                                <w:rFonts w:ascii="arial" w:hAnsi="arial"/>
                                <w:sz w:val="19"/>
                              </w:rPr>
                              <w:t xml:space="preserve">If your shares are held in a stock brokerage account or by a bank, trust, or other nominee, then the broker, bank, trust, or other nominee is considered to be the stockholder of record with respect to those shares. However, you are still considered to be the beneficial owner of those shares, and your shares are said to be held in “street name.” Street name holders generally cannot submit a proxy or vote their shares directly and must instead instruct the broker, bank, trust, or other nominee how to vote their shares using the methods described below under “Voting Your Shares.” </w:t>
                            </w:r>
                          </w:p>
                          <w:p>
                            <w:pPr>
                              <w:pStyle w:val="TextBody"/>
                              <w:bidi w:val="0"/>
                              <w:spacing w:before="240" w:after="0"/>
                              <w:jc w:val="left"/>
                              <w:rPr>
                                <w:rFonts w:ascii="arial" w:hAnsi="arial"/>
                                <w:b/>
                                <w:sz w:val="24"/>
                              </w:rPr>
                            </w:pPr>
                            <w:r>
                              <w:rPr>
                                <w:rFonts w:ascii="arial" w:hAnsi="arial"/>
                                <w:b/>
                                <w:sz w:val="24"/>
                              </w:rPr>
                              <w:t xml:space="preserve">Shares Outstanding and Quorum </w:t>
                            </w:r>
                          </w:p>
                          <w:p>
                            <w:pPr>
                              <w:pStyle w:val="TextBody"/>
                              <w:bidi w:val="0"/>
                              <w:spacing w:before="120" w:after="0"/>
                              <w:jc w:val="both"/>
                              <w:rPr>
                                <w:rFonts w:ascii="arial" w:hAnsi="arial"/>
                                <w:sz w:val="19"/>
                              </w:rPr>
                            </w:pPr>
                            <w:r>
                              <w:rPr>
                                <w:rFonts w:ascii="arial" w:hAnsi="arial"/>
                                <w:sz w:val="19"/>
                              </w:rPr>
                              <w:t xml:space="preserve">At the close of business on April 1, 2024, there were 536,375,548 shares of our Common Stock outstanding and entitled to vote at the Annual Meeting. The presence of the holders of a majority of the outstanding shares of our Common Stock entitled to vote constitutes a quorum, which is required to hold and conduct business at the Annual Meeting. Shares are counted as present at the Annual Meeting if: </w:t>
                            </w:r>
                          </w:p>
                          <w:p>
                            <w:pPr>
                              <w:pStyle w:val="TextBody"/>
                              <w:bidi w:val="0"/>
                              <w:spacing w:before="0" w:after="0"/>
                              <w:jc w:val="left"/>
                              <w:rPr/>
                            </w:pPr>
                            <w:r>
                              <w:rPr/>
                              <w:t> </w:t>
                            </w:r>
                          </w:p>
                          <w:tbl>
                            <w:tblPr>
                              <w:tblW w:w="4435" w:type="dxa"/>
                              <w:jc w:val="left"/>
                              <w:tblInd w:w="0" w:type="dxa"/>
                              <w:tblLayout w:type="fixed"/>
                              <w:tblCellMar>
                                <w:top w:w="0" w:type="dxa"/>
                                <w:left w:w="0" w:type="dxa"/>
                                <w:bottom w:w="0" w:type="dxa"/>
                                <w:right w:w="0" w:type="dxa"/>
                              </w:tblCellMar>
                            </w:tblPr>
                            <w:tblGrid>
                              <w:gridCol w:w="125"/>
                              <w:gridCol w:w="60"/>
                              <w:gridCol w:w="425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0"/>
                                    <w:jc w:val="both"/>
                                    <w:rPr>
                                      <w:rFonts w:ascii="arial" w:hAnsi="arial"/>
                                      <w:sz w:val="19"/>
                                    </w:rPr>
                                  </w:pPr>
                                  <w:r>
                                    <w:rPr>
                                      <w:rFonts w:ascii="arial" w:hAnsi="arial"/>
                                      <w:sz w:val="19"/>
                                    </w:rPr>
                                    <w:t xml:space="preserve">You are in attendance at the Annual Meeting;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Your shares are represented by a properly authorized and submitted proxy (submitted by mail, by telephone, or over the internet). </w:t>
                                  </w:r>
                                </w:p>
                              </w:tc>
                            </w:tr>
                          </w:tbl>
                          <w:p>
                            <w:pPr>
                              <w:pStyle w:val="TextBody"/>
                              <w:bidi w:val="0"/>
                              <w:spacing w:before="120" w:after="0"/>
                              <w:jc w:val="both"/>
                              <w:rPr>
                                <w:rFonts w:ascii="arial" w:hAnsi="arial"/>
                                <w:sz w:val="19"/>
                              </w:rPr>
                            </w:pPr>
                            <w:r>
                              <w:rPr>
                                <w:rFonts w:ascii="arial" w:hAnsi="arial"/>
                                <w:sz w:val="19"/>
                              </w:rPr>
                              <w:t xml:space="preserve">If you are a record holder and you submit your proxy, regardless of whether you abstain from voting on one or more matters, your shares will be counted as present at the Annual Meeting for the purpose of determining a quorum. If your shares are held in “street name,” your shares are counted as present for purposes of determining a quorum if your broker, bank, trust, or other nominee submits a proxy covering your shares. Your broker, bank, trust, or other nominee is entitled to submit a proxy covering your shares as to certain “routine” matters, even if you have not instructed your broker, bank, trust, or other nominee on how to vote on those matters. Please see the subsection “If You Do Not Specify How You Want Your Shares Voted” below. In the absence of a quorum, the Annual Meeting may be adjourned, from time to time, by the Chair of the meeting or by the vote of the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94.6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sz w:val="22"/>
                        </w:rPr>
                      </w:pPr>
                      <w:r>
                        <w:rPr>
                          <w:rFonts w:ascii="arial" w:hAnsi="arial"/>
                          <w:b/>
                          <w:sz w:val="22"/>
                        </w:rPr>
                        <w:t xml:space="preserve">Difference Between a Stockholder of Record and a “Street Name” Holder </w:t>
                      </w:r>
                    </w:p>
                    <w:p>
                      <w:pPr>
                        <w:pStyle w:val="TextBody"/>
                        <w:bidi w:val="0"/>
                        <w:spacing w:before="120" w:after="0"/>
                        <w:jc w:val="both"/>
                        <w:rPr>
                          <w:rFonts w:ascii="arial" w:hAnsi="arial"/>
                          <w:sz w:val="19"/>
                        </w:rPr>
                      </w:pPr>
                      <w:r>
                        <w:rPr>
                          <w:rFonts w:ascii="arial" w:hAnsi="arial"/>
                          <w:sz w:val="19"/>
                        </w:rPr>
                        <w:t xml:space="preserve">If your shares are registered directly in your name in the records of the Company’s transfer agent, you are considered the stockholder of record with respect to those shares. </w:t>
                      </w:r>
                    </w:p>
                    <w:p>
                      <w:pPr>
                        <w:pStyle w:val="TextBody"/>
                        <w:bidi w:val="0"/>
                        <w:spacing w:before="120" w:after="0"/>
                        <w:jc w:val="both"/>
                        <w:rPr>
                          <w:rFonts w:ascii="arial" w:hAnsi="arial"/>
                          <w:sz w:val="19"/>
                        </w:rPr>
                      </w:pPr>
                      <w:r>
                        <w:rPr>
                          <w:rFonts w:ascii="arial" w:hAnsi="arial"/>
                          <w:sz w:val="19"/>
                        </w:rPr>
                        <w:t xml:space="preserve">If your shares are held in a stock brokerage account or by a bank, trust, or other nominee, then the broker, bank, trust, or other nominee is considered to be the stockholder of record with respect to those shares. However, you are still considered to be the beneficial owner of those shares, and your shares are said to be held in “street name.” Street name holders generally cannot submit a proxy or vote their shares directly and must instead instruct the broker, bank, trust, or other nominee how to vote their shares using the methods described below under “Voting Your Shares.” </w:t>
                      </w:r>
                    </w:p>
                    <w:p>
                      <w:pPr>
                        <w:pStyle w:val="TextBody"/>
                        <w:bidi w:val="0"/>
                        <w:spacing w:before="240" w:after="0"/>
                        <w:jc w:val="left"/>
                        <w:rPr>
                          <w:rFonts w:ascii="arial" w:hAnsi="arial"/>
                          <w:b/>
                          <w:sz w:val="24"/>
                        </w:rPr>
                      </w:pPr>
                      <w:r>
                        <w:rPr>
                          <w:rFonts w:ascii="arial" w:hAnsi="arial"/>
                          <w:b/>
                          <w:sz w:val="24"/>
                        </w:rPr>
                        <w:t xml:space="preserve">Shares Outstanding and Quorum </w:t>
                      </w:r>
                    </w:p>
                    <w:p>
                      <w:pPr>
                        <w:pStyle w:val="TextBody"/>
                        <w:bidi w:val="0"/>
                        <w:spacing w:before="120" w:after="0"/>
                        <w:jc w:val="both"/>
                        <w:rPr>
                          <w:rFonts w:ascii="arial" w:hAnsi="arial"/>
                          <w:sz w:val="19"/>
                        </w:rPr>
                      </w:pPr>
                      <w:r>
                        <w:rPr>
                          <w:rFonts w:ascii="arial" w:hAnsi="arial"/>
                          <w:sz w:val="19"/>
                        </w:rPr>
                        <w:t xml:space="preserve">At the close of business on April 1, 2024, there were 536,375,548 shares of our Common Stock outstanding and entitled to vote at the Annual Meeting. The presence of the holders of a majority of the outstanding shares of our Common Stock entitled to vote constitutes a quorum, which is required to hold and conduct business at the Annual Meeting. Shares are counted as present at the Annual Meeting if: </w:t>
                      </w:r>
                    </w:p>
                    <w:p>
                      <w:pPr>
                        <w:pStyle w:val="TextBody"/>
                        <w:bidi w:val="0"/>
                        <w:spacing w:before="0" w:after="0"/>
                        <w:jc w:val="left"/>
                        <w:rPr/>
                      </w:pPr>
                      <w:r>
                        <w:rPr/>
                        <w:t> </w:t>
                      </w:r>
                    </w:p>
                    <w:tbl>
                      <w:tblPr>
                        <w:tblW w:w="4435" w:type="dxa"/>
                        <w:jc w:val="left"/>
                        <w:tblInd w:w="0" w:type="dxa"/>
                        <w:tblLayout w:type="fixed"/>
                        <w:tblCellMar>
                          <w:top w:w="0" w:type="dxa"/>
                          <w:left w:w="0" w:type="dxa"/>
                          <w:bottom w:w="0" w:type="dxa"/>
                          <w:right w:w="0" w:type="dxa"/>
                        </w:tblCellMar>
                      </w:tblPr>
                      <w:tblGrid>
                        <w:gridCol w:w="125"/>
                        <w:gridCol w:w="60"/>
                        <w:gridCol w:w="425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0"/>
                              <w:jc w:val="both"/>
                              <w:rPr>
                                <w:rFonts w:ascii="arial" w:hAnsi="arial"/>
                                <w:sz w:val="19"/>
                              </w:rPr>
                            </w:pPr>
                            <w:r>
                              <w:rPr>
                                <w:rFonts w:ascii="arial" w:hAnsi="arial"/>
                                <w:sz w:val="19"/>
                              </w:rPr>
                              <w:t xml:space="preserve">You are in attendance at the Annual Meeting;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Your shares are represented by a properly authorized and submitted proxy (submitted by mail, by telephone, or over the internet). </w:t>
                            </w:r>
                          </w:p>
                        </w:tc>
                      </w:tr>
                    </w:tbl>
                    <w:p>
                      <w:pPr>
                        <w:pStyle w:val="TextBody"/>
                        <w:bidi w:val="0"/>
                        <w:spacing w:before="120" w:after="0"/>
                        <w:jc w:val="both"/>
                        <w:rPr>
                          <w:rFonts w:ascii="arial" w:hAnsi="arial"/>
                          <w:sz w:val="19"/>
                        </w:rPr>
                      </w:pPr>
                      <w:r>
                        <w:rPr>
                          <w:rFonts w:ascii="arial" w:hAnsi="arial"/>
                          <w:sz w:val="19"/>
                        </w:rPr>
                        <w:t xml:space="preserve">If you are a record holder and you submit your proxy, regardless of whether you abstain from voting on one or more matters, your shares will be counted as present at the Annual Meeting for the purpose of determining a quorum. If your shares are held in “street name,” your shares are counted as present for purposes of determining a quorum if your broker, bank, trust, or other nominee submits a proxy covering your shares. Your broker, bank, trust, or other nominee is entitled to submit a proxy covering your shares as to certain “routine” matters, even if you have not instructed your broker, bank, trust, or other nominee on how to vote on those matters. Please see the subsection “If You Do Not Specify How You Want Your Shares Voted” below. In the absence of a quorum, the Annual Meeting may be adjourned, from time to time, by the Chair of the meeting or by the vote of the </w:t>
                      </w:r>
                    </w:p>
                  </w:txbxContent>
                </v:textbox>
                <w10:wrap type="square" side="right"/>
              </v:rect>
            </w:pict>
          </mc:Fallback>
        </mc:AlternateContent>
      </w:r>
      <w:r>
        <mc:AlternateContent>
          <mc:Choice Requires="wps">
            <w:drawing>
              <wp:anchor behindDoc="0" distT="0" distB="0" distL="0" distR="0" simplePos="0" locked="0" layoutInCell="1" allowOverlap="1" relativeHeight="451">
                <wp:simplePos x="0" y="0"/>
                <wp:positionH relativeFrom="column">
                  <wp:align>left</wp:align>
                </wp:positionH>
                <wp:positionV relativeFrom="line">
                  <wp:posOffset>635</wp:posOffset>
                </wp:positionV>
                <wp:extent cx="3175000" cy="6584950"/>
                <wp:effectExtent l="0" t="0" r="0" b="0"/>
                <wp:wrapSquare wrapText="right"/>
                <wp:docPr id="421" name="Frame214"/>
                <a:graphic xmlns:a="http://schemas.openxmlformats.org/drawingml/2006/main">
                  <a:graphicData uri="http://schemas.microsoft.com/office/word/2010/wordprocessingShape">
                    <wps:wsp>
                      <wps:cNvSpPr txBox="1"/>
                      <wps:spPr>
                        <a:xfrm>
                          <a:off x="0" y="0"/>
                          <a:ext cx="3175000" cy="658495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holders of a majority of the shares represented thereat, but no other business shall be transacted at such meeting. </w:t>
                            </w:r>
                          </w:p>
                          <w:p>
                            <w:pPr>
                              <w:pStyle w:val="TextBody"/>
                              <w:bidi w:val="0"/>
                              <w:spacing w:before="240" w:after="0"/>
                              <w:jc w:val="left"/>
                              <w:rPr>
                                <w:rFonts w:ascii="arial" w:hAnsi="arial"/>
                                <w:b/>
                                <w:sz w:val="24"/>
                              </w:rPr>
                            </w:pPr>
                            <w:r>
                              <w:rPr>
                                <w:rFonts w:ascii="arial" w:hAnsi="arial"/>
                                <w:b/>
                                <w:sz w:val="24"/>
                              </w:rPr>
                              <w:t xml:space="preserve">Voting Your Shares </w:t>
                            </w:r>
                          </w:p>
                          <w:p>
                            <w:pPr>
                              <w:pStyle w:val="TextBody"/>
                              <w:bidi w:val="0"/>
                              <w:spacing w:before="120" w:after="0"/>
                              <w:jc w:val="both"/>
                              <w:rPr>
                                <w:rFonts w:ascii="arial" w:hAnsi="arial"/>
                                <w:sz w:val="19"/>
                              </w:rPr>
                            </w:pPr>
                            <w:r>
                              <w:rPr>
                                <w:rFonts w:ascii="arial" w:hAnsi="arial"/>
                                <w:sz w:val="19"/>
                              </w:rPr>
                              <w:t xml:space="preserve">You may vote by attending the Annual Meeting and voting or by submitting a proxy. The method of voting by proxy differs (1) depending on whether you are viewing this proxy statement on the internet or receiving a paper copy and (2) for shares held as a record holder and shares held in “street name.” </w:t>
                            </w:r>
                          </w:p>
                          <w:p>
                            <w:pPr>
                              <w:pStyle w:val="TextBody"/>
                              <w:bidi w:val="0"/>
                              <w:spacing w:before="120" w:after="0"/>
                              <w:jc w:val="both"/>
                              <w:rPr>
                                <w:rFonts w:ascii="arial" w:hAnsi="arial"/>
                                <w:sz w:val="19"/>
                              </w:rPr>
                            </w:pPr>
                            <w:r>
                              <w:rPr>
                                <w:rFonts w:ascii="arial" w:hAnsi="arial"/>
                                <w:b/>
                                <w:i/>
                                <w:color w:val="0171B9"/>
                                <w:sz w:val="19"/>
                              </w:rPr>
                              <w:t>Shares Held as a Record Holder.</w:t>
                            </w:r>
                            <w:r>
                              <w:rPr>
                                <w:rFonts w:ascii="arial" w:hAnsi="arial"/>
                                <w:sz w:val="19"/>
                              </w:rPr>
                              <w:t xml:space="preserve"> If you hold your shares of Common Stock as a record holder and you are viewing this proxy statement on the internet, you may submit a proxy over the internet by following the instructions on the website referred to in the Notice previously mailed to you. You will need your control number (contained on your Notice) to submit your proxy over the internet. You may request paper copies of the proxy statement and proxy card by following the instructions on the Notice. If you hold your shares of Common Stock as a record holder and you are reviewing a paper copy of this proxy statement, you may submit a proxy over the internet or by telephone by following the instructions on the proxy card, or by completing, dating, and signing the proxy card that was included with the proxy statement and promptly returning it in the pre-addressed, postage-paid envelope provided to you. You will need your control number (contained on your Notice) to submit your proxy over the internet or over the telephone. </w:t>
                            </w:r>
                          </w:p>
                          <w:p>
                            <w:pPr>
                              <w:pStyle w:val="TextBody"/>
                              <w:bidi w:val="0"/>
                              <w:spacing w:before="120" w:after="0"/>
                              <w:jc w:val="both"/>
                              <w:rPr>
                                <w:rFonts w:ascii="arial" w:hAnsi="arial"/>
                                <w:sz w:val="19"/>
                              </w:rPr>
                            </w:pPr>
                            <w:r>
                              <w:rPr>
                                <w:rFonts w:ascii="arial" w:hAnsi="arial"/>
                                <w:b/>
                                <w:i/>
                                <w:color w:val="0171B9"/>
                                <w:sz w:val="19"/>
                              </w:rPr>
                              <w:t>Shares Held in Street Name.</w:t>
                            </w:r>
                            <w:r>
                              <w:rPr>
                                <w:rFonts w:ascii="arial" w:hAnsi="arial"/>
                                <w:sz w:val="19"/>
                              </w:rPr>
                              <w:t xml:space="preserve"> If you hold your shares of Common Stock in street name, you will receive a Notice from your broker, bank, trust, or other nominee that includes instructions on how to vote your shares. Your broker, bank, trust, or other nominee may allow you to deliver your voting instructions over the internet and may also permit you to submit your voting instructions by telephone. In addition, you may request paper copies of the proxy statement and proxy card from your broker by following the instructions on the Notice provided by your broker, bank, trust, or other nominee. </w:t>
                            </w:r>
                          </w:p>
                          <w:p>
                            <w:pPr>
                              <w:pStyle w:val="TextBody"/>
                              <w:bidi w:val="0"/>
                              <w:spacing w:before="120" w:after="0"/>
                              <w:jc w:val="both"/>
                              <w:rPr>
                                <w:rFonts w:ascii="arial" w:hAnsi="arial"/>
                                <w:sz w:val="19"/>
                              </w:rPr>
                            </w:pPr>
                            <w:r>
                              <w:rPr>
                                <w:rFonts w:ascii="arial" w:hAnsi="arial"/>
                                <w:sz w:val="19"/>
                              </w:rPr>
                              <w:t xml:space="preserve">The internet(1) and telephone voting facilities will close at 11:59 P.M., Eastern Time, on May 30, 2024. Stockholders who submit a proxy by internet or telephone need not return a proxy card or the form forwarded by your broker, bank, trust, or other holder of record by mail.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18.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holders of a majority of the shares represented thereat, but no other business shall be transacted at such meeting. </w:t>
                      </w:r>
                    </w:p>
                    <w:p>
                      <w:pPr>
                        <w:pStyle w:val="TextBody"/>
                        <w:bidi w:val="0"/>
                        <w:spacing w:before="240" w:after="0"/>
                        <w:jc w:val="left"/>
                        <w:rPr>
                          <w:rFonts w:ascii="arial" w:hAnsi="arial"/>
                          <w:b/>
                          <w:sz w:val="24"/>
                        </w:rPr>
                      </w:pPr>
                      <w:r>
                        <w:rPr>
                          <w:rFonts w:ascii="arial" w:hAnsi="arial"/>
                          <w:b/>
                          <w:sz w:val="24"/>
                        </w:rPr>
                        <w:t xml:space="preserve">Voting Your Shares </w:t>
                      </w:r>
                    </w:p>
                    <w:p>
                      <w:pPr>
                        <w:pStyle w:val="TextBody"/>
                        <w:bidi w:val="0"/>
                        <w:spacing w:before="120" w:after="0"/>
                        <w:jc w:val="both"/>
                        <w:rPr>
                          <w:rFonts w:ascii="arial" w:hAnsi="arial"/>
                          <w:sz w:val="19"/>
                        </w:rPr>
                      </w:pPr>
                      <w:r>
                        <w:rPr>
                          <w:rFonts w:ascii="arial" w:hAnsi="arial"/>
                          <w:sz w:val="19"/>
                        </w:rPr>
                        <w:t xml:space="preserve">You may vote by attending the Annual Meeting and voting or by submitting a proxy. The method of voting by proxy differs (1) depending on whether you are viewing this proxy statement on the internet or receiving a paper copy and (2) for shares held as a record holder and shares held in “street name.” </w:t>
                      </w:r>
                    </w:p>
                    <w:p>
                      <w:pPr>
                        <w:pStyle w:val="TextBody"/>
                        <w:bidi w:val="0"/>
                        <w:spacing w:before="120" w:after="0"/>
                        <w:jc w:val="both"/>
                        <w:rPr>
                          <w:rFonts w:ascii="arial" w:hAnsi="arial"/>
                          <w:sz w:val="19"/>
                        </w:rPr>
                      </w:pPr>
                      <w:r>
                        <w:rPr>
                          <w:rFonts w:ascii="arial" w:hAnsi="arial"/>
                          <w:b/>
                          <w:i/>
                          <w:color w:val="0171B9"/>
                          <w:sz w:val="19"/>
                        </w:rPr>
                        <w:t>Shares Held as a Record Holder.</w:t>
                      </w:r>
                      <w:r>
                        <w:rPr>
                          <w:rFonts w:ascii="arial" w:hAnsi="arial"/>
                          <w:sz w:val="19"/>
                        </w:rPr>
                        <w:t xml:space="preserve"> If you hold your shares of Common Stock as a record holder and you are viewing this proxy statement on the internet, you may submit a proxy over the internet by following the instructions on the website referred to in the Notice previously mailed to you. You will need your control number (contained on your Notice) to submit your proxy over the internet. You may request paper copies of the proxy statement and proxy card by following the instructions on the Notice. If you hold your shares of Common Stock as a record holder and you are reviewing a paper copy of this proxy statement, you may submit a proxy over the internet or by telephone by following the instructions on the proxy card, or by completing, dating, and signing the proxy card that was included with the proxy statement and promptly returning it in the pre-addressed, postage-paid envelope provided to you. You will need your control number (contained on your Notice) to submit your proxy over the internet or over the telephone. </w:t>
                      </w:r>
                    </w:p>
                    <w:p>
                      <w:pPr>
                        <w:pStyle w:val="TextBody"/>
                        <w:bidi w:val="0"/>
                        <w:spacing w:before="120" w:after="0"/>
                        <w:jc w:val="both"/>
                        <w:rPr>
                          <w:rFonts w:ascii="arial" w:hAnsi="arial"/>
                          <w:sz w:val="19"/>
                        </w:rPr>
                      </w:pPr>
                      <w:r>
                        <w:rPr>
                          <w:rFonts w:ascii="arial" w:hAnsi="arial"/>
                          <w:b/>
                          <w:i/>
                          <w:color w:val="0171B9"/>
                          <w:sz w:val="19"/>
                        </w:rPr>
                        <w:t>Shares Held in Street Name.</w:t>
                      </w:r>
                      <w:r>
                        <w:rPr>
                          <w:rFonts w:ascii="arial" w:hAnsi="arial"/>
                          <w:sz w:val="19"/>
                        </w:rPr>
                        <w:t xml:space="preserve"> If you hold your shares of Common Stock in street name, you will receive a Notice from your broker, bank, trust, or other nominee that includes instructions on how to vote your shares. Your broker, bank, trust, or other nominee may allow you to deliver your voting instructions over the internet and may also permit you to submit your voting instructions by telephone. In addition, you may request paper copies of the proxy statement and proxy card from your broker by following the instructions on the Notice provided by your broker, bank, trust, or other nominee. </w:t>
                      </w:r>
                    </w:p>
                    <w:p>
                      <w:pPr>
                        <w:pStyle w:val="TextBody"/>
                        <w:bidi w:val="0"/>
                        <w:spacing w:before="120" w:after="0"/>
                        <w:jc w:val="both"/>
                        <w:rPr>
                          <w:rFonts w:ascii="arial" w:hAnsi="arial"/>
                          <w:sz w:val="19"/>
                        </w:rPr>
                      </w:pPr>
                      <w:r>
                        <w:rPr>
                          <w:rFonts w:ascii="arial" w:hAnsi="arial"/>
                          <w:sz w:val="19"/>
                        </w:rPr>
                        <w:t xml:space="preserve">The internet(1) and telephone voting facilities will close at 11:59 P.M., Eastern Time, on May 30, 2024. Stockholders who submit a proxy by internet or telephone need not return a proxy card or the form forwarded by your broker, bank, trust, or other holder of record by mail. </w:t>
                      </w:r>
                    </w:p>
                  </w:txbxContent>
                </v:textbox>
                <w10:wrap type="square" side="right"/>
              </v:rect>
            </w:pict>
          </mc:Fallback>
        </mc:AlternateContent>
      </w:r>
    </w:p>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pPr>
            <w:r>
              <w:rPr/>
              <w:t>(1) </w:t>
            </w:r>
          </w:p>
        </w:tc>
        <w:tc>
          <w:tcPr>
            <w:tcW w:w="9914" w:type="dxa"/>
            <w:tcBorders/>
            <w:vAlign w:val="center"/>
          </w:tcPr>
          <w:p>
            <w:pPr>
              <w:pStyle w:val="TableContents"/>
              <w:bidi w:val="0"/>
              <w:spacing w:before="0" w:after="0"/>
              <w:jc w:val="both"/>
              <w:rPr>
                <w:rFonts w:ascii="arial" w:hAnsi="arial"/>
                <w:sz w:val="16"/>
              </w:rPr>
            </w:pPr>
            <w:r>
              <w:rPr>
                <w:rFonts w:ascii="arial" w:hAnsi="arial"/>
                <w:sz w:val="16"/>
              </w:rPr>
              <w:t xml:space="preserve">Stockholders who submit a proxy through the internet or telephone should be aware that they may incur costs to access the internet or telephone, such as usage charges from telephone companies or internet service providers and that these costs must be borne by the stockholder. </w:t>
            </w:r>
          </w:p>
        </w:tc>
      </w:tr>
    </w:tbl>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422"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Image196" descr=""/>
                    <pic:cNvPicPr>
                      <a:picLocks noChangeAspect="1" noChangeArrowheads="1"/>
                    </pic:cNvPicPr>
                  </pic:nvPicPr>
                  <pic:blipFill>
                    <a:blip r:embed="rId209"/>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129</w:t>
      </w:r>
      <w:r>
        <w:rPr>
          <w:rFonts w:ascii="arial" w:hAnsi="arial"/>
          <w:b/>
          <w:sz w:val="22"/>
        </w:rPr>
        <w:t xml:space="preserve"> </w:t>
      </w:r>
      <w:r>
        <w:br w:type="page"/>
      </w:r>
    </w:p>
    <w:p>
      <w:pPr>
        <w:pStyle w:val="HorizontalLine"/>
        <w:bidi w:val="0"/>
        <w:jc w:val="left"/>
        <w:rPr/>
      </w:pPr>
      <w:r>
        <w:rPr/>
      </w:r>
    </w:p>
    <w:tbl>
      <w:tblPr>
        <w:tblW w:w="585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537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537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Information Concerning Voting and Solicitation</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452">
                <wp:simplePos x="0" y="0"/>
                <wp:positionH relativeFrom="column">
                  <wp:align>left</wp:align>
                </wp:positionH>
                <wp:positionV relativeFrom="line">
                  <wp:posOffset>635</wp:posOffset>
                </wp:positionV>
                <wp:extent cx="3110230" cy="7091680"/>
                <wp:effectExtent l="0" t="0" r="0" b="0"/>
                <wp:wrapSquare wrapText="right"/>
                <wp:docPr id="423" name="Frame215"/>
                <a:graphic xmlns:a="http://schemas.openxmlformats.org/drawingml/2006/main">
                  <a:graphicData uri="http://schemas.microsoft.com/office/word/2010/wordprocessingShape">
                    <wps:wsp>
                      <wps:cNvSpPr txBox="1"/>
                      <wps:spPr>
                        <a:xfrm>
                          <a:off x="0" y="0"/>
                          <a:ext cx="3110230" cy="7091680"/>
                        </a:xfrm>
                        <a:prstGeom prst="rect"/>
                        <a:solidFill>
                          <a:srgbClr val="FFFFFF"/>
                        </a:solidFill>
                      </wps:spPr>
                      <wps:txbx>
                        <w:txbxContent>
                          <w:p>
                            <w:pPr>
                              <w:pStyle w:val="TextBody"/>
                              <w:pBdr/>
                              <w:bidi w:val="0"/>
                              <w:spacing w:before="0" w:after="0"/>
                              <w:jc w:val="center"/>
                              <w:rPr>
                                <w:rFonts w:ascii="arial" w:hAnsi="arial"/>
                                <w:b/>
                                <w:color w:val="FFFFFF"/>
                                <w:sz w:val="18"/>
                                <w:shd w:fill="0171B9" w:val="clear"/>
                              </w:rPr>
                            </w:pPr>
                            <w:r>
                              <w:rPr>
                                <w:rFonts w:ascii="arial" w:hAnsi="arial"/>
                                <w:b/>
                                <w:color w:val="FFFFFF"/>
                                <w:sz w:val="18"/>
                                <w:shd w:fill="0171B9" w:val="clear"/>
                              </w:rPr>
                              <w:t xml:space="preserve">YOUR VOTE IS VERY IMPORTANT. </w:t>
                            </w:r>
                          </w:p>
                          <w:p>
                            <w:pPr>
                              <w:pStyle w:val="TextBody"/>
                              <w:bidi w:val="0"/>
                              <w:spacing w:before="0" w:after="0"/>
                              <w:ind w:left="100" w:right="100" w:hanging="0"/>
                              <w:jc w:val="center"/>
                              <w:rPr>
                                <w:rFonts w:ascii="arial" w:hAnsi="arial"/>
                                <w:b/>
                                <w:color w:val="FFFFFF"/>
                                <w:sz w:val="19"/>
                                <w:shd w:fill="0171B9" w:val="clear"/>
                              </w:rPr>
                            </w:pPr>
                            <w:r>
                              <w:rPr>
                                <w:rFonts w:ascii="arial" w:hAnsi="arial"/>
                                <w:b/>
                                <w:color w:val="FFFFFF"/>
                                <w:sz w:val="19"/>
                                <w:shd w:fill="0171B9" w:val="clear"/>
                              </w:rPr>
                              <w:t xml:space="preserve">You should submit your proxy even if you plan to </w:t>
                            </w:r>
                          </w:p>
                          <w:p>
                            <w:pPr>
                              <w:pStyle w:val="TextBody"/>
                              <w:pBdr/>
                              <w:bidi w:val="0"/>
                              <w:spacing w:before="0" w:after="0"/>
                              <w:ind w:left="100" w:right="100" w:hanging="0"/>
                              <w:jc w:val="center"/>
                              <w:rPr>
                                <w:rFonts w:ascii="arial" w:hAnsi="arial"/>
                                <w:b/>
                                <w:color w:val="FFFFFF"/>
                                <w:sz w:val="19"/>
                                <w:shd w:fill="0171B9" w:val="clear"/>
                              </w:rPr>
                            </w:pPr>
                            <w:r>
                              <w:rPr>
                                <w:rFonts w:ascii="arial" w:hAnsi="arial"/>
                                <w:b/>
                                <w:color w:val="FFFFFF"/>
                                <w:sz w:val="19"/>
                                <w:shd w:fill="0171B9" w:val="clear"/>
                              </w:rPr>
                              <w:t xml:space="preserve">attend the Annual Meeting. </w:t>
                            </w:r>
                          </w:p>
                          <w:p>
                            <w:pPr>
                              <w:pStyle w:val="TextBody"/>
                              <w:bidi w:val="0"/>
                              <w:spacing w:before="240" w:after="0"/>
                              <w:jc w:val="left"/>
                              <w:rPr>
                                <w:rFonts w:ascii="arial" w:hAnsi="arial"/>
                                <w:b/>
                                <w:sz w:val="22"/>
                              </w:rPr>
                            </w:pPr>
                            <w:r>
                              <w:rPr>
                                <w:rFonts w:ascii="arial" w:hAnsi="arial"/>
                                <w:b/>
                                <w:sz w:val="22"/>
                              </w:rPr>
                              <w:t xml:space="preserve">Voting at the Annual Meeting </w:t>
                            </w:r>
                          </w:p>
                          <w:p>
                            <w:pPr>
                              <w:pStyle w:val="TextBody"/>
                              <w:bidi w:val="0"/>
                              <w:spacing w:before="120" w:after="0"/>
                              <w:jc w:val="both"/>
                              <w:rPr>
                                <w:rFonts w:ascii="arial" w:hAnsi="arial"/>
                                <w:sz w:val="19"/>
                              </w:rPr>
                            </w:pPr>
                            <w:r>
                              <w:rPr>
                                <w:rFonts w:ascii="arial" w:hAnsi="arial"/>
                                <w:sz w:val="19"/>
                              </w:rPr>
                              <w:t xml:space="preserve">As discussed previously, our Annual Meeting will be held solely by remote communication via the internet at </w:t>
                            </w:r>
                            <w:r>
                              <w:rPr>
                                <w:rFonts w:ascii="arial" w:hAnsi="arial"/>
                                <w:i/>
                                <w:color w:val="0171B9"/>
                                <w:sz w:val="19"/>
                              </w:rPr>
                              <w:t>www.virtualshareholdermeeting.com/AMGN2024</w:t>
                            </w:r>
                            <w:r>
                              <w:rPr>
                                <w:rFonts w:ascii="arial" w:hAnsi="arial"/>
                                <w:sz w:val="19"/>
                              </w:rPr>
                              <w:t xml:space="preserve">. Although the meeting will not be held in person, stockholders will, to the extent possible, be afforded the same rights and opportunities to participate at the virtual meeting similarly to how they would participate at an in-person meeting. To participate and vote at the Annual Meeting, you will need to log-in to </w:t>
                            </w:r>
                            <w:r>
                              <w:rPr>
                                <w:rFonts w:ascii="arial" w:hAnsi="arial"/>
                                <w:i/>
                                <w:color w:val="0171B9"/>
                                <w:sz w:val="19"/>
                              </w:rPr>
                              <w:t>www.virtualshareholdermeeting.com/AMGN2024</w:t>
                            </w:r>
                            <w:r>
                              <w:rPr>
                                <w:rFonts w:ascii="arial" w:hAnsi="arial"/>
                                <w:sz w:val="19"/>
                              </w:rPr>
                              <w:t xml:space="preserve"> using the control number on the Notice, proxy card, or voting instruction form. Please note that if your shares are held in street name (by a broker, bank, trust, or other nominee), and you decide to attend and vote at the Annual Meeting, your vote while in attendance at the Annual Meeting will not be effective unless you provide a legal proxy, issued in your name from the record holder (your broker, bank, trust, or other nominee). </w:t>
                            </w:r>
                            <w:r>
                              <w:rPr>
                                <w:rFonts w:ascii="arial" w:hAnsi="arial"/>
                                <w:b/>
                                <w:sz w:val="19"/>
                              </w:rPr>
                              <w:t xml:space="preserve">Even if you intend to attend the Annual Meeting, we encourage you to submit your proxy in advance of the Annual Meeting. </w:t>
                            </w:r>
                            <w:r>
                              <w:rPr>
                                <w:rFonts w:ascii="arial" w:hAnsi="arial"/>
                                <w:sz w:val="19"/>
                              </w:rPr>
                              <w:t xml:space="preserve">Please see the important instructions and requirements below regarding “Attendance at the Annual Meeting.” </w:t>
                            </w:r>
                          </w:p>
                          <w:p>
                            <w:pPr>
                              <w:pStyle w:val="TextBody"/>
                              <w:bidi w:val="0"/>
                              <w:spacing w:before="120" w:after="0"/>
                              <w:jc w:val="both"/>
                              <w:rPr>
                                <w:rFonts w:ascii="arial" w:hAnsi="arial"/>
                                <w:sz w:val="19"/>
                              </w:rPr>
                            </w:pPr>
                            <w:r>
                              <w:rPr>
                                <w:rFonts w:ascii="arial" w:hAnsi="arial"/>
                                <w:sz w:val="19"/>
                              </w:rPr>
                              <w:t xml:space="preserve">To vote at the Annual Meeting, visit </w:t>
                            </w:r>
                            <w:r>
                              <w:rPr>
                                <w:rFonts w:ascii="arial" w:hAnsi="arial"/>
                                <w:i/>
                                <w:color w:val="0171B9"/>
                                <w:sz w:val="19"/>
                              </w:rPr>
                              <w:t>www.virtualshareholder meeting.com/AMGN2024</w:t>
                            </w:r>
                            <w:r>
                              <w:rPr>
                                <w:rFonts w:ascii="arial" w:hAnsi="arial"/>
                                <w:sz w:val="19"/>
                              </w:rPr>
                              <w:t xml:space="preserve">. For shares held as a record holder </w:t>
                            </w:r>
                            <w:r>
                              <w:rPr>
                                <w:rFonts w:ascii="arial" w:hAnsi="arial"/>
                                <w:sz w:val="19"/>
                                <w:u w:val="single"/>
                              </w:rPr>
                              <w:t>or</w:t>
                            </w:r>
                            <w:r>
                              <w:rPr>
                                <w:rFonts w:ascii="arial" w:hAnsi="arial"/>
                                <w:sz w:val="19"/>
                              </w:rPr>
                              <w:t xml:space="preserve"> in street name, you will need the control number that appears on your Notice, proxy card, or voting instruction form. </w:t>
                            </w:r>
                          </w:p>
                          <w:p>
                            <w:pPr>
                              <w:pStyle w:val="TextBody"/>
                              <w:bidi w:val="0"/>
                              <w:spacing w:before="240" w:after="0"/>
                              <w:jc w:val="left"/>
                              <w:rPr>
                                <w:rFonts w:ascii="arial" w:hAnsi="arial"/>
                                <w:b/>
                                <w:sz w:val="24"/>
                              </w:rPr>
                            </w:pPr>
                            <w:r>
                              <w:rPr>
                                <w:rFonts w:ascii="arial" w:hAnsi="arial"/>
                                <w:b/>
                                <w:sz w:val="24"/>
                              </w:rPr>
                              <w:t xml:space="preserve">Changing Your Vote </w:t>
                            </w:r>
                          </w:p>
                          <w:p>
                            <w:pPr>
                              <w:pStyle w:val="TextBody"/>
                              <w:bidi w:val="0"/>
                              <w:spacing w:before="120" w:after="0"/>
                              <w:jc w:val="both"/>
                              <w:rPr>
                                <w:rFonts w:ascii="arial" w:hAnsi="arial"/>
                                <w:sz w:val="19"/>
                              </w:rPr>
                            </w:pPr>
                            <w:r>
                              <w:rPr>
                                <w:rFonts w:ascii="arial" w:hAnsi="arial"/>
                                <w:sz w:val="19"/>
                              </w:rPr>
                              <w:t xml:space="preserve">As a stockholder of record, if you submit a proxy, you may revoke that proxy at any time before it is voted at the Annual Meeting. Stockholders of record may revoke a proxy by (i) duly submitting a later-dated proxy over the internet, by mail, or by telephone, (ii) delivering a written notice of revocation to the attention of the Secretary at our principal executive offices at One Amgen Center Drive, Thousand Oaks, California 91320-1799, or (iii) attending the Annual Meeting and voting at the Annual Meeting. Attendance at the Annual Meeting will not, by itself, revoke a proxy. If your shares are held in the name of a broker, bank, trust, or other nominee, you may change your voting instructions by following the instructions of your broker, bank, trust, or other nominee.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58.4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pBdr/>
                        <w:bidi w:val="0"/>
                        <w:spacing w:before="0" w:after="0"/>
                        <w:jc w:val="center"/>
                        <w:rPr>
                          <w:rFonts w:ascii="arial" w:hAnsi="arial"/>
                          <w:b/>
                          <w:color w:val="FFFFFF"/>
                          <w:sz w:val="18"/>
                          <w:shd w:fill="0171B9" w:val="clear"/>
                        </w:rPr>
                      </w:pPr>
                      <w:r>
                        <w:rPr>
                          <w:rFonts w:ascii="arial" w:hAnsi="arial"/>
                          <w:b/>
                          <w:color w:val="FFFFFF"/>
                          <w:sz w:val="18"/>
                          <w:shd w:fill="0171B9" w:val="clear"/>
                        </w:rPr>
                        <w:t xml:space="preserve">YOUR VOTE IS VERY IMPORTANT. </w:t>
                      </w:r>
                    </w:p>
                    <w:p>
                      <w:pPr>
                        <w:pStyle w:val="TextBody"/>
                        <w:bidi w:val="0"/>
                        <w:spacing w:before="0" w:after="0"/>
                        <w:ind w:left="100" w:right="100" w:hanging="0"/>
                        <w:jc w:val="center"/>
                        <w:rPr>
                          <w:rFonts w:ascii="arial" w:hAnsi="arial"/>
                          <w:b/>
                          <w:color w:val="FFFFFF"/>
                          <w:sz w:val="19"/>
                          <w:shd w:fill="0171B9" w:val="clear"/>
                        </w:rPr>
                      </w:pPr>
                      <w:r>
                        <w:rPr>
                          <w:rFonts w:ascii="arial" w:hAnsi="arial"/>
                          <w:b/>
                          <w:color w:val="FFFFFF"/>
                          <w:sz w:val="19"/>
                          <w:shd w:fill="0171B9" w:val="clear"/>
                        </w:rPr>
                        <w:t xml:space="preserve">You should submit your proxy even if you plan to </w:t>
                      </w:r>
                    </w:p>
                    <w:p>
                      <w:pPr>
                        <w:pStyle w:val="TextBody"/>
                        <w:pBdr/>
                        <w:bidi w:val="0"/>
                        <w:spacing w:before="0" w:after="0"/>
                        <w:ind w:left="100" w:right="100" w:hanging="0"/>
                        <w:jc w:val="center"/>
                        <w:rPr>
                          <w:rFonts w:ascii="arial" w:hAnsi="arial"/>
                          <w:b/>
                          <w:color w:val="FFFFFF"/>
                          <w:sz w:val="19"/>
                          <w:shd w:fill="0171B9" w:val="clear"/>
                        </w:rPr>
                      </w:pPr>
                      <w:r>
                        <w:rPr>
                          <w:rFonts w:ascii="arial" w:hAnsi="arial"/>
                          <w:b/>
                          <w:color w:val="FFFFFF"/>
                          <w:sz w:val="19"/>
                          <w:shd w:fill="0171B9" w:val="clear"/>
                        </w:rPr>
                        <w:t xml:space="preserve">attend the Annual Meeting. </w:t>
                      </w:r>
                    </w:p>
                    <w:p>
                      <w:pPr>
                        <w:pStyle w:val="TextBody"/>
                        <w:bidi w:val="0"/>
                        <w:spacing w:before="240" w:after="0"/>
                        <w:jc w:val="left"/>
                        <w:rPr>
                          <w:rFonts w:ascii="arial" w:hAnsi="arial"/>
                          <w:b/>
                          <w:sz w:val="22"/>
                        </w:rPr>
                      </w:pPr>
                      <w:r>
                        <w:rPr>
                          <w:rFonts w:ascii="arial" w:hAnsi="arial"/>
                          <w:b/>
                          <w:sz w:val="22"/>
                        </w:rPr>
                        <w:t xml:space="preserve">Voting at the Annual Meeting </w:t>
                      </w:r>
                    </w:p>
                    <w:p>
                      <w:pPr>
                        <w:pStyle w:val="TextBody"/>
                        <w:bidi w:val="0"/>
                        <w:spacing w:before="120" w:after="0"/>
                        <w:jc w:val="both"/>
                        <w:rPr>
                          <w:rFonts w:ascii="arial" w:hAnsi="arial"/>
                          <w:sz w:val="19"/>
                        </w:rPr>
                      </w:pPr>
                      <w:r>
                        <w:rPr>
                          <w:rFonts w:ascii="arial" w:hAnsi="arial"/>
                          <w:sz w:val="19"/>
                        </w:rPr>
                        <w:t xml:space="preserve">As discussed previously, our Annual Meeting will be held solely by remote communication via the internet at </w:t>
                      </w:r>
                      <w:r>
                        <w:rPr>
                          <w:rFonts w:ascii="arial" w:hAnsi="arial"/>
                          <w:i/>
                          <w:color w:val="0171B9"/>
                          <w:sz w:val="19"/>
                        </w:rPr>
                        <w:t>www.virtualshareholdermeeting.com/AMGN2024</w:t>
                      </w:r>
                      <w:r>
                        <w:rPr>
                          <w:rFonts w:ascii="arial" w:hAnsi="arial"/>
                          <w:sz w:val="19"/>
                        </w:rPr>
                        <w:t xml:space="preserve">. Although the meeting will not be held in person, stockholders will, to the extent possible, be afforded the same rights and opportunities to participate at the virtual meeting similarly to how they would participate at an in-person meeting. To participate and vote at the Annual Meeting, you will need to log-in to </w:t>
                      </w:r>
                      <w:r>
                        <w:rPr>
                          <w:rFonts w:ascii="arial" w:hAnsi="arial"/>
                          <w:i/>
                          <w:color w:val="0171B9"/>
                          <w:sz w:val="19"/>
                        </w:rPr>
                        <w:t>www.virtualshareholdermeeting.com/AMGN2024</w:t>
                      </w:r>
                      <w:r>
                        <w:rPr>
                          <w:rFonts w:ascii="arial" w:hAnsi="arial"/>
                          <w:sz w:val="19"/>
                        </w:rPr>
                        <w:t xml:space="preserve"> using the control number on the Notice, proxy card, or voting instruction form. Please note that if your shares are held in street name (by a broker, bank, trust, or other nominee), and you decide to attend and vote at the Annual Meeting, your vote while in attendance at the Annual Meeting will not be effective unless you provide a legal proxy, issued in your name from the record holder (your broker, bank, trust, or other nominee). </w:t>
                      </w:r>
                      <w:r>
                        <w:rPr>
                          <w:rFonts w:ascii="arial" w:hAnsi="arial"/>
                          <w:b/>
                          <w:sz w:val="19"/>
                        </w:rPr>
                        <w:t xml:space="preserve">Even if you intend to attend the Annual Meeting, we encourage you to submit your proxy in advance of the Annual Meeting. </w:t>
                      </w:r>
                      <w:r>
                        <w:rPr>
                          <w:rFonts w:ascii="arial" w:hAnsi="arial"/>
                          <w:sz w:val="19"/>
                        </w:rPr>
                        <w:t xml:space="preserve">Please see the important instructions and requirements below regarding “Attendance at the Annual Meeting.” </w:t>
                      </w:r>
                    </w:p>
                    <w:p>
                      <w:pPr>
                        <w:pStyle w:val="TextBody"/>
                        <w:bidi w:val="0"/>
                        <w:spacing w:before="120" w:after="0"/>
                        <w:jc w:val="both"/>
                        <w:rPr>
                          <w:rFonts w:ascii="arial" w:hAnsi="arial"/>
                          <w:sz w:val="19"/>
                        </w:rPr>
                      </w:pPr>
                      <w:r>
                        <w:rPr>
                          <w:rFonts w:ascii="arial" w:hAnsi="arial"/>
                          <w:sz w:val="19"/>
                        </w:rPr>
                        <w:t xml:space="preserve">To vote at the Annual Meeting, visit </w:t>
                      </w:r>
                      <w:r>
                        <w:rPr>
                          <w:rFonts w:ascii="arial" w:hAnsi="arial"/>
                          <w:i/>
                          <w:color w:val="0171B9"/>
                          <w:sz w:val="19"/>
                        </w:rPr>
                        <w:t>www.virtualshareholder meeting.com/AMGN2024</w:t>
                      </w:r>
                      <w:r>
                        <w:rPr>
                          <w:rFonts w:ascii="arial" w:hAnsi="arial"/>
                          <w:sz w:val="19"/>
                        </w:rPr>
                        <w:t xml:space="preserve">. For shares held as a record holder </w:t>
                      </w:r>
                      <w:r>
                        <w:rPr>
                          <w:rFonts w:ascii="arial" w:hAnsi="arial"/>
                          <w:sz w:val="19"/>
                          <w:u w:val="single"/>
                        </w:rPr>
                        <w:t>or</w:t>
                      </w:r>
                      <w:r>
                        <w:rPr>
                          <w:rFonts w:ascii="arial" w:hAnsi="arial"/>
                          <w:sz w:val="19"/>
                        </w:rPr>
                        <w:t xml:space="preserve"> in street name, you will need the control number that appears on your Notice, proxy card, or voting instruction form. </w:t>
                      </w:r>
                    </w:p>
                    <w:p>
                      <w:pPr>
                        <w:pStyle w:val="TextBody"/>
                        <w:bidi w:val="0"/>
                        <w:spacing w:before="240" w:after="0"/>
                        <w:jc w:val="left"/>
                        <w:rPr>
                          <w:rFonts w:ascii="arial" w:hAnsi="arial"/>
                          <w:b/>
                          <w:sz w:val="24"/>
                        </w:rPr>
                      </w:pPr>
                      <w:r>
                        <w:rPr>
                          <w:rFonts w:ascii="arial" w:hAnsi="arial"/>
                          <w:b/>
                          <w:sz w:val="24"/>
                        </w:rPr>
                        <w:t xml:space="preserve">Changing Your Vote </w:t>
                      </w:r>
                    </w:p>
                    <w:p>
                      <w:pPr>
                        <w:pStyle w:val="TextBody"/>
                        <w:bidi w:val="0"/>
                        <w:spacing w:before="120" w:after="0"/>
                        <w:jc w:val="both"/>
                        <w:rPr>
                          <w:rFonts w:ascii="arial" w:hAnsi="arial"/>
                          <w:sz w:val="19"/>
                        </w:rPr>
                      </w:pPr>
                      <w:r>
                        <w:rPr>
                          <w:rFonts w:ascii="arial" w:hAnsi="arial"/>
                          <w:sz w:val="19"/>
                        </w:rPr>
                        <w:t xml:space="preserve">As a stockholder of record, if you submit a proxy, you may revoke that proxy at any time before it is voted at the Annual Meeting. Stockholders of record may revoke a proxy by (i) duly submitting a later-dated proxy over the internet, by mail, or by telephone, (ii) delivering a written notice of revocation to the attention of the Secretary at our principal executive offices at One Amgen Center Drive, Thousand Oaks, California 91320-1799, or (iii) attending the Annual Meeting and voting at the Annual Meeting. Attendance at the Annual Meeting will not, by itself, revoke a proxy. If your shares are held in the name of a broker, bank, trust, or other nominee, you may change your voting instructions by following the instructions of your broker, bank, trust, or other nominee. </w:t>
                      </w:r>
                    </w:p>
                  </w:txbxContent>
                </v:textbox>
                <w10:wrap type="square" side="right"/>
              </v:rect>
            </w:pict>
          </mc:Fallback>
        </mc:AlternateContent>
      </w:r>
      <w:r>
        <mc:AlternateContent>
          <mc:Choice Requires="wps">
            <w:drawing>
              <wp:anchor behindDoc="0" distT="0" distB="0" distL="0" distR="0" simplePos="0" locked="0" layoutInCell="1" allowOverlap="1" relativeHeight="453">
                <wp:simplePos x="0" y="0"/>
                <wp:positionH relativeFrom="column">
                  <wp:align>left</wp:align>
                </wp:positionH>
                <wp:positionV relativeFrom="line">
                  <wp:posOffset>635</wp:posOffset>
                </wp:positionV>
                <wp:extent cx="3175000" cy="7344410"/>
                <wp:effectExtent l="0" t="0" r="0" b="0"/>
                <wp:wrapSquare wrapText="right"/>
                <wp:docPr id="424" name="Frame216"/>
                <a:graphic xmlns:a="http://schemas.openxmlformats.org/drawingml/2006/main">
                  <a:graphicData uri="http://schemas.microsoft.com/office/word/2010/wordprocessingShape">
                    <wps:wsp>
                      <wps:cNvSpPr txBox="1"/>
                      <wps:spPr>
                        <a:xfrm>
                          <a:off x="0" y="0"/>
                          <a:ext cx="3175000" cy="7344410"/>
                        </a:xfrm>
                        <a:prstGeom prst="rect"/>
                        <a:solidFill>
                          <a:srgbClr val="FFFFFF"/>
                        </a:solidFill>
                      </wps:spPr>
                      <wps:txbx>
                        <w:txbxContent>
                          <w:p>
                            <w:pPr>
                              <w:pStyle w:val="TextBody"/>
                              <w:bidi w:val="0"/>
                              <w:spacing w:before="0" w:after="0"/>
                              <w:jc w:val="left"/>
                              <w:rPr>
                                <w:rFonts w:ascii="arial" w:hAnsi="arial"/>
                                <w:b/>
                                <w:sz w:val="24"/>
                              </w:rPr>
                            </w:pPr>
                            <w:r>
                              <w:rPr>
                                <w:rFonts w:ascii="arial" w:hAnsi="arial"/>
                                <w:b/>
                                <w:sz w:val="24"/>
                              </w:rPr>
                              <w:t xml:space="preserve">If You Receive More Than One Proxy Card or Notice </w:t>
                            </w:r>
                          </w:p>
                          <w:p>
                            <w:pPr>
                              <w:pStyle w:val="TextBody"/>
                              <w:bidi w:val="0"/>
                              <w:spacing w:before="120" w:after="0"/>
                              <w:jc w:val="both"/>
                              <w:rPr>
                                <w:rFonts w:ascii="arial" w:hAnsi="arial"/>
                                <w:sz w:val="19"/>
                              </w:rPr>
                            </w:pPr>
                            <w:r>
                              <w:rPr>
                                <w:rFonts w:ascii="arial" w:hAnsi="arial"/>
                                <w:sz w:val="19"/>
                              </w:rPr>
                              <w:t xml:space="preserve">If you receive more than one proxy card or Notice, it means you hold shares that are registered in more than one account. To ensure that all of your shares are voted, sign and return each proxy card or, if you submit a proxy by telephone or the internet, submit one proxy for each proxy card or Notice you receive. </w:t>
                            </w:r>
                          </w:p>
                          <w:p>
                            <w:pPr>
                              <w:pStyle w:val="TextBody"/>
                              <w:bidi w:val="0"/>
                              <w:spacing w:before="240" w:after="0"/>
                              <w:jc w:val="left"/>
                              <w:rPr>
                                <w:rFonts w:ascii="arial" w:hAnsi="arial"/>
                                <w:b/>
                                <w:sz w:val="24"/>
                              </w:rPr>
                            </w:pPr>
                            <w:r>
                              <w:rPr>
                                <w:rFonts w:ascii="arial" w:hAnsi="arial"/>
                                <w:b/>
                                <w:sz w:val="24"/>
                              </w:rPr>
                              <w:t xml:space="preserve">How Will Your Shares Be Voted </w:t>
                            </w:r>
                          </w:p>
                          <w:p>
                            <w:pPr>
                              <w:pStyle w:val="TextBody"/>
                              <w:bidi w:val="0"/>
                              <w:spacing w:before="120" w:after="0"/>
                              <w:jc w:val="both"/>
                              <w:rPr>
                                <w:rFonts w:ascii="arial" w:hAnsi="arial"/>
                                <w:sz w:val="19"/>
                              </w:rPr>
                            </w:pPr>
                            <w:r>
                              <w:rPr>
                                <w:rFonts w:ascii="arial" w:hAnsi="arial"/>
                                <w:sz w:val="19"/>
                              </w:rPr>
                              <w:t xml:space="preserve">Stockholders of record as of the close of business on April 1, 2024, are entitled to one vote for each share of our Common Stock held on all matters to be voted upon at the Annual Meeting. All shares entitled to vote and represented by properly submitted proxies received before the polls are closed at the Annual Meeting, and not revoked or superseded, will be voted at the Annual Meeting in accordance with the instructions indicated on those proxies. </w:t>
                            </w:r>
                            <w:r>
                              <w:rPr>
                                <w:rFonts w:ascii="arial" w:hAnsi="arial"/>
                                <w:b/>
                                <w:sz w:val="19"/>
                              </w:rPr>
                              <w:t xml:space="preserve">YOUR VOTE IS VERY IMPORTANT. </w:t>
                            </w:r>
                          </w:p>
                          <w:p>
                            <w:pPr>
                              <w:pStyle w:val="TextBody"/>
                              <w:bidi w:val="0"/>
                              <w:spacing w:before="240" w:after="0"/>
                              <w:jc w:val="left"/>
                              <w:rPr>
                                <w:rFonts w:ascii="arial" w:hAnsi="arial"/>
                                <w:b/>
                                <w:sz w:val="24"/>
                              </w:rPr>
                            </w:pPr>
                            <w:r>
                              <w:rPr>
                                <w:rFonts w:ascii="arial" w:hAnsi="arial"/>
                                <w:b/>
                                <w:sz w:val="24"/>
                              </w:rPr>
                              <w:t xml:space="preserve">If You Do Not Specify How You Want Your Shares Voted </w:t>
                            </w:r>
                          </w:p>
                          <w:p>
                            <w:pPr>
                              <w:pStyle w:val="TextBody"/>
                              <w:bidi w:val="0"/>
                              <w:spacing w:before="120" w:after="0"/>
                              <w:jc w:val="both"/>
                              <w:rPr>
                                <w:rFonts w:ascii="arial" w:hAnsi="arial"/>
                                <w:sz w:val="19"/>
                              </w:rPr>
                            </w:pPr>
                            <w:r>
                              <w:rPr>
                                <w:rFonts w:ascii="arial" w:hAnsi="arial"/>
                                <w:sz w:val="19"/>
                              </w:rPr>
                              <w:t xml:space="preserve">As a stockholder of record, if you submit a signed proxy card or submit your proxy by telephone or internet and do not specify how you want your shares voted, the proxy holder will vote your shares: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FOR the election of the 12 nominees listed in this proxy statement to serve on our Board for a term of office expiring at the 2025 annual meeting of stockholders; </w:t>
                                  </w:r>
                                </w:p>
                              </w:tc>
                            </w:tr>
                          </w:tbl>
                          <w:p>
                            <w:pPr>
                              <w:pStyle w:val="TextBody"/>
                              <w:bidi w:val="0"/>
                              <w:spacing w:before="0" w:after="0"/>
                              <w:jc w:val="left"/>
                              <w:rPr/>
                            </w:pPr>
                            <w:r>
                              <w:rPr/>
                              <w:t> </w:t>
                            </w:r>
                          </w:p>
                          <w:tbl>
                            <w:tblPr>
                              <w:tblW w:w="5785" w:type="dxa"/>
                              <w:jc w:val="left"/>
                              <w:tblInd w:w="0" w:type="dxa"/>
                              <w:tblLayout w:type="fixed"/>
                              <w:tblCellMar>
                                <w:top w:w="0" w:type="dxa"/>
                                <w:left w:w="0" w:type="dxa"/>
                                <w:bottom w:w="0" w:type="dxa"/>
                                <w:right w:w="0" w:type="dxa"/>
                              </w:tblCellMar>
                            </w:tblPr>
                            <w:tblGrid>
                              <w:gridCol w:w="125"/>
                              <w:gridCol w:w="60"/>
                              <w:gridCol w:w="560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0"/>
                                    <w:jc w:val="both"/>
                                    <w:rPr>
                                      <w:rFonts w:ascii="arial" w:hAnsi="arial"/>
                                      <w:sz w:val="19"/>
                                    </w:rPr>
                                  </w:pPr>
                                  <w:r>
                                    <w:rPr>
                                      <w:rFonts w:ascii="arial" w:hAnsi="arial"/>
                                      <w:sz w:val="19"/>
                                    </w:rPr>
                                    <w:t xml:space="preserve">FOR the advisory vote to approve our executive compensation; </w:t>
                                  </w:r>
                                </w:p>
                              </w:tc>
                            </w:tr>
                          </w:tbl>
                          <w:p>
                            <w:pPr>
                              <w:pStyle w:val="TextBody"/>
                              <w:bidi w:val="0"/>
                              <w:spacing w:before="0" w:after="0"/>
                              <w:jc w:val="left"/>
                              <w:rPr/>
                            </w:pPr>
                            <w:r>
                              <w:rPr/>
                              <w:t> </w:t>
                            </w:r>
                          </w:p>
                          <w:tbl>
                            <w:tblPr>
                              <w:tblW w:w="9085" w:type="dxa"/>
                              <w:jc w:val="left"/>
                              <w:tblInd w:w="0" w:type="dxa"/>
                              <w:tblLayout w:type="fixed"/>
                              <w:tblCellMar>
                                <w:top w:w="0" w:type="dxa"/>
                                <w:left w:w="0" w:type="dxa"/>
                                <w:bottom w:w="0" w:type="dxa"/>
                                <w:right w:w="0" w:type="dxa"/>
                              </w:tblCellMar>
                            </w:tblPr>
                            <w:tblGrid>
                              <w:gridCol w:w="125"/>
                              <w:gridCol w:w="60"/>
                              <w:gridCol w:w="890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both"/>
                                    <w:rPr>
                                      <w:rFonts w:ascii="arial" w:hAnsi="arial"/>
                                      <w:sz w:val="19"/>
                                    </w:rPr>
                                  </w:pPr>
                                  <w:r>
                                    <w:rPr>
                                      <w:rFonts w:ascii="arial" w:hAnsi="arial"/>
                                      <w:sz w:val="19"/>
                                    </w:rPr>
                                    <w:t xml:space="preserve">FOR the approval of the Amgen Inc. Second Amended and Restated 2009 Equity Incentive Plan;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FOR the ratification of the selection of Ernst &amp; Young LLP as our independent registered public accountants for the fiscal year ending December 31, 2024. </w:t>
                                  </w:r>
                                </w:p>
                              </w:tc>
                            </w:tr>
                          </w:tbl>
                          <w:p>
                            <w:pPr>
                              <w:pStyle w:val="TextBody"/>
                              <w:bidi w:val="0"/>
                              <w:spacing w:before="120" w:after="0"/>
                              <w:jc w:val="both"/>
                              <w:rPr>
                                <w:rFonts w:ascii="arial" w:hAnsi="arial"/>
                                <w:sz w:val="19"/>
                              </w:rPr>
                            </w:pPr>
                            <w:r>
                              <w:rPr>
                                <w:rFonts w:ascii="arial" w:hAnsi="arial"/>
                                <w:sz w:val="19"/>
                              </w:rPr>
                              <w:t xml:space="preserve">A “broker non-vote” occurs when a nominee holding shares for a beneficial owner has not received voting instructions from the beneficial owner and the nominee does not have discretionary authority to vote the shares on that proposal. If you hold your shares in street name and do not provide voting instructions to your broker or other nominee, your shares will be considered to be broker non-votes and will not be voted on any proposal on which your broker or other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78.3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sz w:val="24"/>
                        </w:rPr>
                      </w:pPr>
                      <w:r>
                        <w:rPr>
                          <w:rFonts w:ascii="arial" w:hAnsi="arial"/>
                          <w:b/>
                          <w:sz w:val="24"/>
                        </w:rPr>
                        <w:t xml:space="preserve">If You Receive More Than One Proxy Card or Notice </w:t>
                      </w:r>
                    </w:p>
                    <w:p>
                      <w:pPr>
                        <w:pStyle w:val="TextBody"/>
                        <w:bidi w:val="0"/>
                        <w:spacing w:before="120" w:after="0"/>
                        <w:jc w:val="both"/>
                        <w:rPr>
                          <w:rFonts w:ascii="arial" w:hAnsi="arial"/>
                          <w:sz w:val="19"/>
                        </w:rPr>
                      </w:pPr>
                      <w:r>
                        <w:rPr>
                          <w:rFonts w:ascii="arial" w:hAnsi="arial"/>
                          <w:sz w:val="19"/>
                        </w:rPr>
                        <w:t xml:space="preserve">If you receive more than one proxy card or Notice, it means you hold shares that are registered in more than one account. To ensure that all of your shares are voted, sign and return each proxy card or, if you submit a proxy by telephone or the internet, submit one proxy for each proxy card or Notice you receive. </w:t>
                      </w:r>
                    </w:p>
                    <w:p>
                      <w:pPr>
                        <w:pStyle w:val="TextBody"/>
                        <w:bidi w:val="0"/>
                        <w:spacing w:before="240" w:after="0"/>
                        <w:jc w:val="left"/>
                        <w:rPr>
                          <w:rFonts w:ascii="arial" w:hAnsi="arial"/>
                          <w:b/>
                          <w:sz w:val="24"/>
                        </w:rPr>
                      </w:pPr>
                      <w:r>
                        <w:rPr>
                          <w:rFonts w:ascii="arial" w:hAnsi="arial"/>
                          <w:b/>
                          <w:sz w:val="24"/>
                        </w:rPr>
                        <w:t xml:space="preserve">How Will Your Shares Be Voted </w:t>
                      </w:r>
                    </w:p>
                    <w:p>
                      <w:pPr>
                        <w:pStyle w:val="TextBody"/>
                        <w:bidi w:val="0"/>
                        <w:spacing w:before="120" w:after="0"/>
                        <w:jc w:val="both"/>
                        <w:rPr>
                          <w:rFonts w:ascii="arial" w:hAnsi="arial"/>
                          <w:sz w:val="19"/>
                        </w:rPr>
                      </w:pPr>
                      <w:r>
                        <w:rPr>
                          <w:rFonts w:ascii="arial" w:hAnsi="arial"/>
                          <w:sz w:val="19"/>
                        </w:rPr>
                        <w:t xml:space="preserve">Stockholders of record as of the close of business on April 1, 2024, are entitled to one vote for each share of our Common Stock held on all matters to be voted upon at the Annual Meeting. All shares entitled to vote and represented by properly submitted proxies received before the polls are closed at the Annual Meeting, and not revoked or superseded, will be voted at the Annual Meeting in accordance with the instructions indicated on those proxies. </w:t>
                      </w:r>
                      <w:r>
                        <w:rPr>
                          <w:rFonts w:ascii="arial" w:hAnsi="arial"/>
                          <w:b/>
                          <w:sz w:val="19"/>
                        </w:rPr>
                        <w:t xml:space="preserve">YOUR VOTE IS VERY IMPORTANT. </w:t>
                      </w:r>
                    </w:p>
                    <w:p>
                      <w:pPr>
                        <w:pStyle w:val="TextBody"/>
                        <w:bidi w:val="0"/>
                        <w:spacing w:before="240" w:after="0"/>
                        <w:jc w:val="left"/>
                        <w:rPr>
                          <w:rFonts w:ascii="arial" w:hAnsi="arial"/>
                          <w:b/>
                          <w:sz w:val="24"/>
                        </w:rPr>
                      </w:pPr>
                      <w:r>
                        <w:rPr>
                          <w:rFonts w:ascii="arial" w:hAnsi="arial"/>
                          <w:b/>
                          <w:sz w:val="24"/>
                        </w:rPr>
                        <w:t xml:space="preserve">If You Do Not Specify How You Want Your Shares Voted </w:t>
                      </w:r>
                    </w:p>
                    <w:p>
                      <w:pPr>
                        <w:pStyle w:val="TextBody"/>
                        <w:bidi w:val="0"/>
                        <w:spacing w:before="120" w:after="0"/>
                        <w:jc w:val="both"/>
                        <w:rPr>
                          <w:rFonts w:ascii="arial" w:hAnsi="arial"/>
                          <w:sz w:val="19"/>
                        </w:rPr>
                      </w:pPr>
                      <w:r>
                        <w:rPr>
                          <w:rFonts w:ascii="arial" w:hAnsi="arial"/>
                          <w:sz w:val="19"/>
                        </w:rPr>
                        <w:t xml:space="preserve">As a stockholder of record, if you submit a signed proxy card or submit your proxy by telephone or internet and do not specify how you want your shares voted, the proxy holder will vote your shares: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FOR the election of the 12 nominees listed in this proxy statement to serve on our Board for a term of office expiring at the 2025 annual meeting of stockholders; </w:t>
                            </w:r>
                          </w:p>
                        </w:tc>
                      </w:tr>
                    </w:tbl>
                    <w:p>
                      <w:pPr>
                        <w:pStyle w:val="TextBody"/>
                        <w:bidi w:val="0"/>
                        <w:spacing w:before="0" w:after="0"/>
                        <w:jc w:val="left"/>
                        <w:rPr/>
                      </w:pPr>
                      <w:r>
                        <w:rPr/>
                        <w:t> </w:t>
                      </w:r>
                    </w:p>
                    <w:tbl>
                      <w:tblPr>
                        <w:tblW w:w="5785" w:type="dxa"/>
                        <w:jc w:val="left"/>
                        <w:tblInd w:w="0" w:type="dxa"/>
                        <w:tblLayout w:type="fixed"/>
                        <w:tblCellMar>
                          <w:top w:w="0" w:type="dxa"/>
                          <w:left w:w="0" w:type="dxa"/>
                          <w:bottom w:w="0" w:type="dxa"/>
                          <w:right w:w="0" w:type="dxa"/>
                        </w:tblCellMar>
                      </w:tblPr>
                      <w:tblGrid>
                        <w:gridCol w:w="125"/>
                        <w:gridCol w:w="60"/>
                        <w:gridCol w:w="560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0"/>
                              <w:jc w:val="both"/>
                              <w:rPr>
                                <w:rFonts w:ascii="arial" w:hAnsi="arial"/>
                                <w:sz w:val="19"/>
                              </w:rPr>
                            </w:pPr>
                            <w:r>
                              <w:rPr>
                                <w:rFonts w:ascii="arial" w:hAnsi="arial"/>
                                <w:sz w:val="19"/>
                              </w:rPr>
                              <w:t xml:space="preserve">FOR the advisory vote to approve our executive compensation; </w:t>
                            </w:r>
                          </w:p>
                        </w:tc>
                      </w:tr>
                    </w:tbl>
                    <w:p>
                      <w:pPr>
                        <w:pStyle w:val="TextBody"/>
                        <w:bidi w:val="0"/>
                        <w:spacing w:before="0" w:after="0"/>
                        <w:jc w:val="left"/>
                        <w:rPr/>
                      </w:pPr>
                      <w:r>
                        <w:rPr/>
                        <w:t> </w:t>
                      </w:r>
                    </w:p>
                    <w:tbl>
                      <w:tblPr>
                        <w:tblW w:w="9085" w:type="dxa"/>
                        <w:jc w:val="left"/>
                        <w:tblInd w:w="0" w:type="dxa"/>
                        <w:tblLayout w:type="fixed"/>
                        <w:tblCellMar>
                          <w:top w:w="0" w:type="dxa"/>
                          <w:left w:w="0" w:type="dxa"/>
                          <w:bottom w:w="0" w:type="dxa"/>
                          <w:right w:w="0" w:type="dxa"/>
                        </w:tblCellMar>
                      </w:tblPr>
                      <w:tblGrid>
                        <w:gridCol w:w="125"/>
                        <w:gridCol w:w="60"/>
                        <w:gridCol w:w="890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both"/>
                              <w:rPr>
                                <w:rFonts w:ascii="arial" w:hAnsi="arial"/>
                                <w:sz w:val="19"/>
                              </w:rPr>
                            </w:pPr>
                            <w:r>
                              <w:rPr>
                                <w:rFonts w:ascii="arial" w:hAnsi="arial"/>
                                <w:sz w:val="19"/>
                              </w:rPr>
                              <w:t xml:space="preserve">FOR the approval of the Amgen Inc. Second Amended and Restated 2009 Equity Incentive Plan;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FOR the ratification of the selection of Ernst &amp; Young LLP as our independent registered public accountants for the fiscal year ending December 31, 2024. </w:t>
                            </w:r>
                          </w:p>
                        </w:tc>
                      </w:tr>
                    </w:tbl>
                    <w:p>
                      <w:pPr>
                        <w:pStyle w:val="TextBody"/>
                        <w:bidi w:val="0"/>
                        <w:spacing w:before="120" w:after="0"/>
                        <w:jc w:val="both"/>
                        <w:rPr>
                          <w:rFonts w:ascii="arial" w:hAnsi="arial"/>
                          <w:sz w:val="19"/>
                        </w:rPr>
                      </w:pPr>
                      <w:r>
                        <w:rPr>
                          <w:rFonts w:ascii="arial" w:hAnsi="arial"/>
                          <w:sz w:val="19"/>
                        </w:rPr>
                        <w:t xml:space="preserve">A “broker non-vote” occurs when a nominee holding shares for a beneficial owner has not received voting instructions from the beneficial owner and the nominee does not have discretionary authority to vote the shares on that proposal. If you hold your shares in street name and do not provide voting instructions to your broker or other nominee, your shares will be considered to be broker non-votes and will not be voted on any proposal on which your broker or other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130  </w:t>
      </w:r>
      <w:r>
        <w:rPr>
          <w:rFonts w:ascii="arial" w:hAnsi="arial"/>
          <w:b/>
          <w:color w:val="474747"/>
          <w:sz w:val="22"/>
        </w:rPr>
        <w:drawing>
          <wp:inline distT="0" distB="0" distL="0" distR="0">
            <wp:extent cx="64770" cy="15240"/>
            <wp:effectExtent l="0" t="0" r="0" b="0"/>
            <wp:docPr id="425"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 name="Image197" descr=""/>
                    <pic:cNvPicPr>
                      <a:picLocks noChangeAspect="1" noChangeArrowheads="1"/>
                    </pic:cNvPicPr>
                  </pic:nvPicPr>
                  <pic:blipFill>
                    <a:blip r:embed="rId210"/>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585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537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537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Information Concerning Voting and Solicitation</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454">
                <wp:simplePos x="0" y="0"/>
                <wp:positionH relativeFrom="column">
                  <wp:align>left</wp:align>
                </wp:positionH>
                <wp:positionV relativeFrom="line">
                  <wp:posOffset>635</wp:posOffset>
                </wp:positionV>
                <wp:extent cx="3110230" cy="7237730"/>
                <wp:effectExtent l="0" t="0" r="0" b="0"/>
                <wp:wrapSquare wrapText="right"/>
                <wp:docPr id="426" name="Frame217"/>
                <a:graphic xmlns:a="http://schemas.openxmlformats.org/drawingml/2006/main">
                  <a:graphicData uri="http://schemas.microsoft.com/office/word/2010/wordprocessingShape">
                    <wps:wsp>
                      <wps:cNvSpPr txBox="1"/>
                      <wps:spPr>
                        <a:xfrm>
                          <a:off x="0" y="0"/>
                          <a:ext cx="3110230" cy="723773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nominee does not have discretionary authority to vote. Shares that constitute broker non-votes will be counted as present at the Annual Meeting for the purpose of determining a quorum, but will not be considered entitled to vote on the proposal in question and therefore will have no effect on the outcome of the vote. Brokers generally have discretionary authority to vote on the ratification of the selection of Ernst &amp; Young LLP as our independent registered public accountants, and thus broker non-votes are not likely on these proposals. Brokers, however, do not have discretionary authority to vote on (i) the election of directors to serve on our Board, (ii) the advisory vote to approve our executive compensation; or (iii) the approval of the Second Amended and Restated 2009 Equity Incentive Plan. Accordingly, broker non-votes will likely result on these proposals. </w:t>
                            </w:r>
                          </w:p>
                          <w:p>
                            <w:pPr>
                              <w:pStyle w:val="TextBody"/>
                              <w:bidi w:val="0"/>
                              <w:spacing w:before="120" w:after="0"/>
                              <w:jc w:val="both"/>
                              <w:rPr>
                                <w:rFonts w:ascii="arial" w:hAnsi="arial"/>
                                <w:sz w:val="19"/>
                              </w:rPr>
                            </w:pPr>
                            <w:r>
                              <w:rPr>
                                <w:rFonts w:ascii="arial" w:hAnsi="arial"/>
                                <w:sz w:val="19"/>
                              </w:rPr>
                              <w:t xml:space="preserve">In their discretion, the proxy holders named in the proxy solicited by the Company are authorized to vote the proxies in their discretion on any other matters that may properly come before the Annual Meeting and any continuation, postponement, or adjournment thereof. The Board knows of no other items of business that will be presented for consideration at the Annual Meeting other than those described in this proxy statement. In addition, no stockholder nomination was received on a timely basis, so no such matter may be brought to a vote at the Annual Meeting. </w:t>
                            </w:r>
                          </w:p>
                          <w:p>
                            <w:pPr>
                              <w:pStyle w:val="TextBody"/>
                              <w:bidi w:val="0"/>
                              <w:spacing w:before="240" w:after="0"/>
                              <w:jc w:val="left"/>
                              <w:rPr>
                                <w:rFonts w:ascii="arial" w:hAnsi="arial"/>
                                <w:b/>
                                <w:sz w:val="24"/>
                              </w:rPr>
                            </w:pPr>
                            <w:r>
                              <w:rPr>
                                <w:rFonts w:ascii="arial" w:hAnsi="arial"/>
                                <w:b/>
                                <w:sz w:val="24"/>
                              </w:rPr>
                              <w:t xml:space="preserve">Inspector of Election and Counting of Votes </w:t>
                            </w:r>
                          </w:p>
                          <w:p>
                            <w:pPr>
                              <w:pStyle w:val="TextBody"/>
                              <w:bidi w:val="0"/>
                              <w:spacing w:before="120" w:after="0"/>
                              <w:jc w:val="both"/>
                              <w:rPr>
                                <w:rFonts w:ascii="arial" w:hAnsi="arial"/>
                                <w:sz w:val="19"/>
                              </w:rPr>
                            </w:pPr>
                            <w:r>
                              <w:rPr>
                                <w:rFonts w:ascii="arial" w:hAnsi="arial"/>
                                <w:sz w:val="19"/>
                              </w:rPr>
                              <w:t xml:space="preserve">All votes will be tabulated as required by Delaware law, the state of our incorporation, by the inspector of election appointed for the Annual Meeting, who will separately tabulate affirmative and negative votes, abstentions, and broker non-votes. Shares held by persons attending the Annual Meeting but not voting, shares represented by proxies that reflect abstentions as to one or more proposals, and broker non-votes will be counted as present for purposes of determining a quorum. </w:t>
                            </w:r>
                          </w:p>
                          <w:p>
                            <w:pPr>
                              <w:pStyle w:val="TextBody"/>
                              <w:bidi w:val="0"/>
                              <w:spacing w:before="120" w:after="0"/>
                              <w:jc w:val="both"/>
                              <w:rPr>
                                <w:rFonts w:ascii="arial" w:hAnsi="arial"/>
                                <w:sz w:val="19"/>
                              </w:rPr>
                            </w:pPr>
                            <w:r>
                              <w:rPr>
                                <w:rFonts w:ascii="arial" w:hAnsi="arial"/>
                                <w:b/>
                                <w:i/>
                                <w:color w:val="0171B9"/>
                                <w:sz w:val="19"/>
                              </w:rPr>
                              <w:t xml:space="preserve">Election of Directors. </w:t>
                            </w:r>
                            <w:r>
                              <w:rPr>
                                <w:rFonts w:ascii="arial" w:hAnsi="arial"/>
                                <w:sz w:val="19"/>
                              </w:rPr>
                              <w:t xml:space="preserve">We have a majority voting standard for the election of directors in an uncontested election, which is generally defined as an election in which the number of nominees does not exceed the number of directors to be elected at the meeting. In the election of directors, you may either vote “for,” “against,” or “abstain” for each nominee. Cumulative voting is not permitted. Under our majority vote standard, in uncontested elections of directors, such as this election, each director must be elected by the affirmative vote of a majority of the votes cast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69.9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nominee does not have discretionary authority to vote. Shares that constitute broker non-votes will be counted as present at the Annual Meeting for the purpose of determining a quorum, but will not be considered entitled to vote on the proposal in question and therefore will have no effect on the outcome of the vote. Brokers generally have discretionary authority to vote on the ratification of the selection of Ernst &amp; Young LLP as our independent registered public accountants, and thus broker non-votes are not likely on these proposals. Brokers, however, do not have discretionary authority to vote on (i) the election of directors to serve on our Board, (ii) the advisory vote to approve our executive compensation; or (iii) the approval of the Second Amended and Restated 2009 Equity Incentive Plan. Accordingly, broker non-votes will likely result on these proposals. </w:t>
                      </w:r>
                    </w:p>
                    <w:p>
                      <w:pPr>
                        <w:pStyle w:val="TextBody"/>
                        <w:bidi w:val="0"/>
                        <w:spacing w:before="120" w:after="0"/>
                        <w:jc w:val="both"/>
                        <w:rPr>
                          <w:rFonts w:ascii="arial" w:hAnsi="arial"/>
                          <w:sz w:val="19"/>
                        </w:rPr>
                      </w:pPr>
                      <w:r>
                        <w:rPr>
                          <w:rFonts w:ascii="arial" w:hAnsi="arial"/>
                          <w:sz w:val="19"/>
                        </w:rPr>
                        <w:t xml:space="preserve">In their discretion, the proxy holders named in the proxy solicited by the Company are authorized to vote the proxies in their discretion on any other matters that may properly come before the Annual Meeting and any continuation, postponement, or adjournment thereof. The Board knows of no other items of business that will be presented for consideration at the Annual Meeting other than those described in this proxy statement. In addition, no stockholder nomination was received on a timely basis, so no such matter may be brought to a vote at the Annual Meeting. </w:t>
                      </w:r>
                    </w:p>
                    <w:p>
                      <w:pPr>
                        <w:pStyle w:val="TextBody"/>
                        <w:bidi w:val="0"/>
                        <w:spacing w:before="240" w:after="0"/>
                        <w:jc w:val="left"/>
                        <w:rPr>
                          <w:rFonts w:ascii="arial" w:hAnsi="arial"/>
                          <w:b/>
                          <w:sz w:val="24"/>
                        </w:rPr>
                      </w:pPr>
                      <w:r>
                        <w:rPr>
                          <w:rFonts w:ascii="arial" w:hAnsi="arial"/>
                          <w:b/>
                          <w:sz w:val="24"/>
                        </w:rPr>
                        <w:t xml:space="preserve">Inspector of Election and Counting of Votes </w:t>
                      </w:r>
                    </w:p>
                    <w:p>
                      <w:pPr>
                        <w:pStyle w:val="TextBody"/>
                        <w:bidi w:val="0"/>
                        <w:spacing w:before="120" w:after="0"/>
                        <w:jc w:val="both"/>
                        <w:rPr>
                          <w:rFonts w:ascii="arial" w:hAnsi="arial"/>
                          <w:sz w:val="19"/>
                        </w:rPr>
                      </w:pPr>
                      <w:r>
                        <w:rPr>
                          <w:rFonts w:ascii="arial" w:hAnsi="arial"/>
                          <w:sz w:val="19"/>
                        </w:rPr>
                        <w:t xml:space="preserve">All votes will be tabulated as required by Delaware law, the state of our incorporation, by the inspector of election appointed for the Annual Meeting, who will separately tabulate affirmative and negative votes, abstentions, and broker non-votes. Shares held by persons attending the Annual Meeting but not voting, shares represented by proxies that reflect abstentions as to one or more proposals, and broker non-votes will be counted as present for purposes of determining a quorum. </w:t>
                      </w:r>
                    </w:p>
                    <w:p>
                      <w:pPr>
                        <w:pStyle w:val="TextBody"/>
                        <w:bidi w:val="0"/>
                        <w:spacing w:before="120" w:after="0"/>
                        <w:jc w:val="both"/>
                        <w:rPr>
                          <w:rFonts w:ascii="arial" w:hAnsi="arial"/>
                          <w:sz w:val="19"/>
                        </w:rPr>
                      </w:pPr>
                      <w:r>
                        <w:rPr>
                          <w:rFonts w:ascii="arial" w:hAnsi="arial"/>
                          <w:b/>
                          <w:i/>
                          <w:color w:val="0171B9"/>
                          <w:sz w:val="19"/>
                        </w:rPr>
                        <w:t xml:space="preserve">Election of Directors. </w:t>
                      </w:r>
                      <w:r>
                        <w:rPr>
                          <w:rFonts w:ascii="arial" w:hAnsi="arial"/>
                          <w:sz w:val="19"/>
                        </w:rPr>
                        <w:t xml:space="preserve">We have a majority voting standard for the election of directors in an uncontested election, which is generally defined as an election in which the number of nominees does not exceed the number of directors to be elected at the meeting. In the election of directors, you may either vote “for,” “against,” or “abstain” for each nominee. Cumulative voting is not permitted. Under our majority vote standard, in uncontested elections of directors, such as this election, each director must be elected by the affirmative vote of a majority of the votes cast </w:t>
                      </w:r>
                    </w:p>
                  </w:txbxContent>
                </v:textbox>
                <w10:wrap type="square" side="right"/>
              </v:rect>
            </w:pict>
          </mc:Fallback>
        </mc:AlternateContent>
      </w:r>
      <w:r>
        <mc:AlternateContent>
          <mc:Choice Requires="wps">
            <w:drawing>
              <wp:anchor behindDoc="0" distT="0" distB="0" distL="0" distR="0" simplePos="0" locked="0" layoutInCell="1" allowOverlap="1" relativeHeight="455">
                <wp:simplePos x="0" y="0"/>
                <wp:positionH relativeFrom="column">
                  <wp:align>left</wp:align>
                </wp:positionH>
                <wp:positionV relativeFrom="line">
                  <wp:posOffset>635</wp:posOffset>
                </wp:positionV>
                <wp:extent cx="3175000" cy="6797040"/>
                <wp:effectExtent l="0" t="0" r="0" b="0"/>
                <wp:wrapSquare wrapText="right"/>
                <wp:docPr id="427" name="Frame218"/>
                <a:graphic xmlns:a="http://schemas.openxmlformats.org/drawingml/2006/main">
                  <a:graphicData uri="http://schemas.microsoft.com/office/word/2010/wordprocessingShape">
                    <wps:wsp>
                      <wps:cNvSpPr txBox="1"/>
                      <wps:spPr>
                        <a:xfrm>
                          <a:off x="0" y="0"/>
                          <a:ext cx="3175000" cy="679704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by the shares in attendance at the Annual Meeting or represented by proxy. A “majority of the votes cast” means that the number of votes cast “for” a director nominee exceeds the number of votes cast “against” the nominee. For these purposes, abstentions and broker non-votes will not count as a vote “for” or “against” a nominee’s election and thus will have no effect in determining whether a director nominee has received a majority of the votes cast. Brokers do not have discretionary authority to vote on this proposal. If a director nominee is an incumbent director and does not receive a majority of the votes cast in an uncontested election, that director will continue to serve on the Board as a “holdover” director, but must tender his or her resignation contingent upon acceptance by the Board to the Board promptly after certification of the election results of the stockholder vote. The Governance and Nominating Committee of the Board will then recommend to the Board whether to accept the resignation or whether other action should be taken. The Board will act on the tendered resignation, taking into account the recommendation of the Governance and Nominating Committee, and the Board’s decision will be publicly disclosed within 90 days after certification of the election results of the stockholder vote. A director who tenders his or her resignation after failing to receive a majority of the votes cast will not participate in the recommendation of the Governance and Nominating Committee or the decision of the Board with respect to his or her resignation. </w:t>
                            </w:r>
                          </w:p>
                          <w:p>
                            <w:pPr>
                              <w:pStyle w:val="TextBody"/>
                              <w:bidi w:val="0"/>
                              <w:spacing w:before="120" w:after="0"/>
                              <w:jc w:val="both"/>
                              <w:rPr>
                                <w:rFonts w:ascii="arial" w:hAnsi="arial"/>
                                <w:sz w:val="19"/>
                              </w:rPr>
                            </w:pPr>
                            <w:r>
                              <w:rPr>
                                <w:rFonts w:ascii="arial" w:hAnsi="arial"/>
                                <w:b/>
                                <w:i/>
                                <w:color w:val="0171B9"/>
                                <w:sz w:val="19"/>
                              </w:rPr>
                              <w:t>Management Proposals (Advisory Vote to Approve Our Executive Compensation, Approval of Our Equity Incentive Plan, and Ratification of Ernst &amp; Young LLP).</w:t>
                            </w:r>
                            <w:r>
                              <w:rPr>
                                <w:rFonts w:ascii="arial" w:hAnsi="arial"/>
                                <w:sz w:val="19"/>
                              </w:rPr>
                              <w:t xml:space="preserve"> The advisory vote to approve our executive compensation, the approval of our Equity Incentive Plan, and the ratification of the selection of Ernst &amp; Young LLP requires the affirmative votes of the holders of a majority of the shares present or represented by proxy at the Annual Meeting and entitled to vote on the matter. Abstentions will have the same effect as votes “against” each proposal. </w:t>
                            </w:r>
                          </w:p>
                          <w:p>
                            <w:pPr>
                              <w:pStyle w:val="TextBody"/>
                              <w:bidi w:val="0"/>
                              <w:spacing w:before="120" w:after="0"/>
                              <w:jc w:val="both"/>
                              <w:rPr>
                                <w:rFonts w:ascii="arial" w:hAnsi="arial"/>
                                <w:sz w:val="19"/>
                              </w:rPr>
                            </w:pPr>
                            <w:r>
                              <w:rPr>
                                <w:rFonts w:ascii="arial" w:hAnsi="arial"/>
                                <w:sz w:val="19"/>
                              </w:rPr>
                              <w:t xml:space="preserve">Because brokers have discretionary authority to vote on the ratification of the selection of Ernst &amp; Young LLP, we do not expect any broker non-votes in connection with the ratification. Brokers do not have discretionary authority to vote on the advisory vote to approve our executive compensation or our Equity Incentive Plan. Broker non-votes on these proposals will have no effect on these proposals as brokers are not entitled to vote on such proposal in the absence of voting instructions from the beneficial owner.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35.2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by the shares in attendance at the Annual Meeting or represented by proxy. A “majority of the votes cast” means that the number of votes cast “for” a director nominee exceeds the number of votes cast “against” the nominee. For these purposes, abstentions and broker non-votes will not count as a vote “for” or “against” a nominee’s election and thus will have no effect in determining whether a director nominee has received a majority of the votes cast. Brokers do not have discretionary authority to vote on this proposal. If a director nominee is an incumbent director and does not receive a majority of the votes cast in an uncontested election, that director will continue to serve on the Board as a “holdover” director, but must tender his or her resignation contingent upon acceptance by the Board to the Board promptly after certification of the election results of the stockholder vote. The Governance and Nominating Committee of the Board will then recommend to the Board whether to accept the resignation or whether other action should be taken. The Board will act on the tendered resignation, taking into account the recommendation of the Governance and Nominating Committee, and the Board’s decision will be publicly disclosed within 90 days after certification of the election results of the stockholder vote. A director who tenders his or her resignation after failing to receive a majority of the votes cast will not participate in the recommendation of the Governance and Nominating Committee or the decision of the Board with respect to his or her resignation. </w:t>
                      </w:r>
                    </w:p>
                    <w:p>
                      <w:pPr>
                        <w:pStyle w:val="TextBody"/>
                        <w:bidi w:val="0"/>
                        <w:spacing w:before="120" w:after="0"/>
                        <w:jc w:val="both"/>
                        <w:rPr>
                          <w:rFonts w:ascii="arial" w:hAnsi="arial"/>
                          <w:sz w:val="19"/>
                        </w:rPr>
                      </w:pPr>
                      <w:r>
                        <w:rPr>
                          <w:rFonts w:ascii="arial" w:hAnsi="arial"/>
                          <w:b/>
                          <w:i/>
                          <w:color w:val="0171B9"/>
                          <w:sz w:val="19"/>
                        </w:rPr>
                        <w:t>Management Proposals (Advisory Vote to Approve Our Executive Compensation, Approval of Our Equity Incentive Plan, and Ratification of Ernst &amp; Young LLP).</w:t>
                      </w:r>
                      <w:r>
                        <w:rPr>
                          <w:rFonts w:ascii="arial" w:hAnsi="arial"/>
                          <w:sz w:val="19"/>
                        </w:rPr>
                        <w:t xml:space="preserve"> The advisory vote to approve our executive compensation, the approval of our Equity Incentive Plan, and the ratification of the selection of Ernst &amp; Young LLP requires the affirmative votes of the holders of a majority of the shares present or represented by proxy at the Annual Meeting and entitled to vote on the matter. Abstentions will have the same effect as votes “against” each proposal. </w:t>
                      </w:r>
                    </w:p>
                    <w:p>
                      <w:pPr>
                        <w:pStyle w:val="TextBody"/>
                        <w:bidi w:val="0"/>
                        <w:spacing w:before="120" w:after="0"/>
                        <w:jc w:val="both"/>
                        <w:rPr>
                          <w:rFonts w:ascii="arial" w:hAnsi="arial"/>
                          <w:sz w:val="19"/>
                        </w:rPr>
                      </w:pPr>
                      <w:r>
                        <w:rPr>
                          <w:rFonts w:ascii="arial" w:hAnsi="arial"/>
                          <w:sz w:val="19"/>
                        </w:rPr>
                        <w:t xml:space="preserve">Because brokers have discretionary authority to vote on the ratification of the selection of Ernst &amp; Young LLP, we do not expect any broker non-votes in connection with the ratification. Brokers do not have discretionary authority to vote on the advisory vote to approve our executive compensation or our Equity Incentive Plan. Broker non-votes on these proposals will have no effect on these proposals as brokers are not entitled to vote on such proposal in the absence of voting instructions from the beneficial owner.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428"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Image198" descr=""/>
                    <pic:cNvPicPr>
                      <a:picLocks noChangeAspect="1" noChangeArrowheads="1"/>
                    </pic:cNvPicPr>
                  </pic:nvPicPr>
                  <pic:blipFill>
                    <a:blip r:embed="rId211"/>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131</w:t>
      </w:r>
      <w:r>
        <w:rPr>
          <w:rFonts w:ascii="arial" w:hAnsi="arial"/>
          <w:b/>
          <w:sz w:val="22"/>
        </w:rPr>
        <w:t xml:space="preserve"> </w:t>
      </w:r>
      <w:r>
        <w:br w:type="page"/>
      </w:r>
    </w:p>
    <w:p>
      <w:pPr>
        <w:pStyle w:val="HorizontalLine"/>
        <w:bidi w:val="0"/>
        <w:jc w:val="left"/>
        <w:rPr/>
      </w:pPr>
      <w:r>
        <w:rPr/>
      </w:r>
    </w:p>
    <w:tbl>
      <w:tblPr>
        <w:tblW w:w="5857"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537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5375"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Information Concerning Voting and Solicitation</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456">
                <wp:simplePos x="0" y="0"/>
                <wp:positionH relativeFrom="column">
                  <wp:align>left</wp:align>
                </wp:positionH>
                <wp:positionV relativeFrom="line">
                  <wp:posOffset>635</wp:posOffset>
                </wp:positionV>
                <wp:extent cx="3110230" cy="5915660"/>
                <wp:effectExtent l="0" t="0" r="0" b="0"/>
                <wp:wrapSquare wrapText="right"/>
                <wp:docPr id="429" name="Frame219"/>
                <a:graphic xmlns:a="http://schemas.openxmlformats.org/drawingml/2006/main">
                  <a:graphicData uri="http://schemas.microsoft.com/office/word/2010/wordprocessingShape">
                    <wps:wsp>
                      <wps:cNvSpPr txBox="1"/>
                      <wps:spPr>
                        <a:xfrm>
                          <a:off x="0" y="0"/>
                          <a:ext cx="3110230" cy="5915660"/>
                        </a:xfrm>
                        <a:prstGeom prst="rect"/>
                        <a:solidFill>
                          <a:srgbClr val="FFFFFF"/>
                        </a:solidFill>
                      </wps:spPr>
                      <wps:txbx>
                        <w:txbxContent>
                          <w:p>
                            <w:pPr>
                              <w:pStyle w:val="TextBody"/>
                              <w:bidi w:val="0"/>
                              <w:spacing w:before="0" w:after="0"/>
                              <w:jc w:val="left"/>
                              <w:rPr>
                                <w:rFonts w:ascii="arial" w:hAnsi="arial"/>
                                <w:b/>
                                <w:sz w:val="24"/>
                              </w:rPr>
                            </w:pPr>
                            <w:r>
                              <w:rPr>
                                <w:rFonts w:ascii="arial" w:hAnsi="arial"/>
                                <w:b/>
                                <w:sz w:val="24"/>
                              </w:rPr>
                              <w:t xml:space="preserve">Solicitation of Proxies </w:t>
                            </w:r>
                          </w:p>
                          <w:p>
                            <w:pPr>
                              <w:pStyle w:val="TextBody"/>
                              <w:bidi w:val="0"/>
                              <w:spacing w:before="120" w:after="0"/>
                              <w:jc w:val="both"/>
                              <w:rPr>
                                <w:rFonts w:ascii="arial" w:hAnsi="arial"/>
                                <w:sz w:val="19"/>
                              </w:rPr>
                            </w:pPr>
                            <w:r>
                              <w:rPr>
                                <w:rFonts w:ascii="arial" w:hAnsi="arial"/>
                                <w:sz w:val="19"/>
                              </w:rPr>
                              <w:t xml:space="preserve">We will bear the entire cost of solicitation of proxies, including preparation, assembly, and mailing of this proxy statement, the proxy card, the Notice, and any additional information furnished to stockholders. Copies of solicitation materials will be furnished to banks, brokerage houses, fiduciaries, and custodians holding shares of our Common Stock in their names that are beneficially owned by others to forward to those beneficial owners. We may reimburse persons representing beneficial owners for their costs of forwarding the solicitation materials to the beneficial owners. Original solicitation of proxies may be supplemented by telephone, facsimile, electronic mail, or personal solicitation by our directors, officers, or staff members. No additional compensation will be paid to our directors, officers, or staff members for such services. In addition, we have retained D.F. King &amp; Co. to assist in the solicitation of proxies for a fee of approximately $100,000 plus distribution costs and other costs and expenses. A list of stockholders entitled to vote at the Annual Meeting will be available upon request to our Secretary for examination by any stockholder for any purpose germane to the Annual Meeting at the Company’s principal executive offices at One Amgen Center Drive, Thousand Oaks, California 91320-1799 during ordinary business hours for the ten days prior to the Annual Meeting. </w:t>
                            </w:r>
                          </w:p>
                          <w:p>
                            <w:pPr>
                              <w:pStyle w:val="TextBody"/>
                              <w:bidi w:val="0"/>
                              <w:spacing w:before="240" w:after="0"/>
                              <w:jc w:val="left"/>
                              <w:rPr>
                                <w:rFonts w:ascii="arial" w:hAnsi="arial"/>
                                <w:b/>
                                <w:sz w:val="24"/>
                              </w:rPr>
                            </w:pPr>
                            <w:r>
                              <w:rPr>
                                <w:rFonts w:ascii="arial" w:hAnsi="arial"/>
                                <w:b/>
                                <w:sz w:val="24"/>
                              </w:rPr>
                              <w:t xml:space="preserve">Attendance at the Annual Meeting </w:t>
                            </w:r>
                          </w:p>
                          <w:p>
                            <w:pPr>
                              <w:pStyle w:val="TextBody"/>
                              <w:bidi w:val="0"/>
                              <w:spacing w:before="120" w:after="0"/>
                              <w:jc w:val="both"/>
                              <w:rPr>
                                <w:rFonts w:ascii="arial" w:hAnsi="arial"/>
                                <w:sz w:val="19"/>
                              </w:rPr>
                            </w:pPr>
                            <w:r>
                              <w:rPr>
                                <w:rFonts w:ascii="arial" w:hAnsi="arial"/>
                                <w:sz w:val="19"/>
                              </w:rPr>
                              <w:t xml:space="preserve">Our Annual Meeting will be held solely by remote communication via the internet at </w:t>
                            </w:r>
                            <w:r>
                              <w:rPr>
                                <w:rFonts w:ascii="arial" w:hAnsi="arial"/>
                                <w:i/>
                                <w:color w:val="0171B9"/>
                                <w:sz w:val="19"/>
                              </w:rPr>
                              <w:t>www.virtualshareholder meeting.com/AMGN2024</w:t>
                            </w:r>
                            <w:r>
                              <w:rPr>
                                <w:rFonts w:ascii="arial" w:hAnsi="arial"/>
                                <w:sz w:val="19"/>
                              </w:rPr>
                              <w:t xml:space="preserve">. You will be able to attend the Annual Meeting virtually, but not in person. The live audio webcast of the Annual Meeting will begin promptly at 11:00 A.M., Pacific Time. Stockholders or their proxyholders may participate and vote at our Annual Meeting via the internet at </w:t>
                            </w:r>
                            <w:r>
                              <w:rPr>
                                <w:rFonts w:ascii="arial" w:hAnsi="arial"/>
                                <w:i/>
                                <w:color w:val="0171B9"/>
                                <w:sz w:val="19"/>
                              </w:rPr>
                              <w:t>www.virtualshareholdermeeting.com/AMGN2024</w:t>
                            </w:r>
                            <w:r>
                              <w:rPr>
                                <w:rFonts w:ascii="arial" w:hAnsi="arial"/>
                                <w:sz w:val="19"/>
                              </w:rPr>
                              <w:t xml:space="preserve"> and using your control number. We encourage our stockholders to access the meeting approximately 15 minutes in advance of the designated start time to test their devices’ audio systems.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65.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sz w:val="24"/>
                        </w:rPr>
                      </w:pPr>
                      <w:r>
                        <w:rPr>
                          <w:rFonts w:ascii="arial" w:hAnsi="arial"/>
                          <w:b/>
                          <w:sz w:val="24"/>
                        </w:rPr>
                        <w:t xml:space="preserve">Solicitation of Proxies </w:t>
                      </w:r>
                    </w:p>
                    <w:p>
                      <w:pPr>
                        <w:pStyle w:val="TextBody"/>
                        <w:bidi w:val="0"/>
                        <w:spacing w:before="120" w:after="0"/>
                        <w:jc w:val="both"/>
                        <w:rPr>
                          <w:rFonts w:ascii="arial" w:hAnsi="arial"/>
                          <w:sz w:val="19"/>
                        </w:rPr>
                      </w:pPr>
                      <w:r>
                        <w:rPr>
                          <w:rFonts w:ascii="arial" w:hAnsi="arial"/>
                          <w:sz w:val="19"/>
                        </w:rPr>
                        <w:t xml:space="preserve">We will bear the entire cost of solicitation of proxies, including preparation, assembly, and mailing of this proxy statement, the proxy card, the Notice, and any additional information furnished to stockholders. Copies of solicitation materials will be furnished to banks, brokerage houses, fiduciaries, and custodians holding shares of our Common Stock in their names that are beneficially owned by others to forward to those beneficial owners. We may reimburse persons representing beneficial owners for their costs of forwarding the solicitation materials to the beneficial owners. Original solicitation of proxies may be supplemented by telephone, facsimile, electronic mail, or personal solicitation by our directors, officers, or staff members. No additional compensation will be paid to our directors, officers, or staff members for such services. In addition, we have retained D.F. King &amp; Co. to assist in the solicitation of proxies for a fee of approximately $100,000 plus distribution costs and other costs and expenses. A list of stockholders entitled to vote at the Annual Meeting will be available upon request to our Secretary for examination by any stockholder for any purpose germane to the Annual Meeting at the Company’s principal executive offices at One Amgen Center Drive, Thousand Oaks, California 91320-1799 during ordinary business hours for the ten days prior to the Annual Meeting. </w:t>
                      </w:r>
                    </w:p>
                    <w:p>
                      <w:pPr>
                        <w:pStyle w:val="TextBody"/>
                        <w:bidi w:val="0"/>
                        <w:spacing w:before="240" w:after="0"/>
                        <w:jc w:val="left"/>
                        <w:rPr>
                          <w:rFonts w:ascii="arial" w:hAnsi="arial"/>
                          <w:b/>
                          <w:sz w:val="24"/>
                        </w:rPr>
                      </w:pPr>
                      <w:r>
                        <w:rPr>
                          <w:rFonts w:ascii="arial" w:hAnsi="arial"/>
                          <w:b/>
                          <w:sz w:val="24"/>
                        </w:rPr>
                        <w:t xml:space="preserve">Attendance at the Annual Meeting </w:t>
                      </w:r>
                    </w:p>
                    <w:p>
                      <w:pPr>
                        <w:pStyle w:val="TextBody"/>
                        <w:bidi w:val="0"/>
                        <w:spacing w:before="120" w:after="0"/>
                        <w:jc w:val="both"/>
                        <w:rPr>
                          <w:rFonts w:ascii="arial" w:hAnsi="arial"/>
                          <w:sz w:val="19"/>
                        </w:rPr>
                      </w:pPr>
                      <w:r>
                        <w:rPr>
                          <w:rFonts w:ascii="arial" w:hAnsi="arial"/>
                          <w:sz w:val="19"/>
                        </w:rPr>
                        <w:t xml:space="preserve">Our Annual Meeting will be held solely by remote communication via the internet at </w:t>
                      </w:r>
                      <w:r>
                        <w:rPr>
                          <w:rFonts w:ascii="arial" w:hAnsi="arial"/>
                          <w:i/>
                          <w:color w:val="0171B9"/>
                          <w:sz w:val="19"/>
                        </w:rPr>
                        <w:t>www.virtualshareholder meeting.com/AMGN2024</w:t>
                      </w:r>
                      <w:r>
                        <w:rPr>
                          <w:rFonts w:ascii="arial" w:hAnsi="arial"/>
                          <w:sz w:val="19"/>
                        </w:rPr>
                        <w:t xml:space="preserve">. You will be able to attend the Annual Meeting virtually, but not in person. The live audio webcast of the Annual Meeting will begin promptly at 11:00 A.M., Pacific Time. Stockholders or their proxyholders may participate and vote at our Annual Meeting via the internet at </w:t>
                      </w:r>
                      <w:r>
                        <w:rPr>
                          <w:rFonts w:ascii="arial" w:hAnsi="arial"/>
                          <w:i/>
                          <w:color w:val="0171B9"/>
                          <w:sz w:val="19"/>
                        </w:rPr>
                        <w:t>www.virtualshareholdermeeting.com/AMGN2024</w:t>
                      </w:r>
                      <w:r>
                        <w:rPr>
                          <w:rFonts w:ascii="arial" w:hAnsi="arial"/>
                          <w:sz w:val="19"/>
                        </w:rPr>
                        <w:t xml:space="preserve"> and using your control number. We encourage our stockholders to access the meeting approximately 15 minutes in advance of the designated start time to test their devices’ audio systems. </w:t>
                      </w:r>
                    </w:p>
                  </w:txbxContent>
                </v:textbox>
                <w10:wrap type="square" side="right"/>
              </v:rect>
            </w:pict>
          </mc:Fallback>
        </mc:AlternateContent>
      </w:r>
      <w:r>
        <mc:AlternateContent>
          <mc:Choice Requires="wps">
            <w:drawing>
              <wp:anchor behindDoc="0" distT="0" distB="0" distL="0" distR="0" simplePos="0" locked="0" layoutInCell="1" allowOverlap="1" relativeHeight="457">
                <wp:simplePos x="0" y="0"/>
                <wp:positionH relativeFrom="column">
                  <wp:align>left</wp:align>
                </wp:positionH>
                <wp:positionV relativeFrom="line">
                  <wp:posOffset>635</wp:posOffset>
                </wp:positionV>
                <wp:extent cx="3175000" cy="3692525"/>
                <wp:effectExtent l="0" t="0" r="0" b="0"/>
                <wp:wrapSquare wrapText="right"/>
                <wp:docPr id="430" name="Frame220"/>
                <a:graphic xmlns:a="http://schemas.openxmlformats.org/drawingml/2006/main">
                  <a:graphicData uri="http://schemas.microsoft.com/office/word/2010/wordprocessingShape">
                    <wps:wsp>
                      <wps:cNvSpPr txBox="1"/>
                      <wps:spPr>
                        <a:xfrm>
                          <a:off x="0" y="0"/>
                          <a:ext cx="3175000" cy="3692525"/>
                        </a:xfrm>
                        <a:prstGeom prst="rect"/>
                        <a:solidFill>
                          <a:srgbClr val="FFFFFF"/>
                        </a:solidFill>
                      </wps:spPr>
                      <wps:txbx>
                        <w:txbxContent>
                          <w:p>
                            <w:pPr>
                              <w:pStyle w:val="TextBody"/>
                              <w:bidi w:val="0"/>
                              <w:spacing w:before="0" w:after="0"/>
                              <w:jc w:val="left"/>
                              <w:rPr>
                                <w:rFonts w:ascii="arial" w:hAnsi="arial"/>
                                <w:b/>
                                <w:sz w:val="24"/>
                              </w:rPr>
                            </w:pPr>
                            <w:r>
                              <w:rPr>
                                <w:rFonts w:ascii="arial" w:hAnsi="arial"/>
                                <w:b/>
                                <w:sz w:val="24"/>
                              </w:rPr>
                              <w:t xml:space="preserve">Submitting Questions at the Annual Meeting </w:t>
                            </w:r>
                          </w:p>
                          <w:p>
                            <w:pPr>
                              <w:pStyle w:val="TextBody"/>
                              <w:bidi w:val="0"/>
                              <w:spacing w:before="120" w:after="0"/>
                              <w:jc w:val="both"/>
                              <w:rPr>
                                <w:rFonts w:ascii="arial" w:hAnsi="arial"/>
                                <w:sz w:val="19"/>
                              </w:rPr>
                            </w:pPr>
                            <w:r>
                              <w:rPr>
                                <w:rFonts w:ascii="arial" w:hAnsi="arial"/>
                                <w:sz w:val="19"/>
                              </w:rPr>
                              <w:t xml:space="preserve">Once online access to the Annual Meeting is open, stockholders may submit questions, if any, on </w:t>
                            </w:r>
                            <w:r>
                              <w:rPr>
                                <w:rFonts w:ascii="arial" w:hAnsi="arial"/>
                                <w:i/>
                                <w:color w:val="0171B9"/>
                                <w:sz w:val="19"/>
                              </w:rPr>
                              <w:t>www.virtual shareholdermeeting.com/AMGN2024</w:t>
                            </w:r>
                            <w:r>
                              <w:rPr>
                                <w:rFonts w:ascii="arial" w:hAnsi="arial"/>
                                <w:sz w:val="19"/>
                              </w:rPr>
                              <w:t xml:space="preserve">. To demonstrate proof of stock ownership, you will need to enter the control number provided with your Notice, proxy card, or voting instruction form to submit questions and vote at our Annual Meeting. Questions pertinent to meeting matters and that are submitted in accordance with our Rules of Conduct for the Annual Meeting will be answered during the meeting, subject to applicable time constraints.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6" w:space="0" w:color="0171B9"/>
                                    <w:left w:val="single" w:sz="6" w:space="0" w:color="0171B9"/>
                                    <w:bottom w:val="single" w:sz="6" w:space="0" w:color="0171B9"/>
                                    <w:right w:val="single" w:sz="6" w:space="0" w:color="0171B9"/>
                                  </w:tcBorders>
                                  <w:tcMar>
                                    <w:top w:w="28" w:type="dxa"/>
                                    <w:left w:w="160"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24"/>
                                    </w:rPr>
                                  </w:pPr>
                                  <w:r>
                                    <w:rPr>
                                      <w:rFonts w:ascii="arial" w:hAnsi="arial"/>
                                      <w:b/>
                                      <w:sz w:val="24"/>
                                    </w:rPr>
                                    <w:t>Technical Assistance</w:t>
                                  </w:r>
                                </w:p>
                                <w:p>
                                  <w:pPr>
                                    <w:pStyle w:val="TableContents"/>
                                    <w:bidi w:val="0"/>
                                    <w:spacing w:before="0" w:after="0"/>
                                    <w:jc w:val="left"/>
                                    <w:rPr/>
                                  </w:pPr>
                                  <w:r>
                                    <w:rPr/>
                                    <w:t> </w:t>
                                  </w:r>
                                </w:p>
                                <w:p>
                                  <w:pPr>
                                    <w:pStyle w:val="TableContents"/>
                                    <w:bidi w:val="0"/>
                                    <w:spacing w:before="0" w:after="0"/>
                                    <w:jc w:val="both"/>
                                    <w:rPr>
                                      <w:rFonts w:ascii="arial" w:hAnsi="arial"/>
                                      <w:sz w:val="19"/>
                                    </w:rPr>
                                  </w:pPr>
                                  <w:r>
                                    <w:rPr>
                                      <w:rFonts w:ascii="arial" w:hAnsi="arial"/>
                                      <w:sz w:val="19"/>
                                    </w:rPr>
                                    <w:t>Beginning immediately prior to the start of and during the virtual Annual Meeting, we will have a support team ready to assist stockholders with any technical difficulties they may have accessing or hearing the virtual meeting. If you encounter any difficulties accessing the virtual meeting, please call our support team at 844-976-0738 (U.S.) or 303-562-9301 (International).</w:t>
                                  </w:r>
                                </w:p>
                                <w:p>
                                  <w:pPr>
                                    <w:pStyle w:val="TableContents"/>
                                    <w:bidi w:val="0"/>
                                    <w:spacing w:before="0" w:after="20"/>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90.7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sz w:val="24"/>
                        </w:rPr>
                      </w:pPr>
                      <w:r>
                        <w:rPr>
                          <w:rFonts w:ascii="arial" w:hAnsi="arial"/>
                          <w:b/>
                          <w:sz w:val="24"/>
                        </w:rPr>
                        <w:t xml:space="preserve">Submitting Questions at the Annual Meeting </w:t>
                      </w:r>
                    </w:p>
                    <w:p>
                      <w:pPr>
                        <w:pStyle w:val="TextBody"/>
                        <w:bidi w:val="0"/>
                        <w:spacing w:before="120" w:after="0"/>
                        <w:jc w:val="both"/>
                        <w:rPr>
                          <w:rFonts w:ascii="arial" w:hAnsi="arial"/>
                          <w:sz w:val="19"/>
                        </w:rPr>
                      </w:pPr>
                      <w:r>
                        <w:rPr>
                          <w:rFonts w:ascii="arial" w:hAnsi="arial"/>
                          <w:sz w:val="19"/>
                        </w:rPr>
                        <w:t xml:space="preserve">Once online access to the Annual Meeting is open, stockholders may submit questions, if any, on </w:t>
                      </w:r>
                      <w:r>
                        <w:rPr>
                          <w:rFonts w:ascii="arial" w:hAnsi="arial"/>
                          <w:i/>
                          <w:color w:val="0171B9"/>
                          <w:sz w:val="19"/>
                        </w:rPr>
                        <w:t>www.virtual shareholdermeeting.com/AMGN2024</w:t>
                      </w:r>
                      <w:r>
                        <w:rPr>
                          <w:rFonts w:ascii="arial" w:hAnsi="arial"/>
                          <w:sz w:val="19"/>
                        </w:rPr>
                        <w:t xml:space="preserve">. To demonstrate proof of stock ownership, you will need to enter the control number provided with your Notice, proxy card, or voting instruction form to submit questions and vote at our Annual Meeting. Questions pertinent to meeting matters and that are submitted in accordance with our Rules of Conduct for the Annual Meeting will be answered during the meeting, subject to applicable time constraints.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6" w:space="0" w:color="0171B9"/>
                              <w:left w:val="single" w:sz="6" w:space="0" w:color="0171B9"/>
                              <w:bottom w:val="single" w:sz="6" w:space="0" w:color="0171B9"/>
                              <w:right w:val="single" w:sz="6" w:space="0" w:color="0171B9"/>
                            </w:tcBorders>
                            <w:tcMar>
                              <w:top w:w="28" w:type="dxa"/>
                              <w:left w:w="160"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b/>
                                <w:sz w:val="24"/>
                              </w:rPr>
                            </w:pPr>
                            <w:r>
                              <w:rPr>
                                <w:rFonts w:ascii="arial" w:hAnsi="arial"/>
                                <w:b/>
                                <w:sz w:val="24"/>
                              </w:rPr>
                              <w:t>Technical Assistance</w:t>
                            </w:r>
                          </w:p>
                          <w:p>
                            <w:pPr>
                              <w:pStyle w:val="TableContents"/>
                              <w:bidi w:val="0"/>
                              <w:spacing w:before="0" w:after="0"/>
                              <w:jc w:val="left"/>
                              <w:rPr/>
                            </w:pPr>
                            <w:r>
                              <w:rPr/>
                              <w:t> </w:t>
                            </w:r>
                          </w:p>
                          <w:p>
                            <w:pPr>
                              <w:pStyle w:val="TableContents"/>
                              <w:bidi w:val="0"/>
                              <w:spacing w:before="0" w:after="0"/>
                              <w:jc w:val="both"/>
                              <w:rPr>
                                <w:rFonts w:ascii="arial" w:hAnsi="arial"/>
                                <w:sz w:val="19"/>
                              </w:rPr>
                            </w:pPr>
                            <w:r>
                              <w:rPr>
                                <w:rFonts w:ascii="arial" w:hAnsi="arial"/>
                                <w:sz w:val="19"/>
                              </w:rPr>
                              <w:t>Beginning immediately prior to the start of and during the virtual Annual Meeting, we will have a support team ready to assist stockholders with any technical difficulties they may have accessing or hearing the virtual meeting. If you encounter any difficulties accessing the virtual meeting, please call our support team at 844-976-0738 (U.S.) or 303-562-9301 (International).</w:t>
                            </w:r>
                          </w:p>
                          <w:p>
                            <w:pPr>
                              <w:pStyle w:val="TableContents"/>
                              <w:bidi w:val="0"/>
                              <w:spacing w:before="0" w:after="20"/>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132  </w:t>
      </w:r>
      <w:r>
        <w:rPr>
          <w:rFonts w:ascii="arial" w:hAnsi="arial"/>
          <w:b/>
          <w:color w:val="474747"/>
          <w:sz w:val="22"/>
        </w:rPr>
        <w:drawing>
          <wp:inline distT="0" distB="0" distL="0" distR="0">
            <wp:extent cx="64770" cy="15240"/>
            <wp:effectExtent l="0" t="0" r="0" b="0"/>
            <wp:docPr id="431"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 name="Image199" descr=""/>
                    <pic:cNvPicPr>
                      <a:picLocks noChangeAspect="1" noChangeArrowheads="1"/>
                    </pic:cNvPicPr>
                  </pic:nvPicPr>
                  <pic:blipFill>
                    <a:blip r:embed="rId212"/>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203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155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155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Other Matters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171B9"/>
          <w:sz w:val="44"/>
        </w:rPr>
      </w:pPr>
      <w:bookmarkStart w:id="71" w:name="toc445034_58"/>
      <w:bookmarkEnd w:id="71"/>
      <w:r>
        <w:rPr>
          <w:rFonts w:ascii="arial" w:hAnsi="arial"/>
          <w:b/>
          <w:color w:val="0171B9"/>
          <w:sz w:val="44"/>
        </w:rPr>
        <w:t xml:space="preserve">Other Matters </w:t>
      </w:r>
    </w:p>
    <w:p>
      <w:pPr>
        <w:pStyle w:val="TextBody"/>
        <w:bidi w:val="0"/>
        <w:spacing w:before="120" w:after="0"/>
        <w:jc w:val="left"/>
        <w:rPr>
          <w:rFonts w:ascii="arial" w:hAnsi="arial"/>
          <w:b/>
          <w:color w:val="0171B9"/>
          <w:sz w:val="28"/>
        </w:rPr>
      </w:pPr>
      <w:r>
        <w:rPr>
          <w:rFonts w:ascii="arial" w:hAnsi="arial"/>
          <w:b/>
          <w:color w:val="0171B9"/>
          <w:sz w:val="28"/>
        </w:rPr>
        <w:t xml:space="preserve">Stockholder Proposals for the 2025 Annual Meeting </w:t>
      </w:r>
    </w:p>
    <w:p>
      <w:pPr>
        <w:pStyle w:val="TextBody"/>
        <w:pBdr>
          <w:bottom w:val="single" w:sz="2" w:space="1" w:color="666666"/>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458">
                <wp:simplePos x="0" y="0"/>
                <wp:positionH relativeFrom="column">
                  <wp:align>left</wp:align>
                </wp:positionH>
                <wp:positionV relativeFrom="line">
                  <wp:posOffset>635</wp:posOffset>
                </wp:positionV>
                <wp:extent cx="3110230" cy="6010910"/>
                <wp:effectExtent l="0" t="0" r="0" b="0"/>
                <wp:wrapSquare wrapText="right"/>
                <wp:docPr id="432" name="Frame221"/>
                <a:graphic xmlns:a="http://schemas.openxmlformats.org/drawingml/2006/main">
                  <a:graphicData uri="http://schemas.microsoft.com/office/word/2010/wordprocessingShape">
                    <wps:wsp>
                      <wps:cNvSpPr txBox="1"/>
                      <wps:spPr>
                        <a:xfrm>
                          <a:off x="0" y="0"/>
                          <a:ext cx="3110230" cy="6010910"/>
                        </a:xfrm>
                        <a:prstGeom prst="rect"/>
                        <a:solidFill>
                          <a:srgbClr val="FFFFFF"/>
                        </a:solidFill>
                      </wps:spPr>
                      <wps:txbx>
                        <w:txbxContent>
                          <w:p>
                            <w:pPr>
                              <w:pStyle w:val="TextBody"/>
                              <w:bidi w:val="0"/>
                              <w:spacing w:before="0" w:after="0"/>
                              <w:jc w:val="left"/>
                              <w:rPr>
                                <w:rFonts w:ascii="arial" w:hAnsi="arial"/>
                                <w:b/>
                                <w:sz w:val="22"/>
                              </w:rPr>
                            </w:pPr>
                            <w:r>
                              <w:rPr>
                                <w:rFonts w:ascii="arial" w:hAnsi="arial"/>
                                <w:b/>
                                <w:sz w:val="22"/>
                              </w:rPr>
                              <w:t xml:space="preserve">Stockholder Proposals and Director Nominees for Inclusion in our 2025 Proxy Statement </w:t>
                            </w:r>
                          </w:p>
                          <w:p>
                            <w:pPr>
                              <w:pStyle w:val="TextBody"/>
                              <w:bidi w:val="0"/>
                              <w:spacing w:before="120" w:after="0"/>
                              <w:jc w:val="both"/>
                              <w:rPr>
                                <w:rFonts w:ascii="arial" w:hAnsi="arial"/>
                                <w:sz w:val="19"/>
                              </w:rPr>
                            </w:pPr>
                            <w:r>
                              <w:rPr>
                                <w:rFonts w:ascii="arial" w:hAnsi="arial"/>
                                <w:i/>
                                <w:color w:val="0171B9"/>
                                <w:sz w:val="19"/>
                              </w:rPr>
                              <w:t>Proposals Pursuant to Rule 14a-8</w:t>
                            </w:r>
                            <w:r>
                              <w:rPr>
                                <w:rFonts w:ascii="arial" w:hAnsi="arial"/>
                                <w:sz w:val="19"/>
                              </w:rPr>
                              <w:t xml:space="preserve">. Pursuant to Rule 14a-8 under the Exchange Act, stockholders may present proper proposals for inclusion in our proxy statement and for consideration at our 2025 annual meeting of stockholders. To be eligible for inclusion in our 2025 proxy statement, your proposal must be received by our Secretary at our principal executive offices at One Amgen Center Drive, Thousand Oaks, California 91320-1799 or by facsimile number (805) 499-6751, no later than December 18, 2024, and must otherwise comply with Rule 14a-8 under the Exchange Act. While our Board of Directors, or Board, will consider stockholder proposals, we reserve the right to omit from our proxy statement stockholder proposals that we are not required to include under the Exchange Act, including Rule 14a-8. </w:t>
                            </w:r>
                          </w:p>
                          <w:p>
                            <w:pPr>
                              <w:pStyle w:val="TextBody"/>
                              <w:bidi w:val="0"/>
                              <w:spacing w:before="120" w:after="0"/>
                              <w:jc w:val="both"/>
                              <w:rPr>
                                <w:rFonts w:ascii="arial" w:hAnsi="arial"/>
                                <w:sz w:val="19"/>
                              </w:rPr>
                            </w:pPr>
                            <w:r>
                              <w:rPr>
                                <w:rFonts w:ascii="arial" w:hAnsi="arial"/>
                                <w:i/>
                                <w:color w:val="0171B9"/>
                                <w:sz w:val="19"/>
                              </w:rPr>
                              <w:t>Director Nominations Pursuant to Our Bylaws</w:t>
                            </w:r>
                            <w:r>
                              <w:rPr>
                                <w:rFonts w:ascii="arial" w:hAnsi="arial"/>
                                <w:sz w:val="19"/>
                              </w:rPr>
                              <w:t xml:space="preserve">. Our Amended and Restated Bylaws of Amgen Inc., or Bylaws, permit an eligible stockholder, or group of up to 20 eligible stockholders, owning Amgen stock continuously for at least three years and shares representing an aggregate of at least 3% of our outstanding shares, to nominate and include in Amgen’s proxy materials director nominees constituting up to the greater of 20% of the Board or two directors, provided that the stockholder(s) and nominee(s) satisfy the requirements of the Bylaws (“Proxy Access”). To nominate a director pursuant to Proxy Access at the 2025 annual meeting of stockholders, you must comply with all of the procedures, information requirements, qualifications and conditions set forth in our Bylaws. A fully compliant nomination notice must be received by us no earlier than November 18, 2024, and no later than December 18, 2024, assuming the date of the 2025 annual meeting of stockholders is not more than thirty days before and not more than seventy days after the anniversary date of the 2024 Annual Meeting of Stockholders, or Annual Meeting, and such nomination notice must be delivered to our Secretary at our principal executive offices at One Amgen Center Drive, Thousand Oaks, California 91320-1799 or by facsimile number (805) 499-6751.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73.3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sz w:val="22"/>
                        </w:rPr>
                      </w:pPr>
                      <w:r>
                        <w:rPr>
                          <w:rFonts w:ascii="arial" w:hAnsi="arial"/>
                          <w:b/>
                          <w:sz w:val="22"/>
                        </w:rPr>
                        <w:t xml:space="preserve">Stockholder Proposals and Director Nominees for Inclusion in our 2025 Proxy Statement </w:t>
                      </w:r>
                    </w:p>
                    <w:p>
                      <w:pPr>
                        <w:pStyle w:val="TextBody"/>
                        <w:bidi w:val="0"/>
                        <w:spacing w:before="120" w:after="0"/>
                        <w:jc w:val="both"/>
                        <w:rPr>
                          <w:rFonts w:ascii="arial" w:hAnsi="arial"/>
                          <w:sz w:val="19"/>
                        </w:rPr>
                      </w:pPr>
                      <w:r>
                        <w:rPr>
                          <w:rFonts w:ascii="arial" w:hAnsi="arial"/>
                          <w:i/>
                          <w:color w:val="0171B9"/>
                          <w:sz w:val="19"/>
                        </w:rPr>
                        <w:t>Proposals Pursuant to Rule 14a-8</w:t>
                      </w:r>
                      <w:r>
                        <w:rPr>
                          <w:rFonts w:ascii="arial" w:hAnsi="arial"/>
                          <w:sz w:val="19"/>
                        </w:rPr>
                        <w:t xml:space="preserve">. Pursuant to Rule 14a-8 under the Exchange Act, stockholders may present proper proposals for inclusion in our proxy statement and for consideration at our 2025 annual meeting of stockholders. To be eligible for inclusion in our 2025 proxy statement, your proposal must be received by our Secretary at our principal executive offices at One Amgen Center Drive, Thousand Oaks, California 91320-1799 or by facsimile number (805) 499-6751, no later than December 18, 2024, and must otherwise comply with Rule 14a-8 under the Exchange Act. While our Board of Directors, or Board, will consider stockholder proposals, we reserve the right to omit from our proxy statement stockholder proposals that we are not required to include under the Exchange Act, including Rule 14a-8. </w:t>
                      </w:r>
                    </w:p>
                    <w:p>
                      <w:pPr>
                        <w:pStyle w:val="TextBody"/>
                        <w:bidi w:val="0"/>
                        <w:spacing w:before="120" w:after="0"/>
                        <w:jc w:val="both"/>
                        <w:rPr>
                          <w:rFonts w:ascii="arial" w:hAnsi="arial"/>
                          <w:sz w:val="19"/>
                        </w:rPr>
                      </w:pPr>
                      <w:r>
                        <w:rPr>
                          <w:rFonts w:ascii="arial" w:hAnsi="arial"/>
                          <w:i/>
                          <w:color w:val="0171B9"/>
                          <w:sz w:val="19"/>
                        </w:rPr>
                        <w:t>Director Nominations Pursuant to Our Bylaws</w:t>
                      </w:r>
                      <w:r>
                        <w:rPr>
                          <w:rFonts w:ascii="arial" w:hAnsi="arial"/>
                          <w:sz w:val="19"/>
                        </w:rPr>
                        <w:t xml:space="preserve">. Our Amended and Restated Bylaws of Amgen Inc., or Bylaws, permit an eligible stockholder, or group of up to 20 eligible stockholders, owning Amgen stock continuously for at least three years and shares representing an aggregate of at least 3% of our outstanding shares, to nominate and include in Amgen’s proxy materials director nominees constituting up to the greater of 20% of the Board or two directors, provided that the stockholder(s) and nominee(s) satisfy the requirements of the Bylaws (“Proxy Access”). To nominate a director pursuant to Proxy Access at the 2025 annual meeting of stockholders, you must comply with all of the procedures, information requirements, qualifications and conditions set forth in our Bylaws. A fully compliant nomination notice must be received by us no earlier than November 18, 2024, and no later than December 18, 2024, assuming the date of the 2025 annual meeting of stockholders is not more than thirty days before and not more than seventy days after the anniversary date of the 2024 Annual Meeting of Stockholders, or Annual Meeting, and such nomination notice must be delivered to our Secretary at our principal executive offices at One Amgen Center Drive, Thousand Oaks, California 91320-1799 or by facsimile number (805) 499-6751. </w:t>
                      </w:r>
                    </w:p>
                  </w:txbxContent>
                </v:textbox>
                <w10:wrap type="square" side="right"/>
              </v:rect>
            </w:pict>
          </mc:Fallback>
        </mc:AlternateContent>
      </w:r>
      <w:r>
        <mc:AlternateContent>
          <mc:Choice Requires="wps">
            <w:drawing>
              <wp:anchor behindDoc="0" distT="0" distB="0" distL="0" distR="0" simplePos="0" locked="0" layoutInCell="1" allowOverlap="1" relativeHeight="459">
                <wp:simplePos x="0" y="0"/>
                <wp:positionH relativeFrom="column">
                  <wp:align>left</wp:align>
                </wp:positionH>
                <wp:positionV relativeFrom="line">
                  <wp:posOffset>635</wp:posOffset>
                </wp:positionV>
                <wp:extent cx="3175000" cy="5970905"/>
                <wp:effectExtent l="0" t="0" r="0" b="0"/>
                <wp:wrapSquare wrapText="right"/>
                <wp:docPr id="433" name="Frame222"/>
                <a:graphic xmlns:a="http://schemas.openxmlformats.org/drawingml/2006/main">
                  <a:graphicData uri="http://schemas.microsoft.com/office/word/2010/wordprocessingShape">
                    <wps:wsp>
                      <wps:cNvSpPr txBox="1"/>
                      <wps:spPr>
                        <a:xfrm>
                          <a:off x="0" y="0"/>
                          <a:ext cx="3175000" cy="5970905"/>
                        </a:xfrm>
                        <a:prstGeom prst="rect"/>
                        <a:solidFill>
                          <a:srgbClr val="FFFFFF"/>
                        </a:solidFill>
                      </wps:spPr>
                      <wps:txbx>
                        <w:txbxContent>
                          <w:p>
                            <w:pPr>
                              <w:pStyle w:val="TextBody"/>
                              <w:bidi w:val="0"/>
                              <w:spacing w:before="0" w:after="0"/>
                              <w:jc w:val="left"/>
                              <w:rPr>
                                <w:rFonts w:ascii="arial" w:hAnsi="arial"/>
                                <w:b/>
                                <w:sz w:val="22"/>
                              </w:rPr>
                            </w:pPr>
                            <w:r>
                              <w:rPr>
                                <w:rFonts w:ascii="arial" w:hAnsi="arial"/>
                                <w:b/>
                                <w:sz w:val="22"/>
                              </w:rPr>
                              <w:t xml:space="preserve">Stockholder Proposals and Nominees Brought at the 2025 Annual Meeting Without Inclusion in our 2025 Proxy Statement </w:t>
                            </w:r>
                          </w:p>
                          <w:p>
                            <w:pPr>
                              <w:pStyle w:val="TextBody"/>
                              <w:bidi w:val="0"/>
                              <w:spacing w:before="120" w:after="0"/>
                              <w:jc w:val="both"/>
                              <w:rPr>
                                <w:rFonts w:ascii="arial" w:hAnsi="arial"/>
                                <w:sz w:val="19"/>
                              </w:rPr>
                            </w:pPr>
                            <w:r>
                              <w:rPr>
                                <w:rFonts w:ascii="arial" w:hAnsi="arial"/>
                                <w:i/>
                                <w:color w:val="0171B9"/>
                                <w:sz w:val="19"/>
                              </w:rPr>
                              <w:t>Business Proposals and Nominations Pursuant to our Bylaws</w:t>
                            </w:r>
                            <w:r>
                              <w:rPr>
                                <w:rFonts w:ascii="arial" w:hAnsi="arial"/>
                                <w:sz w:val="19"/>
                              </w:rPr>
                              <w:t xml:space="preserve">. To nominate a director or bring any other business before the stockholders at the 2025 annual meeting of stockholders that will not be included in our 2025 proxy statement pursuant to Rule 14a-8 or the Proxy Access provisions of our Bylaws, you must comply with all of the procedures, information requirements, qualifications and conditions set forth in our Bylaws. In addition, assuming the date of the 2025 annual meeting of stockholders is not more than thirty days before and not more than seventy days after the anniversary date of the Annual Meeting, you must notify us in writing and such notice must be delivered to our Secretary at our principal executive offices at One Amgen Center Drive, Thousand Oaks, California 91320-1799 or by facsimile number (805) 499-6751 no earlier than January 31, 2025, and no later than March 2, 2025. </w:t>
                            </w:r>
                          </w:p>
                          <w:p>
                            <w:pPr>
                              <w:pStyle w:val="TextBody"/>
                              <w:bidi w:val="0"/>
                              <w:spacing w:before="120" w:after="0"/>
                              <w:jc w:val="both"/>
                              <w:rPr>
                                <w:rFonts w:ascii="arial" w:hAnsi="arial"/>
                                <w:sz w:val="19"/>
                              </w:rPr>
                            </w:pPr>
                            <w:r>
                              <w:rPr>
                                <w:rFonts w:ascii="arial" w:hAnsi="arial"/>
                                <w:sz w:val="19"/>
                              </w:rPr>
                              <w:t xml:space="preserve">You may write to our Secretary at our principal executive offices at One Amgen Center Drive, Thousand Oaks, California 91320-1799 or by facsimile number (805) 499-6751, to deliver the notices discussed above and for a copy of the relevant Bylaw provisions regarding the requirements for making stockholder proposals and nominating director candidates pursuant to our Bylaws. Also, our Bylaws are filed with the SEC as an exhibit to our Exchange Act reports and can be accessed through the SEC’s EDGAR system. </w:t>
                            </w:r>
                          </w:p>
                          <w:p>
                            <w:pPr>
                              <w:pStyle w:val="TextBody"/>
                              <w:bidi w:val="0"/>
                              <w:spacing w:before="120" w:after="0"/>
                              <w:jc w:val="both"/>
                              <w:rPr>
                                <w:rFonts w:ascii="arial" w:hAnsi="arial"/>
                                <w:sz w:val="19"/>
                              </w:rPr>
                            </w:pPr>
                            <w:r>
                              <w:rPr>
                                <w:rFonts w:ascii="arial" w:hAnsi="arial"/>
                                <w:sz w:val="19"/>
                              </w:rPr>
                              <w:t xml:space="preserve">The Chair of the Annual Meeting has the sole authority to determine whether any nomination or other proposal has been properly brought before the meeting in accordance with our Bylaws. If we receive a proposal other than pursuant to Rule 14a-8 or a nomination for the 2025 annual meeting of stockholders, and such nomination or other proposal is not delivered within the time frame specified in our Bylaws, then the person(s) appointed by the Board and named in the proxies for the 2025 annual meeting of stockholders may exercise discretionary voting power if a vote is taken with respect to that nomination or other proposal.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70.1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sz w:val="22"/>
                        </w:rPr>
                      </w:pPr>
                      <w:r>
                        <w:rPr>
                          <w:rFonts w:ascii="arial" w:hAnsi="arial"/>
                          <w:b/>
                          <w:sz w:val="22"/>
                        </w:rPr>
                        <w:t xml:space="preserve">Stockholder Proposals and Nominees Brought at the 2025 Annual Meeting Without Inclusion in our 2025 Proxy Statement </w:t>
                      </w:r>
                    </w:p>
                    <w:p>
                      <w:pPr>
                        <w:pStyle w:val="TextBody"/>
                        <w:bidi w:val="0"/>
                        <w:spacing w:before="120" w:after="0"/>
                        <w:jc w:val="both"/>
                        <w:rPr>
                          <w:rFonts w:ascii="arial" w:hAnsi="arial"/>
                          <w:sz w:val="19"/>
                        </w:rPr>
                      </w:pPr>
                      <w:r>
                        <w:rPr>
                          <w:rFonts w:ascii="arial" w:hAnsi="arial"/>
                          <w:i/>
                          <w:color w:val="0171B9"/>
                          <w:sz w:val="19"/>
                        </w:rPr>
                        <w:t>Business Proposals and Nominations Pursuant to our Bylaws</w:t>
                      </w:r>
                      <w:r>
                        <w:rPr>
                          <w:rFonts w:ascii="arial" w:hAnsi="arial"/>
                          <w:sz w:val="19"/>
                        </w:rPr>
                        <w:t xml:space="preserve">. To nominate a director or bring any other business before the stockholders at the 2025 annual meeting of stockholders that will not be included in our 2025 proxy statement pursuant to Rule 14a-8 or the Proxy Access provisions of our Bylaws, you must comply with all of the procedures, information requirements, qualifications and conditions set forth in our Bylaws. In addition, assuming the date of the 2025 annual meeting of stockholders is not more than thirty days before and not more than seventy days after the anniversary date of the Annual Meeting, you must notify us in writing and such notice must be delivered to our Secretary at our principal executive offices at One Amgen Center Drive, Thousand Oaks, California 91320-1799 or by facsimile number (805) 499-6751 no earlier than January 31, 2025, and no later than March 2, 2025. </w:t>
                      </w:r>
                    </w:p>
                    <w:p>
                      <w:pPr>
                        <w:pStyle w:val="TextBody"/>
                        <w:bidi w:val="0"/>
                        <w:spacing w:before="120" w:after="0"/>
                        <w:jc w:val="both"/>
                        <w:rPr>
                          <w:rFonts w:ascii="arial" w:hAnsi="arial"/>
                          <w:sz w:val="19"/>
                        </w:rPr>
                      </w:pPr>
                      <w:r>
                        <w:rPr>
                          <w:rFonts w:ascii="arial" w:hAnsi="arial"/>
                          <w:sz w:val="19"/>
                        </w:rPr>
                        <w:t xml:space="preserve">You may write to our Secretary at our principal executive offices at One Amgen Center Drive, Thousand Oaks, California 91320-1799 or by facsimile number (805) 499-6751, to deliver the notices discussed above and for a copy of the relevant Bylaw provisions regarding the requirements for making stockholder proposals and nominating director candidates pursuant to our Bylaws. Also, our Bylaws are filed with the SEC as an exhibit to our Exchange Act reports and can be accessed through the SEC’s EDGAR system. </w:t>
                      </w:r>
                    </w:p>
                    <w:p>
                      <w:pPr>
                        <w:pStyle w:val="TextBody"/>
                        <w:bidi w:val="0"/>
                        <w:spacing w:before="120" w:after="0"/>
                        <w:jc w:val="both"/>
                        <w:rPr>
                          <w:rFonts w:ascii="arial" w:hAnsi="arial"/>
                          <w:sz w:val="19"/>
                        </w:rPr>
                      </w:pPr>
                      <w:r>
                        <w:rPr>
                          <w:rFonts w:ascii="arial" w:hAnsi="arial"/>
                          <w:sz w:val="19"/>
                        </w:rPr>
                        <w:t xml:space="preserve">The Chair of the Annual Meeting has the sole authority to determine whether any nomination or other proposal has been properly brought before the meeting in accordance with our Bylaws. If we receive a proposal other than pursuant to Rule 14a-8 or a nomination for the 2025 annual meeting of stockholders, and such nomination or other proposal is not delivered within the time frame specified in our Bylaws, then the person(s) appointed by the Board and named in the proxies for the 2025 annual meeting of stockholders may exercise discretionary voting power if a vote is taken with respect to that nomination or other proposal.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434"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Image200" descr=""/>
                    <pic:cNvPicPr>
                      <a:picLocks noChangeAspect="1" noChangeArrowheads="1"/>
                    </pic:cNvPicPr>
                  </pic:nvPicPr>
                  <pic:blipFill>
                    <a:blip r:embed="rId213"/>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133</w:t>
      </w:r>
      <w:r>
        <w:rPr>
          <w:rFonts w:ascii="arial" w:hAnsi="arial"/>
          <w:b/>
          <w:sz w:val="22"/>
        </w:rPr>
        <w:t xml:space="preserve"> </w:t>
      </w:r>
      <w:r>
        <w:br w:type="page"/>
      </w:r>
    </w:p>
    <w:p>
      <w:pPr>
        <w:pStyle w:val="HorizontalLine"/>
        <w:bidi w:val="0"/>
        <w:jc w:val="left"/>
        <w:rPr/>
      </w:pPr>
      <w:r>
        <w:rPr/>
      </w:r>
    </w:p>
    <w:tbl>
      <w:tblPr>
        <w:tblW w:w="203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155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155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Other Matters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460">
                <wp:simplePos x="0" y="0"/>
                <wp:positionH relativeFrom="column">
                  <wp:align>left</wp:align>
                </wp:positionH>
                <wp:positionV relativeFrom="line">
                  <wp:posOffset>635</wp:posOffset>
                </wp:positionV>
                <wp:extent cx="3110230" cy="969010"/>
                <wp:effectExtent l="0" t="0" r="0" b="0"/>
                <wp:wrapSquare wrapText="right"/>
                <wp:docPr id="435" name="Frame223"/>
                <a:graphic xmlns:a="http://schemas.openxmlformats.org/drawingml/2006/main">
                  <a:graphicData uri="http://schemas.microsoft.com/office/word/2010/wordprocessingShape">
                    <wps:wsp>
                      <wps:cNvSpPr txBox="1"/>
                      <wps:spPr>
                        <a:xfrm>
                          <a:off x="0" y="0"/>
                          <a:ext cx="3110230" cy="96901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In addition to satisfying the foregoing requirements under our Bylaws, to comply with the universal proxy rules, stockholders who intend to solicit proxies in support of director nominees other than the Company’s nominees must provide notice that sets forth the information required by Rule 14a-19 under the Exchange Act no later than April 1, 2025.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6.3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In addition to satisfying the foregoing requirements under our Bylaws, to comply with the universal proxy rules, stockholders who intend to solicit proxies in support of director nominees other than the Company’s nominees must provide notice that sets forth the information required by Rule 14a-19 under the Exchange Act no later than April 1, 2025. </w:t>
                      </w:r>
                    </w:p>
                  </w:txbxContent>
                </v:textbox>
                <w10:wrap type="square" side="right"/>
              </v:rect>
            </w:pict>
          </mc:Fallback>
        </mc:AlternateContent>
      </w:r>
      <w:r>
        <mc:AlternateContent>
          <mc:Choice Requires="wps">
            <w:drawing>
              <wp:anchor behindDoc="0" distT="0" distB="0" distL="0" distR="0" simplePos="0" locked="0" layoutInCell="1" allowOverlap="1" relativeHeight="461">
                <wp:simplePos x="0" y="0"/>
                <wp:positionH relativeFrom="column">
                  <wp:align>left</wp:align>
                </wp:positionH>
                <wp:positionV relativeFrom="line">
                  <wp:posOffset>635</wp:posOffset>
                </wp:positionV>
                <wp:extent cx="3175000" cy="1205865"/>
                <wp:effectExtent l="0" t="0" r="0" b="0"/>
                <wp:wrapSquare wrapText="right"/>
                <wp:docPr id="436" name="Frame224"/>
                <a:graphic xmlns:a="http://schemas.openxmlformats.org/drawingml/2006/main">
                  <a:graphicData uri="http://schemas.microsoft.com/office/word/2010/wordprocessingShape">
                    <wps:wsp>
                      <wps:cNvSpPr txBox="1"/>
                      <wps:spPr>
                        <a:xfrm>
                          <a:off x="0" y="0"/>
                          <a:ext cx="3175000" cy="1205865"/>
                        </a:xfrm>
                        <a:prstGeom prst="rect"/>
                        <a:solidFill>
                          <a:srgbClr val="FFFFFF"/>
                        </a:solidFill>
                      </wps:spPr>
                      <wps:txbx>
                        <w:txbxContent>
                          <w:p>
                            <w:pPr>
                              <w:pStyle w:val="TextBody"/>
                              <w:bidi w:val="0"/>
                              <w:spacing w:before="0" w:after="0"/>
                              <w:jc w:val="left"/>
                              <w:rPr>
                                <w:rFonts w:ascii="arial" w:hAnsi="arial"/>
                                <w:b/>
                                <w:sz w:val="22"/>
                              </w:rPr>
                            </w:pPr>
                            <w:r>
                              <w:rPr>
                                <w:rFonts w:ascii="arial" w:hAnsi="arial"/>
                                <w:b/>
                                <w:sz w:val="22"/>
                              </w:rPr>
                              <w:t xml:space="preserve">2025 Annual Meeting </w:t>
                            </w:r>
                          </w:p>
                          <w:p>
                            <w:pPr>
                              <w:pStyle w:val="TextBody"/>
                              <w:bidi w:val="0"/>
                              <w:spacing w:before="120" w:after="0"/>
                              <w:jc w:val="both"/>
                              <w:rPr>
                                <w:rFonts w:ascii="arial" w:hAnsi="arial"/>
                                <w:sz w:val="19"/>
                              </w:rPr>
                            </w:pPr>
                            <w:r>
                              <w:rPr>
                                <w:rFonts w:ascii="arial" w:hAnsi="arial"/>
                                <w:sz w:val="19"/>
                              </w:rPr>
                              <w:t xml:space="preserve">We intend to file a Proxy Statement and WHITE proxy card with the SEC in connection with its solicitation of proxies for our 2025 annual meeting of stockholders. Stockholders may obtain our Proxy Statement (and any amendments and supplements thereto) and other documents as and when filed by the Company with the SEC without charge from the SEC’s website at: www.sec.gov.(1)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94.9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sz w:val="22"/>
                        </w:rPr>
                      </w:pPr>
                      <w:r>
                        <w:rPr>
                          <w:rFonts w:ascii="arial" w:hAnsi="arial"/>
                          <w:b/>
                          <w:sz w:val="22"/>
                        </w:rPr>
                        <w:t xml:space="preserve">2025 Annual Meeting </w:t>
                      </w:r>
                    </w:p>
                    <w:p>
                      <w:pPr>
                        <w:pStyle w:val="TextBody"/>
                        <w:bidi w:val="0"/>
                        <w:spacing w:before="120" w:after="0"/>
                        <w:jc w:val="both"/>
                        <w:rPr>
                          <w:rFonts w:ascii="arial" w:hAnsi="arial"/>
                          <w:sz w:val="19"/>
                        </w:rPr>
                      </w:pPr>
                      <w:r>
                        <w:rPr>
                          <w:rFonts w:ascii="arial" w:hAnsi="arial"/>
                          <w:sz w:val="19"/>
                        </w:rPr>
                        <w:t xml:space="preserve">We intend to file a Proxy Statement and WHITE proxy card with the SEC in connection with its solicitation of proxies for our 2025 annual meeting of stockholders. Stockholders may obtain our Proxy Statement (and any amendments and supplements thereto) and other documents as and when filed by the Company with the SEC without charge from the SEC’s website at: www.sec.gov.(1)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b/>
          <w:color w:val="0171B9"/>
          <w:sz w:val="28"/>
        </w:rPr>
      </w:pPr>
      <w:r>
        <w:rPr>
          <w:rFonts w:ascii="arial" w:hAnsi="arial"/>
          <w:b/>
          <w:color w:val="0171B9"/>
          <w:sz w:val="28"/>
        </w:rPr>
        <w:t xml:space="preserve">Householding of Proxy Materials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462">
                <wp:simplePos x="0" y="0"/>
                <wp:positionH relativeFrom="column">
                  <wp:align>left</wp:align>
                </wp:positionH>
                <wp:positionV relativeFrom="line">
                  <wp:posOffset>635</wp:posOffset>
                </wp:positionV>
                <wp:extent cx="3110230" cy="2706370"/>
                <wp:effectExtent l="0" t="0" r="0" b="0"/>
                <wp:wrapSquare wrapText="right"/>
                <wp:docPr id="437" name="Frame225"/>
                <a:graphic xmlns:a="http://schemas.openxmlformats.org/drawingml/2006/main">
                  <a:graphicData uri="http://schemas.microsoft.com/office/word/2010/wordprocessingShape">
                    <wps:wsp>
                      <wps:cNvSpPr txBox="1"/>
                      <wps:spPr>
                        <a:xfrm>
                          <a:off x="0" y="0"/>
                          <a:ext cx="3110230" cy="270637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The SEC has adopted rules that permit companies and intermediaries (such as brokers and banks) to satisfy the delivery requirements for proxy statements and annual reports with respect to two or more stockholders sharing the same address by delivering a single proxy statement addressed to those stockholders. This process, which is commonly referred to as “householding,” is also permissible under the General Corporation Law of the State of Delaware and potentially means extra convenience for stockholders and cost savings for companies. </w:t>
                            </w:r>
                          </w:p>
                          <w:p>
                            <w:pPr>
                              <w:pStyle w:val="TextBody"/>
                              <w:bidi w:val="0"/>
                              <w:spacing w:before="120" w:after="0"/>
                              <w:jc w:val="both"/>
                              <w:rPr>
                                <w:rFonts w:ascii="arial" w:hAnsi="arial"/>
                                <w:sz w:val="19"/>
                              </w:rPr>
                            </w:pPr>
                            <w:r>
                              <w:rPr>
                                <w:rFonts w:ascii="arial" w:hAnsi="arial"/>
                                <w:sz w:val="19"/>
                              </w:rPr>
                              <w:t xml:space="preserve">This year, a number of brokers and banks with account holders who are our stockholders will be householding our proxy materials. A single Notice of Annual Meeting of Stockholders or proxy statement will be delivered to multiple stockholders sharing an address unless contrary instructions have been received from the affected stockholders. Once you have received notice from your broker or bank that it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13.1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The SEC has adopted rules that permit companies and intermediaries (such as brokers and banks) to satisfy the delivery requirements for proxy statements and annual reports with respect to two or more stockholders sharing the same address by delivering a single proxy statement addressed to those stockholders. This process, which is commonly referred to as “householding,” is also permissible under the General Corporation Law of the State of Delaware and potentially means extra convenience for stockholders and cost savings for companies. </w:t>
                      </w:r>
                    </w:p>
                    <w:p>
                      <w:pPr>
                        <w:pStyle w:val="TextBody"/>
                        <w:bidi w:val="0"/>
                        <w:spacing w:before="120" w:after="0"/>
                        <w:jc w:val="both"/>
                        <w:rPr>
                          <w:rFonts w:ascii="arial" w:hAnsi="arial"/>
                          <w:sz w:val="19"/>
                        </w:rPr>
                      </w:pPr>
                      <w:r>
                        <w:rPr>
                          <w:rFonts w:ascii="arial" w:hAnsi="arial"/>
                          <w:sz w:val="19"/>
                        </w:rPr>
                        <w:t xml:space="preserve">This year, a number of brokers and banks with account holders who are our stockholders will be householding our proxy materials. A single Notice of Annual Meeting of Stockholders or proxy statement will be delivered to multiple stockholders sharing an address unless contrary instructions have been received from the affected stockholders. Once you have received notice from your broker or bank that it </w:t>
                      </w:r>
                    </w:p>
                  </w:txbxContent>
                </v:textbox>
                <w10:wrap type="square" side="right"/>
              </v:rect>
            </w:pict>
          </mc:Fallback>
        </mc:AlternateContent>
      </w:r>
      <w:r>
        <mc:AlternateContent>
          <mc:Choice Requires="wps">
            <w:drawing>
              <wp:anchor behindDoc="0" distT="0" distB="0" distL="0" distR="0" simplePos="0" locked="0" layoutInCell="1" allowOverlap="1" relativeHeight="463">
                <wp:simplePos x="0" y="0"/>
                <wp:positionH relativeFrom="column">
                  <wp:align>left</wp:align>
                </wp:positionH>
                <wp:positionV relativeFrom="line">
                  <wp:posOffset>635</wp:posOffset>
                </wp:positionV>
                <wp:extent cx="3175000" cy="2291080"/>
                <wp:effectExtent l="0" t="0" r="0" b="0"/>
                <wp:wrapSquare wrapText="right"/>
                <wp:docPr id="438" name="Frame226"/>
                <a:graphic xmlns:a="http://schemas.openxmlformats.org/drawingml/2006/main">
                  <a:graphicData uri="http://schemas.microsoft.com/office/word/2010/wordprocessingShape">
                    <wps:wsp>
                      <wps:cNvSpPr txBox="1"/>
                      <wps:spPr>
                        <a:xfrm>
                          <a:off x="0" y="0"/>
                          <a:ext cx="3175000" cy="229108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will be householding communications to your address, householding will continue until you are notified otherwise or until you revoke your consent. If, at any time, you no longer wish to participate in householding and would prefer to receive a separate proxy statement and annual report, please notify your broker or bank. If you currently receive multiple copies of the proxy statement at your address from your broker or bank and would like to request householding of their communications, please contact your broker or bank. </w:t>
                            </w:r>
                          </w:p>
                          <w:p>
                            <w:pPr>
                              <w:pStyle w:val="TextBody"/>
                              <w:bidi w:val="0"/>
                              <w:spacing w:before="120" w:after="0"/>
                              <w:jc w:val="both"/>
                              <w:rPr>
                                <w:rFonts w:ascii="arial" w:hAnsi="arial"/>
                                <w:sz w:val="19"/>
                              </w:rPr>
                            </w:pPr>
                            <w:r>
                              <w:rPr>
                                <w:rFonts w:ascii="arial" w:hAnsi="arial"/>
                                <w:sz w:val="19"/>
                              </w:rPr>
                              <w:t xml:space="preserve">Stockholders of record who currently receive multiple copies of the proxy statement at their address and would like to request householding should contact Investor Relations, One Amgen Center Drive, Thousand Oaks, CA 91320-1799, or by telephone at (805) 447-1060 or email at investor.relations@amgen.com.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80.4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will be householding communications to your address, householding will continue until you are notified otherwise or until you revoke your consent. If, at any time, you no longer wish to participate in householding and would prefer to receive a separate proxy statement and annual report, please notify your broker or bank. If you currently receive multiple copies of the proxy statement at your address from your broker or bank and would like to request householding of their communications, please contact your broker or bank. </w:t>
                      </w:r>
                    </w:p>
                    <w:p>
                      <w:pPr>
                        <w:pStyle w:val="TextBody"/>
                        <w:bidi w:val="0"/>
                        <w:spacing w:before="120" w:after="0"/>
                        <w:jc w:val="both"/>
                        <w:rPr>
                          <w:rFonts w:ascii="arial" w:hAnsi="arial"/>
                          <w:sz w:val="19"/>
                        </w:rPr>
                      </w:pPr>
                      <w:r>
                        <w:rPr>
                          <w:rFonts w:ascii="arial" w:hAnsi="arial"/>
                          <w:sz w:val="19"/>
                        </w:rPr>
                        <w:t xml:space="preserve">Stockholders of record who currently receive multiple copies of the proxy statement at their address and would like to request householding should contact Investor Relations, One Amgen Center Drive, Thousand Oaks, CA 91320-1799, or by telephone at (805) 447-1060 or email at investor.relations@amgen.com.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b/>
          <w:color w:val="0171B9"/>
          <w:sz w:val="28"/>
        </w:rPr>
      </w:pPr>
      <w:r>
        <w:rPr>
          <w:rFonts w:ascii="arial" w:hAnsi="arial"/>
          <w:b/>
          <w:color w:val="0171B9"/>
          <w:sz w:val="28"/>
        </w:rPr>
        <w:t xml:space="preserve">No Incorporation by Reference </w:t>
      </w:r>
    </w:p>
    <w:p>
      <w:pPr>
        <w:pStyle w:val="TextBody"/>
        <w:pBdr>
          <w:bottom w:val="single" w:sz="2" w:space="1" w:color="666666"/>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464">
                <wp:simplePos x="0" y="0"/>
                <wp:positionH relativeFrom="column">
                  <wp:align>left</wp:align>
                </wp:positionH>
                <wp:positionV relativeFrom="line">
                  <wp:posOffset>635</wp:posOffset>
                </wp:positionV>
                <wp:extent cx="3110230" cy="1107440"/>
                <wp:effectExtent l="0" t="0" r="0" b="0"/>
                <wp:wrapSquare wrapText="right"/>
                <wp:docPr id="439" name="Frame227"/>
                <a:graphic xmlns:a="http://schemas.openxmlformats.org/drawingml/2006/main">
                  <a:graphicData uri="http://schemas.microsoft.com/office/word/2010/wordprocessingShape">
                    <wps:wsp>
                      <wps:cNvSpPr txBox="1"/>
                      <wps:spPr>
                        <a:xfrm>
                          <a:off x="0" y="0"/>
                          <a:ext cx="3110230" cy="110744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To the extent that this proxy statement is incorporated by reference into any other filing by us under the Securities Act of 1933 or the Exchange Act, the sections of this proxy statement entitled “Compensation Committee Report,” “Pay Versus Performance,” or “Audit Committee Report,” to the extent permitted by the rules of the SEC, will not be deemed incorporated, unless specifically provided otherwise in such filing.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87.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To the extent that this proxy statement is incorporated by reference into any other filing by us under the Securities Act of 1933 or the Exchange Act, the sections of this proxy statement entitled “Compensation Committee Report,” “Pay Versus Performance,” or “Audit Committee Report,” to the extent permitted by the rules of the SEC, will not be deemed incorporated, unless specifically provided otherwise in such filing. </w:t>
                      </w:r>
                    </w:p>
                  </w:txbxContent>
                </v:textbox>
                <w10:wrap type="square" side="right"/>
              </v:rect>
            </w:pict>
          </mc:Fallback>
        </mc:AlternateContent>
      </w:r>
      <w:r>
        <mc:AlternateContent>
          <mc:Choice Requires="wps">
            <w:drawing>
              <wp:anchor behindDoc="0" distT="0" distB="0" distL="0" distR="0" simplePos="0" locked="0" layoutInCell="1" allowOverlap="1" relativeHeight="465">
                <wp:simplePos x="0" y="0"/>
                <wp:positionH relativeFrom="column">
                  <wp:align>left</wp:align>
                </wp:positionH>
                <wp:positionV relativeFrom="line">
                  <wp:posOffset>635</wp:posOffset>
                </wp:positionV>
                <wp:extent cx="3175000" cy="969010"/>
                <wp:effectExtent l="0" t="0" r="0" b="0"/>
                <wp:wrapSquare wrapText="right"/>
                <wp:docPr id="440" name="Frame228"/>
                <a:graphic xmlns:a="http://schemas.openxmlformats.org/drawingml/2006/main">
                  <a:graphicData uri="http://schemas.microsoft.com/office/word/2010/wordprocessingShape">
                    <wps:wsp>
                      <wps:cNvSpPr txBox="1"/>
                      <wps:spPr>
                        <a:xfrm>
                          <a:off x="0" y="0"/>
                          <a:ext cx="3175000" cy="96901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In addition, references to our website are not intended to function as a hyperlink and the information contained on our website is not intended to be part of this proxy statement. Information on our website, other than our proxy statement, Notice of Annual Meeting of Stockholders, and form of proxy, is not part of the proxy soliciting material and is not incorporated herein by reference.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6.3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In addition, references to our website are not intended to function as a hyperlink and the information contained on our website is not intended to be part of this proxy statement. Information on our website, other than our proxy statement, Notice of Annual Meeting of Stockholders, and form of proxy, is not part of the proxy soliciting material and is not incorporated herein by reference. </w:t>
                      </w:r>
                    </w:p>
                  </w:txbxContent>
                </v:textbox>
                <w10:wrap type="square" side="right"/>
              </v:rect>
            </w:pict>
          </mc:Fallback>
        </mc:AlternateContent>
      </w:r>
    </w:p>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283"/>
              <w:jc w:val="left"/>
              <w:rPr/>
            </w:pPr>
            <w:r>
              <w:rPr/>
              <w:t>(1) </w:t>
            </w:r>
          </w:p>
        </w:tc>
        <w:tc>
          <w:tcPr>
            <w:tcW w:w="9871" w:type="dxa"/>
            <w:tcBorders/>
            <w:vAlign w:val="center"/>
          </w:tcPr>
          <w:p>
            <w:pPr>
              <w:pStyle w:val="TableContents"/>
              <w:bidi w:val="0"/>
              <w:spacing w:before="0" w:after="0"/>
              <w:jc w:val="both"/>
              <w:rPr>
                <w:rFonts w:ascii="arial" w:hAnsi="arial"/>
                <w:sz w:val="16"/>
              </w:rPr>
            </w:pPr>
            <w:r>
              <w:rPr>
                <w:rFonts w:ascii="arial" w:hAnsi="arial"/>
                <w:sz w:val="16"/>
              </w:rPr>
              <w:t xml:space="preserve">Reference to the SEC website is not intended to function as a hyperlink and the information contained on the SEC website is not intended to be part of this proxy statement. </w:t>
            </w:r>
          </w:p>
        </w:tc>
      </w:tr>
    </w:tbl>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134  </w:t>
      </w:r>
      <w:r>
        <w:rPr>
          <w:rFonts w:ascii="arial" w:hAnsi="arial"/>
          <w:b/>
          <w:color w:val="474747"/>
          <w:sz w:val="22"/>
        </w:rPr>
        <w:drawing>
          <wp:inline distT="0" distB="0" distL="0" distR="0">
            <wp:extent cx="64770" cy="15240"/>
            <wp:effectExtent l="0" t="0" r="0" b="0"/>
            <wp:docPr id="441"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 name="Image201" descr=""/>
                    <pic:cNvPicPr>
                      <a:picLocks noChangeAspect="1" noChangeArrowheads="1"/>
                    </pic:cNvPicPr>
                  </pic:nvPicPr>
                  <pic:blipFill>
                    <a:blip r:embed="rId214"/>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203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155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155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Other Matters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171B9"/>
          <w:sz w:val="28"/>
        </w:rPr>
      </w:pPr>
      <w:r>
        <w:rPr>
          <w:rFonts w:ascii="arial" w:hAnsi="arial"/>
          <w:b/>
          <w:color w:val="0171B9"/>
          <w:sz w:val="28"/>
        </w:rPr>
        <w:t xml:space="preserve">Disclaimer </w:t>
      </w:r>
    </w:p>
    <w:p>
      <w:pPr>
        <w:pStyle w:val="TextBody"/>
        <w:pBdr>
          <w:bottom w:val="single" w:sz="2" w:space="1" w:color="666666"/>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466">
                <wp:simplePos x="0" y="0"/>
                <wp:positionH relativeFrom="column">
                  <wp:align>left</wp:align>
                </wp:positionH>
                <wp:positionV relativeFrom="line">
                  <wp:posOffset>635</wp:posOffset>
                </wp:positionV>
                <wp:extent cx="3110230" cy="692150"/>
                <wp:effectExtent l="0" t="0" r="0" b="0"/>
                <wp:wrapSquare wrapText="right"/>
                <wp:docPr id="442" name="Frame229"/>
                <a:graphic xmlns:a="http://schemas.openxmlformats.org/drawingml/2006/main">
                  <a:graphicData uri="http://schemas.microsoft.com/office/word/2010/wordprocessingShape">
                    <wps:wsp>
                      <wps:cNvSpPr txBox="1"/>
                      <wps:spPr>
                        <a:xfrm>
                          <a:off x="0" y="0"/>
                          <a:ext cx="3110230" cy="69215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This proxy statement contains statements regarding future individual and Company performance targets and Company performance goals. These targets and Company performance goals are disclosed in the limited context of our compensation programs and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4.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This proxy statement contains statements regarding future individual and Company performance targets and Company performance goals. These targets and Company performance goals are disclosed in the limited context of our compensation programs and </w:t>
                      </w:r>
                    </w:p>
                  </w:txbxContent>
                </v:textbox>
                <w10:wrap type="square" side="right"/>
              </v:rect>
            </w:pict>
          </mc:Fallback>
        </mc:AlternateContent>
      </w:r>
      <w:r>
        <mc:AlternateContent>
          <mc:Choice Requires="wps">
            <w:drawing>
              <wp:anchor behindDoc="0" distT="0" distB="0" distL="0" distR="0" simplePos="0" locked="0" layoutInCell="1" allowOverlap="1" relativeHeight="467">
                <wp:simplePos x="0" y="0"/>
                <wp:positionH relativeFrom="column">
                  <wp:align>left</wp:align>
                </wp:positionH>
                <wp:positionV relativeFrom="line">
                  <wp:posOffset>635</wp:posOffset>
                </wp:positionV>
                <wp:extent cx="3175000" cy="553720"/>
                <wp:effectExtent l="0" t="0" r="0" b="0"/>
                <wp:wrapSquare wrapText="right"/>
                <wp:docPr id="443" name="Frame230"/>
                <a:graphic xmlns:a="http://schemas.openxmlformats.org/drawingml/2006/main">
                  <a:graphicData uri="http://schemas.microsoft.com/office/word/2010/wordprocessingShape">
                    <wps:wsp>
                      <wps:cNvSpPr txBox="1"/>
                      <wps:spPr>
                        <a:xfrm>
                          <a:off x="0" y="0"/>
                          <a:ext cx="3175000" cy="55372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should not be understood to be statements of management’s expectations or estimates of results or other guidance. We specifically caution investors not to apply these statements to other contexts.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3.6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should not be understood to be statements of management’s expectations or estimates of results or other guidance. We specifically caution investors not to apply these statements to other contexts.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b/>
          <w:color w:val="0171B9"/>
          <w:sz w:val="28"/>
        </w:rPr>
      </w:pPr>
      <w:r>
        <w:rPr>
          <w:rFonts w:ascii="arial" w:hAnsi="arial"/>
          <w:b/>
          <w:color w:val="0171B9"/>
          <w:sz w:val="28"/>
        </w:rPr>
        <w:t xml:space="preserve">Forward-Looking Statements </w:t>
      </w:r>
    </w:p>
    <w:p>
      <w:pPr>
        <w:pStyle w:val="TextBody"/>
        <w:pBdr>
          <w:bottom w:val="single" w:sz="2" w:space="1" w:color="666666"/>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468">
                <wp:simplePos x="0" y="0"/>
                <wp:positionH relativeFrom="column">
                  <wp:align>left</wp:align>
                </wp:positionH>
                <wp:positionV relativeFrom="line">
                  <wp:posOffset>635</wp:posOffset>
                </wp:positionV>
                <wp:extent cx="3110230" cy="5613400"/>
                <wp:effectExtent l="0" t="0" r="0" b="0"/>
                <wp:wrapSquare wrapText="right"/>
                <wp:docPr id="444" name="Frame231"/>
                <a:graphic xmlns:a="http://schemas.openxmlformats.org/drawingml/2006/main">
                  <a:graphicData uri="http://schemas.microsoft.com/office/word/2010/wordprocessingShape">
                    <wps:wsp>
                      <wps:cNvSpPr txBox="1"/>
                      <wps:spPr>
                        <a:xfrm>
                          <a:off x="0" y="0"/>
                          <a:ext cx="3110230" cy="561340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This proxy statement contains forward-looking statements that are based on the current expectations and beliefs of Amgen. All statements, other than statements of historical fact, are statements that could be deemed forward-looking statements, including any statements on the outcome, benefits and synergies of collaborations, or potential collaborations, with any other company (including BeiGene, Ltd. or Kyowa Kirin Co., Ltd.), the performance of Otezla® (apremilast) (including anticipated Otezla sales growth and the timing of non-GAAP EPS accretion), our acquisitions of Teneobio, Inc., ChemoCentryx, Inc., or Horizon Therapeutics plc (including the prospective performance and outlook of Horizon’s business, performance and opportunities, any potential strategic benefits, synergies or opportunities expected as a result of such acquisition), and any projected impacts from the Horizon acquisition on our acquisition-related expenses going forward, as well as estimates of revenues, operating margins, capital expenditures, cash, other financial metrics, expected legal, arbitration, political, regulatory or clinical results or practices, customer and prescriber patterns or practices, reimbursement activities and outcomes, effects of pandemics or other widespread health problems on our business, outcomes, progress, and other such estimates and results. Forward-looking statements involve significant risks and uncertainties, including those discussed below and more fully described in the Securities and Exchange Commission reports filed by Amgen, including our most recent annual report on Form 10-K and any subsequent periodic reports on Form 10-Q and current reports on Form 8-K. Unless otherwise noted, Amgen is providing this information as of the date of this proxy statement and does not undertake any obligation to update any forward-looking statements contained in this document as a result of new information, future events or otherwise. </w:t>
                            </w:r>
                          </w:p>
                          <w:p>
                            <w:pPr>
                              <w:pStyle w:val="TextBody"/>
                              <w:bidi w:val="0"/>
                              <w:spacing w:before="120" w:after="0"/>
                              <w:jc w:val="both"/>
                              <w:rPr>
                                <w:rFonts w:ascii="arial" w:hAnsi="arial"/>
                                <w:sz w:val="19"/>
                              </w:rPr>
                            </w:pPr>
                            <w:r>
                              <w:rPr>
                                <w:rFonts w:ascii="arial" w:hAnsi="arial"/>
                                <w:sz w:val="19"/>
                              </w:rPr>
                              <w:t xml:space="preserve">No forward-looking statement can be guaranteed and actual results may differ materially from those we project. Our results may be affected by our ability to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4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This proxy statement contains forward-looking statements that are based on the current expectations and beliefs of Amgen. All statements, other than statements of historical fact, are statements that could be deemed forward-looking statements, including any statements on the outcome, benefits and synergies of collaborations, or potential collaborations, with any other company (including BeiGene, Ltd. or Kyowa Kirin Co., Ltd.), the performance of Otezla® (apremilast) (including anticipated Otezla sales growth and the timing of non-GAAP EPS accretion), our acquisitions of Teneobio, Inc., ChemoCentryx, Inc., or Horizon Therapeutics plc (including the prospective performance and outlook of Horizon’s business, performance and opportunities, any potential strategic benefits, synergies or opportunities expected as a result of such acquisition), and any projected impacts from the Horizon acquisition on our acquisition-related expenses going forward, as well as estimates of revenues, operating margins, capital expenditures, cash, other financial metrics, expected legal, arbitration, political, regulatory or clinical results or practices, customer and prescriber patterns or practices, reimbursement activities and outcomes, effects of pandemics or other widespread health problems on our business, outcomes, progress, and other such estimates and results. Forward-looking statements involve significant risks and uncertainties, including those discussed below and more fully described in the Securities and Exchange Commission reports filed by Amgen, including our most recent annual report on Form 10-K and any subsequent periodic reports on Form 10-Q and current reports on Form 8-K. Unless otherwise noted, Amgen is providing this information as of the date of this proxy statement and does not undertake any obligation to update any forward-looking statements contained in this document as a result of new information, future events or otherwise. </w:t>
                      </w:r>
                    </w:p>
                    <w:p>
                      <w:pPr>
                        <w:pStyle w:val="TextBody"/>
                        <w:bidi w:val="0"/>
                        <w:spacing w:before="120" w:after="0"/>
                        <w:jc w:val="both"/>
                        <w:rPr>
                          <w:rFonts w:ascii="arial" w:hAnsi="arial"/>
                          <w:sz w:val="19"/>
                        </w:rPr>
                      </w:pPr>
                      <w:r>
                        <w:rPr>
                          <w:rFonts w:ascii="arial" w:hAnsi="arial"/>
                          <w:sz w:val="19"/>
                        </w:rPr>
                        <w:t xml:space="preserve">No forward-looking statement can be guaranteed and actual results may differ materially from those we project. Our results may be affected by our ability to </w:t>
                      </w:r>
                    </w:p>
                  </w:txbxContent>
                </v:textbox>
                <w10:wrap type="square" side="right"/>
              </v:rect>
            </w:pict>
          </mc:Fallback>
        </mc:AlternateContent>
      </w:r>
      <w:r>
        <mc:AlternateContent>
          <mc:Choice Requires="wps">
            <w:drawing>
              <wp:anchor behindDoc="0" distT="0" distB="0" distL="0" distR="0" simplePos="0" locked="0" layoutInCell="1" allowOverlap="1" relativeHeight="469">
                <wp:simplePos x="0" y="0"/>
                <wp:positionH relativeFrom="column">
                  <wp:align>left</wp:align>
                </wp:positionH>
                <wp:positionV relativeFrom="line">
                  <wp:posOffset>635</wp:posOffset>
                </wp:positionV>
                <wp:extent cx="3175000" cy="5537200"/>
                <wp:effectExtent l="0" t="0" r="0" b="0"/>
                <wp:wrapSquare wrapText="right"/>
                <wp:docPr id="445" name="Frame232"/>
                <a:graphic xmlns:a="http://schemas.openxmlformats.org/drawingml/2006/main">
                  <a:graphicData uri="http://schemas.microsoft.com/office/word/2010/wordprocessingShape">
                    <wps:wsp>
                      <wps:cNvSpPr txBox="1"/>
                      <wps:spPr>
                        <a:xfrm>
                          <a:off x="0" y="0"/>
                          <a:ext cx="3175000" cy="553720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successfully market both new and existing products domestically and internationally, clinical and regulatory developments involving current and future products, sales growth of recently launched products, competition from other products including biosimilars, difficulties or delays in manufacturing our products and global economic conditions. In addition, sales of our products are affected by pricing pressure, political and public scrutiny and reimbursement policies imposed by third-party payers, including governments, private insurance plans and managed care providers and may be affected by regulatory, clinical and guideline developments and domestic and international trends toward managed care and healthcare cost containment. Furthermore, our research, testing, pricing, marketing and other operations are subject to extensive regulation by domestic and foreign government regulatory authorities. We or others could identify safety, side effects or manufacturing problems with our products, including our devices, after they are on the market. Our business may be impacted by government investigations, litigation and product liability claims. In addition, our business may be impacted by the adoption of new tax legislation or exposure to additional tax liabilities. If we fail to meet the compliance obligations in the corporate integrity agreement between us and the U.S. government, we could become subject to significant sanctions. Further, while we routinely obtain patents for our products and technology, the protection offered by our patents and patent applications may be challenged, invalidated or circumvented by our competitors, or we may fail to prevail in present and future intellectual property litigation. We perform a substantial amount of our commercial manufacturing activities at a few key facilities, including in Puerto Rico, and also depend on third parties for a portion of our manufacturing activities, and limits on supply may constrain sales of certain of our current products and product candidate development. An outbreak of disease or similar public health threat, such as COVID-19, and the public and governmental effort to mitigate against the spread of such disease, could have a significant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36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successfully market both new and existing products domestically and internationally, clinical and regulatory developments involving current and future products, sales growth of recently launched products, competition from other products including biosimilars, difficulties or delays in manufacturing our products and global economic conditions. In addition, sales of our products are affected by pricing pressure, political and public scrutiny and reimbursement policies imposed by third-party payers, including governments, private insurance plans and managed care providers and may be affected by regulatory, clinical and guideline developments and domestic and international trends toward managed care and healthcare cost containment. Furthermore, our research, testing, pricing, marketing and other operations are subject to extensive regulation by domestic and foreign government regulatory authorities. We or others could identify safety, side effects or manufacturing problems with our products, including our devices, after they are on the market. Our business may be impacted by government investigations, litigation and product liability claims. In addition, our business may be impacted by the adoption of new tax legislation or exposure to additional tax liabilities. If we fail to meet the compliance obligations in the corporate integrity agreement between us and the U.S. government, we could become subject to significant sanctions. Further, while we routinely obtain patents for our products and technology, the protection offered by our patents and patent applications may be challenged, invalidated or circumvented by our competitors, or we may fail to prevail in present and future intellectual property litigation. We perform a substantial amount of our commercial manufacturing activities at a few key facilities, including in Puerto Rico, and also depend on third parties for a portion of our manufacturing activities, and limits on supply may constrain sales of certain of our current products and product candidate development. An outbreak of disease or similar public health threat, such as COVID-19, and the public and governmental effort to mitigate against the spread of such disease, could have a significant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446"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Image202" descr=""/>
                    <pic:cNvPicPr>
                      <a:picLocks noChangeAspect="1" noChangeArrowheads="1"/>
                    </pic:cNvPicPr>
                  </pic:nvPicPr>
                  <pic:blipFill>
                    <a:blip r:embed="rId215"/>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135</w:t>
      </w:r>
      <w:r>
        <w:rPr>
          <w:rFonts w:ascii="arial" w:hAnsi="arial"/>
          <w:b/>
          <w:sz w:val="22"/>
        </w:rPr>
        <w:t xml:space="preserve"> </w:t>
      </w:r>
      <w:r>
        <w:br w:type="page"/>
      </w:r>
    </w:p>
    <w:p>
      <w:pPr>
        <w:pStyle w:val="HorizontalLine"/>
        <w:bidi w:val="0"/>
        <w:jc w:val="left"/>
        <w:rPr/>
      </w:pPr>
      <w:r>
        <w:rPr/>
      </w:r>
    </w:p>
    <w:tbl>
      <w:tblPr>
        <w:tblW w:w="203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155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155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Other Matters</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470">
                <wp:simplePos x="0" y="0"/>
                <wp:positionH relativeFrom="column">
                  <wp:align>left</wp:align>
                </wp:positionH>
                <wp:positionV relativeFrom="line">
                  <wp:posOffset>635</wp:posOffset>
                </wp:positionV>
                <wp:extent cx="3110230" cy="3876040"/>
                <wp:effectExtent l="0" t="0" r="0" b="0"/>
                <wp:wrapSquare wrapText="right"/>
                <wp:docPr id="447" name="Frame233"/>
                <a:graphic xmlns:a="http://schemas.openxmlformats.org/drawingml/2006/main">
                  <a:graphicData uri="http://schemas.microsoft.com/office/word/2010/wordprocessingShape">
                    <wps:wsp>
                      <wps:cNvSpPr txBox="1"/>
                      <wps:spPr>
                        <a:xfrm>
                          <a:off x="0" y="0"/>
                          <a:ext cx="3110230" cy="387604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adverse effect on the supply of materials for our manufacturing activities, the distribution of our products, the commercialization of our product candidates, and our clinical trial operations, and any such events may have a material adverse effect on our product development, product sales, business and results of operations. We rely on collaborations with third parties for the development of some of our product candidates and for the commercialization and sales of some of our commercial products. In addition, we compete with other companies with respect to many of our marketed products as well as for the discovery and development of new products. Discovery or identification of new product candidates or development of new indications for existing products cannot be guaranteed and movement from concept to product is uncertain; consequently, there can be no guarantee that any particular product candidate or development of a new indication for an existing product will be successful and become a commercial product. Further, some raw materials, medical devices and component parts for our products are supplied by sole third-party suppliers. Certain of our distributors, customers and payers have substantial purchasing leverage in their dealings with us. The discovery of significant problems with a product similar to one of our products that implicate an entire class of products could have a material adverse effect on sales of the affected products and on our business and results of operations. Our efforts to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05.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adverse effect on the supply of materials for our manufacturing activities, the distribution of our products, the commercialization of our product candidates, and our clinical trial operations, and any such events may have a material adverse effect on our product development, product sales, business and results of operations. We rely on collaborations with third parties for the development of some of our product candidates and for the commercialization and sales of some of our commercial products. In addition, we compete with other companies with respect to many of our marketed products as well as for the discovery and development of new products. Discovery or identification of new product candidates or development of new indications for existing products cannot be guaranteed and movement from concept to product is uncertain; consequently, there can be no guarantee that any particular product candidate or development of a new indication for an existing product will be successful and become a commercial product. Further, some raw materials, medical devices and component parts for our products are supplied by sole third-party suppliers. Certain of our distributors, customers and payers have substantial purchasing leverage in their dealings with us. The discovery of significant problems with a product similar to one of our products that implicate an entire class of products could have a material adverse effect on sales of the affected products and on our business and results of operations. Our efforts to </w:t>
                      </w:r>
                    </w:p>
                  </w:txbxContent>
                </v:textbox>
                <w10:wrap type="square" side="right"/>
              </v:rect>
            </w:pict>
          </mc:Fallback>
        </mc:AlternateContent>
      </w:r>
      <w:r>
        <mc:AlternateContent>
          <mc:Choice Requires="wps">
            <w:drawing>
              <wp:anchor behindDoc="0" distT="0" distB="0" distL="0" distR="0" simplePos="0" locked="0" layoutInCell="1" allowOverlap="1" relativeHeight="471">
                <wp:simplePos x="0" y="0"/>
                <wp:positionH relativeFrom="column">
                  <wp:align>left</wp:align>
                </wp:positionH>
                <wp:positionV relativeFrom="line">
                  <wp:posOffset>635</wp:posOffset>
                </wp:positionV>
                <wp:extent cx="3175000" cy="3599180"/>
                <wp:effectExtent l="0" t="0" r="0" b="0"/>
                <wp:wrapSquare wrapText="right"/>
                <wp:docPr id="448" name="Frame234"/>
                <a:graphic xmlns:a="http://schemas.openxmlformats.org/drawingml/2006/main">
                  <a:graphicData uri="http://schemas.microsoft.com/office/word/2010/wordprocessingShape">
                    <wps:wsp>
                      <wps:cNvSpPr txBox="1"/>
                      <wps:spPr>
                        <a:xfrm>
                          <a:off x="0" y="0"/>
                          <a:ext cx="3175000" cy="3599180"/>
                        </a:xfrm>
                        <a:prstGeom prst="rect"/>
                        <a:solidFill>
                          <a:srgbClr val="FFFFFF"/>
                        </a:solidFill>
                      </wps:spPr>
                      <wps:txbx>
                        <w:txbxContent>
                          <w:p>
                            <w:pPr>
                              <w:pStyle w:val="TextBody"/>
                              <w:bidi w:val="0"/>
                              <w:spacing w:before="0" w:after="0"/>
                              <w:jc w:val="both"/>
                              <w:rPr>
                                <w:rFonts w:ascii="arial" w:hAnsi="arial"/>
                                <w:sz w:val="19"/>
                              </w:rPr>
                            </w:pPr>
                            <w:r>
                              <w:rPr>
                                <w:rFonts w:ascii="arial" w:hAnsi="arial"/>
                                <w:sz w:val="19"/>
                              </w:rPr>
                              <w:t xml:space="preserve">collaborate with or acquire other companies, products or technology, and to integrate the operations of companies or to support the products or technology we have acquired, may not be successful. There can be no guarantee that we will be able to realize any of the strategic benefits, synergies or opportunities arising from the Horizon acquisition, and such benefits, synergies or opportunities may take longer to realize than expected. We may not be able to successfully integrate Horizon, and such integration may take longer, be more difficult or cost more than expected. A breakdown, cyberattack or information security breach of our information technology systems could compromise the confidentiality, integrity and availability of our systems and our data. Our stock price is volatile and may be affected by a number of events. Our business and operations may be negatively affected by the failure, or perceived failure, of achieving our environmental, social and governance objectives. The effects of global climate change and related natural disasters could negatively affect our business and operations. Global economic conditions may magnify certain risks that affect our business. Our business performance could affect or limit the ability of our Board of Directors to declare a dividend or our ability to pay a dividend or repurchase our common stock. We may not be able to access the capital and credit markets on terms that are favorable to us, or at all.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83.4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19"/>
                        </w:rPr>
                      </w:pPr>
                      <w:r>
                        <w:rPr>
                          <w:rFonts w:ascii="arial" w:hAnsi="arial"/>
                          <w:sz w:val="19"/>
                        </w:rPr>
                        <w:t xml:space="preserve">collaborate with or acquire other companies, products or technology, and to integrate the operations of companies or to support the products or technology we have acquired, may not be successful. There can be no guarantee that we will be able to realize any of the strategic benefits, synergies or opportunities arising from the Horizon acquisition, and such benefits, synergies or opportunities may take longer to realize than expected. We may not be able to successfully integrate Horizon, and such integration may take longer, be more difficult or cost more than expected. A breakdown, cyberattack or information security breach of our information technology systems could compromise the confidentiality, integrity and availability of our systems and our data. Our stock price is volatile and may be affected by a number of events. Our business and operations may be negatively affected by the failure, or perceived failure, of achieving our environmental, social and governance objectives. The effects of global climate change and related natural disasters could negatively affect our business and operations. Global economic conditions may magnify certain risks that affect our business. Our business performance could affect or limit the ability of our Board of Directors to declare a dividend or our ability to pay a dividend or repurchase our common stock. We may not be able to access the capital and credit markets on terms that are favorable to us, or at all.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b/>
          <w:color w:val="0171B9"/>
          <w:sz w:val="28"/>
        </w:rPr>
      </w:pPr>
      <w:r>
        <w:rPr>
          <w:rFonts w:ascii="arial" w:hAnsi="arial"/>
          <w:b/>
          <w:color w:val="0171B9"/>
          <w:sz w:val="28"/>
        </w:rPr>
        <w:t xml:space="preserve">Other Matters </w:t>
      </w:r>
    </w:p>
    <w:p>
      <w:pPr>
        <w:pStyle w:val="TextBody"/>
        <w:pBdr>
          <w:bottom w:val="single" w:sz="2" w:space="1" w:color="666666"/>
        </w:pBdr>
        <w:bidi w:val="0"/>
        <w:spacing w:lineRule="atLeast" w:line="142" w:before="0" w:after="40"/>
        <w:jc w:val="left"/>
        <w:rPr/>
      </w:pPr>
      <w:r>
        <w:rPr/>
        <w:t> </w:t>
      </w:r>
    </w:p>
    <w:p>
      <w:pPr>
        <w:pStyle w:val="TextBody"/>
        <w:bidi w:val="0"/>
        <w:spacing w:before="120" w:after="0"/>
        <w:jc w:val="both"/>
        <w:rPr>
          <w:rFonts w:ascii="arial" w:hAnsi="arial"/>
          <w:sz w:val="19"/>
        </w:rPr>
      </w:pPr>
      <w:r>
        <w:rPr>
          <w:rFonts w:ascii="arial" w:hAnsi="arial"/>
          <w:sz w:val="19"/>
        </w:rPr>
        <w:t xml:space="preserve">The Board knows of no matters other than those listed in the attached Notice of Annual Meeting of Stockholders that are likely to be brought before the Annual Meeting. However, if any other matter properly comes before the Annual Meeting, the persons named on the enclosed proxy card will vote the proxy in accordance with their best judgment on such matter. </w:t>
      </w:r>
    </w:p>
    <w:p>
      <w:pPr>
        <w:pStyle w:val="TextBody"/>
        <w:bidi w:val="0"/>
        <w:spacing w:before="240" w:after="0"/>
        <w:jc w:val="left"/>
        <w:rPr>
          <w:rFonts w:ascii="arial" w:hAnsi="arial"/>
          <w:sz w:val="19"/>
        </w:rPr>
      </w:pPr>
      <w:r>
        <w:rPr>
          <w:rFonts w:ascii="arial" w:hAnsi="arial"/>
          <w:sz w:val="19"/>
        </w:rPr>
        <w:t xml:space="preserve">By Order of the Board of Directors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149225" cy="69215"/>
            <wp:effectExtent l="0" t="0" r="0" b="0"/>
            <wp:docPr id="449"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Image203" descr=""/>
                    <pic:cNvPicPr>
                      <a:picLocks noChangeAspect="1" noChangeArrowheads="1"/>
                    </pic:cNvPicPr>
                  </pic:nvPicPr>
                  <pic:blipFill>
                    <a:blip r:embed="rId216"/>
                    <a:stretch>
                      <a:fillRect/>
                    </a:stretch>
                  </pic:blipFill>
                  <pic:spPr bwMode="auto">
                    <a:xfrm>
                      <a:off x="0" y="0"/>
                      <a:ext cx="149225" cy="69215"/>
                    </a:xfrm>
                    <a:prstGeom prst="rect">
                      <a:avLst/>
                    </a:prstGeom>
                  </pic:spPr>
                </pic:pic>
              </a:graphicData>
            </a:graphic>
          </wp:inline>
        </w:drawing>
      </w:r>
      <w:r>
        <w:rPr/>
        <w:t xml:space="preserve"> </w:t>
      </w:r>
    </w:p>
    <w:p>
      <w:pPr>
        <w:pStyle w:val="TextBody"/>
        <w:bidi w:val="0"/>
        <w:spacing w:before="120" w:after="0"/>
        <w:jc w:val="left"/>
        <w:rPr>
          <w:rFonts w:ascii="arial" w:hAnsi="arial"/>
          <w:b/>
          <w:sz w:val="19"/>
        </w:rPr>
      </w:pPr>
      <w:r>
        <w:rPr>
          <w:rFonts w:ascii="arial" w:hAnsi="arial"/>
          <w:b/>
          <w:sz w:val="19"/>
        </w:rPr>
        <w:t xml:space="preserve">Jonathan P. Graham </w:t>
      </w:r>
    </w:p>
    <w:p>
      <w:pPr>
        <w:pStyle w:val="TextBody"/>
        <w:bidi w:val="0"/>
        <w:spacing w:before="0" w:after="0"/>
        <w:jc w:val="left"/>
        <w:rPr>
          <w:rFonts w:ascii="arial" w:hAnsi="arial"/>
          <w:i/>
          <w:sz w:val="19"/>
        </w:rPr>
      </w:pPr>
      <w:r>
        <w:rPr>
          <w:rFonts w:ascii="arial" w:hAnsi="arial"/>
          <w:i/>
          <w:sz w:val="19"/>
        </w:rPr>
        <w:t xml:space="preserve">Secretary </w:t>
      </w:r>
    </w:p>
    <w:p>
      <w:pPr>
        <w:pStyle w:val="TextBody"/>
        <w:bidi w:val="0"/>
        <w:spacing w:before="220" w:after="0"/>
        <w:jc w:val="both"/>
        <w:rPr>
          <w:rFonts w:ascii="arial" w:hAnsi="arial"/>
          <w:sz w:val="19"/>
        </w:rPr>
      </w:pPr>
      <w:r>
        <w:rPr>
          <w:rFonts w:ascii="arial" w:hAnsi="arial"/>
          <w:sz w:val="19"/>
        </w:rPr>
        <w:t xml:space="preserve">April 17, 2024 </w:t>
      </w:r>
    </w:p>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136  </w:t>
      </w:r>
      <w:r>
        <w:rPr>
          <w:rFonts w:ascii="arial" w:hAnsi="arial"/>
          <w:b/>
          <w:color w:val="474747"/>
          <w:sz w:val="22"/>
        </w:rPr>
        <w:drawing>
          <wp:inline distT="0" distB="0" distL="0" distR="0">
            <wp:extent cx="64770" cy="15240"/>
            <wp:effectExtent l="0" t="0" r="0" b="0"/>
            <wp:docPr id="450"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Image204" descr=""/>
                    <pic:cNvPicPr>
                      <a:picLocks noChangeAspect="1" noChangeArrowheads="1"/>
                    </pic:cNvPicPr>
                  </pic:nvPicPr>
                  <pic:blipFill>
                    <a:blip r:embed="rId217"/>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185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13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137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Appendix A</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171B9"/>
          <w:sz w:val="44"/>
        </w:rPr>
      </w:pPr>
      <w:bookmarkStart w:id="72" w:name="toc445034_59"/>
      <w:bookmarkEnd w:id="72"/>
      <w:r>
        <w:rPr>
          <w:rFonts w:ascii="arial" w:hAnsi="arial"/>
          <w:b/>
          <w:color w:val="0171B9"/>
          <w:sz w:val="44"/>
        </w:rPr>
        <w:t xml:space="preserve">Appendix A </w:t>
      </w:r>
    </w:p>
    <w:p>
      <w:pPr>
        <w:pStyle w:val="TextBody"/>
        <w:bidi w:val="0"/>
        <w:spacing w:before="240" w:after="0"/>
        <w:jc w:val="left"/>
        <w:rPr>
          <w:rFonts w:ascii="arial" w:hAnsi="arial"/>
          <w:b/>
          <w:color w:val="0171B9"/>
          <w:sz w:val="44"/>
        </w:rPr>
      </w:pPr>
      <w:r>
        <w:rPr>
          <w:rFonts w:ascii="arial" w:hAnsi="arial"/>
          <w:b/>
          <w:color w:val="0171B9"/>
          <w:sz w:val="44"/>
        </w:rPr>
        <w:t xml:space="preserve">Amgen Inc. Board of Directors </w:t>
      </w:r>
    </w:p>
    <w:p>
      <w:pPr>
        <w:pStyle w:val="TextBody"/>
        <w:bidi w:val="0"/>
        <w:spacing w:before="0" w:after="0"/>
        <w:jc w:val="left"/>
        <w:rPr>
          <w:rFonts w:ascii="arial" w:hAnsi="arial"/>
          <w:b/>
          <w:color w:val="0171B9"/>
          <w:sz w:val="44"/>
        </w:rPr>
      </w:pPr>
      <w:r>
        <w:rPr>
          <w:rFonts w:ascii="arial" w:hAnsi="arial"/>
          <w:b/>
          <w:color w:val="0171B9"/>
          <w:sz w:val="44"/>
        </w:rPr>
        <w:t xml:space="preserve">Guidelines for Director Qualifications and Evaluations </w:t>
      </w:r>
    </w:p>
    <w:p>
      <w:pPr>
        <w:pStyle w:val="TextBody"/>
        <w:pBdr>
          <w:bottom w:val="single" w:sz="2" w:space="1" w:color="666666"/>
        </w:pBdr>
        <w:bidi w:val="0"/>
        <w:spacing w:lineRule="atLeast" w:line="142" w:before="0" w:after="40"/>
        <w:jc w:val="left"/>
        <w:rPr/>
      </w:pPr>
      <w:r>
        <w:rPr/>
        <w:t> </w:t>
      </w:r>
    </w:p>
    <w:p>
      <w:pPr>
        <w:pStyle w:val="TextBody"/>
        <w:bidi w:val="0"/>
        <w:spacing w:before="240" w:after="0"/>
        <w:jc w:val="both"/>
        <w:rPr>
          <w:rFonts w:ascii="arial" w:hAnsi="arial"/>
          <w:sz w:val="19"/>
        </w:rPr>
      </w:pPr>
      <w:r>
        <w:rPr>
          <w:rFonts w:ascii="arial" w:hAnsi="arial"/>
          <w:sz w:val="19"/>
        </w:rPr>
        <w:t xml:space="preserve">These guidelines set forth (1) the minimum qualifications that the Governance and Nominating Committee of the Board of Directors (the “Committee”) of Amgen Inc. (“Amgen”) believes are important for directors to possess, and (2) a description of the Committee’s process for identifying and evaluating nominees for director, including nominees recommended by stockholders. These guidelines are only guidelines and may be waived and/or changed by the Committee and/or the Board of Directors as appropriate. </w:t>
      </w:r>
    </w:p>
    <w:p>
      <w:pPr>
        <w:pStyle w:val="TextBody"/>
        <w:bidi w:val="0"/>
        <w:spacing w:before="240" w:after="0"/>
        <w:jc w:val="left"/>
        <w:rPr>
          <w:rFonts w:ascii="arial" w:hAnsi="arial"/>
          <w:b/>
          <w:sz w:val="24"/>
        </w:rPr>
      </w:pPr>
      <w:r>
        <w:rPr>
          <w:rFonts w:ascii="arial" w:hAnsi="arial"/>
          <w:b/>
          <w:sz w:val="24"/>
        </w:rPr>
        <w:t xml:space="preserve">1. Candidate Qualifications </w:t>
      </w:r>
    </w:p>
    <w:p>
      <w:pPr>
        <w:pStyle w:val="TextBody"/>
        <w:bidi w:val="0"/>
        <w:spacing w:before="120" w:after="0"/>
        <w:jc w:val="both"/>
        <w:rPr>
          <w:rFonts w:ascii="arial" w:hAnsi="arial"/>
          <w:sz w:val="19"/>
        </w:rPr>
      </w:pPr>
      <w:r>
        <w:rPr>
          <w:rFonts w:ascii="arial" w:hAnsi="arial"/>
          <w:sz w:val="19"/>
        </w:rPr>
        <w:t xml:space="preserve">In seeking individuals to join the Board of Directors or to fill director vacancies on the Board of Directors, the Committee considers the following to be minimum qualifications that a candidate must possess: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Demonstrated breadth and depth of management and leadership experience, preferably in a senior leadership role in a large or recognized organization; </w:t>
            </w:r>
          </w:p>
        </w:tc>
      </w:tr>
    </w:tbl>
    <w:p>
      <w:pPr>
        <w:pStyle w:val="TextBody"/>
        <w:bidi w:val="0"/>
        <w:spacing w:before="0" w:after="0"/>
        <w:jc w:val="left"/>
        <w:rPr/>
      </w:pPr>
      <w:r>
        <w:rPr/>
        <w:t> </w:t>
      </w:r>
    </w:p>
    <w:tbl>
      <w:tblPr>
        <w:tblW w:w="7105" w:type="dxa"/>
        <w:jc w:val="left"/>
        <w:tblInd w:w="0" w:type="dxa"/>
        <w:tblLayout w:type="fixed"/>
        <w:tblCellMar>
          <w:top w:w="0" w:type="dxa"/>
          <w:left w:w="0" w:type="dxa"/>
          <w:bottom w:w="0" w:type="dxa"/>
          <w:right w:w="0" w:type="dxa"/>
        </w:tblCellMar>
      </w:tblPr>
      <w:tblGrid>
        <w:gridCol w:w="125"/>
        <w:gridCol w:w="60"/>
        <w:gridCol w:w="69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6920" w:type="dxa"/>
            <w:tcBorders/>
            <w:vAlign w:val="center"/>
          </w:tcPr>
          <w:p>
            <w:pPr>
              <w:pStyle w:val="TableContents"/>
              <w:bidi w:val="0"/>
              <w:spacing w:before="0" w:after="0"/>
              <w:jc w:val="both"/>
              <w:rPr>
                <w:rFonts w:ascii="arial" w:hAnsi="arial"/>
                <w:sz w:val="19"/>
              </w:rPr>
            </w:pPr>
            <w:r>
              <w:rPr>
                <w:rFonts w:ascii="arial" w:hAnsi="arial"/>
                <w:sz w:val="19"/>
              </w:rPr>
              <w:t xml:space="preserve">Financial and/or business acumen or relevant industry or scientific experience; </w:t>
            </w:r>
          </w:p>
        </w:tc>
      </w:tr>
    </w:tbl>
    <w:p>
      <w:pPr>
        <w:pStyle w:val="TextBody"/>
        <w:bidi w:val="0"/>
        <w:spacing w:before="0" w:after="0"/>
        <w:jc w:val="left"/>
        <w:rPr/>
      </w:pPr>
      <w:r>
        <w:rPr/>
        <w:t> </w:t>
      </w:r>
    </w:p>
    <w:tbl>
      <w:tblPr>
        <w:tblW w:w="3385" w:type="dxa"/>
        <w:jc w:val="left"/>
        <w:tblInd w:w="0" w:type="dxa"/>
        <w:tblLayout w:type="fixed"/>
        <w:tblCellMar>
          <w:top w:w="0" w:type="dxa"/>
          <w:left w:w="0" w:type="dxa"/>
          <w:bottom w:w="0" w:type="dxa"/>
          <w:right w:w="0" w:type="dxa"/>
        </w:tblCellMar>
      </w:tblPr>
      <w:tblGrid>
        <w:gridCol w:w="125"/>
        <w:gridCol w:w="60"/>
        <w:gridCol w:w="320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0"/>
              <w:jc w:val="both"/>
              <w:rPr>
                <w:rFonts w:ascii="arial" w:hAnsi="arial"/>
                <w:sz w:val="19"/>
              </w:rPr>
            </w:pPr>
            <w:r>
              <w:rPr>
                <w:rFonts w:ascii="arial" w:hAnsi="arial"/>
                <w:sz w:val="19"/>
              </w:rPr>
              <w:t xml:space="preserve">Integrity and high ethical standards; </w:t>
            </w:r>
          </w:p>
        </w:tc>
      </w:tr>
    </w:tbl>
    <w:p>
      <w:pPr>
        <w:pStyle w:val="TextBody"/>
        <w:bidi w:val="0"/>
        <w:spacing w:before="0" w:after="0"/>
        <w:jc w:val="left"/>
        <w:rPr/>
      </w:pPr>
      <w:r>
        <w:rPr/>
        <w:t> </w:t>
      </w:r>
    </w:p>
    <w:tbl>
      <w:tblPr>
        <w:tblW w:w="6685" w:type="dxa"/>
        <w:jc w:val="left"/>
        <w:tblInd w:w="0" w:type="dxa"/>
        <w:tblLayout w:type="fixed"/>
        <w:tblCellMar>
          <w:top w:w="0" w:type="dxa"/>
          <w:left w:w="0" w:type="dxa"/>
          <w:bottom w:w="0" w:type="dxa"/>
          <w:right w:w="0" w:type="dxa"/>
        </w:tblCellMar>
      </w:tblPr>
      <w:tblGrid>
        <w:gridCol w:w="125"/>
        <w:gridCol w:w="60"/>
        <w:gridCol w:w="650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6500" w:type="dxa"/>
            <w:tcBorders/>
            <w:vAlign w:val="center"/>
          </w:tcPr>
          <w:p>
            <w:pPr>
              <w:pStyle w:val="TableContents"/>
              <w:bidi w:val="0"/>
              <w:spacing w:before="0" w:after="0"/>
              <w:jc w:val="both"/>
              <w:rPr>
                <w:rFonts w:ascii="arial" w:hAnsi="arial"/>
                <w:sz w:val="19"/>
              </w:rPr>
            </w:pPr>
            <w:r>
              <w:rPr>
                <w:rFonts w:ascii="arial" w:hAnsi="arial"/>
                <w:sz w:val="19"/>
              </w:rPr>
              <w:t xml:space="preserve">Sufficient time to devote to Amgen’s business as a member of the Board; </w:t>
            </w:r>
          </w:p>
        </w:tc>
      </w:tr>
    </w:tbl>
    <w:p>
      <w:pPr>
        <w:pStyle w:val="TextBody"/>
        <w:bidi w:val="0"/>
        <w:spacing w:before="0" w:after="0"/>
        <w:jc w:val="left"/>
        <w:rPr/>
      </w:pPr>
      <w:r>
        <w:rPr/>
        <w:t> </w:t>
      </w:r>
    </w:p>
    <w:tbl>
      <w:tblPr>
        <w:tblW w:w="9235" w:type="dxa"/>
        <w:jc w:val="left"/>
        <w:tblInd w:w="0" w:type="dxa"/>
        <w:tblLayout w:type="fixed"/>
        <w:tblCellMar>
          <w:top w:w="0" w:type="dxa"/>
          <w:left w:w="0" w:type="dxa"/>
          <w:bottom w:w="0" w:type="dxa"/>
          <w:right w:w="0" w:type="dxa"/>
        </w:tblCellMar>
      </w:tblPr>
      <w:tblGrid>
        <w:gridCol w:w="125"/>
        <w:gridCol w:w="60"/>
        <w:gridCol w:w="905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jc w:val="both"/>
              <w:rPr>
                <w:rFonts w:ascii="arial" w:hAnsi="arial"/>
                <w:sz w:val="19"/>
              </w:rPr>
            </w:pPr>
            <w:r>
              <w:rPr>
                <w:rFonts w:ascii="arial" w:hAnsi="arial"/>
                <w:sz w:val="19"/>
              </w:rPr>
              <w:t xml:space="preserve">Ability to oversee, as a director, Amgen’s business and affairs for the benefit of Amgen’s stockholders; </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125"/>
        <w:gridCol w:w="60"/>
        <w:gridCol w:w="4955"/>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0"/>
              <w:jc w:val="both"/>
              <w:rPr>
                <w:rFonts w:ascii="arial" w:hAnsi="arial"/>
                <w:sz w:val="19"/>
              </w:rPr>
            </w:pPr>
            <w:r>
              <w:rPr>
                <w:rFonts w:ascii="arial" w:hAnsi="arial"/>
                <w:sz w:val="19"/>
              </w:rPr>
              <w:t xml:space="preserve">Ability to comply with the Board’s Code of Conduct; and </w:t>
            </w:r>
          </w:p>
        </w:tc>
      </w:tr>
    </w:tbl>
    <w:p>
      <w:pPr>
        <w:pStyle w:val="TextBody"/>
        <w:bidi w:val="0"/>
        <w:spacing w:before="0" w:after="0"/>
        <w:jc w:val="left"/>
        <w:rPr/>
      </w:pPr>
      <w:r>
        <w:rPr/>
        <w:t> </w:t>
      </w:r>
    </w:p>
    <w:tbl>
      <w:tblPr>
        <w:tblW w:w="6235" w:type="dxa"/>
        <w:jc w:val="left"/>
        <w:tblInd w:w="0" w:type="dxa"/>
        <w:tblLayout w:type="fixed"/>
        <w:tblCellMar>
          <w:top w:w="0" w:type="dxa"/>
          <w:left w:w="0" w:type="dxa"/>
          <w:bottom w:w="0" w:type="dxa"/>
          <w:right w:w="0" w:type="dxa"/>
        </w:tblCellMar>
      </w:tblPr>
      <w:tblGrid>
        <w:gridCol w:w="125"/>
        <w:gridCol w:w="60"/>
        <w:gridCol w:w="605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6050" w:type="dxa"/>
            <w:tcBorders/>
            <w:vAlign w:val="center"/>
          </w:tcPr>
          <w:p>
            <w:pPr>
              <w:pStyle w:val="TableContents"/>
              <w:bidi w:val="0"/>
              <w:spacing w:before="0" w:after="0"/>
              <w:jc w:val="both"/>
              <w:rPr>
                <w:rFonts w:ascii="arial" w:hAnsi="arial"/>
                <w:sz w:val="19"/>
              </w:rPr>
            </w:pPr>
            <w:r>
              <w:rPr>
                <w:rFonts w:ascii="arial" w:hAnsi="arial"/>
                <w:sz w:val="19"/>
              </w:rPr>
              <w:t xml:space="preserve">Demonstrated ability to think independently and work collaboratively. </w:t>
            </w:r>
          </w:p>
        </w:tc>
      </w:tr>
    </w:tbl>
    <w:p>
      <w:pPr>
        <w:pStyle w:val="TextBody"/>
        <w:bidi w:val="0"/>
        <w:spacing w:before="120" w:after="0"/>
        <w:jc w:val="both"/>
        <w:rPr>
          <w:rFonts w:ascii="arial" w:hAnsi="arial"/>
          <w:sz w:val="19"/>
        </w:rPr>
      </w:pPr>
      <w:r>
        <w:rPr>
          <w:rFonts w:ascii="arial" w:hAnsi="arial"/>
          <w:sz w:val="19"/>
        </w:rPr>
        <w:t xml:space="preserve">In addition, the Committee may consider the following where necessary and appropriate: </w:t>
      </w:r>
    </w:p>
    <w:p>
      <w:pPr>
        <w:pStyle w:val="TextBody"/>
        <w:bidi w:val="0"/>
        <w:spacing w:before="0" w:after="0"/>
        <w:jc w:val="left"/>
        <w:rPr/>
      </w:pPr>
      <w:r>
        <w:rPr/>
        <w:t> </w:t>
      </w:r>
    </w:p>
    <w:tbl>
      <w:tblPr>
        <w:tblW w:w="7030" w:type="dxa"/>
        <w:jc w:val="left"/>
        <w:tblInd w:w="0" w:type="dxa"/>
        <w:tblLayout w:type="fixed"/>
        <w:tblCellMar>
          <w:top w:w="0" w:type="dxa"/>
          <w:left w:w="0" w:type="dxa"/>
          <w:bottom w:w="0" w:type="dxa"/>
          <w:right w:w="0" w:type="dxa"/>
        </w:tblCellMar>
      </w:tblPr>
      <w:tblGrid>
        <w:gridCol w:w="125"/>
        <w:gridCol w:w="60"/>
        <w:gridCol w:w="6845"/>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6845" w:type="dxa"/>
            <w:tcBorders/>
            <w:vAlign w:val="center"/>
          </w:tcPr>
          <w:p>
            <w:pPr>
              <w:pStyle w:val="TableContents"/>
              <w:bidi w:val="0"/>
              <w:spacing w:before="0" w:after="0"/>
              <w:jc w:val="both"/>
              <w:rPr>
                <w:rFonts w:ascii="arial" w:hAnsi="arial"/>
                <w:sz w:val="19"/>
              </w:rPr>
            </w:pPr>
            <w:r>
              <w:rPr>
                <w:rFonts w:ascii="arial" w:hAnsi="arial"/>
                <w:sz w:val="19"/>
              </w:rPr>
              <w:t xml:space="preserve">A candidate’s independence, as defined by The NASDAQ Stock Market, Inc.;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both"/>
              <w:rPr>
                <w:rFonts w:ascii="arial" w:hAnsi="arial"/>
                <w:sz w:val="19"/>
              </w:rPr>
            </w:pPr>
            <w:r>
              <w:rPr>
                <w:rFonts w:ascii="arial" w:hAnsi="arial"/>
                <w:sz w:val="19"/>
              </w:rPr>
              <w:t xml:space="preserve">A candidate’s ability to satisfy the composition requirements for the Audit Committee and the Compensation and Management Development Committee; </w:t>
            </w:r>
          </w:p>
        </w:tc>
      </w:tr>
    </w:tbl>
    <w:p>
      <w:pPr>
        <w:pStyle w:val="TextBody"/>
        <w:bidi w:val="0"/>
        <w:spacing w:before="0" w:after="0"/>
        <w:jc w:val="left"/>
        <w:rPr/>
      </w:pPr>
      <w:r>
        <w:rPr/>
        <w:t> </w:t>
      </w:r>
    </w:p>
    <w:tbl>
      <w:tblPr>
        <w:tblW w:w="4330" w:type="dxa"/>
        <w:jc w:val="left"/>
        <w:tblInd w:w="0" w:type="dxa"/>
        <w:tblLayout w:type="fixed"/>
        <w:tblCellMar>
          <w:top w:w="0" w:type="dxa"/>
          <w:left w:w="0" w:type="dxa"/>
          <w:bottom w:w="0" w:type="dxa"/>
          <w:right w:w="0" w:type="dxa"/>
        </w:tblCellMar>
      </w:tblPr>
      <w:tblGrid>
        <w:gridCol w:w="125"/>
        <w:gridCol w:w="60"/>
        <w:gridCol w:w="4145"/>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0"/>
              <w:jc w:val="both"/>
              <w:rPr>
                <w:rFonts w:ascii="arial" w:hAnsi="arial"/>
                <w:sz w:val="19"/>
              </w:rPr>
            </w:pPr>
            <w:r>
              <w:rPr>
                <w:rFonts w:ascii="arial" w:hAnsi="arial"/>
                <w:sz w:val="19"/>
              </w:rPr>
              <w:t xml:space="preserve">Maintaining a Board that reflects diversity; and </w:t>
            </w:r>
          </w:p>
        </w:tc>
      </w:tr>
    </w:tbl>
    <w:p>
      <w:pPr>
        <w:pStyle w:val="TextBody"/>
        <w:bidi w:val="0"/>
        <w:spacing w:before="0" w:after="0"/>
        <w:jc w:val="left"/>
        <w:rPr/>
      </w:pPr>
      <w:r>
        <w:rPr/>
        <w:t> </w:t>
      </w:r>
    </w:p>
    <w:tbl>
      <w:tblPr>
        <w:tblW w:w="4810" w:type="dxa"/>
        <w:jc w:val="left"/>
        <w:tblInd w:w="0" w:type="dxa"/>
        <w:tblLayout w:type="fixed"/>
        <w:tblCellMar>
          <w:top w:w="0" w:type="dxa"/>
          <w:left w:w="0" w:type="dxa"/>
          <w:bottom w:w="0" w:type="dxa"/>
          <w:right w:w="0" w:type="dxa"/>
        </w:tblCellMar>
      </w:tblPr>
      <w:tblGrid>
        <w:gridCol w:w="125"/>
        <w:gridCol w:w="60"/>
        <w:gridCol w:w="4625"/>
      </w:tblGrid>
      <w:tr>
        <w:trPr/>
        <w:tc>
          <w:tcPr>
            <w:tcW w:w="125" w:type="dxa"/>
            <w:tcBorders/>
            <w:vAlign w:val="center"/>
          </w:tcPr>
          <w:p>
            <w:pPr>
              <w:pStyle w:val="TableContents"/>
              <w:bidi w:val="0"/>
              <w:spacing w:before="0" w:after="283"/>
              <w:jc w:val="left"/>
              <w:rPr>
                <w:color w:val="0171B9"/>
              </w:rPr>
            </w:pPr>
            <w:r>
              <w:rPr>
                <w:color w:val="0171B9"/>
              </w:rPr>
              <w:t>•</w:t>
            </w:r>
          </w:p>
        </w:tc>
        <w:tc>
          <w:tcPr>
            <w:tcW w:w="60"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0"/>
              <w:jc w:val="both"/>
              <w:rPr>
                <w:rFonts w:ascii="arial" w:hAnsi="arial"/>
                <w:sz w:val="19"/>
              </w:rPr>
            </w:pPr>
            <w:r>
              <w:rPr>
                <w:rFonts w:ascii="arial" w:hAnsi="arial"/>
                <w:sz w:val="19"/>
              </w:rPr>
              <w:t xml:space="preserve">The Board’s overall size, structure and composition. </w:t>
            </w:r>
          </w:p>
        </w:tc>
      </w:tr>
    </w:tbl>
    <w:p>
      <w:pPr>
        <w:pStyle w:val="TextBody"/>
        <w:bidi w:val="0"/>
        <w:spacing w:before="240" w:after="0"/>
        <w:jc w:val="left"/>
        <w:rPr>
          <w:rFonts w:ascii="arial" w:hAnsi="arial"/>
          <w:b/>
          <w:sz w:val="24"/>
        </w:rPr>
      </w:pPr>
      <w:r>
        <w:rPr>
          <w:rFonts w:ascii="arial" w:hAnsi="arial"/>
          <w:b/>
          <w:sz w:val="24"/>
        </w:rPr>
        <w:t xml:space="preserve">2. Candidate Identification and Evaluation Process </w:t>
      </w:r>
    </w:p>
    <w:p>
      <w:pPr>
        <w:pStyle w:val="TextBody"/>
        <w:bidi w:val="0"/>
        <w:spacing w:before="120" w:after="0"/>
        <w:jc w:val="both"/>
        <w:rPr>
          <w:rFonts w:ascii="arial" w:hAnsi="arial"/>
          <w:sz w:val="19"/>
        </w:rPr>
      </w:pPr>
      <w:r>
        <w:rPr>
          <w:rFonts w:ascii="arial" w:hAnsi="arial"/>
          <w:sz w:val="19"/>
        </w:rPr>
        <w:t xml:space="preserve">(a) For purposes of identifying nominees for the Board of Directors, the Committee relies on professional and personal contacts of the Committee, other members of the Board of Directors and senior management, as well as candidates recommended by independent search firms retained by the Committee from time to time. The Committee also will consider candidates recommended by stockholders. Any director nominations submitted by stockholders will be evaluated in the same manner that nominees suggested by Board members, management or other parties are evaluated. </w:t>
      </w:r>
    </w:p>
    <w:p>
      <w:pPr>
        <w:pStyle w:val="TextBody"/>
        <w:bidi w:val="0"/>
        <w:spacing w:before="120" w:after="0"/>
        <w:jc w:val="both"/>
        <w:rPr>
          <w:rFonts w:ascii="arial" w:hAnsi="arial"/>
          <w:sz w:val="19"/>
        </w:rPr>
      </w:pPr>
      <w:r>
        <w:rPr>
          <w:rFonts w:ascii="arial" w:hAnsi="arial"/>
          <w:sz w:val="19"/>
        </w:rPr>
        <w:t xml:space="preserve">(b) In evaluating potential candidates, the Committee will determine whether the candidate is qualified for service on the Board of Directors by evaluating the candidate under the guidelines set forth above and by determining if any individual candidate suits the Committee’s and the Board of Director’s overall objectives at the time the candidate is being evaluated. </w:t>
      </w:r>
    </w:p>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451"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Image205" descr=""/>
                    <pic:cNvPicPr>
                      <a:picLocks noChangeAspect="1" noChangeArrowheads="1"/>
                    </pic:cNvPicPr>
                  </pic:nvPicPr>
                  <pic:blipFill>
                    <a:blip r:embed="rId218"/>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A-1</w:t>
      </w:r>
      <w:r>
        <w:rPr>
          <w:rFonts w:ascii="arial" w:hAnsi="arial"/>
          <w:b/>
          <w:sz w:val="22"/>
        </w:rPr>
        <w:t xml:space="preserve"> </w:t>
      </w:r>
      <w:r>
        <w:br w:type="page"/>
      </w:r>
    </w:p>
    <w:p>
      <w:pPr>
        <w:pStyle w:val="HorizontalLine"/>
        <w:bidi w:val="0"/>
        <w:jc w:val="left"/>
        <w:rPr/>
      </w:pPr>
      <w:r>
        <w:rPr/>
      </w:r>
    </w:p>
    <w:tbl>
      <w:tblPr>
        <w:tblW w:w="185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13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137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Appendix B</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171B9"/>
          <w:sz w:val="44"/>
        </w:rPr>
      </w:pPr>
      <w:bookmarkStart w:id="73" w:name="toc445034_60"/>
      <w:bookmarkEnd w:id="73"/>
      <w:r>
        <w:rPr>
          <w:rFonts w:ascii="arial" w:hAnsi="arial"/>
          <w:b/>
          <w:color w:val="0171B9"/>
          <w:sz w:val="44"/>
        </w:rPr>
        <w:t xml:space="preserve">Appendix B </w:t>
      </w:r>
    </w:p>
    <w:p>
      <w:pPr>
        <w:pStyle w:val="TextBody"/>
        <w:bidi w:val="0"/>
        <w:spacing w:before="240" w:after="0"/>
        <w:jc w:val="left"/>
        <w:rPr>
          <w:rFonts w:ascii="arial" w:hAnsi="arial"/>
          <w:b/>
          <w:sz w:val="22"/>
        </w:rPr>
      </w:pPr>
      <w:r>
        <w:rPr>
          <w:rFonts w:ascii="arial" w:hAnsi="arial"/>
          <w:b/>
          <w:sz w:val="22"/>
        </w:rPr>
        <w:t xml:space="preserve">Amgen Inc. </w:t>
      </w:r>
    </w:p>
    <w:p>
      <w:pPr>
        <w:pStyle w:val="TextBody"/>
        <w:bidi w:val="0"/>
        <w:spacing w:before="0" w:after="0"/>
        <w:jc w:val="left"/>
        <w:rPr>
          <w:rFonts w:ascii="arial" w:hAnsi="arial"/>
          <w:sz w:val="22"/>
        </w:rPr>
      </w:pPr>
      <w:r>
        <w:rPr>
          <w:rFonts w:ascii="arial" w:hAnsi="arial"/>
          <w:b/>
          <w:sz w:val="22"/>
        </w:rPr>
        <w:t>GAAP to Non-GAAP Reconciliations</w:t>
      </w:r>
      <w:r>
        <w:rPr>
          <w:rFonts w:ascii="arial" w:hAnsi="arial"/>
          <w:sz w:val="22"/>
        </w:rPr>
        <w:t xml:space="preserve"> </w:t>
      </w:r>
    </w:p>
    <w:p>
      <w:pPr>
        <w:pStyle w:val="TextBody"/>
        <w:bidi w:val="0"/>
        <w:spacing w:before="0" w:after="0"/>
        <w:jc w:val="left"/>
        <w:rPr>
          <w:rFonts w:ascii="arial" w:hAnsi="arial"/>
          <w:b/>
          <w:sz w:val="22"/>
        </w:rPr>
      </w:pPr>
      <w:r>
        <w:rPr>
          <w:rFonts w:ascii="arial" w:hAnsi="arial"/>
          <w:b/>
          <w:sz w:val="22"/>
        </w:rPr>
        <w:t xml:space="preserve">(Dollars in millions) </w:t>
      </w:r>
    </w:p>
    <w:p>
      <w:pPr>
        <w:pStyle w:val="TextBody"/>
        <w:bidi w:val="0"/>
        <w:spacing w:before="0" w:after="0"/>
        <w:jc w:val="left"/>
        <w:rPr>
          <w:rFonts w:ascii="arial" w:hAnsi="arial"/>
          <w:b/>
          <w:sz w:val="22"/>
        </w:rPr>
      </w:pPr>
      <w:r>
        <w:rPr>
          <w:rFonts w:ascii="arial" w:hAnsi="arial"/>
          <w:b/>
          <w:sz w:val="22"/>
        </w:rPr>
        <w:t xml:space="preserve">(Unaudited)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59"/>
        <w:gridCol w:w="120"/>
        <w:gridCol w:w="80"/>
        <w:gridCol w:w="189"/>
        <w:gridCol w:w="860"/>
        <w:gridCol w:w="291"/>
        <w:gridCol w:w="60"/>
        <w:gridCol w:w="80"/>
        <w:gridCol w:w="189"/>
        <w:gridCol w:w="860"/>
        <w:gridCol w:w="291"/>
        <w:gridCol w:w="60"/>
        <w:gridCol w:w="80"/>
        <w:gridCol w:w="189"/>
        <w:gridCol w:w="860"/>
        <w:gridCol w:w="291"/>
        <w:gridCol w:w="46"/>
      </w:tblGrid>
      <w:tr>
        <w:trPr/>
        <w:tc>
          <w:tcPr>
            <w:tcW w:w="56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6" w:type="dxa"/>
            <w:tcBorders/>
          </w:tcPr>
          <w:p>
            <w:pPr>
              <w:pStyle w:val="TableContents"/>
              <w:bidi w:val="0"/>
              <w:spacing w:before="0" w:after="283"/>
              <w:jc w:val="left"/>
              <w:rPr>
                <w:sz w:val="4"/>
                <w:szCs w:val="4"/>
              </w:rPr>
            </w:pPr>
            <w:r>
              <w:rPr>
                <w:sz w:val="4"/>
                <w:szCs w:val="4"/>
              </w:rPr>
            </w:r>
          </w:p>
        </w:tc>
      </w:tr>
      <w:tr>
        <w:trPr/>
        <w:tc>
          <w:tcPr>
            <w:tcW w:w="565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380" w:type="dxa"/>
            <w:gridSpan w:val="14"/>
            <w:tcBorders/>
            <w:vAlign w:val="center"/>
          </w:tcPr>
          <w:p>
            <w:pPr>
              <w:pStyle w:val="TableContents"/>
              <w:bidi w:val="0"/>
              <w:spacing w:before="0" w:after="283"/>
              <w:jc w:val="center"/>
              <w:rPr>
                <w:b/>
              </w:rPr>
            </w:pPr>
            <w:r>
              <w:rPr>
                <w:b/>
              </w:rPr>
              <w:t>Years ended December 31,</w:t>
            </w:r>
          </w:p>
        </w:tc>
        <w:tc>
          <w:tcPr>
            <w:tcW w:w="46" w:type="dxa"/>
            <w:tcBorders/>
          </w:tcPr>
          <w:p>
            <w:pPr>
              <w:pStyle w:val="TableContents"/>
              <w:bidi w:val="0"/>
              <w:spacing w:before="0" w:after="283"/>
              <w:jc w:val="left"/>
              <w:rPr>
                <w:sz w:val="4"/>
                <w:szCs w:val="4"/>
              </w:rPr>
            </w:pPr>
            <w:r>
              <w:rPr>
                <w:sz w:val="4"/>
                <w:szCs w:val="4"/>
              </w:rPr>
            </w:r>
          </w:p>
        </w:tc>
      </w:tr>
      <w:tr>
        <w:trPr/>
        <w:tc>
          <w:tcPr>
            <w:tcW w:w="565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26" w:type="dxa"/>
            <w:gridSpan w:val="15"/>
            <w:tcBorders/>
            <w:vAlign w:val="center"/>
          </w:tcPr>
          <w:p>
            <w:pPr>
              <w:pStyle w:val="TableContents"/>
              <w:pBdr>
                <w:bottom w:val="single" w:sz="8" w:space="1" w:color="000000"/>
              </w:pBdr>
              <w:bidi w:val="0"/>
              <w:spacing w:before="0" w:after="0"/>
              <w:jc w:val="left"/>
              <w:rPr/>
            </w:pPr>
            <w:r>
              <w:rPr/>
              <w:t> </w:t>
            </w:r>
          </w:p>
        </w:tc>
      </w:tr>
      <w:tr>
        <w:trPr/>
        <w:tc>
          <w:tcPr>
            <w:tcW w:w="565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20" w:type="dxa"/>
            <w:gridSpan w:val="4"/>
            <w:tcBorders>
              <w:bottom w:val="single" w:sz="8" w:space="0" w:color="000000"/>
            </w:tcBorders>
            <w:tcMar>
              <w:bottom w:w="28" w:type="dxa"/>
            </w:tcMar>
            <w:vAlign w:val="center"/>
          </w:tcPr>
          <w:p>
            <w:pPr>
              <w:pStyle w:val="TableContents"/>
              <w:bidi w:val="0"/>
              <w:spacing w:before="0" w:after="283"/>
              <w:jc w:val="center"/>
              <w:rPr/>
            </w:pPr>
            <w:r>
              <w:rPr/>
              <w:t>   </w:t>
            </w:r>
            <w:r>
              <w:rPr>
                <w:b/>
              </w:rPr>
              <w:t>2023   </w:t>
            </w:r>
          </w:p>
        </w:tc>
        <w:tc>
          <w:tcPr>
            <w:tcW w:w="60" w:type="dxa"/>
            <w:tcBorders/>
            <w:vAlign w:val="center"/>
          </w:tcPr>
          <w:p>
            <w:pPr>
              <w:pStyle w:val="TableContents"/>
              <w:bidi w:val="0"/>
              <w:spacing w:before="0" w:after="283"/>
              <w:jc w:val="left"/>
              <w:rPr/>
            </w:pPr>
            <w:r>
              <w:rPr/>
              <w:t> </w:t>
            </w:r>
          </w:p>
        </w:tc>
        <w:tc>
          <w:tcPr>
            <w:tcW w:w="1420" w:type="dxa"/>
            <w:gridSpan w:val="4"/>
            <w:tcBorders>
              <w:bottom w:val="single" w:sz="8" w:space="0" w:color="000000"/>
            </w:tcBorders>
            <w:tcMar>
              <w:bottom w:w="28" w:type="dxa"/>
            </w:tcMar>
            <w:vAlign w:val="center"/>
          </w:tcPr>
          <w:p>
            <w:pPr>
              <w:pStyle w:val="TableContents"/>
              <w:bidi w:val="0"/>
              <w:spacing w:before="0" w:after="283"/>
              <w:jc w:val="center"/>
              <w:rPr/>
            </w:pPr>
            <w:r>
              <w:rPr/>
              <w:t>   </w:t>
            </w:r>
            <w:r>
              <w:rPr>
                <w:b/>
              </w:rPr>
              <w:t>2022   </w:t>
            </w:r>
          </w:p>
        </w:tc>
        <w:tc>
          <w:tcPr>
            <w:tcW w:w="60" w:type="dxa"/>
            <w:tcBorders/>
            <w:vAlign w:val="center"/>
          </w:tcPr>
          <w:p>
            <w:pPr>
              <w:pStyle w:val="TableContents"/>
              <w:bidi w:val="0"/>
              <w:spacing w:before="0" w:after="283"/>
              <w:jc w:val="left"/>
              <w:rPr/>
            </w:pPr>
            <w:r>
              <w:rPr/>
              <w:t> </w:t>
            </w:r>
          </w:p>
        </w:tc>
        <w:tc>
          <w:tcPr>
            <w:tcW w:w="1420" w:type="dxa"/>
            <w:gridSpan w:val="4"/>
            <w:tcBorders>
              <w:bottom w:val="single" w:sz="8" w:space="0" w:color="000000"/>
            </w:tcBorders>
            <w:tcMar>
              <w:bottom w:w="28" w:type="dxa"/>
            </w:tcMar>
            <w:vAlign w:val="center"/>
          </w:tcPr>
          <w:p>
            <w:pPr>
              <w:pStyle w:val="TableContents"/>
              <w:bidi w:val="0"/>
              <w:spacing w:before="0" w:after="283"/>
              <w:jc w:val="center"/>
              <w:rPr/>
            </w:pPr>
            <w:r>
              <w:rPr/>
              <w:t>   </w:t>
            </w:r>
            <w:r>
              <w:rPr>
                <w:b/>
              </w:rPr>
              <w:t>2021   </w:t>
            </w:r>
          </w:p>
        </w:tc>
        <w:tc>
          <w:tcPr>
            <w:tcW w:w="46" w:type="dxa"/>
            <w:tcBorders/>
          </w:tcPr>
          <w:p>
            <w:pPr>
              <w:pStyle w:val="TableContents"/>
              <w:bidi w:val="0"/>
              <w:spacing w:before="0" w:after="283"/>
              <w:jc w:val="left"/>
              <w:rPr>
                <w:sz w:val="4"/>
                <w:szCs w:val="4"/>
              </w:rPr>
            </w:pPr>
            <w:r>
              <w:rPr>
                <w:sz w:val="4"/>
                <w:szCs w:val="4"/>
              </w:rPr>
            </w:r>
          </w:p>
        </w:tc>
      </w:tr>
      <w:tr>
        <w:trPr/>
        <w:tc>
          <w:tcPr>
            <w:tcW w:w="5659" w:type="dxa"/>
            <w:tcBorders/>
            <w:vAlign w:val="center"/>
          </w:tcPr>
          <w:p>
            <w:pPr>
              <w:pStyle w:val="TableContents"/>
              <w:bidi w:val="0"/>
              <w:spacing w:before="0" w:after="0"/>
              <w:jc w:val="left"/>
              <w:rPr>
                <w:rFonts w:ascii="arial" w:hAnsi="arial"/>
                <w:b/>
                <w:sz w:val="18"/>
              </w:rPr>
            </w:pPr>
            <w:r>
              <w:rPr>
                <w:rFonts w:ascii="arial" w:hAnsi="arial"/>
                <w:b/>
                <w:sz w:val="18"/>
              </w:rPr>
              <w:t>GAAP cost of sales</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jc w:val="right"/>
              <w:rPr/>
            </w:pPr>
            <w:r>
              <w:rPr/>
              <w:t>8,451</w:t>
            </w:r>
          </w:p>
        </w:tc>
        <w:tc>
          <w:tcPr>
            <w:tcW w:w="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jc w:val="right"/>
              <w:rPr/>
            </w:pPr>
            <w:r>
              <w:rPr/>
              <w:t>6,406</w:t>
            </w:r>
          </w:p>
        </w:tc>
        <w:tc>
          <w:tcPr>
            <w:tcW w:w="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jc w:val="right"/>
              <w:rPr/>
            </w:pPr>
            <w:r>
              <w:rPr/>
              <w:t>6,454</w:t>
            </w:r>
          </w:p>
        </w:tc>
        <w:tc>
          <w:tcPr>
            <w:tcW w:w="291" w:type="dxa"/>
            <w:tcBorders/>
            <w:vAlign w:val="center"/>
          </w:tcPr>
          <w:p>
            <w:pPr>
              <w:pStyle w:val="TableContents"/>
              <w:bidi w:val="0"/>
              <w:spacing w:before="0" w:after="283"/>
              <w:jc w:val="left"/>
              <w:rPr>
                <w:sz w:val="4"/>
                <w:szCs w:val="4"/>
              </w:rPr>
            </w:pPr>
            <w:r>
              <w:rPr>
                <w:sz w:val="4"/>
                <w:szCs w:val="4"/>
              </w:rPr>
            </w:r>
          </w:p>
        </w:tc>
        <w:tc>
          <w:tcPr>
            <w:tcW w:w="46" w:type="dxa"/>
            <w:tcBorders/>
          </w:tcPr>
          <w:p>
            <w:pPr>
              <w:pStyle w:val="TableContents"/>
              <w:bidi w:val="0"/>
              <w:spacing w:before="0" w:after="283"/>
              <w:jc w:val="left"/>
              <w:rPr>
                <w:sz w:val="4"/>
                <w:szCs w:val="4"/>
              </w:rPr>
            </w:pPr>
            <w:r>
              <w:rPr>
                <w:sz w:val="4"/>
                <w:szCs w:val="4"/>
              </w:rPr>
            </w:r>
          </w:p>
        </w:tc>
      </w:tr>
      <w:tr>
        <w:trPr/>
        <w:tc>
          <w:tcPr>
            <w:tcW w:w="5659" w:type="dxa"/>
            <w:tcBorders/>
            <w:vAlign w:val="center"/>
          </w:tcPr>
          <w:p>
            <w:pPr>
              <w:pStyle w:val="TableContents"/>
              <w:bidi w:val="0"/>
              <w:spacing w:before="0" w:after="0"/>
              <w:jc w:val="left"/>
              <w:rPr>
                <w:rFonts w:ascii="arial" w:hAnsi="arial"/>
                <w:b/>
                <w:sz w:val="18"/>
              </w:rPr>
            </w:pPr>
            <w:r>
              <w:rPr>
                <w:rFonts w:ascii="arial" w:hAnsi="arial"/>
                <w:b/>
                <w:sz w:val="18"/>
              </w:rPr>
              <w:t>Adjustments to cost of sales:</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6" w:type="dxa"/>
            <w:tcBorders/>
          </w:tcPr>
          <w:p>
            <w:pPr>
              <w:pStyle w:val="TableContents"/>
              <w:bidi w:val="0"/>
              <w:spacing w:before="0" w:after="283"/>
              <w:jc w:val="left"/>
              <w:rPr>
                <w:sz w:val="4"/>
                <w:szCs w:val="4"/>
              </w:rPr>
            </w:pPr>
            <w:r>
              <w:rPr>
                <w:sz w:val="4"/>
                <w:szCs w:val="4"/>
              </w:rPr>
            </w:r>
          </w:p>
        </w:tc>
      </w:tr>
      <w:tr>
        <w:trPr/>
        <w:tc>
          <w:tcPr>
            <w:tcW w:w="5659" w:type="dxa"/>
            <w:tcBorders/>
            <w:vAlign w:val="center"/>
          </w:tcPr>
          <w:p>
            <w:pPr>
              <w:pStyle w:val="TableContents"/>
              <w:bidi w:val="0"/>
              <w:spacing w:before="0" w:after="0"/>
              <w:jc w:val="left"/>
              <w:rPr>
                <w:rFonts w:ascii="arial" w:hAnsi="arial"/>
                <w:sz w:val="18"/>
              </w:rPr>
            </w:pPr>
            <w:r>
              <w:rPr>
                <w:rFonts w:ascii="arial" w:hAnsi="arial"/>
                <w:sz w:val="18"/>
              </w:rPr>
              <w:t xml:space="preserve">Acquisition-related expenses </w:t>
            </w:r>
            <w:r>
              <w:rPr>
                <w:rFonts w:ascii="arial" w:hAnsi="arial"/>
                <w:b/>
                <w:sz w:val="18"/>
              </w:rPr>
              <w:t>(a)</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(3,842</w:t>
            </w:r>
          </w:p>
        </w:tc>
        <w:tc>
          <w:tcPr>
            <w:tcW w:w="291"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(2,455</w:t>
            </w:r>
          </w:p>
        </w:tc>
        <w:tc>
          <w:tcPr>
            <w:tcW w:w="291"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(2,443</w:t>
            </w:r>
          </w:p>
        </w:tc>
        <w:tc>
          <w:tcPr>
            <w:tcW w:w="291" w:type="dxa"/>
            <w:tcBorders/>
            <w:vAlign w:val="center"/>
          </w:tcPr>
          <w:p>
            <w:pPr>
              <w:pStyle w:val="TableContents"/>
              <w:bidi w:val="0"/>
              <w:spacing w:before="0" w:after="283"/>
              <w:jc w:val="left"/>
              <w:rPr/>
            </w:pPr>
            <w:r>
              <w:rPr/>
              <w:t>)</w:t>
            </w:r>
          </w:p>
        </w:tc>
        <w:tc>
          <w:tcPr>
            <w:tcW w:w="46" w:type="dxa"/>
            <w:tcBorders/>
          </w:tcPr>
          <w:p>
            <w:pPr>
              <w:pStyle w:val="TableContents"/>
              <w:bidi w:val="0"/>
              <w:spacing w:before="0" w:after="283"/>
              <w:jc w:val="left"/>
              <w:rPr>
                <w:sz w:val="4"/>
                <w:szCs w:val="4"/>
              </w:rPr>
            </w:pPr>
            <w:r>
              <w:rPr>
                <w:sz w:val="4"/>
                <w:szCs w:val="4"/>
              </w:rPr>
            </w:r>
          </w:p>
        </w:tc>
      </w:tr>
      <w:tr>
        <w:trPr/>
        <w:tc>
          <w:tcPr>
            <w:tcW w:w="5659" w:type="dxa"/>
            <w:tcBorders/>
            <w:vAlign w:val="center"/>
          </w:tcPr>
          <w:p>
            <w:pPr>
              <w:pStyle w:val="TableContents"/>
              <w:bidi w:val="0"/>
              <w:spacing w:before="0" w:after="0"/>
              <w:jc w:val="left"/>
              <w:rPr>
                <w:rFonts w:ascii="arial" w:hAnsi="arial"/>
                <w:sz w:val="18"/>
              </w:rPr>
            </w:pPr>
            <w:r>
              <w:rPr>
                <w:rFonts w:ascii="arial" w:hAnsi="arial"/>
                <w:sz w:val="18"/>
              </w:rPr>
              <w:t>Certain net charges pursuant to our restructuring and cost savings initiatives</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(36</w:t>
            </w:r>
          </w:p>
        </w:tc>
        <w:tc>
          <w:tcPr>
            <w:tcW w:w="291"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w:t>
            </w:r>
          </w:p>
        </w:tc>
        <w:tc>
          <w:tcPr>
            <w:tcW w:w="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w:t>
            </w:r>
          </w:p>
        </w:tc>
        <w:tc>
          <w:tcPr>
            <w:tcW w:w="291" w:type="dxa"/>
            <w:tcBorders/>
            <w:vAlign w:val="center"/>
          </w:tcPr>
          <w:p>
            <w:pPr>
              <w:pStyle w:val="TableContents"/>
              <w:bidi w:val="0"/>
              <w:spacing w:before="0" w:after="283"/>
              <w:jc w:val="left"/>
              <w:rPr>
                <w:sz w:val="4"/>
                <w:szCs w:val="4"/>
              </w:rPr>
            </w:pPr>
            <w:r>
              <w:rPr>
                <w:sz w:val="4"/>
                <w:szCs w:val="4"/>
              </w:rPr>
            </w:r>
          </w:p>
        </w:tc>
        <w:tc>
          <w:tcPr>
            <w:tcW w:w="46" w:type="dxa"/>
            <w:tcBorders/>
          </w:tcPr>
          <w:p>
            <w:pPr>
              <w:pStyle w:val="TableContents"/>
              <w:bidi w:val="0"/>
              <w:spacing w:before="0" w:after="283"/>
              <w:jc w:val="left"/>
              <w:rPr>
                <w:sz w:val="4"/>
                <w:szCs w:val="4"/>
              </w:rPr>
            </w:pPr>
            <w:r>
              <w:rPr>
                <w:sz w:val="4"/>
                <w:szCs w:val="4"/>
              </w:rPr>
            </w:r>
          </w:p>
        </w:tc>
      </w:tr>
      <w:tr>
        <w:trPr/>
        <w:tc>
          <w:tcPr>
            <w:tcW w:w="5659" w:type="dxa"/>
            <w:tcBorders/>
            <w:vAlign w:val="center"/>
          </w:tcPr>
          <w:p>
            <w:pPr>
              <w:pStyle w:val="TableContents"/>
              <w:bidi w:val="0"/>
              <w:spacing w:before="0" w:after="0"/>
              <w:jc w:val="left"/>
              <w:rPr>
                <w:rFonts w:ascii="arial" w:hAnsi="arial"/>
                <w:sz w:val="18"/>
              </w:rPr>
            </w:pPr>
            <w:r>
              <w:rPr>
                <w:rFonts w:ascii="arial" w:hAnsi="arial"/>
                <w:sz w:val="18"/>
              </w:rPr>
              <w:t>Other</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w:t>
            </w:r>
          </w:p>
        </w:tc>
        <w:tc>
          <w:tcPr>
            <w:tcW w:w="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w:t>
            </w:r>
          </w:p>
        </w:tc>
        <w:tc>
          <w:tcPr>
            <w:tcW w:w="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(17</w:t>
            </w:r>
          </w:p>
        </w:tc>
        <w:tc>
          <w:tcPr>
            <w:tcW w:w="291" w:type="dxa"/>
            <w:tcBorders/>
            <w:vAlign w:val="center"/>
          </w:tcPr>
          <w:p>
            <w:pPr>
              <w:pStyle w:val="TableContents"/>
              <w:bidi w:val="0"/>
              <w:spacing w:before="0" w:after="283"/>
              <w:jc w:val="left"/>
              <w:rPr/>
            </w:pPr>
            <w:r>
              <w:rPr/>
              <w:t>)</w:t>
            </w:r>
          </w:p>
        </w:tc>
        <w:tc>
          <w:tcPr>
            <w:tcW w:w="46" w:type="dxa"/>
            <w:tcBorders/>
          </w:tcPr>
          <w:p>
            <w:pPr>
              <w:pStyle w:val="TableContents"/>
              <w:bidi w:val="0"/>
              <w:spacing w:before="0" w:after="283"/>
              <w:jc w:val="left"/>
              <w:rPr>
                <w:sz w:val="4"/>
                <w:szCs w:val="4"/>
              </w:rPr>
            </w:pPr>
            <w:r>
              <w:rPr>
                <w:sz w:val="4"/>
                <w:szCs w:val="4"/>
              </w:rPr>
            </w:r>
          </w:p>
        </w:tc>
      </w:tr>
      <w:tr>
        <w:trPr/>
        <w:tc>
          <w:tcPr>
            <w:tcW w:w="56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860" w:type="dxa"/>
            <w:tcBorders/>
            <w:vAlign w:val="center"/>
          </w:tcPr>
          <w:p>
            <w:pPr>
              <w:pStyle w:val="TableContents"/>
              <w:pBdr>
                <w:top w:val="single" w:sz="2"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860" w:type="dxa"/>
            <w:tcBorders/>
            <w:vAlign w:val="center"/>
          </w:tcPr>
          <w:p>
            <w:pPr>
              <w:pStyle w:val="TableContents"/>
              <w:pBdr>
                <w:top w:val="single" w:sz="2"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860" w:type="dxa"/>
            <w:tcBorders/>
            <w:vAlign w:val="center"/>
          </w:tcPr>
          <w:p>
            <w:pPr>
              <w:pStyle w:val="TableContents"/>
              <w:pBdr>
                <w:top w:val="single" w:sz="2"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c>
          <w:tcPr>
            <w:tcW w:w="46" w:type="dxa"/>
            <w:tcBorders/>
          </w:tcPr>
          <w:p>
            <w:pPr>
              <w:pStyle w:val="TableContents"/>
              <w:bidi w:val="0"/>
              <w:spacing w:before="0" w:after="283"/>
              <w:jc w:val="left"/>
              <w:rPr>
                <w:sz w:val="4"/>
                <w:szCs w:val="4"/>
              </w:rPr>
            </w:pPr>
            <w:r>
              <w:rPr>
                <w:sz w:val="4"/>
                <w:szCs w:val="4"/>
              </w:rPr>
            </w:r>
          </w:p>
        </w:tc>
      </w:tr>
      <w:tr>
        <w:trPr/>
        <w:tc>
          <w:tcPr>
            <w:tcW w:w="5659" w:type="dxa"/>
            <w:tcBorders/>
            <w:vAlign w:val="center"/>
          </w:tcPr>
          <w:p>
            <w:pPr>
              <w:pStyle w:val="TableContents"/>
              <w:bidi w:val="0"/>
              <w:spacing w:before="0" w:after="0"/>
              <w:jc w:val="left"/>
              <w:rPr>
                <w:rFonts w:ascii="arial" w:hAnsi="arial"/>
                <w:b/>
                <w:sz w:val="18"/>
              </w:rPr>
            </w:pPr>
            <w:r>
              <w:rPr>
                <w:rFonts w:ascii="arial" w:hAnsi="arial"/>
                <w:b/>
                <w:sz w:val="18"/>
              </w:rPr>
              <w:t>Total adjustments to cost of sales</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(3,878</w:t>
            </w:r>
          </w:p>
        </w:tc>
        <w:tc>
          <w:tcPr>
            <w:tcW w:w="291"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(2,455</w:t>
            </w:r>
          </w:p>
        </w:tc>
        <w:tc>
          <w:tcPr>
            <w:tcW w:w="291"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(2,460</w:t>
            </w:r>
          </w:p>
        </w:tc>
        <w:tc>
          <w:tcPr>
            <w:tcW w:w="291" w:type="dxa"/>
            <w:tcBorders/>
            <w:vAlign w:val="center"/>
          </w:tcPr>
          <w:p>
            <w:pPr>
              <w:pStyle w:val="TableContents"/>
              <w:bidi w:val="0"/>
              <w:spacing w:before="0" w:after="283"/>
              <w:jc w:val="left"/>
              <w:rPr/>
            </w:pPr>
            <w:r>
              <w:rPr/>
              <w:t>)</w:t>
            </w:r>
          </w:p>
        </w:tc>
        <w:tc>
          <w:tcPr>
            <w:tcW w:w="46" w:type="dxa"/>
            <w:tcBorders/>
          </w:tcPr>
          <w:p>
            <w:pPr>
              <w:pStyle w:val="TableContents"/>
              <w:bidi w:val="0"/>
              <w:spacing w:before="0" w:after="283"/>
              <w:jc w:val="left"/>
              <w:rPr>
                <w:sz w:val="4"/>
                <w:szCs w:val="4"/>
              </w:rPr>
            </w:pPr>
            <w:r>
              <w:rPr>
                <w:sz w:val="4"/>
                <w:szCs w:val="4"/>
              </w:rPr>
            </w:r>
          </w:p>
        </w:tc>
      </w:tr>
      <w:tr>
        <w:trPr/>
        <w:tc>
          <w:tcPr>
            <w:tcW w:w="56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860" w:type="dxa"/>
            <w:tcBorders/>
            <w:vAlign w:val="center"/>
          </w:tcPr>
          <w:p>
            <w:pPr>
              <w:pStyle w:val="TableContents"/>
              <w:pBdr>
                <w:top w:val="single" w:sz="2"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860" w:type="dxa"/>
            <w:tcBorders/>
            <w:vAlign w:val="center"/>
          </w:tcPr>
          <w:p>
            <w:pPr>
              <w:pStyle w:val="TableContents"/>
              <w:pBdr>
                <w:top w:val="single" w:sz="2"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860" w:type="dxa"/>
            <w:tcBorders/>
            <w:vAlign w:val="center"/>
          </w:tcPr>
          <w:p>
            <w:pPr>
              <w:pStyle w:val="TableContents"/>
              <w:pBdr>
                <w:top w:val="single" w:sz="2"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c>
          <w:tcPr>
            <w:tcW w:w="46" w:type="dxa"/>
            <w:tcBorders/>
          </w:tcPr>
          <w:p>
            <w:pPr>
              <w:pStyle w:val="TableContents"/>
              <w:bidi w:val="0"/>
              <w:spacing w:before="0" w:after="283"/>
              <w:jc w:val="left"/>
              <w:rPr>
                <w:sz w:val="4"/>
                <w:szCs w:val="4"/>
              </w:rPr>
            </w:pPr>
            <w:r>
              <w:rPr>
                <w:sz w:val="4"/>
                <w:szCs w:val="4"/>
              </w:rPr>
            </w:r>
          </w:p>
        </w:tc>
      </w:tr>
      <w:tr>
        <w:trPr/>
        <w:tc>
          <w:tcPr>
            <w:tcW w:w="5659" w:type="dxa"/>
            <w:tcBorders/>
            <w:vAlign w:val="center"/>
          </w:tcPr>
          <w:p>
            <w:pPr>
              <w:pStyle w:val="TableContents"/>
              <w:bidi w:val="0"/>
              <w:spacing w:before="0" w:after="0"/>
              <w:jc w:val="left"/>
              <w:rPr>
                <w:rFonts w:ascii="arial" w:hAnsi="arial"/>
                <w:b/>
                <w:sz w:val="18"/>
              </w:rPr>
            </w:pPr>
            <w:r>
              <w:rPr>
                <w:rFonts w:ascii="arial" w:hAnsi="arial"/>
                <w:b/>
                <w:sz w:val="18"/>
              </w:rPr>
              <w:t>Non-GAAP cost of sales</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jc w:val="right"/>
              <w:rPr/>
            </w:pPr>
            <w:r>
              <w:rPr/>
              <w:t>4,573</w:t>
            </w:r>
          </w:p>
        </w:tc>
        <w:tc>
          <w:tcPr>
            <w:tcW w:w="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jc w:val="right"/>
              <w:rPr/>
            </w:pPr>
            <w:r>
              <w:rPr/>
              <w:t>3,951</w:t>
            </w:r>
          </w:p>
        </w:tc>
        <w:tc>
          <w:tcPr>
            <w:tcW w:w="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jc w:val="right"/>
              <w:rPr/>
            </w:pPr>
            <w:r>
              <w:rPr/>
              <w:t>3,994</w:t>
            </w:r>
          </w:p>
        </w:tc>
        <w:tc>
          <w:tcPr>
            <w:tcW w:w="291" w:type="dxa"/>
            <w:tcBorders/>
            <w:vAlign w:val="center"/>
          </w:tcPr>
          <w:p>
            <w:pPr>
              <w:pStyle w:val="TableContents"/>
              <w:bidi w:val="0"/>
              <w:spacing w:before="0" w:after="283"/>
              <w:jc w:val="left"/>
              <w:rPr>
                <w:sz w:val="4"/>
                <w:szCs w:val="4"/>
              </w:rPr>
            </w:pPr>
            <w:r>
              <w:rPr>
                <w:sz w:val="4"/>
                <w:szCs w:val="4"/>
              </w:rPr>
            </w:r>
          </w:p>
        </w:tc>
        <w:tc>
          <w:tcPr>
            <w:tcW w:w="46" w:type="dxa"/>
            <w:tcBorders/>
          </w:tcPr>
          <w:p>
            <w:pPr>
              <w:pStyle w:val="TableContents"/>
              <w:bidi w:val="0"/>
              <w:spacing w:before="0" w:after="283"/>
              <w:jc w:val="left"/>
              <w:rPr>
                <w:sz w:val="4"/>
                <w:szCs w:val="4"/>
              </w:rPr>
            </w:pPr>
            <w:r>
              <w:rPr>
                <w:sz w:val="4"/>
                <w:szCs w:val="4"/>
              </w:rPr>
            </w:r>
          </w:p>
        </w:tc>
      </w:tr>
      <w:tr>
        <w:trPr/>
        <w:tc>
          <w:tcPr>
            <w:tcW w:w="56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double" w:sz="6" w:space="1" w:color="000000"/>
              </w:pBdr>
              <w:bidi w:val="0"/>
              <w:spacing w:before="0" w:after="0"/>
              <w:jc w:val="left"/>
              <w:rPr/>
            </w:pPr>
            <w:r>
              <w:rPr/>
              <w:t> </w:t>
            </w:r>
          </w:p>
        </w:tc>
        <w:tc>
          <w:tcPr>
            <w:tcW w:w="860" w:type="dxa"/>
            <w:tcBorders/>
            <w:vAlign w:val="center"/>
          </w:tcPr>
          <w:p>
            <w:pPr>
              <w:pStyle w:val="TableContents"/>
              <w:pBdr>
                <w:top w:val="double" w:sz="6"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double" w:sz="6" w:space="1" w:color="000000"/>
              </w:pBdr>
              <w:bidi w:val="0"/>
              <w:spacing w:before="0" w:after="0"/>
              <w:jc w:val="left"/>
              <w:rPr/>
            </w:pPr>
            <w:r>
              <w:rPr/>
              <w:t> </w:t>
            </w:r>
          </w:p>
        </w:tc>
        <w:tc>
          <w:tcPr>
            <w:tcW w:w="860" w:type="dxa"/>
            <w:tcBorders/>
            <w:vAlign w:val="center"/>
          </w:tcPr>
          <w:p>
            <w:pPr>
              <w:pStyle w:val="TableContents"/>
              <w:pBdr>
                <w:top w:val="double" w:sz="6"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double" w:sz="6" w:space="1" w:color="000000"/>
              </w:pBdr>
              <w:bidi w:val="0"/>
              <w:spacing w:before="0" w:after="0"/>
              <w:jc w:val="left"/>
              <w:rPr/>
            </w:pPr>
            <w:r>
              <w:rPr/>
              <w:t> </w:t>
            </w:r>
          </w:p>
        </w:tc>
        <w:tc>
          <w:tcPr>
            <w:tcW w:w="860" w:type="dxa"/>
            <w:tcBorders/>
            <w:vAlign w:val="center"/>
          </w:tcPr>
          <w:p>
            <w:pPr>
              <w:pStyle w:val="TableContents"/>
              <w:pBdr>
                <w:top w:val="double" w:sz="6"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c>
          <w:tcPr>
            <w:tcW w:w="46" w:type="dxa"/>
            <w:tcBorders/>
          </w:tcPr>
          <w:p>
            <w:pPr>
              <w:pStyle w:val="TableContents"/>
              <w:bidi w:val="0"/>
              <w:spacing w:before="0" w:after="283"/>
              <w:jc w:val="left"/>
              <w:rPr>
                <w:sz w:val="4"/>
                <w:szCs w:val="4"/>
              </w:rPr>
            </w:pPr>
            <w:r>
              <w:rPr>
                <w:sz w:val="4"/>
                <w:szCs w:val="4"/>
              </w:rPr>
            </w:r>
          </w:p>
        </w:tc>
      </w:tr>
      <w:tr>
        <w:trPr/>
        <w:tc>
          <w:tcPr>
            <w:tcW w:w="5659" w:type="dxa"/>
            <w:tcBorders/>
            <w:vAlign w:val="center"/>
          </w:tcPr>
          <w:p>
            <w:pPr>
              <w:pStyle w:val="TableContents"/>
              <w:bidi w:val="0"/>
              <w:spacing w:before="0" w:after="283"/>
              <w:jc w:val="left"/>
              <w:rPr>
                <w:sz w:val="4"/>
                <w:szCs w:val="4"/>
              </w:rPr>
            </w:pPr>
            <w:r>
              <w:rPr>
                <w:sz w:val="4"/>
                <w:szCs w:val="4"/>
              </w:rPr>
            </w:r>
          </w:p>
        </w:tc>
        <w:tc>
          <w:tcPr>
            <w:tcW w:w="1540" w:type="dxa"/>
            <w:gridSpan w:val="5"/>
            <w:tcBorders/>
            <w:vAlign w:val="center"/>
          </w:tcPr>
          <w:p>
            <w:pPr>
              <w:pStyle w:val="TableContents"/>
              <w:bidi w:val="0"/>
              <w:spacing w:before="0" w:after="283"/>
              <w:jc w:val="left"/>
              <w:rPr>
                <w:sz w:val="4"/>
                <w:szCs w:val="4"/>
              </w:rPr>
            </w:pPr>
            <w:r>
              <w:rPr>
                <w:sz w:val="4"/>
                <w:szCs w:val="4"/>
              </w:rPr>
            </w:r>
          </w:p>
        </w:tc>
        <w:tc>
          <w:tcPr>
            <w:tcW w:w="1480" w:type="dxa"/>
            <w:gridSpan w:val="5"/>
            <w:tcBorders/>
            <w:vAlign w:val="center"/>
          </w:tcPr>
          <w:p>
            <w:pPr>
              <w:pStyle w:val="TableContents"/>
              <w:bidi w:val="0"/>
              <w:spacing w:before="0" w:after="283"/>
              <w:jc w:val="left"/>
              <w:rPr>
                <w:sz w:val="4"/>
                <w:szCs w:val="4"/>
              </w:rPr>
            </w:pPr>
            <w:r>
              <w:rPr>
                <w:sz w:val="4"/>
                <w:szCs w:val="4"/>
              </w:rPr>
            </w:r>
          </w:p>
        </w:tc>
        <w:tc>
          <w:tcPr>
            <w:tcW w:w="1480" w:type="dxa"/>
            <w:gridSpan w:val="5"/>
            <w:tcBorders/>
            <w:vAlign w:val="center"/>
          </w:tcPr>
          <w:p>
            <w:pPr>
              <w:pStyle w:val="TableContents"/>
              <w:bidi w:val="0"/>
              <w:spacing w:before="0" w:after="283"/>
              <w:jc w:val="left"/>
              <w:rPr>
                <w:sz w:val="4"/>
                <w:szCs w:val="4"/>
              </w:rPr>
            </w:pPr>
            <w:r>
              <w:rPr>
                <w:sz w:val="4"/>
                <w:szCs w:val="4"/>
              </w:rPr>
            </w:r>
          </w:p>
        </w:tc>
        <w:tc>
          <w:tcPr>
            <w:tcW w:w="46" w:type="dxa"/>
            <w:tcBorders/>
          </w:tcPr>
          <w:p>
            <w:pPr>
              <w:pStyle w:val="TableContents"/>
              <w:bidi w:val="0"/>
              <w:spacing w:before="0" w:after="283"/>
              <w:jc w:val="left"/>
              <w:rPr>
                <w:sz w:val="4"/>
                <w:szCs w:val="4"/>
              </w:rPr>
            </w:pPr>
            <w:r>
              <w:rPr>
                <w:sz w:val="4"/>
                <w:szCs w:val="4"/>
              </w:rPr>
            </w:r>
          </w:p>
        </w:tc>
      </w:tr>
      <w:tr>
        <w:trPr/>
        <w:tc>
          <w:tcPr>
            <w:tcW w:w="5659" w:type="dxa"/>
            <w:tcBorders/>
            <w:vAlign w:val="center"/>
          </w:tcPr>
          <w:p>
            <w:pPr>
              <w:pStyle w:val="TableContents"/>
              <w:bidi w:val="0"/>
              <w:spacing w:before="0" w:after="0"/>
              <w:jc w:val="left"/>
              <w:rPr>
                <w:rFonts w:ascii="arial" w:hAnsi="arial"/>
                <w:b/>
                <w:sz w:val="18"/>
              </w:rPr>
            </w:pPr>
            <w:r>
              <w:rPr>
                <w:rFonts w:ascii="arial" w:hAnsi="arial"/>
                <w:b/>
                <w:sz w:val="18"/>
              </w:rPr>
              <w:t>GAAP cost of sales as a percentage of product sales</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31.4</w:t>
            </w:r>
          </w:p>
        </w:tc>
        <w:tc>
          <w:tcPr>
            <w:tcW w:w="291"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25.8</w:t>
            </w:r>
          </w:p>
        </w:tc>
        <w:tc>
          <w:tcPr>
            <w:tcW w:w="291"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26.6</w:t>
            </w:r>
          </w:p>
        </w:tc>
        <w:tc>
          <w:tcPr>
            <w:tcW w:w="291" w:type="dxa"/>
            <w:tcBorders/>
            <w:vAlign w:val="center"/>
          </w:tcPr>
          <w:p>
            <w:pPr>
              <w:pStyle w:val="TableContents"/>
              <w:bidi w:val="0"/>
              <w:spacing w:before="0" w:after="283"/>
              <w:jc w:val="left"/>
              <w:rPr/>
            </w:pPr>
            <w:r>
              <w:rPr/>
              <w:t>%</w:t>
            </w:r>
          </w:p>
        </w:tc>
        <w:tc>
          <w:tcPr>
            <w:tcW w:w="46" w:type="dxa"/>
            <w:tcBorders/>
          </w:tcPr>
          <w:p>
            <w:pPr>
              <w:pStyle w:val="TableContents"/>
              <w:bidi w:val="0"/>
              <w:spacing w:before="0" w:after="283"/>
              <w:jc w:val="left"/>
              <w:rPr>
                <w:sz w:val="4"/>
                <w:szCs w:val="4"/>
              </w:rPr>
            </w:pPr>
            <w:r>
              <w:rPr>
                <w:sz w:val="4"/>
                <w:szCs w:val="4"/>
              </w:rPr>
            </w:r>
          </w:p>
        </w:tc>
      </w:tr>
      <w:tr>
        <w:trPr/>
        <w:tc>
          <w:tcPr>
            <w:tcW w:w="5659" w:type="dxa"/>
            <w:tcBorders/>
            <w:vAlign w:val="center"/>
          </w:tcPr>
          <w:p>
            <w:pPr>
              <w:pStyle w:val="TableContents"/>
              <w:bidi w:val="0"/>
              <w:spacing w:before="0" w:after="0"/>
              <w:jc w:val="left"/>
              <w:rPr>
                <w:rFonts w:ascii="arial" w:hAnsi="arial"/>
                <w:sz w:val="18"/>
              </w:rPr>
            </w:pPr>
            <w:r>
              <w:rPr>
                <w:rFonts w:ascii="arial" w:hAnsi="arial"/>
                <w:sz w:val="18"/>
              </w:rPr>
              <w:t xml:space="preserve">Acquisition-related expenses </w:t>
            </w:r>
            <w:r>
              <w:rPr>
                <w:rFonts w:ascii="arial" w:hAnsi="arial"/>
                <w:b/>
                <w:sz w:val="18"/>
              </w:rPr>
              <w:t>(a)</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(14.3</w:t>
            </w:r>
          </w:p>
        </w:tc>
        <w:tc>
          <w:tcPr>
            <w:tcW w:w="291"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(9.9</w:t>
            </w:r>
          </w:p>
        </w:tc>
        <w:tc>
          <w:tcPr>
            <w:tcW w:w="291"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(10.1</w:t>
            </w:r>
          </w:p>
        </w:tc>
        <w:tc>
          <w:tcPr>
            <w:tcW w:w="291" w:type="dxa"/>
            <w:tcBorders/>
            <w:vAlign w:val="center"/>
          </w:tcPr>
          <w:p>
            <w:pPr>
              <w:pStyle w:val="TableContents"/>
              <w:bidi w:val="0"/>
              <w:spacing w:before="0" w:after="283"/>
              <w:jc w:val="left"/>
              <w:rPr/>
            </w:pPr>
            <w:r>
              <w:rPr/>
              <w:t>)</w:t>
            </w:r>
          </w:p>
        </w:tc>
        <w:tc>
          <w:tcPr>
            <w:tcW w:w="46" w:type="dxa"/>
            <w:tcBorders/>
          </w:tcPr>
          <w:p>
            <w:pPr>
              <w:pStyle w:val="TableContents"/>
              <w:bidi w:val="0"/>
              <w:spacing w:before="0" w:after="283"/>
              <w:jc w:val="left"/>
              <w:rPr>
                <w:sz w:val="4"/>
                <w:szCs w:val="4"/>
              </w:rPr>
            </w:pPr>
            <w:r>
              <w:rPr>
                <w:sz w:val="4"/>
                <w:szCs w:val="4"/>
              </w:rPr>
            </w:r>
          </w:p>
        </w:tc>
      </w:tr>
      <w:tr>
        <w:trPr/>
        <w:tc>
          <w:tcPr>
            <w:tcW w:w="5659" w:type="dxa"/>
            <w:tcBorders/>
            <w:vAlign w:val="center"/>
          </w:tcPr>
          <w:p>
            <w:pPr>
              <w:pStyle w:val="TableContents"/>
              <w:bidi w:val="0"/>
              <w:spacing w:before="0" w:after="0"/>
              <w:jc w:val="left"/>
              <w:rPr>
                <w:rFonts w:ascii="arial" w:hAnsi="arial"/>
                <w:sz w:val="18"/>
              </w:rPr>
            </w:pPr>
            <w:r>
              <w:rPr>
                <w:rFonts w:ascii="arial" w:hAnsi="arial"/>
                <w:sz w:val="18"/>
              </w:rPr>
              <w:t>Certain net charges pursuant to our restructuring and cost savings initiatives</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(0.1</w:t>
            </w:r>
          </w:p>
        </w:tc>
        <w:tc>
          <w:tcPr>
            <w:tcW w:w="291"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0.0</w:t>
            </w:r>
          </w:p>
        </w:tc>
        <w:tc>
          <w:tcPr>
            <w:tcW w:w="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0.0</w:t>
            </w:r>
          </w:p>
        </w:tc>
        <w:tc>
          <w:tcPr>
            <w:tcW w:w="291" w:type="dxa"/>
            <w:tcBorders/>
            <w:vAlign w:val="center"/>
          </w:tcPr>
          <w:p>
            <w:pPr>
              <w:pStyle w:val="TableContents"/>
              <w:bidi w:val="0"/>
              <w:spacing w:before="0" w:after="283"/>
              <w:jc w:val="left"/>
              <w:rPr>
                <w:sz w:val="4"/>
                <w:szCs w:val="4"/>
              </w:rPr>
            </w:pPr>
            <w:r>
              <w:rPr>
                <w:sz w:val="4"/>
                <w:szCs w:val="4"/>
              </w:rPr>
            </w:r>
          </w:p>
        </w:tc>
        <w:tc>
          <w:tcPr>
            <w:tcW w:w="46" w:type="dxa"/>
            <w:tcBorders/>
          </w:tcPr>
          <w:p>
            <w:pPr>
              <w:pStyle w:val="TableContents"/>
              <w:bidi w:val="0"/>
              <w:spacing w:before="0" w:after="283"/>
              <w:jc w:val="left"/>
              <w:rPr>
                <w:sz w:val="4"/>
                <w:szCs w:val="4"/>
              </w:rPr>
            </w:pPr>
            <w:r>
              <w:rPr>
                <w:sz w:val="4"/>
                <w:szCs w:val="4"/>
              </w:rPr>
            </w:r>
          </w:p>
        </w:tc>
      </w:tr>
      <w:tr>
        <w:trPr/>
        <w:tc>
          <w:tcPr>
            <w:tcW w:w="5659" w:type="dxa"/>
            <w:tcBorders/>
            <w:vAlign w:val="center"/>
          </w:tcPr>
          <w:p>
            <w:pPr>
              <w:pStyle w:val="TableContents"/>
              <w:bidi w:val="0"/>
              <w:spacing w:before="0" w:after="0"/>
              <w:jc w:val="left"/>
              <w:rPr>
                <w:rFonts w:ascii="arial" w:hAnsi="arial"/>
                <w:sz w:val="18"/>
              </w:rPr>
            </w:pPr>
            <w:r>
              <w:rPr>
                <w:rFonts w:ascii="arial" w:hAnsi="arial"/>
                <w:sz w:val="18"/>
              </w:rPr>
              <w:t>Other</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0.0</w:t>
            </w:r>
          </w:p>
        </w:tc>
        <w:tc>
          <w:tcPr>
            <w:tcW w:w="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0.0</w:t>
            </w:r>
          </w:p>
        </w:tc>
        <w:tc>
          <w:tcPr>
            <w:tcW w:w="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(0.1</w:t>
            </w:r>
          </w:p>
        </w:tc>
        <w:tc>
          <w:tcPr>
            <w:tcW w:w="291" w:type="dxa"/>
            <w:tcBorders/>
            <w:vAlign w:val="center"/>
          </w:tcPr>
          <w:p>
            <w:pPr>
              <w:pStyle w:val="TableContents"/>
              <w:bidi w:val="0"/>
              <w:spacing w:before="0" w:after="283"/>
              <w:jc w:val="left"/>
              <w:rPr/>
            </w:pPr>
            <w:r>
              <w:rPr/>
              <w:t>)</w:t>
            </w:r>
          </w:p>
        </w:tc>
        <w:tc>
          <w:tcPr>
            <w:tcW w:w="46" w:type="dxa"/>
            <w:tcBorders/>
          </w:tcPr>
          <w:p>
            <w:pPr>
              <w:pStyle w:val="TableContents"/>
              <w:bidi w:val="0"/>
              <w:spacing w:before="0" w:after="283"/>
              <w:jc w:val="left"/>
              <w:rPr>
                <w:sz w:val="4"/>
                <w:szCs w:val="4"/>
              </w:rPr>
            </w:pPr>
            <w:r>
              <w:rPr>
                <w:sz w:val="4"/>
                <w:szCs w:val="4"/>
              </w:rPr>
            </w:r>
          </w:p>
        </w:tc>
      </w:tr>
      <w:tr>
        <w:trPr/>
        <w:tc>
          <w:tcPr>
            <w:tcW w:w="56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860" w:type="dxa"/>
            <w:tcBorders/>
            <w:vAlign w:val="center"/>
          </w:tcPr>
          <w:p>
            <w:pPr>
              <w:pStyle w:val="TableContents"/>
              <w:pBdr>
                <w:top w:val="single" w:sz="2"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860" w:type="dxa"/>
            <w:tcBorders/>
            <w:vAlign w:val="center"/>
          </w:tcPr>
          <w:p>
            <w:pPr>
              <w:pStyle w:val="TableContents"/>
              <w:pBdr>
                <w:top w:val="single" w:sz="2"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860" w:type="dxa"/>
            <w:tcBorders/>
            <w:vAlign w:val="center"/>
          </w:tcPr>
          <w:p>
            <w:pPr>
              <w:pStyle w:val="TableContents"/>
              <w:pBdr>
                <w:top w:val="single" w:sz="2"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c>
          <w:tcPr>
            <w:tcW w:w="46" w:type="dxa"/>
            <w:tcBorders/>
          </w:tcPr>
          <w:p>
            <w:pPr>
              <w:pStyle w:val="TableContents"/>
              <w:bidi w:val="0"/>
              <w:spacing w:before="0" w:after="283"/>
              <w:jc w:val="left"/>
              <w:rPr>
                <w:sz w:val="4"/>
                <w:szCs w:val="4"/>
              </w:rPr>
            </w:pPr>
            <w:r>
              <w:rPr>
                <w:sz w:val="4"/>
                <w:szCs w:val="4"/>
              </w:rPr>
            </w:r>
          </w:p>
        </w:tc>
      </w:tr>
      <w:tr>
        <w:trPr/>
        <w:tc>
          <w:tcPr>
            <w:tcW w:w="5659" w:type="dxa"/>
            <w:tcBorders/>
            <w:vAlign w:val="center"/>
          </w:tcPr>
          <w:p>
            <w:pPr>
              <w:pStyle w:val="TableContents"/>
              <w:bidi w:val="0"/>
              <w:spacing w:before="0" w:after="0"/>
              <w:jc w:val="left"/>
              <w:rPr>
                <w:rFonts w:ascii="arial" w:hAnsi="arial"/>
                <w:b/>
                <w:sz w:val="18"/>
              </w:rPr>
            </w:pPr>
            <w:r>
              <w:rPr>
                <w:rFonts w:ascii="arial" w:hAnsi="arial"/>
                <w:b/>
                <w:sz w:val="18"/>
              </w:rPr>
              <w:t>Non-GAAP cost of sales as a percentage of product sales</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17.0</w:t>
            </w:r>
          </w:p>
        </w:tc>
        <w:tc>
          <w:tcPr>
            <w:tcW w:w="291"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15.9</w:t>
            </w:r>
          </w:p>
        </w:tc>
        <w:tc>
          <w:tcPr>
            <w:tcW w:w="291"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16.4</w:t>
            </w:r>
          </w:p>
        </w:tc>
        <w:tc>
          <w:tcPr>
            <w:tcW w:w="291" w:type="dxa"/>
            <w:tcBorders/>
            <w:vAlign w:val="center"/>
          </w:tcPr>
          <w:p>
            <w:pPr>
              <w:pStyle w:val="TableContents"/>
              <w:bidi w:val="0"/>
              <w:spacing w:before="0" w:after="283"/>
              <w:jc w:val="left"/>
              <w:rPr/>
            </w:pPr>
            <w:r>
              <w:rPr/>
              <w:t>%</w:t>
            </w:r>
          </w:p>
        </w:tc>
        <w:tc>
          <w:tcPr>
            <w:tcW w:w="46" w:type="dxa"/>
            <w:tcBorders/>
          </w:tcPr>
          <w:p>
            <w:pPr>
              <w:pStyle w:val="TableContents"/>
              <w:bidi w:val="0"/>
              <w:spacing w:before="0" w:after="283"/>
              <w:jc w:val="left"/>
              <w:rPr>
                <w:sz w:val="4"/>
                <w:szCs w:val="4"/>
              </w:rPr>
            </w:pPr>
            <w:r>
              <w:rPr>
                <w:sz w:val="4"/>
                <w:szCs w:val="4"/>
              </w:rPr>
            </w:r>
          </w:p>
        </w:tc>
      </w:tr>
      <w:tr>
        <w:trPr/>
        <w:tc>
          <w:tcPr>
            <w:tcW w:w="56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double" w:sz="6" w:space="1" w:color="000000"/>
              </w:pBdr>
              <w:bidi w:val="0"/>
              <w:spacing w:before="0" w:after="0"/>
              <w:jc w:val="left"/>
              <w:rPr/>
            </w:pPr>
            <w:r>
              <w:rPr/>
              <w:t> </w:t>
            </w:r>
          </w:p>
        </w:tc>
        <w:tc>
          <w:tcPr>
            <w:tcW w:w="860" w:type="dxa"/>
            <w:tcBorders/>
            <w:vAlign w:val="center"/>
          </w:tcPr>
          <w:p>
            <w:pPr>
              <w:pStyle w:val="TableContents"/>
              <w:pBdr>
                <w:top w:val="double" w:sz="6"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double" w:sz="6" w:space="1" w:color="000000"/>
              </w:pBdr>
              <w:bidi w:val="0"/>
              <w:spacing w:before="0" w:after="0"/>
              <w:jc w:val="left"/>
              <w:rPr/>
            </w:pPr>
            <w:r>
              <w:rPr/>
              <w:t> </w:t>
            </w:r>
          </w:p>
        </w:tc>
        <w:tc>
          <w:tcPr>
            <w:tcW w:w="860" w:type="dxa"/>
            <w:tcBorders/>
            <w:vAlign w:val="center"/>
          </w:tcPr>
          <w:p>
            <w:pPr>
              <w:pStyle w:val="TableContents"/>
              <w:pBdr>
                <w:top w:val="double" w:sz="6"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double" w:sz="6" w:space="1" w:color="000000"/>
              </w:pBdr>
              <w:bidi w:val="0"/>
              <w:spacing w:before="0" w:after="0"/>
              <w:jc w:val="left"/>
              <w:rPr/>
            </w:pPr>
            <w:r>
              <w:rPr/>
              <w:t> </w:t>
            </w:r>
          </w:p>
        </w:tc>
        <w:tc>
          <w:tcPr>
            <w:tcW w:w="860" w:type="dxa"/>
            <w:tcBorders/>
            <w:vAlign w:val="center"/>
          </w:tcPr>
          <w:p>
            <w:pPr>
              <w:pStyle w:val="TableContents"/>
              <w:pBdr>
                <w:top w:val="double" w:sz="6"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c>
          <w:tcPr>
            <w:tcW w:w="46" w:type="dxa"/>
            <w:tcBorders/>
          </w:tcPr>
          <w:p>
            <w:pPr>
              <w:pStyle w:val="TableContents"/>
              <w:bidi w:val="0"/>
              <w:spacing w:before="0" w:after="283"/>
              <w:jc w:val="left"/>
              <w:rPr>
                <w:sz w:val="4"/>
                <w:szCs w:val="4"/>
              </w:rPr>
            </w:pPr>
            <w:r>
              <w:rPr>
                <w:sz w:val="4"/>
                <w:szCs w:val="4"/>
              </w:rPr>
            </w:r>
          </w:p>
        </w:tc>
      </w:tr>
      <w:tr>
        <w:trPr/>
        <w:tc>
          <w:tcPr>
            <w:tcW w:w="5659" w:type="dxa"/>
            <w:tcBorders/>
            <w:vAlign w:val="center"/>
          </w:tcPr>
          <w:p>
            <w:pPr>
              <w:pStyle w:val="TableContents"/>
              <w:bidi w:val="0"/>
              <w:spacing w:before="0" w:after="283"/>
              <w:jc w:val="left"/>
              <w:rPr>
                <w:sz w:val="4"/>
                <w:szCs w:val="4"/>
              </w:rPr>
            </w:pPr>
            <w:r>
              <w:rPr>
                <w:sz w:val="4"/>
                <w:szCs w:val="4"/>
              </w:rPr>
            </w:r>
          </w:p>
        </w:tc>
        <w:tc>
          <w:tcPr>
            <w:tcW w:w="1540" w:type="dxa"/>
            <w:gridSpan w:val="5"/>
            <w:tcBorders/>
            <w:vAlign w:val="center"/>
          </w:tcPr>
          <w:p>
            <w:pPr>
              <w:pStyle w:val="TableContents"/>
              <w:bidi w:val="0"/>
              <w:spacing w:before="0" w:after="283"/>
              <w:jc w:val="left"/>
              <w:rPr>
                <w:sz w:val="4"/>
                <w:szCs w:val="4"/>
              </w:rPr>
            </w:pPr>
            <w:r>
              <w:rPr>
                <w:sz w:val="4"/>
                <w:szCs w:val="4"/>
              </w:rPr>
            </w:r>
          </w:p>
        </w:tc>
        <w:tc>
          <w:tcPr>
            <w:tcW w:w="1480" w:type="dxa"/>
            <w:gridSpan w:val="5"/>
            <w:tcBorders/>
            <w:vAlign w:val="center"/>
          </w:tcPr>
          <w:p>
            <w:pPr>
              <w:pStyle w:val="TableContents"/>
              <w:bidi w:val="0"/>
              <w:spacing w:before="0" w:after="283"/>
              <w:jc w:val="left"/>
              <w:rPr>
                <w:sz w:val="4"/>
                <w:szCs w:val="4"/>
              </w:rPr>
            </w:pPr>
            <w:r>
              <w:rPr>
                <w:sz w:val="4"/>
                <w:szCs w:val="4"/>
              </w:rPr>
            </w:r>
          </w:p>
        </w:tc>
        <w:tc>
          <w:tcPr>
            <w:tcW w:w="1480" w:type="dxa"/>
            <w:gridSpan w:val="5"/>
            <w:tcBorders/>
            <w:vAlign w:val="center"/>
          </w:tcPr>
          <w:p>
            <w:pPr>
              <w:pStyle w:val="TableContents"/>
              <w:bidi w:val="0"/>
              <w:spacing w:before="0" w:after="283"/>
              <w:jc w:val="left"/>
              <w:rPr>
                <w:sz w:val="4"/>
                <w:szCs w:val="4"/>
              </w:rPr>
            </w:pPr>
            <w:r>
              <w:rPr>
                <w:sz w:val="4"/>
                <w:szCs w:val="4"/>
              </w:rPr>
            </w:r>
          </w:p>
        </w:tc>
        <w:tc>
          <w:tcPr>
            <w:tcW w:w="46" w:type="dxa"/>
            <w:tcBorders/>
          </w:tcPr>
          <w:p>
            <w:pPr>
              <w:pStyle w:val="TableContents"/>
              <w:bidi w:val="0"/>
              <w:spacing w:before="0" w:after="283"/>
              <w:jc w:val="left"/>
              <w:rPr>
                <w:sz w:val="4"/>
                <w:szCs w:val="4"/>
              </w:rPr>
            </w:pPr>
            <w:r>
              <w:rPr>
                <w:sz w:val="4"/>
                <w:szCs w:val="4"/>
              </w:rPr>
            </w:r>
          </w:p>
        </w:tc>
      </w:tr>
      <w:tr>
        <w:trPr/>
        <w:tc>
          <w:tcPr>
            <w:tcW w:w="5659" w:type="dxa"/>
            <w:tcBorders/>
            <w:vAlign w:val="center"/>
          </w:tcPr>
          <w:p>
            <w:pPr>
              <w:pStyle w:val="TableContents"/>
              <w:bidi w:val="0"/>
              <w:spacing w:before="0" w:after="0"/>
              <w:jc w:val="left"/>
              <w:rPr>
                <w:rFonts w:ascii="arial" w:hAnsi="arial"/>
                <w:b/>
                <w:sz w:val="18"/>
              </w:rPr>
            </w:pPr>
            <w:r>
              <w:rPr>
                <w:rFonts w:ascii="arial" w:hAnsi="arial"/>
                <w:b/>
                <w:sz w:val="18"/>
              </w:rPr>
              <w:t>GAAP research and development expenses</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jc w:val="right"/>
              <w:rPr/>
            </w:pPr>
            <w:r>
              <w:rPr/>
              <w:t>4,784</w:t>
            </w:r>
          </w:p>
        </w:tc>
        <w:tc>
          <w:tcPr>
            <w:tcW w:w="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jc w:val="right"/>
              <w:rPr/>
            </w:pPr>
            <w:r>
              <w:rPr/>
              <w:t>4,434</w:t>
            </w:r>
          </w:p>
        </w:tc>
        <w:tc>
          <w:tcPr>
            <w:tcW w:w="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jc w:val="right"/>
              <w:rPr/>
            </w:pPr>
            <w:r>
              <w:rPr/>
              <w:t>4,819</w:t>
            </w:r>
          </w:p>
        </w:tc>
        <w:tc>
          <w:tcPr>
            <w:tcW w:w="291" w:type="dxa"/>
            <w:tcBorders/>
            <w:vAlign w:val="center"/>
          </w:tcPr>
          <w:p>
            <w:pPr>
              <w:pStyle w:val="TableContents"/>
              <w:bidi w:val="0"/>
              <w:spacing w:before="0" w:after="283"/>
              <w:jc w:val="left"/>
              <w:rPr>
                <w:sz w:val="4"/>
                <w:szCs w:val="4"/>
              </w:rPr>
            </w:pPr>
            <w:r>
              <w:rPr>
                <w:sz w:val="4"/>
                <w:szCs w:val="4"/>
              </w:rPr>
            </w:r>
          </w:p>
        </w:tc>
        <w:tc>
          <w:tcPr>
            <w:tcW w:w="46" w:type="dxa"/>
            <w:tcBorders/>
          </w:tcPr>
          <w:p>
            <w:pPr>
              <w:pStyle w:val="TableContents"/>
              <w:bidi w:val="0"/>
              <w:spacing w:before="0" w:after="283"/>
              <w:jc w:val="left"/>
              <w:rPr>
                <w:sz w:val="4"/>
                <w:szCs w:val="4"/>
              </w:rPr>
            </w:pPr>
            <w:r>
              <w:rPr>
                <w:sz w:val="4"/>
                <w:szCs w:val="4"/>
              </w:rPr>
            </w:r>
          </w:p>
        </w:tc>
      </w:tr>
      <w:tr>
        <w:trPr/>
        <w:tc>
          <w:tcPr>
            <w:tcW w:w="5659" w:type="dxa"/>
            <w:tcBorders/>
            <w:vAlign w:val="center"/>
          </w:tcPr>
          <w:p>
            <w:pPr>
              <w:pStyle w:val="TableContents"/>
              <w:bidi w:val="0"/>
              <w:spacing w:before="0" w:after="0"/>
              <w:jc w:val="left"/>
              <w:rPr>
                <w:rFonts w:ascii="arial" w:hAnsi="arial"/>
                <w:b/>
                <w:sz w:val="18"/>
              </w:rPr>
            </w:pPr>
            <w:r>
              <w:rPr>
                <w:rFonts w:ascii="arial" w:hAnsi="arial"/>
                <w:b/>
                <w:sz w:val="18"/>
              </w:rPr>
              <w:t>Adjustments to research and development expenses:</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6" w:type="dxa"/>
            <w:tcBorders/>
          </w:tcPr>
          <w:p>
            <w:pPr>
              <w:pStyle w:val="TableContents"/>
              <w:bidi w:val="0"/>
              <w:spacing w:before="0" w:after="283"/>
              <w:jc w:val="left"/>
              <w:rPr>
                <w:sz w:val="4"/>
                <w:szCs w:val="4"/>
              </w:rPr>
            </w:pPr>
            <w:r>
              <w:rPr>
                <w:sz w:val="4"/>
                <w:szCs w:val="4"/>
              </w:rPr>
            </w:r>
          </w:p>
        </w:tc>
      </w:tr>
      <w:tr>
        <w:trPr/>
        <w:tc>
          <w:tcPr>
            <w:tcW w:w="5659" w:type="dxa"/>
            <w:tcBorders/>
            <w:vAlign w:val="center"/>
          </w:tcPr>
          <w:p>
            <w:pPr>
              <w:pStyle w:val="TableContents"/>
              <w:bidi w:val="0"/>
              <w:spacing w:before="0" w:after="0"/>
              <w:jc w:val="left"/>
              <w:rPr>
                <w:rFonts w:ascii="arial" w:hAnsi="arial"/>
                <w:sz w:val="18"/>
              </w:rPr>
            </w:pPr>
            <w:r>
              <w:rPr>
                <w:rFonts w:ascii="arial" w:hAnsi="arial"/>
                <w:sz w:val="18"/>
              </w:rPr>
              <w:t xml:space="preserve">Licensing- and acquisition-related expenses </w:t>
            </w:r>
            <w:r>
              <w:rPr>
                <w:rFonts w:ascii="arial" w:hAnsi="arial"/>
                <w:b/>
                <w:sz w:val="18"/>
              </w:rPr>
              <w:t>(a)</w:t>
            </w:r>
            <w:r>
              <w:rPr>
                <w:rFonts w:ascii="arial" w:hAnsi="arial"/>
                <w:sz w:val="18"/>
              </w:rPr>
              <w:t>,</w:t>
            </w:r>
            <w:r>
              <w:rPr>
                <w:rFonts w:ascii="arial" w:hAnsi="arial"/>
                <w:b/>
                <w:sz w:val="18"/>
              </w:rPr>
              <w:t>(b)</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(55</w:t>
            </w:r>
          </w:p>
        </w:tc>
        <w:tc>
          <w:tcPr>
            <w:tcW w:w="291"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(93</w:t>
            </w:r>
          </w:p>
        </w:tc>
        <w:tc>
          <w:tcPr>
            <w:tcW w:w="291"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(523</w:t>
            </w:r>
          </w:p>
        </w:tc>
        <w:tc>
          <w:tcPr>
            <w:tcW w:w="291" w:type="dxa"/>
            <w:tcBorders/>
            <w:vAlign w:val="center"/>
          </w:tcPr>
          <w:p>
            <w:pPr>
              <w:pStyle w:val="TableContents"/>
              <w:bidi w:val="0"/>
              <w:spacing w:before="0" w:after="283"/>
              <w:jc w:val="left"/>
              <w:rPr/>
            </w:pPr>
            <w:r>
              <w:rPr/>
              <w:t>)</w:t>
            </w:r>
          </w:p>
        </w:tc>
        <w:tc>
          <w:tcPr>
            <w:tcW w:w="46" w:type="dxa"/>
            <w:tcBorders/>
          </w:tcPr>
          <w:p>
            <w:pPr>
              <w:pStyle w:val="TableContents"/>
              <w:bidi w:val="0"/>
              <w:spacing w:before="0" w:after="283"/>
              <w:jc w:val="left"/>
              <w:rPr>
                <w:sz w:val="4"/>
                <w:szCs w:val="4"/>
              </w:rPr>
            </w:pPr>
            <w:r>
              <w:rPr>
                <w:sz w:val="4"/>
                <w:szCs w:val="4"/>
              </w:rPr>
            </w:r>
          </w:p>
        </w:tc>
      </w:tr>
      <w:tr>
        <w:trPr/>
        <w:tc>
          <w:tcPr>
            <w:tcW w:w="5659" w:type="dxa"/>
            <w:tcBorders/>
            <w:vAlign w:val="center"/>
          </w:tcPr>
          <w:p>
            <w:pPr>
              <w:pStyle w:val="TableContents"/>
              <w:bidi w:val="0"/>
              <w:spacing w:before="0" w:after="0"/>
              <w:jc w:val="left"/>
              <w:rPr>
                <w:rFonts w:ascii="arial" w:hAnsi="arial"/>
                <w:sz w:val="18"/>
              </w:rPr>
            </w:pPr>
            <w:r>
              <w:rPr>
                <w:rFonts w:ascii="arial" w:hAnsi="arial"/>
                <w:sz w:val="18"/>
              </w:rPr>
              <w:t>Certain net charges pursuant to our restructuring and cost savings initiatives</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(29</w:t>
            </w:r>
          </w:p>
        </w:tc>
        <w:tc>
          <w:tcPr>
            <w:tcW w:w="291"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w:t>
            </w:r>
          </w:p>
        </w:tc>
        <w:tc>
          <w:tcPr>
            <w:tcW w:w="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w:t>
            </w:r>
          </w:p>
        </w:tc>
        <w:tc>
          <w:tcPr>
            <w:tcW w:w="291" w:type="dxa"/>
            <w:tcBorders/>
            <w:vAlign w:val="center"/>
          </w:tcPr>
          <w:p>
            <w:pPr>
              <w:pStyle w:val="TableContents"/>
              <w:bidi w:val="0"/>
              <w:spacing w:before="0" w:after="283"/>
              <w:jc w:val="left"/>
              <w:rPr>
                <w:sz w:val="4"/>
                <w:szCs w:val="4"/>
              </w:rPr>
            </w:pPr>
            <w:r>
              <w:rPr>
                <w:sz w:val="4"/>
                <w:szCs w:val="4"/>
              </w:rPr>
            </w:r>
          </w:p>
        </w:tc>
        <w:tc>
          <w:tcPr>
            <w:tcW w:w="46" w:type="dxa"/>
            <w:tcBorders/>
          </w:tcPr>
          <w:p>
            <w:pPr>
              <w:pStyle w:val="TableContents"/>
              <w:bidi w:val="0"/>
              <w:spacing w:before="0" w:after="283"/>
              <w:jc w:val="left"/>
              <w:rPr>
                <w:sz w:val="4"/>
                <w:szCs w:val="4"/>
              </w:rPr>
            </w:pPr>
            <w:r>
              <w:rPr>
                <w:sz w:val="4"/>
                <w:szCs w:val="4"/>
              </w:rPr>
            </w:r>
          </w:p>
        </w:tc>
      </w:tr>
      <w:tr>
        <w:trPr/>
        <w:tc>
          <w:tcPr>
            <w:tcW w:w="56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860" w:type="dxa"/>
            <w:tcBorders/>
            <w:vAlign w:val="center"/>
          </w:tcPr>
          <w:p>
            <w:pPr>
              <w:pStyle w:val="TableContents"/>
              <w:pBdr>
                <w:top w:val="single" w:sz="2"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860" w:type="dxa"/>
            <w:tcBorders/>
            <w:vAlign w:val="center"/>
          </w:tcPr>
          <w:p>
            <w:pPr>
              <w:pStyle w:val="TableContents"/>
              <w:pBdr>
                <w:top w:val="single" w:sz="2"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860" w:type="dxa"/>
            <w:tcBorders/>
            <w:vAlign w:val="center"/>
          </w:tcPr>
          <w:p>
            <w:pPr>
              <w:pStyle w:val="TableContents"/>
              <w:pBdr>
                <w:top w:val="single" w:sz="2"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c>
          <w:tcPr>
            <w:tcW w:w="46" w:type="dxa"/>
            <w:tcBorders/>
          </w:tcPr>
          <w:p>
            <w:pPr>
              <w:pStyle w:val="TableContents"/>
              <w:bidi w:val="0"/>
              <w:spacing w:before="0" w:after="283"/>
              <w:jc w:val="left"/>
              <w:rPr>
                <w:sz w:val="4"/>
                <w:szCs w:val="4"/>
              </w:rPr>
            </w:pPr>
            <w:r>
              <w:rPr>
                <w:sz w:val="4"/>
                <w:szCs w:val="4"/>
              </w:rPr>
            </w:r>
          </w:p>
        </w:tc>
      </w:tr>
      <w:tr>
        <w:trPr/>
        <w:tc>
          <w:tcPr>
            <w:tcW w:w="5659" w:type="dxa"/>
            <w:tcBorders/>
            <w:vAlign w:val="center"/>
          </w:tcPr>
          <w:p>
            <w:pPr>
              <w:pStyle w:val="TableContents"/>
              <w:bidi w:val="0"/>
              <w:spacing w:before="0" w:after="0"/>
              <w:jc w:val="left"/>
              <w:rPr>
                <w:rFonts w:ascii="arial" w:hAnsi="arial"/>
                <w:b/>
                <w:sz w:val="18"/>
              </w:rPr>
            </w:pPr>
            <w:r>
              <w:rPr>
                <w:rFonts w:ascii="arial" w:hAnsi="arial"/>
                <w:b/>
                <w:sz w:val="18"/>
              </w:rPr>
              <w:t>Total adjustments to research and development expenses</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(84</w:t>
            </w:r>
          </w:p>
        </w:tc>
        <w:tc>
          <w:tcPr>
            <w:tcW w:w="291"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(93</w:t>
            </w:r>
          </w:p>
        </w:tc>
        <w:tc>
          <w:tcPr>
            <w:tcW w:w="291"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(523</w:t>
            </w:r>
          </w:p>
        </w:tc>
        <w:tc>
          <w:tcPr>
            <w:tcW w:w="291" w:type="dxa"/>
            <w:tcBorders/>
            <w:vAlign w:val="center"/>
          </w:tcPr>
          <w:p>
            <w:pPr>
              <w:pStyle w:val="TableContents"/>
              <w:bidi w:val="0"/>
              <w:spacing w:before="0" w:after="283"/>
              <w:jc w:val="left"/>
              <w:rPr/>
            </w:pPr>
            <w:r>
              <w:rPr/>
              <w:t>)</w:t>
            </w:r>
          </w:p>
        </w:tc>
        <w:tc>
          <w:tcPr>
            <w:tcW w:w="46" w:type="dxa"/>
            <w:tcBorders/>
          </w:tcPr>
          <w:p>
            <w:pPr>
              <w:pStyle w:val="TableContents"/>
              <w:bidi w:val="0"/>
              <w:spacing w:before="0" w:after="283"/>
              <w:jc w:val="left"/>
              <w:rPr>
                <w:sz w:val="4"/>
                <w:szCs w:val="4"/>
              </w:rPr>
            </w:pPr>
            <w:r>
              <w:rPr>
                <w:sz w:val="4"/>
                <w:szCs w:val="4"/>
              </w:rPr>
            </w:r>
          </w:p>
        </w:tc>
      </w:tr>
      <w:tr>
        <w:trPr/>
        <w:tc>
          <w:tcPr>
            <w:tcW w:w="56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860" w:type="dxa"/>
            <w:tcBorders/>
            <w:vAlign w:val="center"/>
          </w:tcPr>
          <w:p>
            <w:pPr>
              <w:pStyle w:val="TableContents"/>
              <w:pBdr>
                <w:top w:val="single" w:sz="2"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860" w:type="dxa"/>
            <w:tcBorders/>
            <w:vAlign w:val="center"/>
          </w:tcPr>
          <w:p>
            <w:pPr>
              <w:pStyle w:val="TableContents"/>
              <w:pBdr>
                <w:top w:val="single" w:sz="2"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860" w:type="dxa"/>
            <w:tcBorders/>
            <w:vAlign w:val="center"/>
          </w:tcPr>
          <w:p>
            <w:pPr>
              <w:pStyle w:val="TableContents"/>
              <w:pBdr>
                <w:top w:val="single" w:sz="2"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c>
          <w:tcPr>
            <w:tcW w:w="46" w:type="dxa"/>
            <w:tcBorders/>
          </w:tcPr>
          <w:p>
            <w:pPr>
              <w:pStyle w:val="TableContents"/>
              <w:bidi w:val="0"/>
              <w:spacing w:before="0" w:after="283"/>
              <w:jc w:val="left"/>
              <w:rPr>
                <w:sz w:val="4"/>
                <w:szCs w:val="4"/>
              </w:rPr>
            </w:pPr>
            <w:r>
              <w:rPr>
                <w:sz w:val="4"/>
                <w:szCs w:val="4"/>
              </w:rPr>
            </w:r>
          </w:p>
        </w:tc>
      </w:tr>
      <w:tr>
        <w:trPr/>
        <w:tc>
          <w:tcPr>
            <w:tcW w:w="5659" w:type="dxa"/>
            <w:tcBorders/>
            <w:vAlign w:val="center"/>
          </w:tcPr>
          <w:p>
            <w:pPr>
              <w:pStyle w:val="TableContents"/>
              <w:bidi w:val="0"/>
              <w:spacing w:before="0" w:after="0"/>
              <w:jc w:val="left"/>
              <w:rPr>
                <w:rFonts w:ascii="arial" w:hAnsi="arial"/>
                <w:b/>
                <w:sz w:val="18"/>
              </w:rPr>
            </w:pPr>
            <w:r>
              <w:rPr>
                <w:rFonts w:ascii="arial" w:hAnsi="arial"/>
                <w:b/>
                <w:sz w:val="18"/>
              </w:rPr>
              <w:t>Non-GAAP research and development expenses</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jc w:val="right"/>
              <w:rPr/>
            </w:pPr>
            <w:r>
              <w:rPr/>
              <w:t>4,700</w:t>
            </w:r>
          </w:p>
        </w:tc>
        <w:tc>
          <w:tcPr>
            <w:tcW w:w="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jc w:val="right"/>
              <w:rPr/>
            </w:pPr>
            <w:r>
              <w:rPr/>
              <w:t>4,341</w:t>
            </w:r>
          </w:p>
        </w:tc>
        <w:tc>
          <w:tcPr>
            <w:tcW w:w="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jc w:val="right"/>
              <w:rPr/>
            </w:pPr>
            <w:r>
              <w:rPr/>
              <w:t>4,296</w:t>
            </w:r>
          </w:p>
        </w:tc>
        <w:tc>
          <w:tcPr>
            <w:tcW w:w="291" w:type="dxa"/>
            <w:tcBorders/>
            <w:vAlign w:val="center"/>
          </w:tcPr>
          <w:p>
            <w:pPr>
              <w:pStyle w:val="TableContents"/>
              <w:bidi w:val="0"/>
              <w:spacing w:before="0" w:after="283"/>
              <w:jc w:val="left"/>
              <w:rPr>
                <w:sz w:val="4"/>
                <w:szCs w:val="4"/>
              </w:rPr>
            </w:pPr>
            <w:r>
              <w:rPr>
                <w:sz w:val="4"/>
                <w:szCs w:val="4"/>
              </w:rPr>
            </w:r>
          </w:p>
        </w:tc>
        <w:tc>
          <w:tcPr>
            <w:tcW w:w="46" w:type="dxa"/>
            <w:tcBorders/>
          </w:tcPr>
          <w:p>
            <w:pPr>
              <w:pStyle w:val="TableContents"/>
              <w:bidi w:val="0"/>
              <w:spacing w:before="0" w:after="283"/>
              <w:jc w:val="left"/>
              <w:rPr>
                <w:sz w:val="4"/>
                <w:szCs w:val="4"/>
              </w:rPr>
            </w:pPr>
            <w:r>
              <w:rPr>
                <w:sz w:val="4"/>
                <w:szCs w:val="4"/>
              </w:rPr>
            </w:r>
          </w:p>
        </w:tc>
      </w:tr>
      <w:tr>
        <w:trPr/>
        <w:tc>
          <w:tcPr>
            <w:tcW w:w="56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double" w:sz="6" w:space="1" w:color="000000"/>
              </w:pBdr>
              <w:bidi w:val="0"/>
              <w:spacing w:before="0" w:after="0"/>
              <w:jc w:val="left"/>
              <w:rPr/>
            </w:pPr>
            <w:r>
              <w:rPr/>
              <w:t> </w:t>
            </w:r>
          </w:p>
        </w:tc>
        <w:tc>
          <w:tcPr>
            <w:tcW w:w="860" w:type="dxa"/>
            <w:tcBorders/>
            <w:vAlign w:val="center"/>
          </w:tcPr>
          <w:p>
            <w:pPr>
              <w:pStyle w:val="TableContents"/>
              <w:pBdr>
                <w:top w:val="double" w:sz="6"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double" w:sz="6" w:space="1" w:color="000000"/>
              </w:pBdr>
              <w:bidi w:val="0"/>
              <w:spacing w:before="0" w:after="0"/>
              <w:jc w:val="left"/>
              <w:rPr/>
            </w:pPr>
            <w:r>
              <w:rPr/>
              <w:t> </w:t>
            </w:r>
          </w:p>
        </w:tc>
        <w:tc>
          <w:tcPr>
            <w:tcW w:w="860" w:type="dxa"/>
            <w:tcBorders/>
            <w:vAlign w:val="center"/>
          </w:tcPr>
          <w:p>
            <w:pPr>
              <w:pStyle w:val="TableContents"/>
              <w:pBdr>
                <w:top w:val="double" w:sz="6"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double" w:sz="6" w:space="1" w:color="000000"/>
              </w:pBdr>
              <w:bidi w:val="0"/>
              <w:spacing w:before="0" w:after="0"/>
              <w:jc w:val="left"/>
              <w:rPr/>
            </w:pPr>
            <w:r>
              <w:rPr/>
              <w:t> </w:t>
            </w:r>
          </w:p>
        </w:tc>
        <w:tc>
          <w:tcPr>
            <w:tcW w:w="860" w:type="dxa"/>
            <w:tcBorders/>
            <w:vAlign w:val="center"/>
          </w:tcPr>
          <w:p>
            <w:pPr>
              <w:pStyle w:val="TableContents"/>
              <w:pBdr>
                <w:top w:val="double" w:sz="6"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c>
          <w:tcPr>
            <w:tcW w:w="46" w:type="dxa"/>
            <w:tcBorders/>
          </w:tcPr>
          <w:p>
            <w:pPr>
              <w:pStyle w:val="TableContents"/>
              <w:bidi w:val="0"/>
              <w:spacing w:before="0" w:after="283"/>
              <w:jc w:val="left"/>
              <w:rPr>
                <w:sz w:val="4"/>
                <w:szCs w:val="4"/>
              </w:rPr>
            </w:pPr>
            <w:r>
              <w:rPr>
                <w:sz w:val="4"/>
                <w:szCs w:val="4"/>
              </w:rPr>
            </w:r>
          </w:p>
        </w:tc>
      </w:tr>
      <w:tr>
        <w:trPr/>
        <w:tc>
          <w:tcPr>
            <w:tcW w:w="5659" w:type="dxa"/>
            <w:tcBorders/>
            <w:vAlign w:val="center"/>
          </w:tcPr>
          <w:p>
            <w:pPr>
              <w:pStyle w:val="TableContents"/>
              <w:bidi w:val="0"/>
              <w:spacing w:before="0" w:after="283"/>
              <w:jc w:val="left"/>
              <w:rPr>
                <w:sz w:val="4"/>
                <w:szCs w:val="4"/>
              </w:rPr>
            </w:pPr>
            <w:r>
              <w:rPr>
                <w:sz w:val="4"/>
                <w:szCs w:val="4"/>
              </w:rPr>
            </w:r>
          </w:p>
        </w:tc>
        <w:tc>
          <w:tcPr>
            <w:tcW w:w="1540" w:type="dxa"/>
            <w:gridSpan w:val="5"/>
            <w:tcBorders/>
            <w:vAlign w:val="center"/>
          </w:tcPr>
          <w:p>
            <w:pPr>
              <w:pStyle w:val="TableContents"/>
              <w:bidi w:val="0"/>
              <w:spacing w:before="0" w:after="283"/>
              <w:jc w:val="left"/>
              <w:rPr>
                <w:sz w:val="4"/>
                <w:szCs w:val="4"/>
              </w:rPr>
            </w:pPr>
            <w:r>
              <w:rPr>
                <w:sz w:val="4"/>
                <w:szCs w:val="4"/>
              </w:rPr>
            </w:r>
          </w:p>
        </w:tc>
        <w:tc>
          <w:tcPr>
            <w:tcW w:w="1480" w:type="dxa"/>
            <w:gridSpan w:val="5"/>
            <w:tcBorders/>
            <w:vAlign w:val="center"/>
          </w:tcPr>
          <w:p>
            <w:pPr>
              <w:pStyle w:val="TableContents"/>
              <w:bidi w:val="0"/>
              <w:spacing w:before="0" w:after="283"/>
              <w:jc w:val="left"/>
              <w:rPr>
                <w:sz w:val="4"/>
                <w:szCs w:val="4"/>
              </w:rPr>
            </w:pPr>
            <w:r>
              <w:rPr>
                <w:sz w:val="4"/>
                <w:szCs w:val="4"/>
              </w:rPr>
            </w:r>
          </w:p>
        </w:tc>
        <w:tc>
          <w:tcPr>
            <w:tcW w:w="1480" w:type="dxa"/>
            <w:gridSpan w:val="5"/>
            <w:tcBorders/>
            <w:vAlign w:val="center"/>
          </w:tcPr>
          <w:p>
            <w:pPr>
              <w:pStyle w:val="TableContents"/>
              <w:bidi w:val="0"/>
              <w:spacing w:before="0" w:after="283"/>
              <w:jc w:val="left"/>
              <w:rPr>
                <w:sz w:val="4"/>
                <w:szCs w:val="4"/>
              </w:rPr>
            </w:pPr>
            <w:r>
              <w:rPr>
                <w:sz w:val="4"/>
                <w:szCs w:val="4"/>
              </w:rPr>
            </w:r>
          </w:p>
        </w:tc>
        <w:tc>
          <w:tcPr>
            <w:tcW w:w="46" w:type="dxa"/>
            <w:tcBorders/>
          </w:tcPr>
          <w:p>
            <w:pPr>
              <w:pStyle w:val="TableContents"/>
              <w:bidi w:val="0"/>
              <w:spacing w:before="0" w:after="283"/>
              <w:jc w:val="left"/>
              <w:rPr>
                <w:sz w:val="4"/>
                <w:szCs w:val="4"/>
              </w:rPr>
            </w:pPr>
            <w:r>
              <w:rPr>
                <w:sz w:val="4"/>
                <w:szCs w:val="4"/>
              </w:rPr>
            </w:r>
          </w:p>
        </w:tc>
      </w:tr>
      <w:tr>
        <w:trPr/>
        <w:tc>
          <w:tcPr>
            <w:tcW w:w="5659" w:type="dxa"/>
            <w:tcBorders/>
            <w:vAlign w:val="center"/>
          </w:tcPr>
          <w:p>
            <w:pPr>
              <w:pStyle w:val="TableContents"/>
              <w:bidi w:val="0"/>
              <w:spacing w:before="0" w:after="0"/>
              <w:jc w:val="left"/>
              <w:rPr>
                <w:rFonts w:ascii="arial" w:hAnsi="arial"/>
                <w:b/>
                <w:sz w:val="18"/>
              </w:rPr>
            </w:pPr>
            <w:r>
              <w:rPr>
                <w:rFonts w:ascii="arial" w:hAnsi="arial"/>
                <w:b/>
                <w:sz w:val="18"/>
              </w:rPr>
              <w:t>GAAP research and development expenses as a percentage of product sales</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17.8</w:t>
            </w:r>
          </w:p>
        </w:tc>
        <w:tc>
          <w:tcPr>
            <w:tcW w:w="291"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17.9</w:t>
            </w:r>
          </w:p>
        </w:tc>
        <w:tc>
          <w:tcPr>
            <w:tcW w:w="291"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19.8</w:t>
            </w:r>
          </w:p>
        </w:tc>
        <w:tc>
          <w:tcPr>
            <w:tcW w:w="291" w:type="dxa"/>
            <w:tcBorders/>
            <w:vAlign w:val="center"/>
          </w:tcPr>
          <w:p>
            <w:pPr>
              <w:pStyle w:val="TableContents"/>
              <w:bidi w:val="0"/>
              <w:spacing w:before="0" w:after="283"/>
              <w:jc w:val="left"/>
              <w:rPr/>
            </w:pPr>
            <w:r>
              <w:rPr/>
              <w:t>%</w:t>
            </w:r>
          </w:p>
        </w:tc>
        <w:tc>
          <w:tcPr>
            <w:tcW w:w="46" w:type="dxa"/>
            <w:tcBorders/>
          </w:tcPr>
          <w:p>
            <w:pPr>
              <w:pStyle w:val="TableContents"/>
              <w:bidi w:val="0"/>
              <w:spacing w:before="0" w:after="283"/>
              <w:jc w:val="left"/>
              <w:rPr>
                <w:sz w:val="4"/>
                <w:szCs w:val="4"/>
              </w:rPr>
            </w:pPr>
            <w:r>
              <w:rPr>
                <w:sz w:val="4"/>
                <w:szCs w:val="4"/>
              </w:rPr>
            </w:r>
          </w:p>
        </w:tc>
      </w:tr>
      <w:tr>
        <w:trPr/>
        <w:tc>
          <w:tcPr>
            <w:tcW w:w="5659" w:type="dxa"/>
            <w:tcBorders/>
            <w:vAlign w:val="center"/>
          </w:tcPr>
          <w:p>
            <w:pPr>
              <w:pStyle w:val="TableContents"/>
              <w:bidi w:val="0"/>
              <w:spacing w:before="0" w:after="0"/>
              <w:jc w:val="left"/>
              <w:rPr>
                <w:rFonts w:ascii="arial" w:hAnsi="arial"/>
                <w:sz w:val="18"/>
              </w:rPr>
            </w:pPr>
            <w:r>
              <w:rPr>
                <w:rFonts w:ascii="arial" w:hAnsi="arial"/>
                <w:sz w:val="18"/>
              </w:rPr>
              <w:t xml:space="preserve">Licensing- and acquisition-related expenses </w:t>
            </w:r>
            <w:r>
              <w:rPr>
                <w:rFonts w:ascii="arial" w:hAnsi="arial"/>
                <w:b/>
                <w:sz w:val="18"/>
              </w:rPr>
              <w:t>(a)</w:t>
            </w:r>
            <w:r>
              <w:rPr>
                <w:rFonts w:ascii="arial" w:hAnsi="arial"/>
                <w:sz w:val="18"/>
              </w:rPr>
              <w:t>,</w:t>
            </w:r>
            <w:r>
              <w:rPr>
                <w:rFonts w:ascii="arial" w:hAnsi="arial"/>
                <w:b/>
                <w:sz w:val="18"/>
              </w:rPr>
              <w:t>(b)</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(0.2</w:t>
            </w:r>
          </w:p>
        </w:tc>
        <w:tc>
          <w:tcPr>
            <w:tcW w:w="291"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(0.4</w:t>
            </w:r>
          </w:p>
        </w:tc>
        <w:tc>
          <w:tcPr>
            <w:tcW w:w="291"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(2.1</w:t>
            </w:r>
          </w:p>
        </w:tc>
        <w:tc>
          <w:tcPr>
            <w:tcW w:w="291" w:type="dxa"/>
            <w:tcBorders/>
            <w:vAlign w:val="center"/>
          </w:tcPr>
          <w:p>
            <w:pPr>
              <w:pStyle w:val="TableContents"/>
              <w:bidi w:val="0"/>
              <w:spacing w:before="0" w:after="283"/>
              <w:jc w:val="left"/>
              <w:rPr/>
            </w:pPr>
            <w:r>
              <w:rPr/>
              <w:t>)</w:t>
            </w:r>
          </w:p>
        </w:tc>
        <w:tc>
          <w:tcPr>
            <w:tcW w:w="46" w:type="dxa"/>
            <w:tcBorders/>
          </w:tcPr>
          <w:p>
            <w:pPr>
              <w:pStyle w:val="TableContents"/>
              <w:bidi w:val="0"/>
              <w:spacing w:before="0" w:after="283"/>
              <w:jc w:val="left"/>
              <w:rPr>
                <w:sz w:val="4"/>
                <w:szCs w:val="4"/>
              </w:rPr>
            </w:pPr>
            <w:r>
              <w:rPr>
                <w:sz w:val="4"/>
                <w:szCs w:val="4"/>
              </w:rPr>
            </w:r>
          </w:p>
        </w:tc>
      </w:tr>
      <w:tr>
        <w:trPr/>
        <w:tc>
          <w:tcPr>
            <w:tcW w:w="5659" w:type="dxa"/>
            <w:tcBorders/>
            <w:vAlign w:val="center"/>
          </w:tcPr>
          <w:p>
            <w:pPr>
              <w:pStyle w:val="TableContents"/>
              <w:bidi w:val="0"/>
              <w:spacing w:before="0" w:after="0"/>
              <w:jc w:val="left"/>
              <w:rPr>
                <w:rFonts w:ascii="arial" w:hAnsi="arial"/>
                <w:sz w:val="18"/>
              </w:rPr>
            </w:pPr>
            <w:r>
              <w:rPr>
                <w:rFonts w:ascii="arial" w:hAnsi="arial"/>
                <w:sz w:val="18"/>
              </w:rPr>
              <w:t>Certain net charges pursuant to our restructuring and cost savings initiatives</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(0.1</w:t>
            </w:r>
          </w:p>
        </w:tc>
        <w:tc>
          <w:tcPr>
            <w:tcW w:w="291"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0.0</w:t>
            </w:r>
          </w:p>
        </w:tc>
        <w:tc>
          <w:tcPr>
            <w:tcW w:w="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0.0</w:t>
            </w:r>
          </w:p>
        </w:tc>
        <w:tc>
          <w:tcPr>
            <w:tcW w:w="291" w:type="dxa"/>
            <w:tcBorders/>
            <w:vAlign w:val="center"/>
          </w:tcPr>
          <w:p>
            <w:pPr>
              <w:pStyle w:val="TableContents"/>
              <w:bidi w:val="0"/>
              <w:spacing w:before="0" w:after="283"/>
              <w:jc w:val="left"/>
              <w:rPr>
                <w:sz w:val="4"/>
                <w:szCs w:val="4"/>
              </w:rPr>
            </w:pPr>
            <w:r>
              <w:rPr>
                <w:sz w:val="4"/>
                <w:szCs w:val="4"/>
              </w:rPr>
            </w:r>
          </w:p>
        </w:tc>
        <w:tc>
          <w:tcPr>
            <w:tcW w:w="46" w:type="dxa"/>
            <w:tcBorders/>
          </w:tcPr>
          <w:p>
            <w:pPr>
              <w:pStyle w:val="TableContents"/>
              <w:bidi w:val="0"/>
              <w:spacing w:before="0" w:after="283"/>
              <w:jc w:val="left"/>
              <w:rPr>
                <w:sz w:val="4"/>
                <w:szCs w:val="4"/>
              </w:rPr>
            </w:pPr>
            <w:r>
              <w:rPr>
                <w:sz w:val="4"/>
                <w:szCs w:val="4"/>
              </w:rPr>
            </w:r>
          </w:p>
        </w:tc>
      </w:tr>
      <w:tr>
        <w:trPr/>
        <w:tc>
          <w:tcPr>
            <w:tcW w:w="56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860" w:type="dxa"/>
            <w:tcBorders/>
            <w:vAlign w:val="center"/>
          </w:tcPr>
          <w:p>
            <w:pPr>
              <w:pStyle w:val="TableContents"/>
              <w:pBdr>
                <w:top w:val="single" w:sz="2"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860" w:type="dxa"/>
            <w:tcBorders/>
            <w:vAlign w:val="center"/>
          </w:tcPr>
          <w:p>
            <w:pPr>
              <w:pStyle w:val="TableContents"/>
              <w:pBdr>
                <w:top w:val="single" w:sz="2"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860" w:type="dxa"/>
            <w:tcBorders/>
            <w:vAlign w:val="center"/>
          </w:tcPr>
          <w:p>
            <w:pPr>
              <w:pStyle w:val="TableContents"/>
              <w:pBdr>
                <w:top w:val="single" w:sz="2"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c>
          <w:tcPr>
            <w:tcW w:w="46" w:type="dxa"/>
            <w:tcBorders/>
          </w:tcPr>
          <w:p>
            <w:pPr>
              <w:pStyle w:val="TableContents"/>
              <w:bidi w:val="0"/>
              <w:spacing w:before="0" w:after="283"/>
              <w:jc w:val="left"/>
              <w:rPr>
                <w:sz w:val="4"/>
                <w:szCs w:val="4"/>
              </w:rPr>
            </w:pPr>
            <w:r>
              <w:rPr>
                <w:sz w:val="4"/>
                <w:szCs w:val="4"/>
              </w:rPr>
            </w:r>
          </w:p>
        </w:tc>
      </w:tr>
      <w:tr>
        <w:trPr/>
        <w:tc>
          <w:tcPr>
            <w:tcW w:w="5659" w:type="dxa"/>
            <w:tcBorders/>
            <w:vAlign w:val="center"/>
          </w:tcPr>
          <w:p>
            <w:pPr>
              <w:pStyle w:val="TableContents"/>
              <w:bidi w:val="0"/>
              <w:spacing w:before="0" w:after="0"/>
              <w:jc w:val="left"/>
              <w:rPr>
                <w:rFonts w:ascii="arial" w:hAnsi="arial"/>
                <w:b/>
                <w:sz w:val="18"/>
              </w:rPr>
            </w:pPr>
            <w:r>
              <w:rPr>
                <w:rFonts w:ascii="arial" w:hAnsi="arial"/>
                <w:b/>
                <w:sz w:val="18"/>
              </w:rPr>
              <w:t>Non-GAAP research and development expenses as a percentage of product sales</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17.5</w:t>
            </w:r>
          </w:p>
        </w:tc>
        <w:tc>
          <w:tcPr>
            <w:tcW w:w="291"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17.5</w:t>
            </w:r>
          </w:p>
        </w:tc>
        <w:tc>
          <w:tcPr>
            <w:tcW w:w="291"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17.7</w:t>
            </w:r>
          </w:p>
        </w:tc>
        <w:tc>
          <w:tcPr>
            <w:tcW w:w="291" w:type="dxa"/>
            <w:tcBorders/>
            <w:vAlign w:val="center"/>
          </w:tcPr>
          <w:p>
            <w:pPr>
              <w:pStyle w:val="TableContents"/>
              <w:bidi w:val="0"/>
              <w:spacing w:before="0" w:after="283"/>
              <w:jc w:val="left"/>
              <w:rPr/>
            </w:pPr>
            <w:r>
              <w:rPr/>
              <w:t>%</w:t>
            </w:r>
          </w:p>
        </w:tc>
        <w:tc>
          <w:tcPr>
            <w:tcW w:w="46" w:type="dxa"/>
            <w:tcBorders/>
          </w:tcPr>
          <w:p>
            <w:pPr>
              <w:pStyle w:val="TableContents"/>
              <w:bidi w:val="0"/>
              <w:spacing w:before="0" w:after="283"/>
              <w:jc w:val="left"/>
              <w:rPr>
                <w:sz w:val="4"/>
                <w:szCs w:val="4"/>
              </w:rPr>
            </w:pPr>
            <w:r>
              <w:rPr>
                <w:sz w:val="4"/>
                <w:szCs w:val="4"/>
              </w:rPr>
            </w:r>
          </w:p>
        </w:tc>
      </w:tr>
      <w:tr>
        <w:trPr/>
        <w:tc>
          <w:tcPr>
            <w:tcW w:w="56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double" w:sz="6" w:space="1" w:color="000000"/>
              </w:pBdr>
              <w:bidi w:val="0"/>
              <w:spacing w:before="0" w:after="0"/>
              <w:jc w:val="left"/>
              <w:rPr/>
            </w:pPr>
            <w:r>
              <w:rPr/>
              <w:t> </w:t>
            </w:r>
          </w:p>
        </w:tc>
        <w:tc>
          <w:tcPr>
            <w:tcW w:w="860" w:type="dxa"/>
            <w:tcBorders/>
            <w:vAlign w:val="center"/>
          </w:tcPr>
          <w:p>
            <w:pPr>
              <w:pStyle w:val="TableContents"/>
              <w:pBdr>
                <w:top w:val="double" w:sz="6"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double" w:sz="6" w:space="1" w:color="000000"/>
              </w:pBdr>
              <w:bidi w:val="0"/>
              <w:spacing w:before="0" w:after="0"/>
              <w:jc w:val="left"/>
              <w:rPr/>
            </w:pPr>
            <w:r>
              <w:rPr/>
              <w:t> </w:t>
            </w:r>
          </w:p>
        </w:tc>
        <w:tc>
          <w:tcPr>
            <w:tcW w:w="860" w:type="dxa"/>
            <w:tcBorders/>
            <w:vAlign w:val="center"/>
          </w:tcPr>
          <w:p>
            <w:pPr>
              <w:pStyle w:val="TableContents"/>
              <w:pBdr>
                <w:top w:val="double" w:sz="6"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double" w:sz="6" w:space="1" w:color="000000"/>
              </w:pBdr>
              <w:bidi w:val="0"/>
              <w:spacing w:before="0" w:after="0"/>
              <w:jc w:val="left"/>
              <w:rPr/>
            </w:pPr>
            <w:r>
              <w:rPr/>
              <w:t> </w:t>
            </w:r>
          </w:p>
        </w:tc>
        <w:tc>
          <w:tcPr>
            <w:tcW w:w="860" w:type="dxa"/>
            <w:tcBorders/>
            <w:vAlign w:val="center"/>
          </w:tcPr>
          <w:p>
            <w:pPr>
              <w:pStyle w:val="TableContents"/>
              <w:pBdr>
                <w:top w:val="double" w:sz="6"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c>
          <w:tcPr>
            <w:tcW w:w="46" w:type="dxa"/>
            <w:tcBorders/>
          </w:tcPr>
          <w:p>
            <w:pPr>
              <w:pStyle w:val="TableContents"/>
              <w:bidi w:val="0"/>
              <w:spacing w:before="0" w:after="283"/>
              <w:jc w:val="left"/>
              <w:rPr>
                <w:sz w:val="4"/>
                <w:szCs w:val="4"/>
              </w:rPr>
            </w:pPr>
            <w:r>
              <w:rPr>
                <w:sz w:val="4"/>
                <w:szCs w:val="4"/>
              </w:rPr>
            </w:r>
          </w:p>
        </w:tc>
      </w:tr>
      <w:tr>
        <w:trPr/>
        <w:tc>
          <w:tcPr>
            <w:tcW w:w="5659" w:type="dxa"/>
            <w:tcBorders/>
            <w:vAlign w:val="center"/>
          </w:tcPr>
          <w:p>
            <w:pPr>
              <w:pStyle w:val="TableContents"/>
              <w:bidi w:val="0"/>
              <w:spacing w:before="0" w:after="283"/>
              <w:jc w:val="left"/>
              <w:rPr>
                <w:sz w:val="4"/>
                <w:szCs w:val="4"/>
              </w:rPr>
            </w:pPr>
            <w:r>
              <w:rPr>
                <w:sz w:val="4"/>
                <w:szCs w:val="4"/>
              </w:rPr>
            </w:r>
          </w:p>
        </w:tc>
        <w:tc>
          <w:tcPr>
            <w:tcW w:w="1540" w:type="dxa"/>
            <w:gridSpan w:val="5"/>
            <w:tcBorders/>
            <w:vAlign w:val="center"/>
          </w:tcPr>
          <w:p>
            <w:pPr>
              <w:pStyle w:val="TableContents"/>
              <w:bidi w:val="0"/>
              <w:spacing w:before="0" w:after="283"/>
              <w:jc w:val="left"/>
              <w:rPr>
                <w:sz w:val="4"/>
                <w:szCs w:val="4"/>
              </w:rPr>
            </w:pPr>
            <w:r>
              <w:rPr>
                <w:sz w:val="4"/>
                <w:szCs w:val="4"/>
              </w:rPr>
            </w:r>
          </w:p>
        </w:tc>
        <w:tc>
          <w:tcPr>
            <w:tcW w:w="1480" w:type="dxa"/>
            <w:gridSpan w:val="5"/>
            <w:tcBorders/>
            <w:vAlign w:val="center"/>
          </w:tcPr>
          <w:p>
            <w:pPr>
              <w:pStyle w:val="TableContents"/>
              <w:bidi w:val="0"/>
              <w:spacing w:before="0" w:after="283"/>
              <w:jc w:val="left"/>
              <w:rPr>
                <w:sz w:val="4"/>
                <w:szCs w:val="4"/>
              </w:rPr>
            </w:pPr>
            <w:r>
              <w:rPr>
                <w:sz w:val="4"/>
                <w:szCs w:val="4"/>
              </w:rPr>
            </w:r>
          </w:p>
        </w:tc>
        <w:tc>
          <w:tcPr>
            <w:tcW w:w="1480" w:type="dxa"/>
            <w:gridSpan w:val="5"/>
            <w:tcBorders/>
            <w:vAlign w:val="center"/>
          </w:tcPr>
          <w:p>
            <w:pPr>
              <w:pStyle w:val="TableContents"/>
              <w:bidi w:val="0"/>
              <w:spacing w:before="0" w:after="283"/>
              <w:jc w:val="left"/>
              <w:rPr>
                <w:sz w:val="4"/>
                <w:szCs w:val="4"/>
              </w:rPr>
            </w:pPr>
            <w:r>
              <w:rPr>
                <w:sz w:val="4"/>
                <w:szCs w:val="4"/>
              </w:rPr>
            </w:r>
          </w:p>
        </w:tc>
        <w:tc>
          <w:tcPr>
            <w:tcW w:w="46" w:type="dxa"/>
            <w:tcBorders/>
          </w:tcPr>
          <w:p>
            <w:pPr>
              <w:pStyle w:val="TableContents"/>
              <w:bidi w:val="0"/>
              <w:spacing w:before="0" w:after="283"/>
              <w:jc w:val="left"/>
              <w:rPr>
                <w:sz w:val="4"/>
                <w:szCs w:val="4"/>
              </w:rPr>
            </w:pPr>
            <w:r>
              <w:rPr>
                <w:sz w:val="4"/>
                <w:szCs w:val="4"/>
              </w:rPr>
            </w:r>
          </w:p>
        </w:tc>
      </w:tr>
      <w:tr>
        <w:trPr/>
        <w:tc>
          <w:tcPr>
            <w:tcW w:w="5659" w:type="dxa"/>
            <w:tcBorders/>
            <w:vAlign w:val="center"/>
          </w:tcPr>
          <w:p>
            <w:pPr>
              <w:pStyle w:val="TableContents"/>
              <w:bidi w:val="0"/>
              <w:spacing w:before="0" w:after="0"/>
              <w:jc w:val="left"/>
              <w:rPr>
                <w:rFonts w:ascii="arial" w:hAnsi="arial"/>
                <w:b/>
                <w:sz w:val="18"/>
              </w:rPr>
            </w:pPr>
            <w:r>
              <w:rPr>
                <w:rFonts w:ascii="arial" w:hAnsi="arial"/>
                <w:b/>
                <w:sz w:val="18"/>
              </w:rPr>
              <w:t>GAAP acquired IPR&amp;D</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jc w:val="right"/>
              <w:rPr/>
            </w:pPr>
            <w:r>
              <w:rPr/>
              <w:t>—</w:t>
            </w:r>
          </w:p>
        </w:tc>
        <w:tc>
          <w:tcPr>
            <w:tcW w:w="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jc w:val="right"/>
              <w:rPr/>
            </w:pPr>
            <w:r>
              <w:rPr/>
              <w:t>—</w:t>
            </w:r>
          </w:p>
        </w:tc>
        <w:tc>
          <w:tcPr>
            <w:tcW w:w="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jc w:val="right"/>
              <w:rPr/>
            </w:pPr>
            <w:r>
              <w:rPr/>
              <w:t>1,505</w:t>
            </w:r>
          </w:p>
        </w:tc>
        <w:tc>
          <w:tcPr>
            <w:tcW w:w="291" w:type="dxa"/>
            <w:tcBorders/>
            <w:vAlign w:val="center"/>
          </w:tcPr>
          <w:p>
            <w:pPr>
              <w:pStyle w:val="TableContents"/>
              <w:bidi w:val="0"/>
              <w:spacing w:before="0" w:after="283"/>
              <w:jc w:val="left"/>
              <w:rPr>
                <w:sz w:val="4"/>
                <w:szCs w:val="4"/>
              </w:rPr>
            </w:pPr>
            <w:r>
              <w:rPr>
                <w:sz w:val="4"/>
                <w:szCs w:val="4"/>
              </w:rPr>
            </w:r>
          </w:p>
        </w:tc>
        <w:tc>
          <w:tcPr>
            <w:tcW w:w="46" w:type="dxa"/>
            <w:tcBorders/>
          </w:tcPr>
          <w:p>
            <w:pPr>
              <w:pStyle w:val="TableContents"/>
              <w:bidi w:val="0"/>
              <w:spacing w:before="0" w:after="283"/>
              <w:jc w:val="left"/>
              <w:rPr>
                <w:sz w:val="4"/>
                <w:szCs w:val="4"/>
              </w:rPr>
            </w:pPr>
            <w:r>
              <w:rPr>
                <w:sz w:val="4"/>
                <w:szCs w:val="4"/>
              </w:rPr>
            </w:r>
          </w:p>
        </w:tc>
      </w:tr>
      <w:tr>
        <w:trPr/>
        <w:tc>
          <w:tcPr>
            <w:tcW w:w="5659" w:type="dxa"/>
            <w:tcBorders/>
            <w:vAlign w:val="center"/>
          </w:tcPr>
          <w:p>
            <w:pPr>
              <w:pStyle w:val="TableContents"/>
              <w:bidi w:val="0"/>
              <w:spacing w:before="0" w:after="0"/>
              <w:jc w:val="left"/>
              <w:rPr>
                <w:rFonts w:ascii="arial" w:hAnsi="arial"/>
                <w:b/>
                <w:sz w:val="18"/>
              </w:rPr>
            </w:pPr>
            <w:r>
              <w:rPr>
                <w:rFonts w:ascii="arial" w:hAnsi="arial"/>
                <w:b/>
                <w:sz w:val="18"/>
              </w:rPr>
              <w:t>Adjustments to acquired IPR&amp;D:</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6" w:type="dxa"/>
            <w:tcBorders/>
          </w:tcPr>
          <w:p>
            <w:pPr>
              <w:pStyle w:val="TableContents"/>
              <w:bidi w:val="0"/>
              <w:spacing w:before="0" w:after="283"/>
              <w:jc w:val="left"/>
              <w:rPr>
                <w:sz w:val="4"/>
                <w:szCs w:val="4"/>
              </w:rPr>
            </w:pPr>
            <w:r>
              <w:rPr>
                <w:sz w:val="4"/>
                <w:szCs w:val="4"/>
              </w:rPr>
            </w:r>
          </w:p>
        </w:tc>
      </w:tr>
      <w:tr>
        <w:trPr/>
        <w:tc>
          <w:tcPr>
            <w:tcW w:w="5659" w:type="dxa"/>
            <w:tcBorders/>
            <w:vAlign w:val="center"/>
          </w:tcPr>
          <w:p>
            <w:pPr>
              <w:pStyle w:val="TableContents"/>
              <w:bidi w:val="0"/>
              <w:spacing w:before="0" w:after="0"/>
              <w:jc w:val="left"/>
              <w:rPr>
                <w:rFonts w:ascii="arial" w:hAnsi="arial"/>
                <w:sz w:val="18"/>
              </w:rPr>
            </w:pPr>
            <w:r>
              <w:rPr>
                <w:rFonts w:ascii="arial" w:hAnsi="arial"/>
                <w:sz w:val="18"/>
              </w:rPr>
              <w:t xml:space="preserve">Five Prime acquisition IPR&amp;D expense </w:t>
            </w:r>
            <w:r>
              <w:rPr>
                <w:rFonts w:ascii="arial" w:hAnsi="arial"/>
                <w:b/>
                <w:sz w:val="18"/>
              </w:rPr>
              <w:t>(b)</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w:t>
            </w:r>
          </w:p>
        </w:tc>
        <w:tc>
          <w:tcPr>
            <w:tcW w:w="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w:t>
            </w:r>
          </w:p>
        </w:tc>
        <w:tc>
          <w:tcPr>
            <w:tcW w:w="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(1,505</w:t>
            </w:r>
          </w:p>
        </w:tc>
        <w:tc>
          <w:tcPr>
            <w:tcW w:w="291" w:type="dxa"/>
            <w:tcBorders/>
            <w:vAlign w:val="center"/>
          </w:tcPr>
          <w:p>
            <w:pPr>
              <w:pStyle w:val="TableContents"/>
              <w:bidi w:val="0"/>
              <w:spacing w:before="0" w:after="283"/>
              <w:jc w:val="left"/>
              <w:rPr/>
            </w:pPr>
            <w:r>
              <w:rPr/>
              <w:t>)</w:t>
            </w:r>
          </w:p>
        </w:tc>
        <w:tc>
          <w:tcPr>
            <w:tcW w:w="46" w:type="dxa"/>
            <w:tcBorders/>
          </w:tcPr>
          <w:p>
            <w:pPr>
              <w:pStyle w:val="TableContents"/>
              <w:bidi w:val="0"/>
              <w:spacing w:before="0" w:after="283"/>
              <w:jc w:val="left"/>
              <w:rPr>
                <w:sz w:val="4"/>
                <w:szCs w:val="4"/>
              </w:rPr>
            </w:pPr>
            <w:r>
              <w:rPr>
                <w:sz w:val="4"/>
                <w:szCs w:val="4"/>
              </w:rPr>
            </w:r>
          </w:p>
        </w:tc>
      </w:tr>
      <w:tr>
        <w:trPr/>
        <w:tc>
          <w:tcPr>
            <w:tcW w:w="56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860" w:type="dxa"/>
            <w:tcBorders/>
            <w:vAlign w:val="center"/>
          </w:tcPr>
          <w:p>
            <w:pPr>
              <w:pStyle w:val="TableContents"/>
              <w:pBdr>
                <w:top w:val="single" w:sz="2"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860" w:type="dxa"/>
            <w:tcBorders/>
            <w:vAlign w:val="center"/>
          </w:tcPr>
          <w:p>
            <w:pPr>
              <w:pStyle w:val="TableContents"/>
              <w:pBdr>
                <w:top w:val="single" w:sz="2"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860" w:type="dxa"/>
            <w:tcBorders/>
            <w:vAlign w:val="center"/>
          </w:tcPr>
          <w:p>
            <w:pPr>
              <w:pStyle w:val="TableContents"/>
              <w:pBdr>
                <w:top w:val="single" w:sz="2"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c>
          <w:tcPr>
            <w:tcW w:w="46" w:type="dxa"/>
            <w:tcBorders/>
          </w:tcPr>
          <w:p>
            <w:pPr>
              <w:pStyle w:val="TableContents"/>
              <w:bidi w:val="0"/>
              <w:spacing w:before="0" w:after="283"/>
              <w:jc w:val="left"/>
              <w:rPr>
                <w:sz w:val="4"/>
                <w:szCs w:val="4"/>
              </w:rPr>
            </w:pPr>
            <w:r>
              <w:rPr>
                <w:sz w:val="4"/>
                <w:szCs w:val="4"/>
              </w:rPr>
            </w:r>
          </w:p>
        </w:tc>
      </w:tr>
      <w:tr>
        <w:trPr/>
        <w:tc>
          <w:tcPr>
            <w:tcW w:w="5659" w:type="dxa"/>
            <w:tcBorders/>
            <w:vAlign w:val="center"/>
          </w:tcPr>
          <w:p>
            <w:pPr>
              <w:pStyle w:val="TableContents"/>
              <w:bidi w:val="0"/>
              <w:spacing w:before="0" w:after="0"/>
              <w:jc w:val="left"/>
              <w:rPr>
                <w:rFonts w:ascii="arial" w:hAnsi="arial"/>
                <w:b/>
                <w:sz w:val="18"/>
              </w:rPr>
            </w:pPr>
            <w:r>
              <w:rPr>
                <w:rFonts w:ascii="arial" w:hAnsi="arial"/>
                <w:b/>
                <w:sz w:val="18"/>
              </w:rPr>
              <w:t>Non-GAAP acquired IPR&amp;D</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jc w:val="right"/>
              <w:rPr/>
            </w:pPr>
            <w:r>
              <w:rPr/>
              <w:t>—</w:t>
            </w:r>
          </w:p>
        </w:tc>
        <w:tc>
          <w:tcPr>
            <w:tcW w:w="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jc w:val="right"/>
              <w:rPr/>
            </w:pPr>
            <w:r>
              <w:rPr/>
              <w:t>—</w:t>
            </w:r>
          </w:p>
        </w:tc>
        <w:tc>
          <w:tcPr>
            <w:tcW w:w="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jc w:val="right"/>
              <w:rPr/>
            </w:pPr>
            <w:r>
              <w:rPr/>
              <w:t>—</w:t>
            </w:r>
          </w:p>
        </w:tc>
        <w:tc>
          <w:tcPr>
            <w:tcW w:w="291" w:type="dxa"/>
            <w:tcBorders/>
            <w:vAlign w:val="center"/>
          </w:tcPr>
          <w:p>
            <w:pPr>
              <w:pStyle w:val="TableContents"/>
              <w:bidi w:val="0"/>
              <w:spacing w:before="0" w:after="283"/>
              <w:jc w:val="left"/>
              <w:rPr>
                <w:sz w:val="4"/>
                <w:szCs w:val="4"/>
              </w:rPr>
            </w:pPr>
            <w:r>
              <w:rPr>
                <w:sz w:val="4"/>
                <w:szCs w:val="4"/>
              </w:rPr>
            </w:r>
          </w:p>
        </w:tc>
        <w:tc>
          <w:tcPr>
            <w:tcW w:w="46" w:type="dxa"/>
            <w:tcBorders/>
          </w:tcPr>
          <w:p>
            <w:pPr>
              <w:pStyle w:val="TableContents"/>
              <w:bidi w:val="0"/>
              <w:spacing w:before="0" w:after="283"/>
              <w:jc w:val="left"/>
              <w:rPr>
                <w:sz w:val="4"/>
                <w:szCs w:val="4"/>
              </w:rPr>
            </w:pPr>
            <w:r>
              <w:rPr>
                <w:sz w:val="4"/>
                <w:szCs w:val="4"/>
              </w:rPr>
            </w:r>
          </w:p>
        </w:tc>
      </w:tr>
      <w:tr>
        <w:trPr/>
        <w:tc>
          <w:tcPr>
            <w:tcW w:w="56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double" w:sz="6" w:space="1" w:color="000000"/>
              </w:pBdr>
              <w:bidi w:val="0"/>
              <w:spacing w:before="0" w:after="0"/>
              <w:jc w:val="left"/>
              <w:rPr/>
            </w:pPr>
            <w:r>
              <w:rPr/>
              <w:t> </w:t>
            </w:r>
          </w:p>
        </w:tc>
        <w:tc>
          <w:tcPr>
            <w:tcW w:w="860" w:type="dxa"/>
            <w:tcBorders/>
            <w:vAlign w:val="center"/>
          </w:tcPr>
          <w:p>
            <w:pPr>
              <w:pStyle w:val="TableContents"/>
              <w:pBdr>
                <w:top w:val="double" w:sz="6"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double" w:sz="6" w:space="1" w:color="000000"/>
              </w:pBdr>
              <w:bidi w:val="0"/>
              <w:spacing w:before="0" w:after="0"/>
              <w:jc w:val="left"/>
              <w:rPr/>
            </w:pPr>
            <w:r>
              <w:rPr/>
              <w:t> </w:t>
            </w:r>
          </w:p>
        </w:tc>
        <w:tc>
          <w:tcPr>
            <w:tcW w:w="860" w:type="dxa"/>
            <w:tcBorders/>
            <w:vAlign w:val="center"/>
          </w:tcPr>
          <w:p>
            <w:pPr>
              <w:pStyle w:val="TableContents"/>
              <w:pBdr>
                <w:top w:val="double" w:sz="6"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double" w:sz="6" w:space="1" w:color="000000"/>
              </w:pBdr>
              <w:bidi w:val="0"/>
              <w:spacing w:before="0" w:after="0"/>
              <w:jc w:val="left"/>
              <w:rPr/>
            </w:pPr>
            <w:r>
              <w:rPr/>
              <w:t> </w:t>
            </w:r>
          </w:p>
        </w:tc>
        <w:tc>
          <w:tcPr>
            <w:tcW w:w="860" w:type="dxa"/>
            <w:tcBorders/>
            <w:vAlign w:val="center"/>
          </w:tcPr>
          <w:p>
            <w:pPr>
              <w:pStyle w:val="TableContents"/>
              <w:pBdr>
                <w:top w:val="double" w:sz="6"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c>
          <w:tcPr>
            <w:tcW w:w="46" w:type="dxa"/>
            <w:tcBorders/>
          </w:tcPr>
          <w:p>
            <w:pPr>
              <w:pStyle w:val="TableContents"/>
              <w:bidi w:val="0"/>
              <w:spacing w:before="0" w:after="283"/>
              <w:jc w:val="left"/>
              <w:rPr>
                <w:sz w:val="4"/>
                <w:szCs w:val="4"/>
              </w:rPr>
            </w:pPr>
            <w:r>
              <w:rPr>
                <w:sz w:val="4"/>
                <w:szCs w:val="4"/>
              </w:rPr>
            </w:r>
          </w:p>
        </w:tc>
      </w:tr>
      <w:tr>
        <w:trPr/>
        <w:tc>
          <w:tcPr>
            <w:tcW w:w="5659" w:type="dxa"/>
            <w:tcBorders/>
            <w:vAlign w:val="center"/>
          </w:tcPr>
          <w:p>
            <w:pPr>
              <w:pStyle w:val="TableContents"/>
              <w:bidi w:val="0"/>
              <w:spacing w:before="0" w:after="283"/>
              <w:jc w:val="left"/>
              <w:rPr>
                <w:sz w:val="4"/>
                <w:szCs w:val="4"/>
              </w:rPr>
            </w:pPr>
            <w:r>
              <w:rPr>
                <w:sz w:val="4"/>
                <w:szCs w:val="4"/>
              </w:rPr>
            </w:r>
          </w:p>
        </w:tc>
        <w:tc>
          <w:tcPr>
            <w:tcW w:w="1540" w:type="dxa"/>
            <w:gridSpan w:val="5"/>
            <w:tcBorders/>
            <w:vAlign w:val="center"/>
          </w:tcPr>
          <w:p>
            <w:pPr>
              <w:pStyle w:val="TableContents"/>
              <w:bidi w:val="0"/>
              <w:spacing w:before="0" w:after="283"/>
              <w:jc w:val="left"/>
              <w:rPr>
                <w:sz w:val="4"/>
                <w:szCs w:val="4"/>
              </w:rPr>
            </w:pPr>
            <w:r>
              <w:rPr>
                <w:sz w:val="4"/>
                <w:szCs w:val="4"/>
              </w:rPr>
            </w:r>
          </w:p>
        </w:tc>
        <w:tc>
          <w:tcPr>
            <w:tcW w:w="1480" w:type="dxa"/>
            <w:gridSpan w:val="5"/>
            <w:tcBorders/>
            <w:vAlign w:val="center"/>
          </w:tcPr>
          <w:p>
            <w:pPr>
              <w:pStyle w:val="TableContents"/>
              <w:bidi w:val="0"/>
              <w:spacing w:before="0" w:after="283"/>
              <w:jc w:val="left"/>
              <w:rPr>
                <w:sz w:val="4"/>
                <w:szCs w:val="4"/>
              </w:rPr>
            </w:pPr>
            <w:r>
              <w:rPr>
                <w:sz w:val="4"/>
                <w:szCs w:val="4"/>
              </w:rPr>
            </w:r>
          </w:p>
        </w:tc>
        <w:tc>
          <w:tcPr>
            <w:tcW w:w="1480" w:type="dxa"/>
            <w:gridSpan w:val="5"/>
            <w:tcBorders/>
            <w:vAlign w:val="center"/>
          </w:tcPr>
          <w:p>
            <w:pPr>
              <w:pStyle w:val="TableContents"/>
              <w:bidi w:val="0"/>
              <w:spacing w:before="0" w:after="283"/>
              <w:jc w:val="left"/>
              <w:rPr>
                <w:sz w:val="4"/>
                <w:szCs w:val="4"/>
              </w:rPr>
            </w:pPr>
            <w:r>
              <w:rPr>
                <w:sz w:val="4"/>
                <w:szCs w:val="4"/>
              </w:rPr>
            </w:r>
          </w:p>
        </w:tc>
        <w:tc>
          <w:tcPr>
            <w:tcW w:w="46" w:type="dxa"/>
            <w:tcBorders/>
          </w:tcPr>
          <w:p>
            <w:pPr>
              <w:pStyle w:val="TableContents"/>
              <w:bidi w:val="0"/>
              <w:spacing w:before="0" w:after="283"/>
              <w:jc w:val="left"/>
              <w:rPr>
                <w:sz w:val="4"/>
                <w:szCs w:val="4"/>
              </w:rPr>
            </w:pPr>
            <w:r>
              <w:rPr>
                <w:sz w:val="4"/>
                <w:szCs w:val="4"/>
              </w:rPr>
            </w:r>
          </w:p>
        </w:tc>
      </w:tr>
      <w:tr>
        <w:trPr/>
        <w:tc>
          <w:tcPr>
            <w:tcW w:w="5659" w:type="dxa"/>
            <w:tcBorders/>
            <w:vAlign w:val="center"/>
          </w:tcPr>
          <w:p>
            <w:pPr>
              <w:pStyle w:val="TableContents"/>
              <w:bidi w:val="0"/>
              <w:spacing w:before="0" w:after="0"/>
              <w:jc w:val="left"/>
              <w:rPr>
                <w:rFonts w:ascii="arial" w:hAnsi="arial"/>
                <w:b/>
                <w:sz w:val="18"/>
              </w:rPr>
            </w:pPr>
            <w:r>
              <w:rPr>
                <w:rFonts w:ascii="arial" w:hAnsi="arial"/>
                <w:b/>
                <w:sz w:val="18"/>
              </w:rPr>
              <w:t>GAAP acquired IPR&amp;D expenses as a percentage of product sales</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0.0</w:t>
            </w:r>
          </w:p>
        </w:tc>
        <w:tc>
          <w:tcPr>
            <w:tcW w:w="291"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0.0</w:t>
            </w:r>
          </w:p>
        </w:tc>
        <w:tc>
          <w:tcPr>
            <w:tcW w:w="291"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6.2</w:t>
            </w:r>
          </w:p>
        </w:tc>
        <w:tc>
          <w:tcPr>
            <w:tcW w:w="291" w:type="dxa"/>
            <w:tcBorders/>
            <w:vAlign w:val="center"/>
          </w:tcPr>
          <w:p>
            <w:pPr>
              <w:pStyle w:val="TableContents"/>
              <w:bidi w:val="0"/>
              <w:spacing w:before="0" w:after="283"/>
              <w:jc w:val="left"/>
              <w:rPr/>
            </w:pPr>
            <w:r>
              <w:rPr/>
              <w:t>%</w:t>
            </w:r>
          </w:p>
        </w:tc>
        <w:tc>
          <w:tcPr>
            <w:tcW w:w="46" w:type="dxa"/>
            <w:tcBorders/>
          </w:tcPr>
          <w:p>
            <w:pPr>
              <w:pStyle w:val="TableContents"/>
              <w:bidi w:val="0"/>
              <w:spacing w:before="0" w:after="283"/>
              <w:jc w:val="left"/>
              <w:rPr>
                <w:sz w:val="4"/>
                <w:szCs w:val="4"/>
              </w:rPr>
            </w:pPr>
            <w:r>
              <w:rPr>
                <w:sz w:val="4"/>
                <w:szCs w:val="4"/>
              </w:rPr>
            </w:r>
          </w:p>
        </w:tc>
      </w:tr>
      <w:tr>
        <w:trPr/>
        <w:tc>
          <w:tcPr>
            <w:tcW w:w="5659" w:type="dxa"/>
            <w:tcBorders/>
            <w:vAlign w:val="center"/>
          </w:tcPr>
          <w:p>
            <w:pPr>
              <w:pStyle w:val="TableContents"/>
              <w:bidi w:val="0"/>
              <w:spacing w:before="0" w:after="0"/>
              <w:jc w:val="left"/>
              <w:rPr>
                <w:rFonts w:ascii="arial" w:hAnsi="arial"/>
                <w:sz w:val="18"/>
              </w:rPr>
            </w:pPr>
            <w:r>
              <w:rPr>
                <w:rFonts w:ascii="arial" w:hAnsi="arial"/>
                <w:sz w:val="18"/>
              </w:rPr>
              <w:t xml:space="preserve">Five Prime acquisition IPR&amp;D expense </w:t>
            </w:r>
            <w:r>
              <w:rPr>
                <w:rFonts w:ascii="arial" w:hAnsi="arial"/>
                <w:b/>
                <w:sz w:val="18"/>
              </w:rPr>
              <w:t>(b)</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0.0</w:t>
            </w:r>
          </w:p>
        </w:tc>
        <w:tc>
          <w:tcPr>
            <w:tcW w:w="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0.0</w:t>
            </w:r>
          </w:p>
        </w:tc>
        <w:tc>
          <w:tcPr>
            <w:tcW w:w="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(6.2</w:t>
            </w:r>
          </w:p>
        </w:tc>
        <w:tc>
          <w:tcPr>
            <w:tcW w:w="291" w:type="dxa"/>
            <w:tcBorders/>
            <w:vAlign w:val="center"/>
          </w:tcPr>
          <w:p>
            <w:pPr>
              <w:pStyle w:val="TableContents"/>
              <w:bidi w:val="0"/>
              <w:spacing w:before="0" w:after="283"/>
              <w:jc w:val="left"/>
              <w:rPr/>
            </w:pPr>
            <w:r>
              <w:rPr/>
              <w:t>)</w:t>
            </w:r>
          </w:p>
        </w:tc>
        <w:tc>
          <w:tcPr>
            <w:tcW w:w="46" w:type="dxa"/>
            <w:tcBorders/>
          </w:tcPr>
          <w:p>
            <w:pPr>
              <w:pStyle w:val="TableContents"/>
              <w:bidi w:val="0"/>
              <w:spacing w:before="0" w:after="283"/>
              <w:jc w:val="left"/>
              <w:rPr>
                <w:sz w:val="4"/>
                <w:szCs w:val="4"/>
              </w:rPr>
            </w:pPr>
            <w:r>
              <w:rPr>
                <w:sz w:val="4"/>
                <w:szCs w:val="4"/>
              </w:rPr>
            </w:r>
          </w:p>
        </w:tc>
      </w:tr>
      <w:tr>
        <w:trPr/>
        <w:tc>
          <w:tcPr>
            <w:tcW w:w="56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860" w:type="dxa"/>
            <w:tcBorders/>
            <w:vAlign w:val="center"/>
          </w:tcPr>
          <w:p>
            <w:pPr>
              <w:pStyle w:val="TableContents"/>
              <w:pBdr>
                <w:top w:val="single" w:sz="2"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860" w:type="dxa"/>
            <w:tcBorders/>
            <w:vAlign w:val="center"/>
          </w:tcPr>
          <w:p>
            <w:pPr>
              <w:pStyle w:val="TableContents"/>
              <w:pBdr>
                <w:top w:val="single" w:sz="2"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single" w:sz="2" w:space="1" w:color="000000"/>
              </w:pBdr>
              <w:bidi w:val="0"/>
              <w:spacing w:before="0" w:after="0"/>
              <w:jc w:val="left"/>
              <w:rPr/>
            </w:pPr>
            <w:r>
              <w:rPr/>
              <w:t> </w:t>
            </w:r>
          </w:p>
        </w:tc>
        <w:tc>
          <w:tcPr>
            <w:tcW w:w="860" w:type="dxa"/>
            <w:tcBorders/>
            <w:vAlign w:val="center"/>
          </w:tcPr>
          <w:p>
            <w:pPr>
              <w:pStyle w:val="TableContents"/>
              <w:pBdr>
                <w:top w:val="single" w:sz="2"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c>
          <w:tcPr>
            <w:tcW w:w="46" w:type="dxa"/>
            <w:tcBorders/>
          </w:tcPr>
          <w:p>
            <w:pPr>
              <w:pStyle w:val="TableContents"/>
              <w:bidi w:val="0"/>
              <w:spacing w:before="0" w:after="283"/>
              <w:jc w:val="left"/>
              <w:rPr>
                <w:sz w:val="4"/>
                <w:szCs w:val="4"/>
              </w:rPr>
            </w:pPr>
            <w:r>
              <w:rPr>
                <w:sz w:val="4"/>
                <w:szCs w:val="4"/>
              </w:rPr>
            </w:r>
          </w:p>
        </w:tc>
      </w:tr>
      <w:tr>
        <w:trPr/>
        <w:tc>
          <w:tcPr>
            <w:tcW w:w="5659" w:type="dxa"/>
            <w:tcBorders/>
            <w:vAlign w:val="center"/>
          </w:tcPr>
          <w:p>
            <w:pPr>
              <w:pStyle w:val="TableContents"/>
              <w:bidi w:val="0"/>
              <w:spacing w:before="0" w:after="0"/>
              <w:jc w:val="left"/>
              <w:rPr>
                <w:rFonts w:ascii="arial" w:hAnsi="arial"/>
                <w:b/>
                <w:sz w:val="18"/>
              </w:rPr>
            </w:pPr>
            <w:r>
              <w:rPr>
                <w:rFonts w:ascii="arial" w:hAnsi="arial"/>
                <w:b/>
                <w:sz w:val="18"/>
              </w:rPr>
              <w:t>Non-GAAP acquired IPR&amp;D expenses as a percentage of product sales</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0.0</w:t>
            </w:r>
          </w:p>
        </w:tc>
        <w:tc>
          <w:tcPr>
            <w:tcW w:w="291"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0.0</w:t>
            </w:r>
          </w:p>
        </w:tc>
        <w:tc>
          <w:tcPr>
            <w:tcW w:w="291"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0.0</w:t>
            </w:r>
          </w:p>
        </w:tc>
        <w:tc>
          <w:tcPr>
            <w:tcW w:w="291" w:type="dxa"/>
            <w:tcBorders/>
            <w:vAlign w:val="center"/>
          </w:tcPr>
          <w:p>
            <w:pPr>
              <w:pStyle w:val="TableContents"/>
              <w:bidi w:val="0"/>
              <w:spacing w:before="0" w:after="283"/>
              <w:jc w:val="left"/>
              <w:rPr/>
            </w:pPr>
            <w:r>
              <w:rPr/>
              <w:t>%</w:t>
            </w:r>
          </w:p>
        </w:tc>
        <w:tc>
          <w:tcPr>
            <w:tcW w:w="46" w:type="dxa"/>
            <w:tcBorders/>
          </w:tcPr>
          <w:p>
            <w:pPr>
              <w:pStyle w:val="TableContents"/>
              <w:bidi w:val="0"/>
              <w:spacing w:before="0" w:after="283"/>
              <w:jc w:val="left"/>
              <w:rPr>
                <w:sz w:val="4"/>
                <w:szCs w:val="4"/>
              </w:rPr>
            </w:pPr>
            <w:r>
              <w:rPr>
                <w:sz w:val="4"/>
                <w:szCs w:val="4"/>
              </w:rPr>
            </w:r>
          </w:p>
        </w:tc>
      </w:tr>
      <w:tr>
        <w:trPr/>
        <w:tc>
          <w:tcPr>
            <w:tcW w:w="56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double" w:sz="6" w:space="1" w:color="000000"/>
              </w:pBdr>
              <w:bidi w:val="0"/>
              <w:spacing w:before="0" w:after="0"/>
              <w:jc w:val="left"/>
              <w:rPr/>
            </w:pPr>
            <w:r>
              <w:rPr/>
              <w:t> </w:t>
            </w:r>
          </w:p>
        </w:tc>
        <w:tc>
          <w:tcPr>
            <w:tcW w:w="860" w:type="dxa"/>
            <w:tcBorders/>
            <w:vAlign w:val="center"/>
          </w:tcPr>
          <w:p>
            <w:pPr>
              <w:pStyle w:val="TableContents"/>
              <w:pBdr>
                <w:top w:val="double" w:sz="6"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double" w:sz="6" w:space="1" w:color="000000"/>
              </w:pBdr>
              <w:bidi w:val="0"/>
              <w:spacing w:before="0" w:after="0"/>
              <w:jc w:val="left"/>
              <w:rPr/>
            </w:pPr>
            <w:r>
              <w:rPr/>
              <w:t> </w:t>
            </w:r>
          </w:p>
        </w:tc>
        <w:tc>
          <w:tcPr>
            <w:tcW w:w="860" w:type="dxa"/>
            <w:tcBorders/>
            <w:vAlign w:val="center"/>
          </w:tcPr>
          <w:p>
            <w:pPr>
              <w:pStyle w:val="TableContents"/>
              <w:pBdr>
                <w:top w:val="double" w:sz="6"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 w:type="dxa"/>
            <w:tcBorders/>
            <w:vAlign w:val="center"/>
          </w:tcPr>
          <w:p>
            <w:pPr>
              <w:pStyle w:val="TableContents"/>
              <w:pBdr>
                <w:top w:val="double" w:sz="6" w:space="1" w:color="000000"/>
              </w:pBdr>
              <w:bidi w:val="0"/>
              <w:spacing w:before="0" w:after="0"/>
              <w:jc w:val="left"/>
              <w:rPr/>
            </w:pPr>
            <w:r>
              <w:rPr/>
              <w:t> </w:t>
            </w:r>
          </w:p>
        </w:tc>
        <w:tc>
          <w:tcPr>
            <w:tcW w:w="860" w:type="dxa"/>
            <w:tcBorders/>
            <w:vAlign w:val="center"/>
          </w:tcPr>
          <w:p>
            <w:pPr>
              <w:pStyle w:val="TableContents"/>
              <w:pBdr>
                <w:top w:val="double" w:sz="6"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c>
          <w:tcPr>
            <w:tcW w:w="46"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452"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Image206" descr=""/>
                    <pic:cNvPicPr>
                      <a:picLocks noChangeAspect="1" noChangeArrowheads="1"/>
                    </pic:cNvPicPr>
                  </pic:nvPicPr>
                  <pic:blipFill>
                    <a:blip r:embed="rId219"/>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B-1</w:t>
      </w:r>
      <w:r>
        <w:rPr>
          <w:rFonts w:ascii="arial" w:hAnsi="arial"/>
          <w:b/>
          <w:sz w:val="22"/>
        </w:rPr>
        <w:t xml:space="preserve"> </w:t>
      </w:r>
      <w:r>
        <w:br w:type="page"/>
      </w:r>
    </w:p>
    <w:p>
      <w:pPr>
        <w:pStyle w:val="HorizontalLine"/>
        <w:bidi w:val="0"/>
        <w:jc w:val="left"/>
        <w:rPr/>
      </w:pPr>
      <w:r>
        <w:rPr/>
      </w:r>
    </w:p>
    <w:tbl>
      <w:tblPr>
        <w:tblW w:w="185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13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137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Appendix B</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717"/>
        <w:gridCol w:w="120"/>
        <w:gridCol w:w="76"/>
        <w:gridCol w:w="179"/>
        <w:gridCol w:w="871"/>
        <w:gridCol w:w="275"/>
        <w:gridCol w:w="60"/>
        <w:gridCol w:w="76"/>
        <w:gridCol w:w="179"/>
        <w:gridCol w:w="871"/>
        <w:gridCol w:w="275"/>
        <w:gridCol w:w="60"/>
        <w:gridCol w:w="76"/>
        <w:gridCol w:w="179"/>
        <w:gridCol w:w="871"/>
        <w:gridCol w:w="275"/>
        <w:gridCol w:w="45"/>
      </w:tblGrid>
      <w:tr>
        <w:trPr/>
        <w:tc>
          <w:tcPr>
            <w:tcW w:w="57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323" w:type="dxa"/>
            <w:gridSpan w:val="14"/>
            <w:tcBorders/>
            <w:vAlign w:val="center"/>
          </w:tcPr>
          <w:p>
            <w:pPr>
              <w:pStyle w:val="TableContents"/>
              <w:bidi w:val="0"/>
              <w:spacing w:before="0" w:after="283"/>
              <w:jc w:val="center"/>
              <w:rPr>
                <w:b/>
              </w:rPr>
            </w:pPr>
            <w:r>
              <w:rPr>
                <w:b/>
              </w:rPr>
              <w:t>Years ended December 31,</w:t>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368" w:type="dxa"/>
            <w:gridSpan w:val="15"/>
            <w:tcBorders/>
            <w:vAlign w:val="center"/>
          </w:tcPr>
          <w:p>
            <w:pPr>
              <w:pStyle w:val="TableContents"/>
              <w:pBdr>
                <w:bottom w:val="single" w:sz="8" w:space="1" w:color="000000"/>
              </w:pBdr>
              <w:bidi w:val="0"/>
              <w:spacing w:before="0" w:after="0"/>
              <w:jc w:val="left"/>
              <w:rPr/>
            </w:pPr>
            <w:r>
              <w:rPr/>
              <w:t> </w:t>
            </w:r>
          </w:p>
        </w:tc>
      </w:tr>
      <w:tr>
        <w:trPr/>
        <w:tc>
          <w:tcPr>
            <w:tcW w:w="571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1" w:type="dxa"/>
            <w:gridSpan w:val="4"/>
            <w:tcBorders>
              <w:bottom w:val="single" w:sz="8" w:space="0" w:color="000000"/>
            </w:tcBorders>
            <w:tcMar>
              <w:bottom w:w="28" w:type="dxa"/>
            </w:tcMar>
            <w:vAlign w:val="center"/>
          </w:tcPr>
          <w:p>
            <w:pPr>
              <w:pStyle w:val="TableContents"/>
              <w:bidi w:val="0"/>
              <w:spacing w:before="0" w:after="283"/>
              <w:jc w:val="center"/>
              <w:rPr/>
            </w:pPr>
            <w:r>
              <w:rPr/>
              <w:t>   </w:t>
            </w:r>
            <w:r>
              <w:rPr>
                <w:b/>
              </w:rPr>
              <w:t>2023   </w:t>
            </w:r>
          </w:p>
        </w:tc>
        <w:tc>
          <w:tcPr>
            <w:tcW w:w="60" w:type="dxa"/>
            <w:tcBorders/>
            <w:vAlign w:val="center"/>
          </w:tcPr>
          <w:p>
            <w:pPr>
              <w:pStyle w:val="TableContents"/>
              <w:bidi w:val="0"/>
              <w:spacing w:before="0" w:after="283"/>
              <w:jc w:val="left"/>
              <w:rPr/>
            </w:pPr>
            <w:r>
              <w:rPr/>
              <w:t> </w:t>
            </w:r>
          </w:p>
        </w:tc>
        <w:tc>
          <w:tcPr>
            <w:tcW w:w="1401" w:type="dxa"/>
            <w:gridSpan w:val="4"/>
            <w:tcBorders>
              <w:bottom w:val="single" w:sz="8" w:space="0" w:color="000000"/>
            </w:tcBorders>
            <w:tcMar>
              <w:bottom w:w="28" w:type="dxa"/>
            </w:tcMar>
            <w:vAlign w:val="center"/>
          </w:tcPr>
          <w:p>
            <w:pPr>
              <w:pStyle w:val="TableContents"/>
              <w:bidi w:val="0"/>
              <w:spacing w:before="0" w:after="283"/>
              <w:jc w:val="center"/>
              <w:rPr/>
            </w:pPr>
            <w:r>
              <w:rPr/>
              <w:t>   </w:t>
            </w:r>
            <w:r>
              <w:rPr>
                <w:b/>
              </w:rPr>
              <w:t>2022   </w:t>
            </w:r>
          </w:p>
        </w:tc>
        <w:tc>
          <w:tcPr>
            <w:tcW w:w="60" w:type="dxa"/>
            <w:tcBorders/>
            <w:vAlign w:val="center"/>
          </w:tcPr>
          <w:p>
            <w:pPr>
              <w:pStyle w:val="TableContents"/>
              <w:bidi w:val="0"/>
              <w:spacing w:before="0" w:after="283"/>
              <w:jc w:val="left"/>
              <w:rPr/>
            </w:pPr>
            <w:r>
              <w:rPr/>
              <w:t> </w:t>
            </w:r>
          </w:p>
        </w:tc>
        <w:tc>
          <w:tcPr>
            <w:tcW w:w="1401" w:type="dxa"/>
            <w:gridSpan w:val="4"/>
            <w:tcBorders>
              <w:bottom w:val="single" w:sz="8" w:space="0" w:color="000000"/>
            </w:tcBorders>
            <w:tcMar>
              <w:bottom w:w="28" w:type="dxa"/>
            </w:tcMar>
            <w:vAlign w:val="center"/>
          </w:tcPr>
          <w:p>
            <w:pPr>
              <w:pStyle w:val="TableContents"/>
              <w:bidi w:val="0"/>
              <w:spacing w:before="0" w:after="283"/>
              <w:jc w:val="center"/>
              <w:rPr/>
            </w:pPr>
            <w:r>
              <w:rPr/>
              <w:t>   </w:t>
            </w:r>
            <w:r>
              <w:rPr>
                <w:b/>
              </w:rPr>
              <w:t>2021   </w:t>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0"/>
              <w:jc w:val="left"/>
              <w:rPr>
                <w:rFonts w:ascii="arial" w:hAnsi="arial"/>
                <w:b/>
                <w:sz w:val="18"/>
              </w:rPr>
            </w:pPr>
            <w:r>
              <w:rPr>
                <w:rFonts w:ascii="arial" w:hAnsi="arial"/>
                <w:b/>
                <w:sz w:val="18"/>
              </w:rPr>
              <w:t>GAAP selling, general and administrative expenses</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871" w:type="dxa"/>
            <w:tcBorders/>
            <w:vAlign w:val="center"/>
          </w:tcPr>
          <w:p>
            <w:pPr>
              <w:pStyle w:val="TableContents"/>
              <w:bidi w:val="0"/>
              <w:spacing w:before="0" w:after="283"/>
              <w:jc w:val="right"/>
              <w:rPr/>
            </w:pPr>
            <w:r>
              <w:rPr/>
              <w:t>6,179</w:t>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871" w:type="dxa"/>
            <w:tcBorders/>
            <w:vAlign w:val="center"/>
          </w:tcPr>
          <w:p>
            <w:pPr>
              <w:pStyle w:val="TableContents"/>
              <w:bidi w:val="0"/>
              <w:spacing w:before="0" w:after="283"/>
              <w:jc w:val="right"/>
              <w:rPr/>
            </w:pPr>
            <w:r>
              <w:rPr/>
              <w:t>5,414</w:t>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871" w:type="dxa"/>
            <w:tcBorders/>
            <w:vAlign w:val="center"/>
          </w:tcPr>
          <w:p>
            <w:pPr>
              <w:pStyle w:val="TableContents"/>
              <w:bidi w:val="0"/>
              <w:spacing w:before="0" w:after="283"/>
              <w:jc w:val="right"/>
              <w:rPr/>
            </w:pPr>
            <w:r>
              <w:rPr/>
              <w:t>5,368</w:t>
            </w:r>
          </w:p>
        </w:tc>
        <w:tc>
          <w:tcPr>
            <w:tcW w:w="275" w:type="dxa"/>
            <w:tcBorders/>
            <w:vAlign w:val="center"/>
          </w:tcPr>
          <w:p>
            <w:pPr>
              <w:pStyle w:val="TableContents"/>
              <w:bidi w:val="0"/>
              <w:spacing w:before="0" w:after="283"/>
              <w:jc w:val="left"/>
              <w:rPr>
                <w:sz w:val="4"/>
                <w:szCs w:val="4"/>
              </w:rPr>
            </w:pPr>
            <w:r>
              <w:rPr>
                <w:sz w:val="4"/>
                <w:szCs w:val="4"/>
              </w:rPr>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0"/>
              <w:jc w:val="left"/>
              <w:rPr>
                <w:rFonts w:ascii="arial" w:hAnsi="arial"/>
                <w:b/>
                <w:sz w:val="18"/>
              </w:rPr>
            </w:pPr>
            <w:r>
              <w:rPr>
                <w:rFonts w:ascii="arial" w:hAnsi="arial"/>
                <w:b/>
                <w:sz w:val="18"/>
              </w:rPr>
              <w:t>Adjustments to selling, general and administrative expenses:</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0"/>
              <w:jc w:val="left"/>
              <w:rPr>
                <w:rFonts w:ascii="arial" w:hAnsi="arial"/>
                <w:sz w:val="18"/>
              </w:rPr>
            </w:pPr>
            <w:r>
              <w:rPr>
                <w:rFonts w:ascii="arial" w:hAnsi="arial"/>
                <w:sz w:val="18"/>
              </w:rPr>
              <w:t xml:space="preserve">Acquisition-related expenses </w:t>
            </w:r>
            <w:r>
              <w:rPr>
                <w:rFonts w:ascii="arial" w:hAnsi="arial"/>
                <w:b/>
                <w:sz w:val="18"/>
              </w:rPr>
              <w:t>(c)</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(648</w:t>
            </w:r>
          </w:p>
        </w:tc>
        <w:tc>
          <w:tcPr>
            <w:tcW w:w="27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(144</w:t>
            </w:r>
          </w:p>
        </w:tc>
        <w:tc>
          <w:tcPr>
            <w:tcW w:w="27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(87</w:t>
            </w:r>
          </w:p>
        </w:tc>
        <w:tc>
          <w:tcPr>
            <w:tcW w:w="275" w:type="dxa"/>
            <w:tcBorders/>
            <w:vAlign w:val="center"/>
          </w:tcPr>
          <w:p>
            <w:pPr>
              <w:pStyle w:val="TableContents"/>
              <w:bidi w:val="0"/>
              <w:spacing w:before="0" w:after="283"/>
              <w:jc w:val="left"/>
              <w:rPr/>
            </w:pPr>
            <w:r>
              <w:rPr/>
              <w:t>)</w:t>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0"/>
              <w:jc w:val="left"/>
              <w:rPr>
                <w:rFonts w:ascii="arial" w:hAnsi="arial"/>
                <w:sz w:val="18"/>
              </w:rPr>
            </w:pPr>
            <w:r>
              <w:rPr>
                <w:rFonts w:ascii="arial" w:hAnsi="arial"/>
                <w:sz w:val="18"/>
              </w:rPr>
              <w:t>Certain net charges pursuant to our restructuring and cost savings initiatives</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(13</w:t>
            </w:r>
          </w:p>
        </w:tc>
        <w:tc>
          <w:tcPr>
            <w:tcW w:w="27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sz w:val="4"/>
                <w:szCs w:val="4"/>
              </w:rPr>
            </w:pPr>
            <w:r>
              <w:rPr>
                <w:sz w:val="4"/>
                <w:szCs w:val="4"/>
              </w:rPr>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0"/>
              <w:jc w:val="left"/>
              <w:rPr>
                <w:rFonts w:ascii="arial" w:hAnsi="arial"/>
                <w:sz w:val="18"/>
              </w:rPr>
            </w:pPr>
            <w:r>
              <w:rPr>
                <w:rFonts w:ascii="arial" w:hAnsi="arial"/>
                <w:sz w:val="18"/>
              </w:rPr>
              <w:t>Other</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(16</w:t>
            </w:r>
          </w:p>
        </w:tc>
        <w:tc>
          <w:tcPr>
            <w:tcW w:w="275" w:type="dxa"/>
            <w:tcBorders/>
            <w:vAlign w:val="center"/>
          </w:tcPr>
          <w:p>
            <w:pPr>
              <w:pStyle w:val="TableContents"/>
              <w:bidi w:val="0"/>
              <w:spacing w:before="0" w:after="283"/>
              <w:jc w:val="left"/>
              <w:rPr/>
            </w:pPr>
            <w:r>
              <w:rPr/>
              <w:t>)</w:t>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pBdr>
                <w:top w:val="single" w:sz="2" w:space="1" w:color="000000"/>
              </w:pBdr>
              <w:bidi w:val="0"/>
              <w:spacing w:before="0" w:after="0"/>
              <w:jc w:val="left"/>
              <w:rPr/>
            </w:pPr>
            <w:r>
              <w:rPr/>
              <w:t> </w:t>
            </w:r>
          </w:p>
        </w:tc>
        <w:tc>
          <w:tcPr>
            <w:tcW w:w="871"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pBdr>
                <w:top w:val="single" w:sz="2" w:space="1" w:color="000000"/>
              </w:pBdr>
              <w:bidi w:val="0"/>
              <w:spacing w:before="0" w:after="0"/>
              <w:jc w:val="left"/>
              <w:rPr/>
            </w:pPr>
            <w:r>
              <w:rPr/>
              <w:t> </w:t>
            </w:r>
          </w:p>
        </w:tc>
        <w:tc>
          <w:tcPr>
            <w:tcW w:w="871"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pBdr>
                <w:top w:val="single" w:sz="2" w:space="1" w:color="000000"/>
              </w:pBdr>
              <w:bidi w:val="0"/>
              <w:spacing w:before="0" w:after="0"/>
              <w:jc w:val="left"/>
              <w:rPr/>
            </w:pPr>
            <w:r>
              <w:rPr/>
              <w:t> </w:t>
            </w:r>
          </w:p>
        </w:tc>
        <w:tc>
          <w:tcPr>
            <w:tcW w:w="871"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0"/>
              <w:jc w:val="left"/>
              <w:rPr>
                <w:rFonts w:ascii="arial" w:hAnsi="arial"/>
                <w:b/>
                <w:sz w:val="18"/>
              </w:rPr>
            </w:pPr>
            <w:r>
              <w:rPr>
                <w:rFonts w:ascii="arial" w:hAnsi="arial"/>
                <w:b/>
                <w:sz w:val="18"/>
              </w:rPr>
              <w:t>Total adjustments to selling, general and administrative expenses</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(661</w:t>
            </w:r>
          </w:p>
        </w:tc>
        <w:tc>
          <w:tcPr>
            <w:tcW w:w="27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(144</w:t>
            </w:r>
          </w:p>
        </w:tc>
        <w:tc>
          <w:tcPr>
            <w:tcW w:w="27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(103</w:t>
            </w:r>
          </w:p>
        </w:tc>
        <w:tc>
          <w:tcPr>
            <w:tcW w:w="275" w:type="dxa"/>
            <w:tcBorders/>
            <w:vAlign w:val="center"/>
          </w:tcPr>
          <w:p>
            <w:pPr>
              <w:pStyle w:val="TableContents"/>
              <w:bidi w:val="0"/>
              <w:spacing w:before="0" w:after="283"/>
              <w:jc w:val="left"/>
              <w:rPr/>
            </w:pPr>
            <w:r>
              <w:rPr/>
              <w:t>)</w:t>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pBdr>
                <w:top w:val="single" w:sz="2" w:space="1" w:color="000000"/>
              </w:pBdr>
              <w:bidi w:val="0"/>
              <w:spacing w:before="0" w:after="0"/>
              <w:jc w:val="left"/>
              <w:rPr/>
            </w:pPr>
            <w:r>
              <w:rPr/>
              <w:t> </w:t>
            </w:r>
          </w:p>
        </w:tc>
        <w:tc>
          <w:tcPr>
            <w:tcW w:w="871"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pBdr>
                <w:top w:val="single" w:sz="2" w:space="1" w:color="000000"/>
              </w:pBdr>
              <w:bidi w:val="0"/>
              <w:spacing w:before="0" w:after="0"/>
              <w:jc w:val="left"/>
              <w:rPr/>
            </w:pPr>
            <w:r>
              <w:rPr/>
              <w:t> </w:t>
            </w:r>
          </w:p>
        </w:tc>
        <w:tc>
          <w:tcPr>
            <w:tcW w:w="871"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pBdr>
                <w:top w:val="single" w:sz="2" w:space="1" w:color="000000"/>
              </w:pBdr>
              <w:bidi w:val="0"/>
              <w:spacing w:before="0" w:after="0"/>
              <w:jc w:val="left"/>
              <w:rPr/>
            </w:pPr>
            <w:r>
              <w:rPr/>
              <w:t> </w:t>
            </w:r>
          </w:p>
        </w:tc>
        <w:tc>
          <w:tcPr>
            <w:tcW w:w="871"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283"/>
              <w:jc w:val="left"/>
              <w:rPr>
                <w:sz w:val="4"/>
                <w:szCs w:val="4"/>
              </w:rPr>
            </w:pPr>
            <w:r>
              <w:rPr>
                <w:sz w:val="4"/>
                <w:szCs w:val="4"/>
              </w:rPr>
            </w:r>
          </w:p>
        </w:tc>
        <w:tc>
          <w:tcPr>
            <w:tcW w:w="1521" w:type="dxa"/>
            <w:gridSpan w:val="5"/>
            <w:tcBorders/>
            <w:vAlign w:val="center"/>
          </w:tcPr>
          <w:p>
            <w:pPr>
              <w:pStyle w:val="TableContents"/>
              <w:bidi w:val="0"/>
              <w:spacing w:before="0" w:after="283"/>
              <w:jc w:val="left"/>
              <w:rPr>
                <w:sz w:val="4"/>
                <w:szCs w:val="4"/>
              </w:rPr>
            </w:pPr>
            <w:r>
              <w:rPr>
                <w:sz w:val="4"/>
                <w:szCs w:val="4"/>
              </w:rPr>
            </w:r>
          </w:p>
        </w:tc>
        <w:tc>
          <w:tcPr>
            <w:tcW w:w="1461" w:type="dxa"/>
            <w:gridSpan w:val="5"/>
            <w:tcBorders/>
            <w:vAlign w:val="center"/>
          </w:tcPr>
          <w:p>
            <w:pPr>
              <w:pStyle w:val="TableContents"/>
              <w:bidi w:val="0"/>
              <w:spacing w:before="0" w:after="283"/>
              <w:jc w:val="left"/>
              <w:rPr>
                <w:sz w:val="4"/>
                <w:szCs w:val="4"/>
              </w:rPr>
            </w:pPr>
            <w:r>
              <w:rPr>
                <w:sz w:val="4"/>
                <w:szCs w:val="4"/>
              </w:rPr>
            </w:r>
          </w:p>
        </w:tc>
        <w:tc>
          <w:tcPr>
            <w:tcW w:w="1461" w:type="dxa"/>
            <w:gridSpan w:val="5"/>
            <w:tcBorders/>
            <w:vAlign w:val="center"/>
          </w:tcPr>
          <w:p>
            <w:pPr>
              <w:pStyle w:val="TableContents"/>
              <w:bidi w:val="0"/>
              <w:spacing w:before="0" w:after="283"/>
              <w:jc w:val="left"/>
              <w:rPr>
                <w:sz w:val="4"/>
                <w:szCs w:val="4"/>
              </w:rPr>
            </w:pPr>
            <w:r>
              <w:rPr>
                <w:sz w:val="4"/>
                <w:szCs w:val="4"/>
              </w:rPr>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0"/>
              <w:jc w:val="left"/>
              <w:rPr>
                <w:rFonts w:ascii="arial" w:hAnsi="arial"/>
                <w:b/>
                <w:sz w:val="18"/>
              </w:rPr>
            </w:pPr>
            <w:r>
              <w:rPr>
                <w:rFonts w:ascii="arial" w:hAnsi="arial"/>
                <w:b/>
                <w:sz w:val="18"/>
              </w:rPr>
              <w:t>Non-GAAP selling, general and administrative expenses</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871" w:type="dxa"/>
            <w:tcBorders/>
            <w:vAlign w:val="center"/>
          </w:tcPr>
          <w:p>
            <w:pPr>
              <w:pStyle w:val="TableContents"/>
              <w:bidi w:val="0"/>
              <w:spacing w:before="0" w:after="283"/>
              <w:jc w:val="right"/>
              <w:rPr/>
            </w:pPr>
            <w:r>
              <w:rPr/>
              <w:t>5,518</w:t>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871" w:type="dxa"/>
            <w:tcBorders/>
            <w:vAlign w:val="center"/>
          </w:tcPr>
          <w:p>
            <w:pPr>
              <w:pStyle w:val="TableContents"/>
              <w:bidi w:val="0"/>
              <w:spacing w:before="0" w:after="283"/>
              <w:jc w:val="right"/>
              <w:rPr/>
            </w:pPr>
            <w:r>
              <w:rPr/>
              <w:t>5,270</w:t>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871" w:type="dxa"/>
            <w:tcBorders/>
            <w:vAlign w:val="center"/>
          </w:tcPr>
          <w:p>
            <w:pPr>
              <w:pStyle w:val="TableContents"/>
              <w:bidi w:val="0"/>
              <w:spacing w:before="0" w:after="283"/>
              <w:jc w:val="right"/>
              <w:rPr/>
            </w:pPr>
            <w:r>
              <w:rPr/>
              <w:t>5,265</w:t>
            </w:r>
          </w:p>
        </w:tc>
        <w:tc>
          <w:tcPr>
            <w:tcW w:w="275" w:type="dxa"/>
            <w:tcBorders/>
            <w:vAlign w:val="center"/>
          </w:tcPr>
          <w:p>
            <w:pPr>
              <w:pStyle w:val="TableContents"/>
              <w:bidi w:val="0"/>
              <w:spacing w:before="0" w:after="283"/>
              <w:jc w:val="left"/>
              <w:rPr>
                <w:sz w:val="4"/>
                <w:szCs w:val="4"/>
              </w:rPr>
            </w:pPr>
            <w:r>
              <w:rPr>
                <w:sz w:val="4"/>
                <w:szCs w:val="4"/>
              </w:rPr>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pBdr>
                <w:top w:val="double" w:sz="6" w:space="1" w:color="000000"/>
              </w:pBdr>
              <w:bidi w:val="0"/>
              <w:spacing w:before="0" w:after="0"/>
              <w:jc w:val="left"/>
              <w:rPr/>
            </w:pPr>
            <w:r>
              <w:rPr/>
              <w:t> </w:t>
            </w:r>
          </w:p>
        </w:tc>
        <w:tc>
          <w:tcPr>
            <w:tcW w:w="871"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pBdr>
                <w:top w:val="double" w:sz="6" w:space="1" w:color="000000"/>
              </w:pBdr>
              <w:bidi w:val="0"/>
              <w:spacing w:before="0" w:after="0"/>
              <w:jc w:val="left"/>
              <w:rPr/>
            </w:pPr>
            <w:r>
              <w:rPr/>
              <w:t> </w:t>
            </w:r>
          </w:p>
        </w:tc>
        <w:tc>
          <w:tcPr>
            <w:tcW w:w="871"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pBdr>
                <w:top w:val="double" w:sz="6" w:space="1" w:color="000000"/>
              </w:pBdr>
              <w:bidi w:val="0"/>
              <w:spacing w:before="0" w:after="0"/>
              <w:jc w:val="left"/>
              <w:rPr/>
            </w:pPr>
            <w:r>
              <w:rPr/>
              <w:t> </w:t>
            </w:r>
          </w:p>
        </w:tc>
        <w:tc>
          <w:tcPr>
            <w:tcW w:w="871"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0"/>
              <w:jc w:val="left"/>
              <w:rPr>
                <w:rFonts w:ascii="arial" w:hAnsi="arial"/>
                <w:b/>
                <w:sz w:val="18"/>
              </w:rPr>
            </w:pPr>
            <w:r>
              <w:rPr>
                <w:rFonts w:ascii="arial" w:hAnsi="arial"/>
                <w:b/>
                <w:sz w:val="18"/>
              </w:rPr>
              <w:t>GAAP selling, general and administrative expenses as a percentage of product sales</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23.0</w:t>
            </w:r>
          </w:p>
        </w:tc>
        <w:tc>
          <w:tcPr>
            <w:tcW w:w="27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21.8</w:t>
            </w:r>
          </w:p>
        </w:tc>
        <w:tc>
          <w:tcPr>
            <w:tcW w:w="27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22.1</w:t>
            </w:r>
          </w:p>
        </w:tc>
        <w:tc>
          <w:tcPr>
            <w:tcW w:w="275" w:type="dxa"/>
            <w:tcBorders/>
            <w:vAlign w:val="center"/>
          </w:tcPr>
          <w:p>
            <w:pPr>
              <w:pStyle w:val="TableContents"/>
              <w:bidi w:val="0"/>
              <w:spacing w:before="0" w:after="283"/>
              <w:jc w:val="left"/>
              <w:rPr/>
            </w:pPr>
            <w:r>
              <w:rPr/>
              <w:t>%</w:t>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0"/>
              <w:jc w:val="left"/>
              <w:rPr>
                <w:rFonts w:ascii="arial" w:hAnsi="arial"/>
                <w:sz w:val="18"/>
              </w:rPr>
            </w:pPr>
            <w:r>
              <w:rPr>
                <w:rFonts w:ascii="arial" w:hAnsi="arial"/>
                <w:sz w:val="18"/>
              </w:rPr>
              <w:t xml:space="preserve">Acquisition-related expenses </w:t>
            </w:r>
            <w:r>
              <w:rPr>
                <w:rFonts w:ascii="arial" w:hAnsi="arial"/>
                <w:b/>
                <w:sz w:val="18"/>
              </w:rPr>
              <w:t>(c)</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(2.4</w:t>
            </w:r>
          </w:p>
        </w:tc>
        <w:tc>
          <w:tcPr>
            <w:tcW w:w="27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(0.6</w:t>
            </w:r>
          </w:p>
        </w:tc>
        <w:tc>
          <w:tcPr>
            <w:tcW w:w="27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(0.4</w:t>
            </w:r>
          </w:p>
        </w:tc>
        <w:tc>
          <w:tcPr>
            <w:tcW w:w="275" w:type="dxa"/>
            <w:tcBorders/>
            <w:vAlign w:val="center"/>
          </w:tcPr>
          <w:p>
            <w:pPr>
              <w:pStyle w:val="TableContents"/>
              <w:bidi w:val="0"/>
              <w:spacing w:before="0" w:after="283"/>
              <w:jc w:val="left"/>
              <w:rPr/>
            </w:pPr>
            <w:r>
              <w:rPr/>
              <w:t>)</w:t>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0"/>
              <w:jc w:val="left"/>
              <w:rPr>
                <w:rFonts w:ascii="arial" w:hAnsi="arial"/>
                <w:sz w:val="18"/>
              </w:rPr>
            </w:pPr>
            <w:r>
              <w:rPr>
                <w:rFonts w:ascii="arial" w:hAnsi="arial"/>
                <w:sz w:val="18"/>
              </w:rPr>
              <w:t>Certain net charges pursuant to our restructuring and cost savings initiatives</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sz w:val="4"/>
                <w:szCs w:val="4"/>
              </w:rPr>
            </w:pPr>
            <w:r>
              <w:rPr>
                <w:sz w:val="4"/>
                <w:szCs w:val="4"/>
              </w:rPr>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0"/>
              <w:jc w:val="left"/>
              <w:rPr>
                <w:rFonts w:ascii="arial" w:hAnsi="arial"/>
                <w:sz w:val="18"/>
              </w:rPr>
            </w:pPr>
            <w:r>
              <w:rPr>
                <w:rFonts w:ascii="arial" w:hAnsi="arial"/>
                <w:sz w:val="18"/>
              </w:rPr>
              <w:t>Other</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sz w:val="4"/>
                <w:szCs w:val="4"/>
              </w:rPr>
            </w:pPr>
            <w:r>
              <w:rPr>
                <w:sz w:val="4"/>
                <w:szCs w:val="4"/>
              </w:rPr>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pBdr>
                <w:top w:val="single" w:sz="2" w:space="1" w:color="000000"/>
              </w:pBdr>
              <w:bidi w:val="0"/>
              <w:spacing w:before="0" w:after="0"/>
              <w:jc w:val="left"/>
              <w:rPr/>
            </w:pPr>
            <w:r>
              <w:rPr/>
              <w:t> </w:t>
            </w:r>
          </w:p>
        </w:tc>
        <w:tc>
          <w:tcPr>
            <w:tcW w:w="871"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pBdr>
                <w:top w:val="single" w:sz="2" w:space="1" w:color="000000"/>
              </w:pBdr>
              <w:bidi w:val="0"/>
              <w:spacing w:before="0" w:after="0"/>
              <w:jc w:val="left"/>
              <w:rPr/>
            </w:pPr>
            <w:r>
              <w:rPr/>
              <w:t> </w:t>
            </w:r>
          </w:p>
        </w:tc>
        <w:tc>
          <w:tcPr>
            <w:tcW w:w="871"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pBdr>
                <w:top w:val="single" w:sz="2" w:space="1" w:color="000000"/>
              </w:pBdr>
              <w:bidi w:val="0"/>
              <w:spacing w:before="0" w:after="0"/>
              <w:jc w:val="left"/>
              <w:rPr/>
            </w:pPr>
            <w:r>
              <w:rPr/>
              <w:t> </w:t>
            </w:r>
          </w:p>
        </w:tc>
        <w:tc>
          <w:tcPr>
            <w:tcW w:w="871"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0"/>
              <w:jc w:val="left"/>
              <w:rPr>
                <w:rFonts w:ascii="arial" w:hAnsi="arial"/>
                <w:b/>
                <w:sz w:val="18"/>
              </w:rPr>
            </w:pPr>
            <w:r>
              <w:rPr>
                <w:rFonts w:ascii="arial" w:hAnsi="arial"/>
                <w:b/>
                <w:sz w:val="18"/>
              </w:rPr>
              <w:t>Non-GAAP selling, general and administrative expenses as a percentage of product sales</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20.5</w:t>
            </w:r>
          </w:p>
        </w:tc>
        <w:tc>
          <w:tcPr>
            <w:tcW w:w="27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21.2</w:t>
            </w:r>
          </w:p>
        </w:tc>
        <w:tc>
          <w:tcPr>
            <w:tcW w:w="27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21.7</w:t>
            </w:r>
          </w:p>
        </w:tc>
        <w:tc>
          <w:tcPr>
            <w:tcW w:w="275" w:type="dxa"/>
            <w:tcBorders/>
            <w:vAlign w:val="center"/>
          </w:tcPr>
          <w:p>
            <w:pPr>
              <w:pStyle w:val="TableContents"/>
              <w:bidi w:val="0"/>
              <w:spacing w:before="0" w:after="283"/>
              <w:jc w:val="left"/>
              <w:rPr/>
            </w:pPr>
            <w:r>
              <w:rPr/>
              <w:t>%</w:t>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pBdr>
                <w:top w:val="double" w:sz="6" w:space="1" w:color="000000"/>
              </w:pBdr>
              <w:bidi w:val="0"/>
              <w:spacing w:before="0" w:after="0"/>
              <w:jc w:val="left"/>
              <w:rPr/>
            </w:pPr>
            <w:r>
              <w:rPr/>
              <w:t> </w:t>
            </w:r>
          </w:p>
        </w:tc>
        <w:tc>
          <w:tcPr>
            <w:tcW w:w="871"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pBdr>
                <w:top w:val="double" w:sz="6" w:space="1" w:color="000000"/>
              </w:pBdr>
              <w:bidi w:val="0"/>
              <w:spacing w:before="0" w:after="0"/>
              <w:jc w:val="left"/>
              <w:rPr/>
            </w:pPr>
            <w:r>
              <w:rPr/>
              <w:t> </w:t>
            </w:r>
          </w:p>
        </w:tc>
        <w:tc>
          <w:tcPr>
            <w:tcW w:w="871"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pBdr>
                <w:top w:val="double" w:sz="6" w:space="1" w:color="000000"/>
              </w:pBdr>
              <w:bidi w:val="0"/>
              <w:spacing w:before="0" w:after="0"/>
              <w:jc w:val="left"/>
              <w:rPr/>
            </w:pPr>
            <w:r>
              <w:rPr/>
              <w:t> </w:t>
            </w:r>
          </w:p>
        </w:tc>
        <w:tc>
          <w:tcPr>
            <w:tcW w:w="871"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283"/>
              <w:jc w:val="left"/>
              <w:rPr>
                <w:sz w:val="4"/>
                <w:szCs w:val="4"/>
              </w:rPr>
            </w:pPr>
            <w:r>
              <w:rPr>
                <w:sz w:val="4"/>
                <w:szCs w:val="4"/>
              </w:rPr>
            </w:r>
          </w:p>
        </w:tc>
        <w:tc>
          <w:tcPr>
            <w:tcW w:w="1521" w:type="dxa"/>
            <w:gridSpan w:val="5"/>
            <w:tcBorders/>
            <w:vAlign w:val="center"/>
          </w:tcPr>
          <w:p>
            <w:pPr>
              <w:pStyle w:val="TableContents"/>
              <w:bidi w:val="0"/>
              <w:spacing w:before="0" w:after="283"/>
              <w:jc w:val="left"/>
              <w:rPr>
                <w:sz w:val="4"/>
                <w:szCs w:val="4"/>
              </w:rPr>
            </w:pPr>
            <w:r>
              <w:rPr>
                <w:sz w:val="4"/>
                <w:szCs w:val="4"/>
              </w:rPr>
            </w:r>
          </w:p>
        </w:tc>
        <w:tc>
          <w:tcPr>
            <w:tcW w:w="1461" w:type="dxa"/>
            <w:gridSpan w:val="5"/>
            <w:tcBorders/>
            <w:vAlign w:val="center"/>
          </w:tcPr>
          <w:p>
            <w:pPr>
              <w:pStyle w:val="TableContents"/>
              <w:bidi w:val="0"/>
              <w:spacing w:before="0" w:after="283"/>
              <w:jc w:val="left"/>
              <w:rPr>
                <w:sz w:val="4"/>
                <w:szCs w:val="4"/>
              </w:rPr>
            </w:pPr>
            <w:r>
              <w:rPr>
                <w:sz w:val="4"/>
                <w:szCs w:val="4"/>
              </w:rPr>
            </w:r>
          </w:p>
        </w:tc>
        <w:tc>
          <w:tcPr>
            <w:tcW w:w="1461" w:type="dxa"/>
            <w:gridSpan w:val="5"/>
            <w:tcBorders/>
            <w:vAlign w:val="center"/>
          </w:tcPr>
          <w:p>
            <w:pPr>
              <w:pStyle w:val="TableContents"/>
              <w:bidi w:val="0"/>
              <w:spacing w:before="0" w:after="283"/>
              <w:jc w:val="left"/>
              <w:rPr>
                <w:sz w:val="4"/>
                <w:szCs w:val="4"/>
              </w:rPr>
            </w:pPr>
            <w:r>
              <w:rPr>
                <w:sz w:val="4"/>
                <w:szCs w:val="4"/>
              </w:rPr>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0"/>
              <w:jc w:val="left"/>
              <w:rPr>
                <w:rFonts w:ascii="arial" w:hAnsi="arial"/>
                <w:b/>
                <w:sz w:val="18"/>
              </w:rPr>
            </w:pPr>
            <w:r>
              <w:rPr>
                <w:rFonts w:ascii="arial" w:hAnsi="arial"/>
                <w:b/>
                <w:sz w:val="18"/>
              </w:rPr>
              <w:t>GAAP operating expenses</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871" w:type="dxa"/>
            <w:tcBorders/>
            <w:vAlign w:val="center"/>
          </w:tcPr>
          <w:p>
            <w:pPr>
              <w:pStyle w:val="TableContents"/>
              <w:bidi w:val="0"/>
              <w:spacing w:before="0" w:after="283"/>
              <w:jc w:val="right"/>
              <w:rPr/>
            </w:pPr>
            <w:r>
              <w:rPr/>
              <w:t>20,293</w:t>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871" w:type="dxa"/>
            <w:tcBorders/>
            <w:vAlign w:val="center"/>
          </w:tcPr>
          <w:p>
            <w:pPr>
              <w:pStyle w:val="TableContents"/>
              <w:bidi w:val="0"/>
              <w:spacing w:before="0" w:after="283"/>
              <w:jc w:val="right"/>
              <w:rPr/>
            </w:pPr>
            <w:r>
              <w:rPr/>
              <w:t>16,757</w:t>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871" w:type="dxa"/>
            <w:tcBorders/>
            <w:vAlign w:val="center"/>
          </w:tcPr>
          <w:p>
            <w:pPr>
              <w:pStyle w:val="TableContents"/>
              <w:bidi w:val="0"/>
              <w:spacing w:before="0" w:after="283"/>
              <w:jc w:val="right"/>
              <w:rPr/>
            </w:pPr>
            <w:r>
              <w:rPr/>
              <w:t>18,340</w:t>
            </w:r>
          </w:p>
        </w:tc>
        <w:tc>
          <w:tcPr>
            <w:tcW w:w="275" w:type="dxa"/>
            <w:tcBorders/>
            <w:vAlign w:val="center"/>
          </w:tcPr>
          <w:p>
            <w:pPr>
              <w:pStyle w:val="TableContents"/>
              <w:bidi w:val="0"/>
              <w:spacing w:before="0" w:after="283"/>
              <w:jc w:val="left"/>
              <w:rPr>
                <w:sz w:val="4"/>
                <w:szCs w:val="4"/>
              </w:rPr>
            </w:pPr>
            <w:r>
              <w:rPr>
                <w:sz w:val="4"/>
                <w:szCs w:val="4"/>
              </w:rPr>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0"/>
              <w:jc w:val="left"/>
              <w:rPr>
                <w:rFonts w:ascii="arial" w:hAnsi="arial"/>
                <w:b/>
                <w:sz w:val="18"/>
              </w:rPr>
            </w:pPr>
            <w:r>
              <w:rPr>
                <w:rFonts w:ascii="arial" w:hAnsi="arial"/>
                <w:b/>
                <w:sz w:val="18"/>
              </w:rPr>
              <w:t>Adjustments to operating expenses:</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0"/>
              <w:jc w:val="left"/>
              <w:rPr>
                <w:rFonts w:ascii="arial" w:hAnsi="arial"/>
                <w:sz w:val="18"/>
              </w:rPr>
            </w:pPr>
            <w:r>
              <w:rPr>
                <w:rFonts w:ascii="arial" w:hAnsi="arial"/>
                <w:sz w:val="18"/>
              </w:rPr>
              <w:t>Adjustments to cost of sales</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(3,878</w:t>
            </w:r>
          </w:p>
        </w:tc>
        <w:tc>
          <w:tcPr>
            <w:tcW w:w="27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(2,455</w:t>
            </w:r>
          </w:p>
        </w:tc>
        <w:tc>
          <w:tcPr>
            <w:tcW w:w="27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(2,460</w:t>
            </w:r>
          </w:p>
        </w:tc>
        <w:tc>
          <w:tcPr>
            <w:tcW w:w="275" w:type="dxa"/>
            <w:tcBorders/>
            <w:vAlign w:val="center"/>
          </w:tcPr>
          <w:p>
            <w:pPr>
              <w:pStyle w:val="TableContents"/>
              <w:bidi w:val="0"/>
              <w:spacing w:before="0" w:after="283"/>
              <w:jc w:val="left"/>
              <w:rPr/>
            </w:pPr>
            <w:r>
              <w:rPr/>
              <w:t>)</w:t>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0"/>
              <w:jc w:val="left"/>
              <w:rPr>
                <w:rFonts w:ascii="arial" w:hAnsi="arial"/>
                <w:sz w:val="18"/>
              </w:rPr>
            </w:pPr>
            <w:r>
              <w:rPr>
                <w:rFonts w:ascii="arial" w:hAnsi="arial"/>
                <w:sz w:val="18"/>
              </w:rPr>
              <w:t xml:space="preserve">Adjustments to research and development expenses </w:t>
            </w:r>
            <w:r>
              <w:rPr>
                <w:rFonts w:ascii="arial" w:hAnsi="arial"/>
                <w:b/>
                <w:sz w:val="18"/>
              </w:rPr>
              <w:t>(b)</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(84</w:t>
            </w:r>
          </w:p>
        </w:tc>
        <w:tc>
          <w:tcPr>
            <w:tcW w:w="27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(93</w:t>
            </w:r>
          </w:p>
        </w:tc>
        <w:tc>
          <w:tcPr>
            <w:tcW w:w="27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(523</w:t>
            </w:r>
          </w:p>
        </w:tc>
        <w:tc>
          <w:tcPr>
            <w:tcW w:w="275" w:type="dxa"/>
            <w:tcBorders/>
            <w:vAlign w:val="center"/>
          </w:tcPr>
          <w:p>
            <w:pPr>
              <w:pStyle w:val="TableContents"/>
              <w:bidi w:val="0"/>
              <w:spacing w:before="0" w:after="283"/>
              <w:jc w:val="left"/>
              <w:rPr/>
            </w:pPr>
            <w:r>
              <w:rPr/>
              <w:t>)</w:t>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0"/>
              <w:jc w:val="left"/>
              <w:rPr>
                <w:rFonts w:ascii="arial" w:hAnsi="arial"/>
                <w:sz w:val="18"/>
              </w:rPr>
            </w:pPr>
            <w:r>
              <w:rPr>
                <w:rFonts w:ascii="arial" w:hAnsi="arial"/>
                <w:sz w:val="18"/>
              </w:rPr>
              <w:t xml:space="preserve">Adjustments to acquired IPR&amp;D </w:t>
            </w:r>
            <w:r>
              <w:rPr>
                <w:rFonts w:ascii="arial" w:hAnsi="arial"/>
                <w:b/>
                <w:sz w:val="18"/>
              </w:rPr>
              <w:t>(b)</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(1,505</w:t>
            </w:r>
          </w:p>
        </w:tc>
        <w:tc>
          <w:tcPr>
            <w:tcW w:w="275" w:type="dxa"/>
            <w:tcBorders/>
            <w:vAlign w:val="center"/>
          </w:tcPr>
          <w:p>
            <w:pPr>
              <w:pStyle w:val="TableContents"/>
              <w:bidi w:val="0"/>
              <w:spacing w:before="0" w:after="283"/>
              <w:jc w:val="left"/>
              <w:rPr/>
            </w:pPr>
            <w:r>
              <w:rPr/>
              <w:t>)</w:t>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0"/>
              <w:jc w:val="left"/>
              <w:rPr>
                <w:rFonts w:ascii="arial" w:hAnsi="arial"/>
                <w:sz w:val="18"/>
              </w:rPr>
            </w:pPr>
            <w:r>
              <w:rPr>
                <w:rFonts w:ascii="arial" w:hAnsi="arial"/>
                <w:sz w:val="18"/>
              </w:rPr>
              <w:t>Adjustments to selling, general and administrative expenses</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(661</w:t>
            </w:r>
          </w:p>
        </w:tc>
        <w:tc>
          <w:tcPr>
            <w:tcW w:w="27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(144</w:t>
            </w:r>
          </w:p>
        </w:tc>
        <w:tc>
          <w:tcPr>
            <w:tcW w:w="27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(103</w:t>
            </w:r>
          </w:p>
        </w:tc>
        <w:tc>
          <w:tcPr>
            <w:tcW w:w="275" w:type="dxa"/>
            <w:tcBorders/>
            <w:vAlign w:val="center"/>
          </w:tcPr>
          <w:p>
            <w:pPr>
              <w:pStyle w:val="TableContents"/>
              <w:bidi w:val="0"/>
              <w:spacing w:before="0" w:after="283"/>
              <w:jc w:val="left"/>
              <w:rPr/>
            </w:pPr>
            <w:r>
              <w:rPr/>
              <w:t>)</w:t>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0"/>
              <w:jc w:val="left"/>
              <w:rPr>
                <w:rFonts w:ascii="arial" w:hAnsi="arial"/>
                <w:sz w:val="18"/>
              </w:rPr>
            </w:pPr>
            <w:r>
              <w:rPr>
                <w:rFonts w:ascii="arial" w:hAnsi="arial"/>
                <w:sz w:val="18"/>
              </w:rPr>
              <w:t>Certain net charges pursuant to our restructuring and cost savings initiatives</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(185</w:t>
            </w:r>
          </w:p>
        </w:tc>
        <w:tc>
          <w:tcPr>
            <w:tcW w:w="27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8</w:t>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(130</w:t>
            </w:r>
          </w:p>
        </w:tc>
        <w:tc>
          <w:tcPr>
            <w:tcW w:w="275" w:type="dxa"/>
            <w:tcBorders/>
            <w:vAlign w:val="center"/>
          </w:tcPr>
          <w:p>
            <w:pPr>
              <w:pStyle w:val="TableContents"/>
              <w:bidi w:val="0"/>
              <w:spacing w:before="0" w:after="283"/>
              <w:jc w:val="left"/>
              <w:rPr/>
            </w:pPr>
            <w:r>
              <w:rPr/>
              <w:t>)</w:t>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0"/>
              <w:jc w:val="left"/>
              <w:rPr>
                <w:rFonts w:ascii="arial" w:hAnsi="arial"/>
                <w:sz w:val="18"/>
              </w:rPr>
            </w:pPr>
            <w:r>
              <w:rPr>
                <w:rFonts w:ascii="arial" w:hAnsi="arial"/>
                <w:sz w:val="18"/>
              </w:rPr>
              <w:t xml:space="preserve">Certain other expenses </w:t>
            </w:r>
            <w:r>
              <w:rPr>
                <w:rFonts w:ascii="arial" w:hAnsi="arial"/>
                <w:b/>
                <w:sz w:val="18"/>
              </w:rPr>
              <w:t>(d)</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(694</w:t>
            </w:r>
          </w:p>
        </w:tc>
        <w:tc>
          <w:tcPr>
            <w:tcW w:w="27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(511</w:t>
            </w:r>
          </w:p>
        </w:tc>
        <w:tc>
          <w:tcPr>
            <w:tcW w:w="27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(64</w:t>
            </w:r>
          </w:p>
        </w:tc>
        <w:tc>
          <w:tcPr>
            <w:tcW w:w="275" w:type="dxa"/>
            <w:tcBorders/>
            <w:vAlign w:val="center"/>
          </w:tcPr>
          <w:p>
            <w:pPr>
              <w:pStyle w:val="TableContents"/>
              <w:bidi w:val="0"/>
              <w:spacing w:before="0" w:after="283"/>
              <w:jc w:val="left"/>
              <w:rPr/>
            </w:pPr>
            <w:r>
              <w:rPr/>
              <w:t>)</w:t>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pBdr>
                <w:top w:val="single" w:sz="2" w:space="1" w:color="000000"/>
              </w:pBdr>
              <w:bidi w:val="0"/>
              <w:spacing w:before="0" w:after="0"/>
              <w:jc w:val="left"/>
              <w:rPr/>
            </w:pPr>
            <w:r>
              <w:rPr/>
              <w:t> </w:t>
            </w:r>
          </w:p>
        </w:tc>
        <w:tc>
          <w:tcPr>
            <w:tcW w:w="871"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pBdr>
                <w:top w:val="single" w:sz="2" w:space="1" w:color="000000"/>
              </w:pBdr>
              <w:bidi w:val="0"/>
              <w:spacing w:before="0" w:after="0"/>
              <w:jc w:val="left"/>
              <w:rPr/>
            </w:pPr>
            <w:r>
              <w:rPr/>
              <w:t> </w:t>
            </w:r>
          </w:p>
        </w:tc>
        <w:tc>
          <w:tcPr>
            <w:tcW w:w="871"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pBdr>
                <w:top w:val="single" w:sz="2" w:space="1" w:color="000000"/>
              </w:pBdr>
              <w:bidi w:val="0"/>
              <w:spacing w:before="0" w:after="0"/>
              <w:jc w:val="left"/>
              <w:rPr/>
            </w:pPr>
            <w:r>
              <w:rPr/>
              <w:t> </w:t>
            </w:r>
          </w:p>
        </w:tc>
        <w:tc>
          <w:tcPr>
            <w:tcW w:w="871"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0"/>
              <w:jc w:val="left"/>
              <w:rPr>
                <w:rFonts w:ascii="arial" w:hAnsi="arial"/>
                <w:b/>
                <w:sz w:val="18"/>
              </w:rPr>
            </w:pPr>
            <w:r>
              <w:rPr>
                <w:rFonts w:ascii="arial" w:hAnsi="arial"/>
                <w:b/>
                <w:sz w:val="18"/>
              </w:rPr>
              <w:t>Total adjustments to operating expenses</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(5,502</w:t>
            </w:r>
          </w:p>
        </w:tc>
        <w:tc>
          <w:tcPr>
            <w:tcW w:w="27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(3,195</w:t>
            </w:r>
          </w:p>
        </w:tc>
        <w:tc>
          <w:tcPr>
            <w:tcW w:w="27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(4,785</w:t>
            </w:r>
          </w:p>
        </w:tc>
        <w:tc>
          <w:tcPr>
            <w:tcW w:w="275" w:type="dxa"/>
            <w:tcBorders/>
            <w:vAlign w:val="center"/>
          </w:tcPr>
          <w:p>
            <w:pPr>
              <w:pStyle w:val="TableContents"/>
              <w:bidi w:val="0"/>
              <w:spacing w:before="0" w:after="283"/>
              <w:jc w:val="left"/>
              <w:rPr/>
            </w:pPr>
            <w:r>
              <w:rPr/>
              <w:t>)</w:t>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pBdr>
                <w:top w:val="single" w:sz="2" w:space="1" w:color="000000"/>
              </w:pBdr>
              <w:bidi w:val="0"/>
              <w:spacing w:before="0" w:after="0"/>
              <w:jc w:val="left"/>
              <w:rPr/>
            </w:pPr>
            <w:r>
              <w:rPr/>
              <w:t> </w:t>
            </w:r>
          </w:p>
        </w:tc>
        <w:tc>
          <w:tcPr>
            <w:tcW w:w="871"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pBdr>
                <w:top w:val="single" w:sz="2" w:space="1" w:color="000000"/>
              </w:pBdr>
              <w:bidi w:val="0"/>
              <w:spacing w:before="0" w:after="0"/>
              <w:jc w:val="left"/>
              <w:rPr/>
            </w:pPr>
            <w:r>
              <w:rPr/>
              <w:t> </w:t>
            </w:r>
          </w:p>
        </w:tc>
        <w:tc>
          <w:tcPr>
            <w:tcW w:w="871"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pBdr>
                <w:top w:val="single" w:sz="2" w:space="1" w:color="000000"/>
              </w:pBdr>
              <w:bidi w:val="0"/>
              <w:spacing w:before="0" w:after="0"/>
              <w:jc w:val="left"/>
              <w:rPr/>
            </w:pPr>
            <w:r>
              <w:rPr/>
              <w:t> </w:t>
            </w:r>
          </w:p>
        </w:tc>
        <w:tc>
          <w:tcPr>
            <w:tcW w:w="871"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0"/>
              <w:jc w:val="left"/>
              <w:rPr>
                <w:rFonts w:ascii="arial" w:hAnsi="arial"/>
                <w:b/>
                <w:sz w:val="18"/>
              </w:rPr>
            </w:pPr>
            <w:r>
              <w:rPr>
                <w:rFonts w:ascii="arial" w:hAnsi="arial"/>
                <w:b/>
                <w:sz w:val="18"/>
              </w:rPr>
              <w:t>Non-GAAP operating expenses</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871" w:type="dxa"/>
            <w:tcBorders/>
            <w:vAlign w:val="center"/>
          </w:tcPr>
          <w:p>
            <w:pPr>
              <w:pStyle w:val="TableContents"/>
              <w:bidi w:val="0"/>
              <w:spacing w:before="0" w:after="283"/>
              <w:jc w:val="right"/>
              <w:rPr/>
            </w:pPr>
            <w:r>
              <w:rPr/>
              <w:t>14,791</w:t>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871" w:type="dxa"/>
            <w:tcBorders/>
            <w:vAlign w:val="center"/>
          </w:tcPr>
          <w:p>
            <w:pPr>
              <w:pStyle w:val="TableContents"/>
              <w:bidi w:val="0"/>
              <w:spacing w:before="0" w:after="283"/>
              <w:jc w:val="right"/>
              <w:rPr/>
            </w:pPr>
            <w:r>
              <w:rPr/>
              <w:t>13,562</w:t>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871" w:type="dxa"/>
            <w:tcBorders/>
            <w:vAlign w:val="center"/>
          </w:tcPr>
          <w:p>
            <w:pPr>
              <w:pStyle w:val="TableContents"/>
              <w:bidi w:val="0"/>
              <w:spacing w:before="0" w:after="283"/>
              <w:jc w:val="right"/>
              <w:rPr/>
            </w:pPr>
            <w:r>
              <w:rPr/>
              <w:t>13,555</w:t>
            </w:r>
          </w:p>
        </w:tc>
        <w:tc>
          <w:tcPr>
            <w:tcW w:w="275" w:type="dxa"/>
            <w:tcBorders/>
            <w:vAlign w:val="center"/>
          </w:tcPr>
          <w:p>
            <w:pPr>
              <w:pStyle w:val="TableContents"/>
              <w:bidi w:val="0"/>
              <w:spacing w:before="0" w:after="283"/>
              <w:jc w:val="left"/>
              <w:rPr>
                <w:sz w:val="4"/>
                <w:szCs w:val="4"/>
              </w:rPr>
            </w:pPr>
            <w:r>
              <w:rPr>
                <w:sz w:val="4"/>
                <w:szCs w:val="4"/>
              </w:rPr>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pBdr>
                <w:top w:val="double" w:sz="6" w:space="1" w:color="000000"/>
              </w:pBdr>
              <w:bidi w:val="0"/>
              <w:spacing w:before="0" w:after="0"/>
              <w:jc w:val="left"/>
              <w:rPr/>
            </w:pPr>
            <w:r>
              <w:rPr/>
              <w:t> </w:t>
            </w:r>
          </w:p>
        </w:tc>
        <w:tc>
          <w:tcPr>
            <w:tcW w:w="871"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pBdr>
                <w:top w:val="double" w:sz="6" w:space="1" w:color="000000"/>
              </w:pBdr>
              <w:bidi w:val="0"/>
              <w:spacing w:before="0" w:after="0"/>
              <w:jc w:val="left"/>
              <w:rPr/>
            </w:pPr>
            <w:r>
              <w:rPr/>
              <w:t> </w:t>
            </w:r>
          </w:p>
        </w:tc>
        <w:tc>
          <w:tcPr>
            <w:tcW w:w="871"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pBdr>
                <w:top w:val="double" w:sz="6" w:space="1" w:color="000000"/>
              </w:pBdr>
              <w:bidi w:val="0"/>
              <w:spacing w:before="0" w:after="0"/>
              <w:jc w:val="left"/>
              <w:rPr/>
            </w:pPr>
            <w:r>
              <w:rPr/>
              <w:t> </w:t>
            </w:r>
          </w:p>
        </w:tc>
        <w:tc>
          <w:tcPr>
            <w:tcW w:w="871"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283"/>
              <w:jc w:val="left"/>
              <w:rPr>
                <w:sz w:val="4"/>
                <w:szCs w:val="4"/>
              </w:rPr>
            </w:pPr>
            <w:r>
              <w:rPr>
                <w:sz w:val="4"/>
                <w:szCs w:val="4"/>
              </w:rPr>
            </w:r>
          </w:p>
        </w:tc>
        <w:tc>
          <w:tcPr>
            <w:tcW w:w="1521" w:type="dxa"/>
            <w:gridSpan w:val="5"/>
            <w:tcBorders/>
            <w:vAlign w:val="center"/>
          </w:tcPr>
          <w:p>
            <w:pPr>
              <w:pStyle w:val="TableContents"/>
              <w:bidi w:val="0"/>
              <w:spacing w:before="0" w:after="283"/>
              <w:jc w:val="left"/>
              <w:rPr>
                <w:sz w:val="4"/>
                <w:szCs w:val="4"/>
              </w:rPr>
            </w:pPr>
            <w:r>
              <w:rPr>
                <w:sz w:val="4"/>
                <w:szCs w:val="4"/>
              </w:rPr>
            </w:r>
          </w:p>
        </w:tc>
        <w:tc>
          <w:tcPr>
            <w:tcW w:w="1461" w:type="dxa"/>
            <w:gridSpan w:val="5"/>
            <w:tcBorders/>
            <w:vAlign w:val="center"/>
          </w:tcPr>
          <w:p>
            <w:pPr>
              <w:pStyle w:val="TableContents"/>
              <w:bidi w:val="0"/>
              <w:spacing w:before="0" w:after="283"/>
              <w:jc w:val="left"/>
              <w:rPr>
                <w:sz w:val="4"/>
                <w:szCs w:val="4"/>
              </w:rPr>
            </w:pPr>
            <w:r>
              <w:rPr>
                <w:sz w:val="4"/>
                <w:szCs w:val="4"/>
              </w:rPr>
            </w:r>
          </w:p>
        </w:tc>
        <w:tc>
          <w:tcPr>
            <w:tcW w:w="1461" w:type="dxa"/>
            <w:gridSpan w:val="5"/>
            <w:tcBorders/>
            <w:vAlign w:val="center"/>
          </w:tcPr>
          <w:p>
            <w:pPr>
              <w:pStyle w:val="TableContents"/>
              <w:bidi w:val="0"/>
              <w:spacing w:before="0" w:after="283"/>
              <w:jc w:val="left"/>
              <w:rPr>
                <w:sz w:val="4"/>
                <w:szCs w:val="4"/>
              </w:rPr>
            </w:pPr>
            <w:r>
              <w:rPr>
                <w:sz w:val="4"/>
                <w:szCs w:val="4"/>
              </w:rPr>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0"/>
              <w:jc w:val="left"/>
              <w:rPr>
                <w:rFonts w:ascii="arial" w:hAnsi="arial"/>
                <w:b/>
                <w:sz w:val="18"/>
              </w:rPr>
            </w:pPr>
            <w:r>
              <w:rPr>
                <w:rFonts w:ascii="arial" w:hAnsi="arial"/>
                <w:b/>
                <w:sz w:val="18"/>
              </w:rPr>
              <w:t>GAAP operating income</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871" w:type="dxa"/>
            <w:tcBorders/>
            <w:vAlign w:val="center"/>
          </w:tcPr>
          <w:p>
            <w:pPr>
              <w:pStyle w:val="TableContents"/>
              <w:bidi w:val="0"/>
              <w:spacing w:before="0" w:after="283"/>
              <w:jc w:val="right"/>
              <w:rPr/>
            </w:pPr>
            <w:r>
              <w:rPr/>
              <w:t>7,897</w:t>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871" w:type="dxa"/>
            <w:tcBorders/>
            <w:vAlign w:val="center"/>
          </w:tcPr>
          <w:p>
            <w:pPr>
              <w:pStyle w:val="TableContents"/>
              <w:bidi w:val="0"/>
              <w:spacing w:before="0" w:after="283"/>
              <w:jc w:val="right"/>
              <w:rPr/>
            </w:pPr>
            <w:r>
              <w:rPr/>
              <w:t>9,566</w:t>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871" w:type="dxa"/>
            <w:tcBorders/>
            <w:vAlign w:val="center"/>
          </w:tcPr>
          <w:p>
            <w:pPr>
              <w:pStyle w:val="TableContents"/>
              <w:bidi w:val="0"/>
              <w:spacing w:before="0" w:after="283"/>
              <w:jc w:val="right"/>
              <w:rPr/>
            </w:pPr>
            <w:r>
              <w:rPr/>
              <w:t>7,639</w:t>
            </w:r>
          </w:p>
        </w:tc>
        <w:tc>
          <w:tcPr>
            <w:tcW w:w="275" w:type="dxa"/>
            <w:tcBorders/>
            <w:vAlign w:val="center"/>
          </w:tcPr>
          <w:p>
            <w:pPr>
              <w:pStyle w:val="TableContents"/>
              <w:bidi w:val="0"/>
              <w:spacing w:before="0" w:after="283"/>
              <w:jc w:val="left"/>
              <w:rPr>
                <w:sz w:val="4"/>
                <w:szCs w:val="4"/>
              </w:rPr>
            </w:pPr>
            <w:r>
              <w:rPr>
                <w:sz w:val="4"/>
                <w:szCs w:val="4"/>
              </w:rPr>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0"/>
              <w:jc w:val="left"/>
              <w:rPr>
                <w:rFonts w:ascii="arial" w:hAnsi="arial"/>
                <w:sz w:val="18"/>
              </w:rPr>
            </w:pPr>
            <w:r>
              <w:rPr>
                <w:rFonts w:ascii="arial" w:hAnsi="arial"/>
                <w:sz w:val="18"/>
              </w:rPr>
              <w:t>Adjustments to operating expenses</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5,502</w:t>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3,195</w:t>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4,785</w:t>
            </w:r>
          </w:p>
        </w:tc>
        <w:tc>
          <w:tcPr>
            <w:tcW w:w="275" w:type="dxa"/>
            <w:tcBorders/>
            <w:vAlign w:val="center"/>
          </w:tcPr>
          <w:p>
            <w:pPr>
              <w:pStyle w:val="TableContents"/>
              <w:bidi w:val="0"/>
              <w:spacing w:before="0" w:after="283"/>
              <w:jc w:val="left"/>
              <w:rPr>
                <w:sz w:val="4"/>
                <w:szCs w:val="4"/>
              </w:rPr>
            </w:pPr>
            <w:r>
              <w:rPr>
                <w:sz w:val="4"/>
                <w:szCs w:val="4"/>
              </w:rPr>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pBdr>
                <w:top w:val="single" w:sz="2" w:space="1" w:color="000000"/>
              </w:pBdr>
              <w:bidi w:val="0"/>
              <w:spacing w:before="0" w:after="0"/>
              <w:jc w:val="left"/>
              <w:rPr/>
            </w:pPr>
            <w:r>
              <w:rPr/>
              <w:t> </w:t>
            </w:r>
          </w:p>
        </w:tc>
        <w:tc>
          <w:tcPr>
            <w:tcW w:w="871"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pBdr>
                <w:top w:val="single" w:sz="2" w:space="1" w:color="000000"/>
              </w:pBdr>
              <w:bidi w:val="0"/>
              <w:spacing w:before="0" w:after="0"/>
              <w:jc w:val="left"/>
              <w:rPr/>
            </w:pPr>
            <w:r>
              <w:rPr/>
              <w:t> </w:t>
            </w:r>
          </w:p>
        </w:tc>
        <w:tc>
          <w:tcPr>
            <w:tcW w:w="871"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pBdr>
                <w:top w:val="single" w:sz="2" w:space="1" w:color="000000"/>
              </w:pBdr>
              <w:bidi w:val="0"/>
              <w:spacing w:before="0" w:after="0"/>
              <w:jc w:val="left"/>
              <w:rPr/>
            </w:pPr>
            <w:r>
              <w:rPr/>
              <w:t> </w:t>
            </w:r>
          </w:p>
        </w:tc>
        <w:tc>
          <w:tcPr>
            <w:tcW w:w="871"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0"/>
              <w:jc w:val="left"/>
              <w:rPr>
                <w:rFonts w:ascii="arial" w:hAnsi="arial"/>
                <w:b/>
                <w:sz w:val="18"/>
              </w:rPr>
            </w:pPr>
            <w:r>
              <w:rPr>
                <w:rFonts w:ascii="arial" w:hAnsi="arial"/>
                <w:b/>
                <w:sz w:val="18"/>
              </w:rPr>
              <w:t>Non-GAAP operating income</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871" w:type="dxa"/>
            <w:tcBorders/>
            <w:vAlign w:val="center"/>
          </w:tcPr>
          <w:p>
            <w:pPr>
              <w:pStyle w:val="TableContents"/>
              <w:bidi w:val="0"/>
              <w:spacing w:before="0" w:after="283"/>
              <w:jc w:val="right"/>
              <w:rPr/>
            </w:pPr>
            <w:r>
              <w:rPr/>
              <w:t>13,399</w:t>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871" w:type="dxa"/>
            <w:tcBorders/>
            <w:vAlign w:val="center"/>
          </w:tcPr>
          <w:p>
            <w:pPr>
              <w:pStyle w:val="TableContents"/>
              <w:bidi w:val="0"/>
              <w:spacing w:before="0" w:after="283"/>
              <w:jc w:val="right"/>
              <w:rPr/>
            </w:pPr>
            <w:r>
              <w:rPr/>
              <w:t>12,761</w:t>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871" w:type="dxa"/>
            <w:tcBorders/>
            <w:vAlign w:val="center"/>
          </w:tcPr>
          <w:p>
            <w:pPr>
              <w:pStyle w:val="TableContents"/>
              <w:bidi w:val="0"/>
              <w:spacing w:before="0" w:after="283"/>
              <w:jc w:val="right"/>
              <w:rPr/>
            </w:pPr>
            <w:r>
              <w:rPr/>
              <w:t>12,424</w:t>
            </w:r>
          </w:p>
        </w:tc>
        <w:tc>
          <w:tcPr>
            <w:tcW w:w="275" w:type="dxa"/>
            <w:tcBorders/>
            <w:vAlign w:val="center"/>
          </w:tcPr>
          <w:p>
            <w:pPr>
              <w:pStyle w:val="TableContents"/>
              <w:bidi w:val="0"/>
              <w:spacing w:before="0" w:after="283"/>
              <w:jc w:val="left"/>
              <w:rPr>
                <w:sz w:val="4"/>
                <w:szCs w:val="4"/>
              </w:rPr>
            </w:pPr>
            <w:r>
              <w:rPr>
                <w:sz w:val="4"/>
                <w:szCs w:val="4"/>
              </w:rPr>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pBdr>
                <w:top w:val="double" w:sz="6" w:space="1" w:color="000000"/>
              </w:pBdr>
              <w:bidi w:val="0"/>
              <w:spacing w:before="0" w:after="0"/>
              <w:jc w:val="left"/>
              <w:rPr/>
            </w:pPr>
            <w:r>
              <w:rPr/>
              <w:t> </w:t>
            </w:r>
          </w:p>
        </w:tc>
        <w:tc>
          <w:tcPr>
            <w:tcW w:w="871"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pBdr>
                <w:top w:val="double" w:sz="6" w:space="1" w:color="000000"/>
              </w:pBdr>
              <w:bidi w:val="0"/>
              <w:spacing w:before="0" w:after="0"/>
              <w:jc w:val="left"/>
              <w:rPr/>
            </w:pPr>
            <w:r>
              <w:rPr/>
              <w:t> </w:t>
            </w:r>
          </w:p>
        </w:tc>
        <w:tc>
          <w:tcPr>
            <w:tcW w:w="871"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pBdr>
                <w:top w:val="double" w:sz="6" w:space="1" w:color="000000"/>
              </w:pBdr>
              <w:bidi w:val="0"/>
              <w:spacing w:before="0" w:after="0"/>
              <w:jc w:val="left"/>
              <w:rPr/>
            </w:pPr>
            <w:r>
              <w:rPr/>
              <w:t> </w:t>
            </w:r>
          </w:p>
        </w:tc>
        <w:tc>
          <w:tcPr>
            <w:tcW w:w="871"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283"/>
              <w:jc w:val="left"/>
              <w:rPr>
                <w:sz w:val="4"/>
                <w:szCs w:val="4"/>
              </w:rPr>
            </w:pPr>
            <w:r>
              <w:rPr>
                <w:sz w:val="4"/>
                <w:szCs w:val="4"/>
              </w:rPr>
            </w:r>
          </w:p>
        </w:tc>
        <w:tc>
          <w:tcPr>
            <w:tcW w:w="1521" w:type="dxa"/>
            <w:gridSpan w:val="5"/>
            <w:tcBorders/>
            <w:vAlign w:val="center"/>
          </w:tcPr>
          <w:p>
            <w:pPr>
              <w:pStyle w:val="TableContents"/>
              <w:bidi w:val="0"/>
              <w:spacing w:before="0" w:after="283"/>
              <w:jc w:val="left"/>
              <w:rPr>
                <w:sz w:val="4"/>
                <w:szCs w:val="4"/>
              </w:rPr>
            </w:pPr>
            <w:r>
              <w:rPr>
                <w:sz w:val="4"/>
                <w:szCs w:val="4"/>
              </w:rPr>
            </w:r>
          </w:p>
        </w:tc>
        <w:tc>
          <w:tcPr>
            <w:tcW w:w="1461" w:type="dxa"/>
            <w:gridSpan w:val="5"/>
            <w:tcBorders/>
            <w:vAlign w:val="center"/>
          </w:tcPr>
          <w:p>
            <w:pPr>
              <w:pStyle w:val="TableContents"/>
              <w:bidi w:val="0"/>
              <w:spacing w:before="0" w:after="283"/>
              <w:jc w:val="left"/>
              <w:rPr>
                <w:sz w:val="4"/>
                <w:szCs w:val="4"/>
              </w:rPr>
            </w:pPr>
            <w:r>
              <w:rPr>
                <w:sz w:val="4"/>
                <w:szCs w:val="4"/>
              </w:rPr>
            </w:r>
          </w:p>
        </w:tc>
        <w:tc>
          <w:tcPr>
            <w:tcW w:w="1461" w:type="dxa"/>
            <w:gridSpan w:val="5"/>
            <w:tcBorders/>
            <w:vAlign w:val="center"/>
          </w:tcPr>
          <w:p>
            <w:pPr>
              <w:pStyle w:val="TableContents"/>
              <w:bidi w:val="0"/>
              <w:spacing w:before="0" w:after="283"/>
              <w:jc w:val="left"/>
              <w:rPr>
                <w:sz w:val="4"/>
                <w:szCs w:val="4"/>
              </w:rPr>
            </w:pPr>
            <w:r>
              <w:rPr>
                <w:sz w:val="4"/>
                <w:szCs w:val="4"/>
              </w:rPr>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0"/>
              <w:jc w:val="left"/>
              <w:rPr>
                <w:rFonts w:ascii="arial" w:hAnsi="arial"/>
                <w:b/>
                <w:sz w:val="18"/>
              </w:rPr>
            </w:pPr>
            <w:r>
              <w:rPr>
                <w:rFonts w:ascii="arial" w:hAnsi="arial"/>
                <w:b/>
                <w:sz w:val="18"/>
              </w:rPr>
              <w:t>GAAP operating income as a percentage of product sales</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29.3</w:t>
            </w:r>
          </w:p>
        </w:tc>
        <w:tc>
          <w:tcPr>
            <w:tcW w:w="27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38.6</w:t>
            </w:r>
          </w:p>
        </w:tc>
        <w:tc>
          <w:tcPr>
            <w:tcW w:w="27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31.4</w:t>
            </w:r>
          </w:p>
        </w:tc>
        <w:tc>
          <w:tcPr>
            <w:tcW w:w="275" w:type="dxa"/>
            <w:tcBorders/>
            <w:vAlign w:val="center"/>
          </w:tcPr>
          <w:p>
            <w:pPr>
              <w:pStyle w:val="TableContents"/>
              <w:bidi w:val="0"/>
              <w:spacing w:before="0" w:after="283"/>
              <w:jc w:val="left"/>
              <w:rPr/>
            </w:pPr>
            <w:r>
              <w:rPr/>
              <w:t>%</w:t>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0"/>
              <w:jc w:val="left"/>
              <w:rPr>
                <w:rFonts w:ascii="arial" w:hAnsi="arial"/>
                <w:sz w:val="18"/>
              </w:rPr>
            </w:pPr>
            <w:r>
              <w:rPr>
                <w:rFonts w:ascii="arial" w:hAnsi="arial"/>
                <w:sz w:val="18"/>
              </w:rPr>
              <w:t>Adjustments to cost of sales</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14.4</w:t>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9.9</w:t>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10.2</w:t>
            </w:r>
          </w:p>
        </w:tc>
        <w:tc>
          <w:tcPr>
            <w:tcW w:w="275" w:type="dxa"/>
            <w:tcBorders/>
            <w:vAlign w:val="center"/>
          </w:tcPr>
          <w:p>
            <w:pPr>
              <w:pStyle w:val="TableContents"/>
              <w:bidi w:val="0"/>
              <w:spacing w:before="0" w:after="283"/>
              <w:jc w:val="left"/>
              <w:rPr>
                <w:sz w:val="4"/>
                <w:szCs w:val="4"/>
              </w:rPr>
            </w:pPr>
            <w:r>
              <w:rPr>
                <w:sz w:val="4"/>
                <w:szCs w:val="4"/>
              </w:rPr>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0"/>
              <w:jc w:val="left"/>
              <w:rPr>
                <w:rFonts w:ascii="arial" w:hAnsi="arial"/>
                <w:sz w:val="18"/>
              </w:rPr>
            </w:pPr>
            <w:r>
              <w:rPr>
                <w:rFonts w:ascii="arial" w:hAnsi="arial"/>
                <w:sz w:val="18"/>
              </w:rPr>
              <w:t xml:space="preserve">Adjustments to research and development expenses </w:t>
            </w:r>
            <w:r>
              <w:rPr>
                <w:rFonts w:ascii="arial" w:hAnsi="arial"/>
                <w:b/>
                <w:sz w:val="18"/>
              </w:rPr>
              <w:t>(b)</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0.3</w:t>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0.4</w:t>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2.1</w:t>
            </w:r>
          </w:p>
        </w:tc>
        <w:tc>
          <w:tcPr>
            <w:tcW w:w="275" w:type="dxa"/>
            <w:tcBorders/>
            <w:vAlign w:val="center"/>
          </w:tcPr>
          <w:p>
            <w:pPr>
              <w:pStyle w:val="TableContents"/>
              <w:bidi w:val="0"/>
              <w:spacing w:before="0" w:after="283"/>
              <w:jc w:val="left"/>
              <w:rPr>
                <w:sz w:val="4"/>
                <w:szCs w:val="4"/>
              </w:rPr>
            </w:pPr>
            <w:r>
              <w:rPr>
                <w:sz w:val="4"/>
                <w:szCs w:val="4"/>
              </w:rPr>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0"/>
              <w:jc w:val="left"/>
              <w:rPr>
                <w:rFonts w:ascii="arial" w:hAnsi="arial"/>
                <w:sz w:val="18"/>
              </w:rPr>
            </w:pPr>
            <w:r>
              <w:rPr>
                <w:rFonts w:ascii="arial" w:hAnsi="arial"/>
                <w:sz w:val="18"/>
              </w:rPr>
              <w:t xml:space="preserve">Adjustments to acquired IPR&amp;D </w:t>
            </w:r>
            <w:r>
              <w:rPr>
                <w:rFonts w:ascii="arial" w:hAnsi="arial"/>
                <w:b/>
                <w:sz w:val="18"/>
              </w:rPr>
              <w:t>(b)</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6.2</w:t>
            </w:r>
          </w:p>
        </w:tc>
        <w:tc>
          <w:tcPr>
            <w:tcW w:w="275" w:type="dxa"/>
            <w:tcBorders/>
            <w:vAlign w:val="center"/>
          </w:tcPr>
          <w:p>
            <w:pPr>
              <w:pStyle w:val="TableContents"/>
              <w:bidi w:val="0"/>
              <w:spacing w:before="0" w:after="283"/>
              <w:jc w:val="left"/>
              <w:rPr>
                <w:sz w:val="4"/>
                <w:szCs w:val="4"/>
              </w:rPr>
            </w:pPr>
            <w:r>
              <w:rPr>
                <w:sz w:val="4"/>
                <w:szCs w:val="4"/>
              </w:rPr>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0"/>
              <w:jc w:val="left"/>
              <w:rPr>
                <w:rFonts w:ascii="arial" w:hAnsi="arial"/>
                <w:sz w:val="18"/>
              </w:rPr>
            </w:pPr>
            <w:r>
              <w:rPr>
                <w:rFonts w:ascii="arial" w:hAnsi="arial"/>
                <w:sz w:val="18"/>
              </w:rPr>
              <w:t>Adjustments to selling, general and administrative expenses</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2.6</w:t>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0.6</w:t>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0.4</w:t>
            </w:r>
          </w:p>
        </w:tc>
        <w:tc>
          <w:tcPr>
            <w:tcW w:w="275" w:type="dxa"/>
            <w:tcBorders/>
            <w:vAlign w:val="center"/>
          </w:tcPr>
          <w:p>
            <w:pPr>
              <w:pStyle w:val="TableContents"/>
              <w:bidi w:val="0"/>
              <w:spacing w:before="0" w:after="283"/>
              <w:jc w:val="left"/>
              <w:rPr>
                <w:sz w:val="4"/>
                <w:szCs w:val="4"/>
              </w:rPr>
            </w:pPr>
            <w:r>
              <w:rPr>
                <w:sz w:val="4"/>
                <w:szCs w:val="4"/>
              </w:rPr>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0"/>
              <w:jc w:val="left"/>
              <w:rPr>
                <w:rFonts w:ascii="arial" w:hAnsi="arial"/>
                <w:sz w:val="18"/>
              </w:rPr>
            </w:pPr>
            <w:r>
              <w:rPr>
                <w:rFonts w:ascii="arial" w:hAnsi="arial"/>
                <w:sz w:val="18"/>
              </w:rPr>
              <w:t>Certain net charges pursuant to our restructuring and cost savings initiatives</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0.7</w:t>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0.5</w:t>
            </w:r>
          </w:p>
        </w:tc>
        <w:tc>
          <w:tcPr>
            <w:tcW w:w="275" w:type="dxa"/>
            <w:tcBorders/>
            <w:vAlign w:val="center"/>
          </w:tcPr>
          <w:p>
            <w:pPr>
              <w:pStyle w:val="TableContents"/>
              <w:bidi w:val="0"/>
              <w:spacing w:before="0" w:after="283"/>
              <w:jc w:val="left"/>
              <w:rPr>
                <w:sz w:val="4"/>
                <w:szCs w:val="4"/>
              </w:rPr>
            </w:pPr>
            <w:r>
              <w:rPr>
                <w:sz w:val="4"/>
                <w:szCs w:val="4"/>
              </w:rPr>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0"/>
              <w:jc w:val="left"/>
              <w:rPr>
                <w:rFonts w:ascii="arial" w:hAnsi="arial"/>
                <w:sz w:val="18"/>
              </w:rPr>
            </w:pPr>
            <w:r>
              <w:rPr>
                <w:rFonts w:ascii="arial" w:hAnsi="arial"/>
                <w:sz w:val="18"/>
              </w:rPr>
              <w:t xml:space="preserve">Certain other expenses </w:t>
            </w:r>
            <w:r>
              <w:rPr>
                <w:rFonts w:ascii="arial" w:hAnsi="arial"/>
                <w:b/>
                <w:sz w:val="18"/>
              </w:rPr>
              <w:t>(d)</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2.5</w:t>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2.0</w:t>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0.3</w:t>
            </w:r>
          </w:p>
        </w:tc>
        <w:tc>
          <w:tcPr>
            <w:tcW w:w="275" w:type="dxa"/>
            <w:tcBorders/>
            <w:vAlign w:val="center"/>
          </w:tcPr>
          <w:p>
            <w:pPr>
              <w:pStyle w:val="TableContents"/>
              <w:bidi w:val="0"/>
              <w:spacing w:before="0" w:after="283"/>
              <w:jc w:val="left"/>
              <w:rPr>
                <w:sz w:val="4"/>
                <w:szCs w:val="4"/>
              </w:rPr>
            </w:pPr>
            <w:r>
              <w:rPr>
                <w:sz w:val="4"/>
                <w:szCs w:val="4"/>
              </w:rPr>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pBdr>
                <w:top w:val="single" w:sz="2" w:space="1" w:color="000000"/>
              </w:pBdr>
              <w:bidi w:val="0"/>
              <w:spacing w:before="0" w:after="0"/>
              <w:jc w:val="left"/>
              <w:rPr/>
            </w:pPr>
            <w:r>
              <w:rPr/>
              <w:t> </w:t>
            </w:r>
          </w:p>
        </w:tc>
        <w:tc>
          <w:tcPr>
            <w:tcW w:w="871"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pBdr>
                <w:top w:val="single" w:sz="2" w:space="1" w:color="000000"/>
              </w:pBdr>
              <w:bidi w:val="0"/>
              <w:spacing w:before="0" w:after="0"/>
              <w:jc w:val="left"/>
              <w:rPr/>
            </w:pPr>
            <w:r>
              <w:rPr/>
              <w:t> </w:t>
            </w:r>
          </w:p>
        </w:tc>
        <w:tc>
          <w:tcPr>
            <w:tcW w:w="871"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pBdr>
                <w:top w:val="single" w:sz="2" w:space="1" w:color="000000"/>
              </w:pBdr>
              <w:bidi w:val="0"/>
              <w:spacing w:before="0" w:after="0"/>
              <w:jc w:val="left"/>
              <w:rPr/>
            </w:pPr>
            <w:r>
              <w:rPr/>
              <w:t> </w:t>
            </w:r>
          </w:p>
        </w:tc>
        <w:tc>
          <w:tcPr>
            <w:tcW w:w="871"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0"/>
              <w:jc w:val="left"/>
              <w:rPr>
                <w:rFonts w:ascii="arial" w:hAnsi="arial"/>
                <w:b/>
                <w:sz w:val="18"/>
              </w:rPr>
            </w:pPr>
            <w:r>
              <w:rPr>
                <w:rFonts w:ascii="arial" w:hAnsi="arial"/>
                <w:b/>
                <w:sz w:val="18"/>
              </w:rPr>
              <w:t>Non-GAAP operating income as a percentage of product sales</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49.8</w:t>
            </w:r>
          </w:p>
        </w:tc>
        <w:tc>
          <w:tcPr>
            <w:tcW w:w="27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51.5</w:t>
            </w:r>
          </w:p>
        </w:tc>
        <w:tc>
          <w:tcPr>
            <w:tcW w:w="27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51.1</w:t>
            </w:r>
          </w:p>
        </w:tc>
        <w:tc>
          <w:tcPr>
            <w:tcW w:w="275" w:type="dxa"/>
            <w:tcBorders/>
            <w:vAlign w:val="center"/>
          </w:tcPr>
          <w:p>
            <w:pPr>
              <w:pStyle w:val="TableContents"/>
              <w:bidi w:val="0"/>
              <w:spacing w:before="0" w:after="283"/>
              <w:jc w:val="left"/>
              <w:rPr/>
            </w:pPr>
            <w:r>
              <w:rPr/>
              <w:t>%</w:t>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pBdr>
                <w:top w:val="double" w:sz="6" w:space="1" w:color="000000"/>
              </w:pBdr>
              <w:bidi w:val="0"/>
              <w:spacing w:before="0" w:after="0"/>
              <w:jc w:val="left"/>
              <w:rPr/>
            </w:pPr>
            <w:r>
              <w:rPr/>
              <w:t> </w:t>
            </w:r>
          </w:p>
        </w:tc>
        <w:tc>
          <w:tcPr>
            <w:tcW w:w="871"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pBdr>
                <w:top w:val="double" w:sz="6" w:space="1" w:color="000000"/>
              </w:pBdr>
              <w:bidi w:val="0"/>
              <w:spacing w:before="0" w:after="0"/>
              <w:jc w:val="left"/>
              <w:rPr/>
            </w:pPr>
            <w:r>
              <w:rPr/>
              <w:t> </w:t>
            </w:r>
          </w:p>
        </w:tc>
        <w:tc>
          <w:tcPr>
            <w:tcW w:w="871"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pBdr>
                <w:top w:val="double" w:sz="6" w:space="1" w:color="000000"/>
              </w:pBdr>
              <w:bidi w:val="0"/>
              <w:spacing w:before="0" w:after="0"/>
              <w:jc w:val="left"/>
              <w:rPr/>
            </w:pPr>
            <w:r>
              <w:rPr/>
              <w:t> </w:t>
            </w:r>
          </w:p>
        </w:tc>
        <w:tc>
          <w:tcPr>
            <w:tcW w:w="871"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283"/>
              <w:jc w:val="left"/>
              <w:rPr>
                <w:sz w:val="4"/>
                <w:szCs w:val="4"/>
              </w:rPr>
            </w:pPr>
            <w:r>
              <w:rPr>
                <w:sz w:val="4"/>
                <w:szCs w:val="4"/>
              </w:rPr>
            </w:r>
          </w:p>
        </w:tc>
        <w:tc>
          <w:tcPr>
            <w:tcW w:w="1521" w:type="dxa"/>
            <w:gridSpan w:val="5"/>
            <w:tcBorders/>
            <w:vAlign w:val="center"/>
          </w:tcPr>
          <w:p>
            <w:pPr>
              <w:pStyle w:val="TableContents"/>
              <w:bidi w:val="0"/>
              <w:spacing w:before="0" w:after="283"/>
              <w:jc w:val="left"/>
              <w:rPr>
                <w:sz w:val="4"/>
                <w:szCs w:val="4"/>
              </w:rPr>
            </w:pPr>
            <w:r>
              <w:rPr>
                <w:sz w:val="4"/>
                <w:szCs w:val="4"/>
              </w:rPr>
            </w:r>
          </w:p>
        </w:tc>
        <w:tc>
          <w:tcPr>
            <w:tcW w:w="1461" w:type="dxa"/>
            <w:gridSpan w:val="5"/>
            <w:tcBorders/>
            <w:vAlign w:val="center"/>
          </w:tcPr>
          <w:p>
            <w:pPr>
              <w:pStyle w:val="TableContents"/>
              <w:bidi w:val="0"/>
              <w:spacing w:before="0" w:after="283"/>
              <w:jc w:val="left"/>
              <w:rPr>
                <w:sz w:val="4"/>
                <w:szCs w:val="4"/>
              </w:rPr>
            </w:pPr>
            <w:r>
              <w:rPr>
                <w:sz w:val="4"/>
                <w:szCs w:val="4"/>
              </w:rPr>
            </w:r>
          </w:p>
        </w:tc>
        <w:tc>
          <w:tcPr>
            <w:tcW w:w="1461" w:type="dxa"/>
            <w:gridSpan w:val="5"/>
            <w:tcBorders/>
            <w:vAlign w:val="center"/>
          </w:tcPr>
          <w:p>
            <w:pPr>
              <w:pStyle w:val="TableContents"/>
              <w:bidi w:val="0"/>
              <w:spacing w:before="0" w:after="283"/>
              <w:jc w:val="left"/>
              <w:rPr>
                <w:sz w:val="4"/>
                <w:szCs w:val="4"/>
              </w:rPr>
            </w:pPr>
            <w:r>
              <w:rPr>
                <w:sz w:val="4"/>
                <w:szCs w:val="4"/>
              </w:rPr>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0"/>
              <w:jc w:val="left"/>
              <w:rPr>
                <w:rFonts w:ascii="arial" w:hAnsi="arial"/>
                <w:b/>
                <w:sz w:val="18"/>
              </w:rPr>
            </w:pPr>
            <w:r>
              <w:rPr>
                <w:rFonts w:ascii="arial" w:hAnsi="arial"/>
                <w:b/>
                <w:sz w:val="18"/>
              </w:rPr>
              <w:t>GAAP interest expense, net</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871" w:type="dxa"/>
            <w:tcBorders/>
            <w:vAlign w:val="center"/>
          </w:tcPr>
          <w:p>
            <w:pPr>
              <w:pStyle w:val="TableContents"/>
              <w:bidi w:val="0"/>
              <w:spacing w:before="0" w:after="283"/>
              <w:jc w:val="right"/>
              <w:rPr/>
            </w:pPr>
            <w:r>
              <w:rPr/>
              <w:t>(2,875</w:t>
            </w:r>
          </w:p>
        </w:tc>
        <w:tc>
          <w:tcPr>
            <w:tcW w:w="27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871" w:type="dxa"/>
            <w:tcBorders/>
            <w:vAlign w:val="center"/>
          </w:tcPr>
          <w:p>
            <w:pPr>
              <w:pStyle w:val="TableContents"/>
              <w:bidi w:val="0"/>
              <w:spacing w:before="0" w:after="283"/>
              <w:jc w:val="right"/>
              <w:rPr/>
            </w:pPr>
            <w:r>
              <w:rPr/>
              <w:t>(1,406</w:t>
            </w:r>
          </w:p>
        </w:tc>
        <w:tc>
          <w:tcPr>
            <w:tcW w:w="27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871" w:type="dxa"/>
            <w:tcBorders/>
            <w:vAlign w:val="center"/>
          </w:tcPr>
          <w:p>
            <w:pPr>
              <w:pStyle w:val="TableContents"/>
              <w:bidi w:val="0"/>
              <w:spacing w:before="0" w:after="283"/>
              <w:jc w:val="right"/>
              <w:rPr/>
            </w:pPr>
            <w:r>
              <w:rPr/>
              <w:t>(1,197</w:t>
            </w:r>
          </w:p>
        </w:tc>
        <w:tc>
          <w:tcPr>
            <w:tcW w:w="275" w:type="dxa"/>
            <w:tcBorders/>
            <w:vAlign w:val="center"/>
          </w:tcPr>
          <w:p>
            <w:pPr>
              <w:pStyle w:val="TableContents"/>
              <w:bidi w:val="0"/>
              <w:spacing w:before="0" w:after="283"/>
              <w:jc w:val="left"/>
              <w:rPr/>
            </w:pPr>
            <w:r>
              <w:rPr/>
              <w:t>)</w:t>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0"/>
              <w:jc w:val="left"/>
              <w:rPr>
                <w:rFonts w:ascii="arial" w:hAnsi="arial"/>
                <w:b/>
                <w:sz w:val="18"/>
              </w:rPr>
            </w:pPr>
            <w:r>
              <w:rPr>
                <w:rFonts w:ascii="arial" w:hAnsi="arial"/>
                <w:b/>
                <w:sz w:val="18"/>
              </w:rPr>
              <w:t>Adjustments to interest expense, net:</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0"/>
              <w:jc w:val="left"/>
              <w:rPr>
                <w:rFonts w:ascii="arial" w:hAnsi="arial"/>
                <w:sz w:val="18"/>
              </w:rPr>
            </w:pPr>
            <w:r>
              <w:rPr>
                <w:rFonts w:ascii="arial" w:hAnsi="arial"/>
                <w:sz w:val="18"/>
              </w:rPr>
              <w:t xml:space="preserve">Acquisition-related interest expense </w:t>
            </w:r>
            <w:r>
              <w:rPr>
                <w:rFonts w:ascii="arial" w:hAnsi="arial"/>
                <w:b/>
                <w:sz w:val="18"/>
              </w:rPr>
              <w:t>(e)</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807</w:t>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5</w:t>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sz w:val="4"/>
                <w:szCs w:val="4"/>
              </w:rPr>
            </w:pPr>
            <w:r>
              <w:rPr>
                <w:sz w:val="4"/>
                <w:szCs w:val="4"/>
              </w:rPr>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pBdr>
                <w:top w:val="single" w:sz="2" w:space="1" w:color="000000"/>
              </w:pBdr>
              <w:bidi w:val="0"/>
              <w:spacing w:before="0" w:after="0"/>
              <w:jc w:val="left"/>
              <w:rPr/>
            </w:pPr>
            <w:r>
              <w:rPr/>
              <w:t> </w:t>
            </w:r>
          </w:p>
        </w:tc>
        <w:tc>
          <w:tcPr>
            <w:tcW w:w="871"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pBdr>
                <w:top w:val="single" w:sz="2" w:space="1" w:color="000000"/>
              </w:pBdr>
              <w:bidi w:val="0"/>
              <w:spacing w:before="0" w:after="0"/>
              <w:jc w:val="left"/>
              <w:rPr/>
            </w:pPr>
            <w:r>
              <w:rPr/>
              <w:t> </w:t>
            </w:r>
          </w:p>
        </w:tc>
        <w:tc>
          <w:tcPr>
            <w:tcW w:w="871"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pBdr>
                <w:top w:val="single" w:sz="2" w:space="1" w:color="000000"/>
              </w:pBdr>
              <w:bidi w:val="0"/>
              <w:spacing w:before="0" w:after="0"/>
              <w:jc w:val="left"/>
              <w:rPr/>
            </w:pPr>
            <w:r>
              <w:rPr/>
              <w:t> </w:t>
            </w:r>
          </w:p>
        </w:tc>
        <w:tc>
          <w:tcPr>
            <w:tcW w:w="871"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0"/>
              <w:jc w:val="left"/>
              <w:rPr>
                <w:rFonts w:ascii="arial" w:hAnsi="arial"/>
                <w:b/>
                <w:sz w:val="18"/>
              </w:rPr>
            </w:pPr>
            <w:r>
              <w:rPr>
                <w:rFonts w:ascii="arial" w:hAnsi="arial"/>
                <w:b/>
                <w:sz w:val="18"/>
              </w:rPr>
              <w:t>Non-GAAP interest expense, net</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871" w:type="dxa"/>
            <w:tcBorders/>
            <w:vAlign w:val="center"/>
          </w:tcPr>
          <w:p>
            <w:pPr>
              <w:pStyle w:val="TableContents"/>
              <w:bidi w:val="0"/>
              <w:spacing w:before="0" w:after="283"/>
              <w:jc w:val="right"/>
              <w:rPr/>
            </w:pPr>
            <w:r>
              <w:rPr/>
              <w:t>(2,068</w:t>
            </w:r>
          </w:p>
        </w:tc>
        <w:tc>
          <w:tcPr>
            <w:tcW w:w="27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871" w:type="dxa"/>
            <w:tcBorders/>
            <w:vAlign w:val="center"/>
          </w:tcPr>
          <w:p>
            <w:pPr>
              <w:pStyle w:val="TableContents"/>
              <w:bidi w:val="0"/>
              <w:spacing w:before="0" w:after="283"/>
              <w:jc w:val="right"/>
              <w:rPr/>
            </w:pPr>
            <w:r>
              <w:rPr/>
              <w:t>(1,401</w:t>
            </w:r>
          </w:p>
        </w:tc>
        <w:tc>
          <w:tcPr>
            <w:tcW w:w="27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871" w:type="dxa"/>
            <w:tcBorders/>
            <w:vAlign w:val="center"/>
          </w:tcPr>
          <w:p>
            <w:pPr>
              <w:pStyle w:val="TableContents"/>
              <w:bidi w:val="0"/>
              <w:spacing w:before="0" w:after="283"/>
              <w:jc w:val="right"/>
              <w:rPr/>
            </w:pPr>
            <w:r>
              <w:rPr/>
              <w:t>(1,197</w:t>
            </w:r>
          </w:p>
        </w:tc>
        <w:tc>
          <w:tcPr>
            <w:tcW w:w="275" w:type="dxa"/>
            <w:tcBorders/>
            <w:vAlign w:val="center"/>
          </w:tcPr>
          <w:p>
            <w:pPr>
              <w:pStyle w:val="TableContents"/>
              <w:bidi w:val="0"/>
              <w:spacing w:before="0" w:after="283"/>
              <w:jc w:val="left"/>
              <w:rPr/>
            </w:pPr>
            <w:r>
              <w:rPr/>
              <w:t>)</w:t>
            </w:r>
          </w:p>
        </w:tc>
        <w:tc>
          <w:tcPr>
            <w:tcW w:w="45" w:type="dxa"/>
            <w:tcBorders/>
          </w:tcPr>
          <w:p>
            <w:pPr>
              <w:pStyle w:val="TableContents"/>
              <w:bidi w:val="0"/>
              <w:spacing w:before="0" w:after="283"/>
              <w:jc w:val="left"/>
              <w:rPr>
                <w:sz w:val="4"/>
                <w:szCs w:val="4"/>
              </w:rPr>
            </w:pPr>
            <w:r>
              <w:rPr>
                <w:sz w:val="4"/>
                <w:szCs w:val="4"/>
              </w:rPr>
            </w:r>
          </w:p>
        </w:tc>
      </w:tr>
      <w:tr>
        <w:trPr/>
        <w:tc>
          <w:tcPr>
            <w:tcW w:w="57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pBdr>
                <w:top w:val="double" w:sz="6" w:space="1" w:color="000000"/>
              </w:pBdr>
              <w:bidi w:val="0"/>
              <w:spacing w:before="0" w:after="0"/>
              <w:jc w:val="left"/>
              <w:rPr/>
            </w:pPr>
            <w:r>
              <w:rPr/>
              <w:t> </w:t>
            </w:r>
          </w:p>
        </w:tc>
        <w:tc>
          <w:tcPr>
            <w:tcW w:w="871"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pBdr>
                <w:top w:val="double" w:sz="6" w:space="1" w:color="000000"/>
              </w:pBdr>
              <w:bidi w:val="0"/>
              <w:spacing w:before="0" w:after="0"/>
              <w:jc w:val="left"/>
              <w:rPr/>
            </w:pPr>
            <w:r>
              <w:rPr/>
              <w:t> </w:t>
            </w:r>
          </w:p>
        </w:tc>
        <w:tc>
          <w:tcPr>
            <w:tcW w:w="871"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79" w:type="dxa"/>
            <w:tcBorders/>
            <w:vAlign w:val="center"/>
          </w:tcPr>
          <w:p>
            <w:pPr>
              <w:pStyle w:val="TableContents"/>
              <w:pBdr>
                <w:top w:val="double" w:sz="6" w:space="1" w:color="000000"/>
              </w:pBdr>
              <w:bidi w:val="0"/>
              <w:spacing w:before="0" w:after="0"/>
              <w:jc w:val="left"/>
              <w:rPr/>
            </w:pPr>
            <w:r>
              <w:rPr/>
              <w:t> </w:t>
            </w:r>
          </w:p>
        </w:tc>
        <w:tc>
          <w:tcPr>
            <w:tcW w:w="871"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4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B-2  </w:t>
      </w:r>
      <w:r>
        <w:rPr>
          <w:rFonts w:ascii="arial" w:hAnsi="arial"/>
          <w:b/>
          <w:color w:val="474747"/>
          <w:sz w:val="22"/>
        </w:rPr>
        <w:drawing>
          <wp:inline distT="0" distB="0" distL="0" distR="0">
            <wp:extent cx="64770" cy="15240"/>
            <wp:effectExtent l="0" t="0" r="0" b="0"/>
            <wp:docPr id="453"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Image207" descr=""/>
                    <pic:cNvPicPr>
                      <a:picLocks noChangeAspect="1" noChangeArrowheads="1"/>
                    </pic:cNvPicPr>
                  </pic:nvPicPr>
                  <pic:blipFill>
                    <a:blip r:embed="rId220"/>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185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13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137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Appendix B</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413"/>
        <w:gridCol w:w="120"/>
        <w:gridCol w:w="81"/>
        <w:gridCol w:w="192"/>
        <w:gridCol w:w="934"/>
        <w:gridCol w:w="295"/>
        <w:gridCol w:w="60"/>
        <w:gridCol w:w="81"/>
        <w:gridCol w:w="192"/>
        <w:gridCol w:w="934"/>
        <w:gridCol w:w="295"/>
        <w:gridCol w:w="60"/>
        <w:gridCol w:w="81"/>
        <w:gridCol w:w="192"/>
        <w:gridCol w:w="934"/>
        <w:gridCol w:w="295"/>
        <w:gridCol w:w="46"/>
      </w:tblGrid>
      <w:tr>
        <w:trPr/>
        <w:tc>
          <w:tcPr>
            <w:tcW w:w="54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6" w:type="dxa"/>
            <w:tcBorders/>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26" w:type="dxa"/>
            <w:gridSpan w:val="14"/>
            <w:tcBorders/>
            <w:vAlign w:val="center"/>
          </w:tcPr>
          <w:p>
            <w:pPr>
              <w:pStyle w:val="TableContents"/>
              <w:bidi w:val="0"/>
              <w:spacing w:before="0" w:after="283"/>
              <w:jc w:val="center"/>
              <w:rPr>
                <w:b/>
              </w:rPr>
            </w:pPr>
            <w:r>
              <w:rPr>
                <w:b/>
              </w:rPr>
              <w:t>Years ended December 31,</w:t>
            </w:r>
          </w:p>
        </w:tc>
        <w:tc>
          <w:tcPr>
            <w:tcW w:w="46" w:type="dxa"/>
            <w:tcBorders/>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72" w:type="dxa"/>
            <w:gridSpan w:val="15"/>
            <w:tcBorders/>
            <w:vAlign w:val="center"/>
          </w:tcPr>
          <w:p>
            <w:pPr>
              <w:pStyle w:val="TableContents"/>
              <w:pBdr>
                <w:bottom w:val="single" w:sz="8" w:space="1" w:color="000000"/>
              </w:pBdr>
              <w:bidi w:val="0"/>
              <w:spacing w:before="0" w:after="0"/>
              <w:jc w:val="left"/>
              <w:rPr/>
            </w:pPr>
            <w:r>
              <w:rPr/>
              <w:t> </w:t>
            </w:r>
          </w:p>
        </w:tc>
      </w:tr>
      <w:tr>
        <w:trPr/>
        <w:tc>
          <w:tcPr>
            <w:tcW w:w="541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2" w:type="dxa"/>
            <w:gridSpan w:val="4"/>
            <w:tcBorders>
              <w:bottom w:val="single" w:sz="8" w:space="0" w:color="000000"/>
            </w:tcBorders>
            <w:tcMar>
              <w:bottom w:w="28" w:type="dxa"/>
            </w:tcMar>
            <w:vAlign w:val="center"/>
          </w:tcPr>
          <w:p>
            <w:pPr>
              <w:pStyle w:val="TableContents"/>
              <w:bidi w:val="0"/>
              <w:spacing w:before="0" w:after="283"/>
              <w:jc w:val="center"/>
              <w:rPr/>
            </w:pPr>
            <w:r>
              <w:rPr/>
              <w:t>   </w:t>
            </w:r>
            <w:r>
              <w:rPr>
                <w:b/>
              </w:rPr>
              <w:t>2023   </w:t>
            </w:r>
          </w:p>
        </w:tc>
        <w:tc>
          <w:tcPr>
            <w:tcW w:w="60" w:type="dxa"/>
            <w:tcBorders/>
            <w:vAlign w:val="center"/>
          </w:tcPr>
          <w:p>
            <w:pPr>
              <w:pStyle w:val="TableContents"/>
              <w:bidi w:val="0"/>
              <w:spacing w:before="0" w:after="283"/>
              <w:jc w:val="left"/>
              <w:rPr/>
            </w:pPr>
            <w:r>
              <w:rPr/>
              <w:t> </w:t>
            </w:r>
          </w:p>
        </w:tc>
        <w:tc>
          <w:tcPr>
            <w:tcW w:w="1502" w:type="dxa"/>
            <w:gridSpan w:val="4"/>
            <w:tcBorders>
              <w:bottom w:val="single" w:sz="8" w:space="0" w:color="000000"/>
            </w:tcBorders>
            <w:tcMar>
              <w:bottom w:w="28" w:type="dxa"/>
            </w:tcMar>
            <w:vAlign w:val="center"/>
          </w:tcPr>
          <w:p>
            <w:pPr>
              <w:pStyle w:val="TableContents"/>
              <w:bidi w:val="0"/>
              <w:spacing w:before="0" w:after="283"/>
              <w:jc w:val="center"/>
              <w:rPr/>
            </w:pPr>
            <w:r>
              <w:rPr/>
              <w:t>   </w:t>
            </w:r>
            <w:r>
              <w:rPr>
                <w:b/>
              </w:rPr>
              <w:t>2022   </w:t>
            </w:r>
          </w:p>
        </w:tc>
        <w:tc>
          <w:tcPr>
            <w:tcW w:w="60" w:type="dxa"/>
            <w:tcBorders/>
            <w:vAlign w:val="center"/>
          </w:tcPr>
          <w:p>
            <w:pPr>
              <w:pStyle w:val="TableContents"/>
              <w:bidi w:val="0"/>
              <w:spacing w:before="0" w:after="283"/>
              <w:jc w:val="left"/>
              <w:rPr/>
            </w:pPr>
            <w:r>
              <w:rPr/>
              <w:t> </w:t>
            </w:r>
          </w:p>
        </w:tc>
        <w:tc>
          <w:tcPr>
            <w:tcW w:w="1502" w:type="dxa"/>
            <w:gridSpan w:val="4"/>
            <w:tcBorders>
              <w:bottom w:val="single" w:sz="8" w:space="0" w:color="000000"/>
            </w:tcBorders>
            <w:tcMar>
              <w:bottom w:w="28" w:type="dxa"/>
            </w:tcMar>
            <w:vAlign w:val="center"/>
          </w:tcPr>
          <w:p>
            <w:pPr>
              <w:pStyle w:val="TableContents"/>
              <w:bidi w:val="0"/>
              <w:spacing w:before="0" w:after="283"/>
              <w:jc w:val="center"/>
              <w:rPr/>
            </w:pPr>
            <w:r>
              <w:rPr/>
              <w:t>   </w:t>
            </w:r>
            <w:r>
              <w:rPr>
                <w:b/>
              </w:rPr>
              <w:t>2021   </w:t>
            </w:r>
          </w:p>
        </w:tc>
        <w:tc>
          <w:tcPr>
            <w:tcW w:w="46" w:type="dxa"/>
            <w:tcBorders/>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283"/>
              <w:jc w:val="left"/>
              <w:rPr>
                <w:sz w:val="4"/>
                <w:szCs w:val="4"/>
              </w:rPr>
            </w:pPr>
            <w:r>
              <w:rPr>
                <w:sz w:val="4"/>
                <w:szCs w:val="4"/>
              </w:rPr>
            </w:r>
          </w:p>
        </w:tc>
        <w:tc>
          <w:tcPr>
            <w:tcW w:w="1622" w:type="dxa"/>
            <w:gridSpan w:val="5"/>
            <w:tcBorders/>
            <w:vAlign w:val="center"/>
          </w:tcPr>
          <w:p>
            <w:pPr>
              <w:pStyle w:val="TableContents"/>
              <w:bidi w:val="0"/>
              <w:spacing w:before="0" w:after="283"/>
              <w:jc w:val="left"/>
              <w:rPr>
                <w:sz w:val="4"/>
                <w:szCs w:val="4"/>
              </w:rPr>
            </w:pPr>
            <w:r>
              <w:rPr>
                <w:sz w:val="4"/>
                <w:szCs w:val="4"/>
              </w:rPr>
            </w:r>
          </w:p>
        </w:tc>
        <w:tc>
          <w:tcPr>
            <w:tcW w:w="1562" w:type="dxa"/>
            <w:gridSpan w:val="5"/>
            <w:tcBorders/>
            <w:vAlign w:val="center"/>
          </w:tcPr>
          <w:p>
            <w:pPr>
              <w:pStyle w:val="TableContents"/>
              <w:bidi w:val="0"/>
              <w:spacing w:before="0" w:after="283"/>
              <w:jc w:val="left"/>
              <w:rPr>
                <w:sz w:val="4"/>
                <w:szCs w:val="4"/>
              </w:rPr>
            </w:pPr>
            <w:r>
              <w:rPr>
                <w:sz w:val="4"/>
                <w:szCs w:val="4"/>
              </w:rPr>
            </w:r>
          </w:p>
        </w:tc>
        <w:tc>
          <w:tcPr>
            <w:tcW w:w="1562" w:type="dxa"/>
            <w:gridSpan w:val="5"/>
            <w:tcBorders/>
            <w:vAlign w:val="center"/>
          </w:tcPr>
          <w:p>
            <w:pPr>
              <w:pStyle w:val="TableContents"/>
              <w:bidi w:val="0"/>
              <w:spacing w:before="0" w:after="283"/>
              <w:jc w:val="left"/>
              <w:rPr>
                <w:sz w:val="4"/>
                <w:szCs w:val="4"/>
              </w:rPr>
            </w:pPr>
            <w:r>
              <w:rPr>
                <w:sz w:val="4"/>
                <w:szCs w:val="4"/>
              </w:rPr>
            </w:r>
          </w:p>
        </w:tc>
        <w:tc>
          <w:tcPr>
            <w:tcW w:w="46" w:type="dxa"/>
            <w:tcBorders/>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0"/>
              <w:jc w:val="left"/>
              <w:rPr>
                <w:rFonts w:ascii="arial" w:hAnsi="arial"/>
                <w:b/>
                <w:sz w:val="18"/>
              </w:rPr>
            </w:pPr>
            <w:r>
              <w:rPr>
                <w:rFonts w:ascii="arial" w:hAnsi="arial"/>
                <w:b/>
                <w:sz w:val="18"/>
              </w:rPr>
              <w:t>GAAP other income (expense), net</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34" w:type="dxa"/>
            <w:tcBorders/>
            <w:vAlign w:val="center"/>
          </w:tcPr>
          <w:p>
            <w:pPr>
              <w:pStyle w:val="TableContents"/>
              <w:bidi w:val="0"/>
              <w:spacing w:before="0" w:after="283"/>
              <w:jc w:val="right"/>
              <w:rPr/>
            </w:pPr>
            <w:r>
              <w:rPr/>
              <w:t>2,833</w:t>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34" w:type="dxa"/>
            <w:tcBorders/>
            <w:vAlign w:val="center"/>
          </w:tcPr>
          <w:p>
            <w:pPr>
              <w:pStyle w:val="TableContents"/>
              <w:bidi w:val="0"/>
              <w:spacing w:before="0" w:after="283"/>
              <w:jc w:val="right"/>
              <w:rPr/>
            </w:pPr>
            <w:r>
              <w:rPr/>
              <w:t>(814</w:t>
            </w:r>
          </w:p>
        </w:tc>
        <w:tc>
          <w:tcPr>
            <w:tcW w:w="2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34" w:type="dxa"/>
            <w:tcBorders/>
            <w:vAlign w:val="center"/>
          </w:tcPr>
          <w:p>
            <w:pPr>
              <w:pStyle w:val="TableContents"/>
              <w:bidi w:val="0"/>
              <w:spacing w:before="0" w:after="283"/>
              <w:jc w:val="right"/>
              <w:rPr/>
            </w:pPr>
            <w:r>
              <w:rPr/>
              <w:t>259</w:t>
            </w:r>
          </w:p>
        </w:tc>
        <w:tc>
          <w:tcPr>
            <w:tcW w:w="295" w:type="dxa"/>
            <w:tcBorders/>
            <w:vAlign w:val="center"/>
          </w:tcPr>
          <w:p>
            <w:pPr>
              <w:pStyle w:val="TableContents"/>
              <w:bidi w:val="0"/>
              <w:spacing w:before="0" w:after="283"/>
              <w:jc w:val="left"/>
              <w:rPr>
                <w:sz w:val="4"/>
                <w:szCs w:val="4"/>
              </w:rPr>
            </w:pPr>
            <w:r>
              <w:rPr>
                <w:sz w:val="4"/>
                <w:szCs w:val="4"/>
              </w:rPr>
            </w:r>
          </w:p>
        </w:tc>
        <w:tc>
          <w:tcPr>
            <w:tcW w:w="46" w:type="dxa"/>
            <w:tcBorders/>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0"/>
              <w:jc w:val="left"/>
              <w:rPr>
                <w:rFonts w:ascii="arial" w:hAnsi="arial"/>
                <w:b/>
                <w:sz w:val="18"/>
              </w:rPr>
            </w:pPr>
            <w:r>
              <w:rPr>
                <w:rFonts w:ascii="arial" w:hAnsi="arial"/>
                <w:b/>
                <w:sz w:val="18"/>
              </w:rPr>
              <w:t>Adjustments to other income (expense), net:</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6" w:type="dxa"/>
            <w:tcBorders/>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0"/>
              <w:jc w:val="left"/>
              <w:rPr>
                <w:rFonts w:ascii="arial" w:hAnsi="arial"/>
                <w:sz w:val="18"/>
              </w:rPr>
            </w:pPr>
            <w:r>
              <w:rPr>
                <w:rFonts w:ascii="arial" w:hAnsi="arial"/>
                <w:sz w:val="18"/>
              </w:rPr>
              <w:t xml:space="preserve">Interest income and other expenses on acquisition-related debt </w:t>
            </w:r>
            <w:r>
              <w:rPr>
                <w:rFonts w:ascii="arial" w:hAnsi="arial"/>
                <w:b/>
                <w:sz w:val="18"/>
              </w:rPr>
              <w:t>(e)</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(625</w:t>
            </w:r>
          </w:p>
        </w:tc>
        <w:tc>
          <w:tcPr>
            <w:tcW w:w="2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w:t>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w:t>
            </w:r>
          </w:p>
        </w:tc>
        <w:tc>
          <w:tcPr>
            <w:tcW w:w="295" w:type="dxa"/>
            <w:tcBorders/>
            <w:vAlign w:val="center"/>
          </w:tcPr>
          <w:p>
            <w:pPr>
              <w:pStyle w:val="TableContents"/>
              <w:bidi w:val="0"/>
              <w:spacing w:before="0" w:after="283"/>
              <w:jc w:val="left"/>
              <w:rPr>
                <w:sz w:val="4"/>
                <w:szCs w:val="4"/>
              </w:rPr>
            </w:pPr>
            <w:r>
              <w:rPr>
                <w:sz w:val="4"/>
                <w:szCs w:val="4"/>
              </w:rPr>
            </w:r>
          </w:p>
        </w:tc>
        <w:tc>
          <w:tcPr>
            <w:tcW w:w="46" w:type="dxa"/>
            <w:tcBorders/>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0"/>
              <w:jc w:val="left"/>
              <w:rPr>
                <w:rFonts w:ascii="arial" w:hAnsi="arial"/>
                <w:sz w:val="18"/>
              </w:rPr>
            </w:pPr>
            <w:r>
              <w:rPr>
                <w:rFonts w:ascii="arial" w:hAnsi="arial"/>
                <w:sz w:val="18"/>
              </w:rPr>
              <w:t xml:space="preserve">Equity method investment basis difference amortization </w:t>
            </w:r>
            <w:r>
              <w:rPr>
                <w:rFonts w:ascii="arial" w:hAnsi="arial"/>
                <w:b/>
                <w:sz w:val="18"/>
              </w:rPr>
              <w:t>(f)</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w:t>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192</w:t>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173</w:t>
            </w:r>
          </w:p>
        </w:tc>
        <w:tc>
          <w:tcPr>
            <w:tcW w:w="295" w:type="dxa"/>
            <w:tcBorders/>
            <w:vAlign w:val="center"/>
          </w:tcPr>
          <w:p>
            <w:pPr>
              <w:pStyle w:val="TableContents"/>
              <w:bidi w:val="0"/>
              <w:spacing w:before="0" w:after="283"/>
              <w:jc w:val="left"/>
              <w:rPr>
                <w:sz w:val="4"/>
                <w:szCs w:val="4"/>
              </w:rPr>
            </w:pPr>
            <w:r>
              <w:rPr>
                <w:sz w:val="4"/>
                <w:szCs w:val="4"/>
              </w:rPr>
            </w:r>
          </w:p>
        </w:tc>
        <w:tc>
          <w:tcPr>
            <w:tcW w:w="46" w:type="dxa"/>
            <w:tcBorders/>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0"/>
              <w:jc w:val="left"/>
              <w:rPr>
                <w:rFonts w:ascii="arial" w:hAnsi="arial"/>
                <w:sz w:val="18"/>
              </w:rPr>
            </w:pPr>
            <w:r>
              <w:rPr>
                <w:rFonts w:ascii="arial" w:hAnsi="arial"/>
                <w:sz w:val="18"/>
              </w:rPr>
              <w:t xml:space="preserve">Net (gains) losses from equity investments </w:t>
            </w:r>
            <w:r>
              <w:rPr>
                <w:rFonts w:ascii="arial" w:hAnsi="arial"/>
                <w:b/>
                <w:sz w:val="18"/>
              </w:rPr>
              <w:t>(f)</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(1,522</w:t>
            </w:r>
          </w:p>
        </w:tc>
        <w:tc>
          <w:tcPr>
            <w:tcW w:w="2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362</w:t>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(421</w:t>
            </w:r>
          </w:p>
        </w:tc>
        <w:tc>
          <w:tcPr>
            <w:tcW w:w="295" w:type="dxa"/>
            <w:tcBorders/>
            <w:vAlign w:val="center"/>
          </w:tcPr>
          <w:p>
            <w:pPr>
              <w:pStyle w:val="TableContents"/>
              <w:bidi w:val="0"/>
              <w:spacing w:before="0" w:after="283"/>
              <w:jc w:val="left"/>
              <w:rPr/>
            </w:pPr>
            <w:r>
              <w:rPr/>
              <w:t>)</w:t>
            </w:r>
          </w:p>
        </w:tc>
        <w:tc>
          <w:tcPr>
            <w:tcW w:w="46" w:type="dxa"/>
            <w:tcBorders/>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single" w:sz="2" w:space="1" w:color="000000"/>
              </w:pBdr>
              <w:bidi w:val="0"/>
              <w:spacing w:before="0" w:after="0"/>
              <w:jc w:val="left"/>
              <w:rPr/>
            </w:pPr>
            <w:r>
              <w:rPr/>
              <w:t> </w:t>
            </w:r>
          </w:p>
        </w:tc>
        <w:tc>
          <w:tcPr>
            <w:tcW w:w="934" w:type="dxa"/>
            <w:tcBorders/>
            <w:vAlign w:val="center"/>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single" w:sz="2" w:space="1" w:color="000000"/>
              </w:pBdr>
              <w:bidi w:val="0"/>
              <w:spacing w:before="0" w:after="0"/>
              <w:jc w:val="left"/>
              <w:rPr/>
            </w:pPr>
            <w:r>
              <w:rPr/>
              <w:t> </w:t>
            </w:r>
          </w:p>
        </w:tc>
        <w:tc>
          <w:tcPr>
            <w:tcW w:w="934" w:type="dxa"/>
            <w:tcBorders/>
            <w:vAlign w:val="center"/>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single" w:sz="2" w:space="1" w:color="000000"/>
              </w:pBdr>
              <w:bidi w:val="0"/>
              <w:spacing w:before="0" w:after="0"/>
              <w:jc w:val="left"/>
              <w:rPr/>
            </w:pPr>
            <w:r>
              <w:rPr/>
              <w:t> </w:t>
            </w:r>
          </w:p>
        </w:tc>
        <w:tc>
          <w:tcPr>
            <w:tcW w:w="934" w:type="dxa"/>
            <w:tcBorders/>
            <w:vAlign w:val="center"/>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46" w:type="dxa"/>
            <w:tcBorders/>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0"/>
              <w:jc w:val="left"/>
              <w:rPr>
                <w:rFonts w:ascii="arial" w:hAnsi="arial"/>
                <w:b/>
                <w:sz w:val="18"/>
              </w:rPr>
            </w:pPr>
            <w:r>
              <w:rPr>
                <w:rFonts w:ascii="arial" w:hAnsi="arial"/>
                <w:b/>
                <w:sz w:val="18"/>
              </w:rPr>
              <w:t>Total adjustments to other income (expense), net</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(2,147</w:t>
            </w:r>
          </w:p>
        </w:tc>
        <w:tc>
          <w:tcPr>
            <w:tcW w:w="2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554</w:t>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(248</w:t>
            </w:r>
          </w:p>
        </w:tc>
        <w:tc>
          <w:tcPr>
            <w:tcW w:w="295" w:type="dxa"/>
            <w:tcBorders/>
            <w:vAlign w:val="center"/>
          </w:tcPr>
          <w:p>
            <w:pPr>
              <w:pStyle w:val="TableContents"/>
              <w:bidi w:val="0"/>
              <w:spacing w:before="0" w:after="283"/>
              <w:jc w:val="left"/>
              <w:rPr/>
            </w:pPr>
            <w:r>
              <w:rPr/>
              <w:t>)</w:t>
            </w:r>
          </w:p>
        </w:tc>
        <w:tc>
          <w:tcPr>
            <w:tcW w:w="46" w:type="dxa"/>
            <w:tcBorders/>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single" w:sz="2" w:space="1" w:color="000000"/>
              </w:pBdr>
              <w:bidi w:val="0"/>
              <w:spacing w:before="0" w:after="0"/>
              <w:jc w:val="left"/>
              <w:rPr/>
            </w:pPr>
            <w:r>
              <w:rPr/>
              <w:t> </w:t>
            </w:r>
          </w:p>
        </w:tc>
        <w:tc>
          <w:tcPr>
            <w:tcW w:w="934" w:type="dxa"/>
            <w:tcBorders/>
            <w:vAlign w:val="center"/>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single" w:sz="2" w:space="1" w:color="000000"/>
              </w:pBdr>
              <w:bidi w:val="0"/>
              <w:spacing w:before="0" w:after="0"/>
              <w:jc w:val="left"/>
              <w:rPr/>
            </w:pPr>
            <w:r>
              <w:rPr/>
              <w:t> </w:t>
            </w:r>
          </w:p>
        </w:tc>
        <w:tc>
          <w:tcPr>
            <w:tcW w:w="934" w:type="dxa"/>
            <w:tcBorders/>
            <w:vAlign w:val="center"/>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single" w:sz="2" w:space="1" w:color="000000"/>
              </w:pBdr>
              <w:bidi w:val="0"/>
              <w:spacing w:before="0" w:after="0"/>
              <w:jc w:val="left"/>
              <w:rPr/>
            </w:pPr>
            <w:r>
              <w:rPr/>
              <w:t> </w:t>
            </w:r>
          </w:p>
        </w:tc>
        <w:tc>
          <w:tcPr>
            <w:tcW w:w="934" w:type="dxa"/>
            <w:tcBorders/>
            <w:vAlign w:val="center"/>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46" w:type="dxa"/>
            <w:tcBorders/>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0"/>
              <w:jc w:val="left"/>
              <w:rPr>
                <w:rFonts w:ascii="arial" w:hAnsi="arial"/>
                <w:b/>
                <w:sz w:val="18"/>
              </w:rPr>
            </w:pPr>
            <w:r>
              <w:rPr>
                <w:rFonts w:ascii="arial" w:hAnsi="arial"/>
                <w:b/>
                <w:sz w:val="18"/>
              </w:rPr>
              <w:t>Non-GAAP other income (expense), net</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34" w:type="dxa"/>
            <w:tcBorders/>
            <w:vAlign w:val="center"/>
          </w:tcPr>
          <w:p>
            <w:pPr>
              <w:pStyle w:val="TableContents"/>
              <w:bidi w:val="0"/>
              <w:spacing w:before="0" w:after="283"/>
              <w:jc w:val="right"/>
              <w:rPr/>
            </w:pPr>
            <w:r>
              <w:rPr/>
              <w:t>686</w:t>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34" w:type="dxa"/>
            <w:tcBorders/>
            <w:vAlign w:val="center"/>
          </w:tcPr>
          <w:p>
            <w:pPr>
              <w:pStyle w:val="TableContents"/>
              <w:bidi w:val="0"/>
              <w:spacing w:before="0" w:after="283"/>
              <w:jc w:val="right"/>
              <w:rPr/>
            </w:pPr>
            <w:r>
              <w:rPr/>
              <w:t>(260</w:t>
            </w:r>
          </w:p>
        </w:tc>
        <w:tc>
          <w:tcPr>
            <w:tcW w:w="2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34" w:type="dxa"/>
            <w:tcBorders/>
            <w:vAlign w:val="center"/>
          </w:tcPr>
          <w:p>
            <w:pPr>
              <w:pStyle w:val="TableContents"/>
              <w:bidi w:val="0"/>
              <w:spacing w:before="0" w:after="283"/>
              <w:jc w:val="right"/>
              <w:rPr/>
            </w:pPr>
            <w:r>
              <w:rPr/>
              <w:t>11</w:t>
            </w:r>
          </w:p>
        </w:tc>
        <w:tc>
          <w:tcPr>
            <w:tcW w:w="295" w:type="dxa"/>
            <w:tcBorders/>
            <w:vAlign w:val="center"/>
          </w:tcPr>
          <w:p>
            <w:pPr>
              <w:pStyle w:val="TableContents"/>
              <w:bidi w:val="0"/>
              <w:spacing w:before="0" w:after="283"/>
              <w:jc w:val="left"/>
              <w:rPr>
                <w:sz w:val="4"/>
                <w:szCs w:val="4"/>
              </w:rPr>
            </w:pPr>
            <w:r>
              <w:rPr>
                <w:sz w:val="4"/>
                <w:szCs w:val="4"/>
              </w:rPr>
            </w:r>
          </w:p>
        </w:tc>
        <w:tc>
          <w:tcPr>
            <w:tcW w:w="46" w:type="dxa"/>
            <w:tcBorders/>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double" w:sz="6" w:space="1" w:color="000000"/>
              </w:pBdr>
              <w:bidi w:val="0"/>
              <w:spacing w:before="0" w:after="0"/>
              <w:jc w:val="left"/>
              <w:rPr/>
            </w:pPr>
            <w:r>
              <w:rPr/>
              <w:t> </w:t>
            </w:r>
          </w:p>
        </w:tc>
        <w:tc>
          <w:tcPr>
            <w:tcW w:w="934" w:type="dxa"/>
            <w:tcBorders/>
            <w:vAlign w:val="center"/>
          </w:tcPr>
          <w:p>
            <w:pPr>
              <w:pStyle w:val="TableContents"/>
              <w:pBdr>
                <w:top w:val="double" w:sz="6"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double" w:sz="6" w:space="1" w:color="000000"/>
              </w:pBdr>
              <w:bidi w:val="0"/>
              <w:spacing w:before="0" w:after="0"/>
              <w:jc w:val="left"/>
              <w:rPr/>
            </w:pPr>
            <w:r>
              <w:rPr/>
              <w:t> </w:t>
            </w:r>
          </w:p>
        </w:tc>
        <w:tc>
          <w:tcPr>
            <w:tcW w:w="934" w:type="dxa"/>
            <w:tcBorders/>
            <w:vAlign w:val="center"/>
          </w:tcPr>
          <w:p>
            <w:pPr>
              <w:pStyle w:val="TableContents"/>
              <w:pBdr>
                <w:top w:val="double" w:sz="6"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double" w:sz="6" w:space="1" w:color="000000"/>
              </w:pBdr>
              <w:bidi w:val="0"/>
              <w:spacing w:before="0" w:after="0"/>
              <w:jc w:val="left"/>
              <w:rPr/>
            </w:pPr>
            <w:r>
              <w:rPr/>
              <w:t> </w:t>
            </w:r>
          </w:p>
        </w:tc>
        <w:tc>
          <w:tcPr>
            <w:tcW w:w="934" w:type="dxa"/>
            <w:tcBorders/>
            <w:vAlign w:val="center"/>
          </w:tcPr>
          <w:p>
            <w:pPr>
              <w:pStyle w:val="TableContents"/>
              <w:pBdr>
                <w:top w:val="double" w:sz="6"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46" w:type="dxa"/>
            <w:tcBorders/>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283"/>
              <w:jc w:val="left"/>
              <w:rPr>
                <w:sz w:val="4"/>
                <w:szCs w:val="4"/>
              </w:rPr>
            </w:pPr>
            <w:r>
              <w:rPr>
                <w:sz w:val="4"/>
                <w:szCs w:val="4"/>
              </w:rPr>
            </w:r>
          </w:p>
        </w:tc>
        <w:tc>
          <w:tcPr>
            <w:tcW w:w="1622" w:type="dxa"/>
            <w:gridSpan w:val="5"/>
            <w:tcBorders/>
            <w:vAlign w:val="center"/>
          </w:tcPr>
          <w:p>
            <w:pPr>
              <w:pStyle w:val="TableContents"/>
              <w:bidi w:val="0"/>
              <w:spacing w:before="0" w:after="283"/>
              <w:jc w:val="left"/>
              <w:rPr>
                <w:sz w:val="4"/>
                <w:szCs w:val="4"/>
              </w:rPr>
            </w:pPr>
            <w:r>
              <w:rPr>
                <w:sz w:val="4"/>
                <w:szCs w:val="4"/>
              </w:rPr>
            </w:r>
          </w:p>
        </w:tc>
        <w:tc>
          <w:tcPr>
            <w:tcW w:w="1562" w:type="dxa"/>
            <w:gridSpan w:val="5"/>
            <w:tcBorders/>
            <w:vAlign w:val="center"/>
          </w:tcPr>
          <w:p>
            <w:pPr>
              <w:pStyle w:val="TableContents"/>
              <w:bidi w:val="0"/>
              <w:spacing w:before="0" w:after="283"/>
              <w:jc w:val="left"/>
              <w:rPr>
                <w:sz w:val="4"/>
                <w:szCs w:val="4"/>
              </w:rPr>
            </w:pPr>
            <w:r>
              <w:rPr>
                <w:sz w:val="4"/>
                <w:szCs w:val="4"/>
              </w:rPr>
            </w:r>
          </w:p>
        </w:tc>
        <w:tc>
          <w:tcPr>
            <w:tcW w:w="1562" w:type="dxa"/>
            <w:gridSpan w:val="5"/>
            <w:tcBorders/>
            <w:vAlign w:val="center"/>
          </w:tcPr>
          <w:p>
            <w:pPr>
              <w:pStyle w:val="TableContents"/>
              <w:bidi w:val="0"/>
              <w:spacing w:before="0" w:after="283"/>
              <w:jc w:val="left"/>
              <w:rPr>
                <w:sz w:val="4"/>
                <w:szCs w:val="4"/>
              </w:rPr>
            </w:pPr>
            <w:r>
              <w:rPr>
                <w:sz w:val="4"/>
                <w:szCs w:val="4"/>
              </w:rPr>
            </w:r>
          </w:p>
        </w:tc>
        <w:tc>
          <w:tcPr>
            <w:tcW w:w="46" w:type="dxa"/>
            <w:tcBorders/>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0"/>
              <w:jc w:val="left"/>
              <w:rPr>
                <w:rFonts w:ascii="arial" w:hAnsi="arial"/>
                <w:b/>
                <w:sz w:val="18"/>
              </w:rPr>
            </w:pPr>
            <w:r>
              <w:rPr>
                <w:rFonts w:ascii="arial" w:hAnsi="arial"/>
                <w:b/>
                <w:sz w:val="18"/>
              </w:rPr>
              <w:t>GAAP income before income taxes</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34" w:type="dxa"/>
            <w:tcBorders/>
            <w:vAlign w:val="center"/>
          </w:tcPr>
          <w:p>
            <w:pPr>
              <w:pStyle w:val="TableContents"/>
              <w:bidi w:val="0"/>
              <w:spacing w:before="0" w:after="283"/>
              <w:jc w:val="right"/>
              <w:rPr/>
            </w:pPr>
            <w:r>
              <w:rPr/>
              <w:t>7,855</w:t>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34" w:type="dxa"/>
            <w:tcBorders/>
            <w:vAlign w:val="center"/>
          </w:tcPr>
          <w:p>
            <w:pPr>
              <w:pStyle w:val="TableContents"/>
              <w:bidi w:val="0"/>
              <w:spacing w:before="0" w:after="283"/>
              <w:jc w:val="right"/>
              <w:rPr/>
            </w:pPr>
            <w:r>
              <w:rPr/>
              <w:t>7,346</w:t>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34" w:type="dxa"/>
            <w:tcBorders/>
            <w:vAlign w:val="center"/>
          </w:tcPr>
          <w:p>
            <w:pPr>
              <w:pStyle w:val="TableContents"/>
              <w:bidi w:val="0"/>
              <w:spacing w:before="0" w:after="283"/>
              <w:jc w:val="right"/>
              <w:rPr/>
            </w:pPr>
            <w:r>
              <w:rPr/>
              <w:t>6,701</w:t>
            </w:r>
          </w:p>
        </w:tc>
        <w:tc>
          <w:tcPr>
            <w:tcW w:w="295" w:type="dxa"/>
            <w:tcBorders/>
            <w:vAlign w:val="center"/>
          </w:tcPr>
          <w:p>
            <w:pPr>
              <w:pStyle w:val="TableContents"/>
              <w:bidi w:val="0"/>
              <w:spacing w:before="0" w:after="283"/>
              <w:jc w:val="left"/>
              <w:rPr>
                <w:sz w:val="4"/>
                <w:szCs w:val="4"/>
              </w:rPr>
            </w:pPr>
            <w:r>
              <w:rPr>
                <w:sz w:val="4"/>
                <w:szCs w:val="4"/>
              </w:rPr>
            </w:r>
          </w:p>
        </w:tc>
        <w:tc>
          <w:tcPr>
            <w:tcW w:w="46" w:type="dxa"/>
            <w:tcBorders/>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0"/>
              <w:jc w:val="left"/>
              <w:rPr>
                <w:rFonts w:ascii="arial" w:hAnsi="arial"/>
                <w:sz w:val="18"/>
              </w:rPr>
            </w:pPr>
            <w:r>
              <w:rPr>
                <w:rFonts w:ascii="arial" w:hAnsi="arial"/>
                <w:sz w:val="18"/>
              </w:rPr>
              <w:t>Adjustments to operating expenses</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5,502</w:t>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3,195</w:t>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4,785</w:t>
            </w:r>
          </w:p>
        </w:tc>
        <w:tc>
          <w:tcPr>
            <w:tcW w:w="295" w:type="dxa"/>
            <w:tcBorders/>
            <w:vAlign w:val="center"/>
          </w:tcPr>
          <w:p>
            <w:pPr>
              <w:pStyle w:val="TableContents"/>
              <w:bidi w:val="0"/>
              <w:spacing w:before="0" w:after="283"/>
              <w:jc w:val="left"/>
              <w:rPr>
                <w:sz w:val="4"/>
                <w:szCs w:val="4"/>
              </w:rPr>
            </w:pPr>
            <w:r>
              <w:rPr>
                <w:sz w:val="4"/>
                <w:szCs w:val="4"/>
              </w:rPr>
            </w:r>
          </w:p>
        </w:tc>
        <w:tc>
          <w:tcPr>
            <w:tcW w:w="46" w:type="dxa"/>
            <w:tcBorders/>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0"/>
              <w:jc w:val="left"/>
              <w:rPr>
                <w:rFonts w:ascii="arial" w:hAnsi="arial"/>
                <w:sz w:val="18"/>
              </w:rPr>
            </w:pPr>
            <w:r>
              <w:rPr>
                <w:rFonts w:ascii="arial" w:hAnsi="arial"/>
                <w:sz w:val="18"/>
              </w:rPr>
              <w:t xml:space="preserve">Adjustments to interest expense, net </w:t>
            </w:r>
            <w:r>
              <w:rPr>
                <w:rFonts w:ascii="arial" w:hAnsi="arial"/>
                <w:b/>
                <w:sz w:val="18"/>
              </w:rPr>
              <w:t>(e)</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807</w:t>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5</w:t>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w:t>
            </w:r>
          </w:p>
        </w:tc>
        <w:tc>
          <w:tcPr>
            <w:tcW w:w="295" w:type="dxa"/>
            <w:tcBorders/>
            <w:vAlign w:val="center"/>
          </w:tcPr>
          <w:p>
            <w:pPr>
              <w:pStyle w:val="TableContents"/>
              <w:bidi w:val="0"/>
              <w:spacing w:before="0" w:after="283"/>
              <w:jc w:val="left"/>
              <w:rPr>
                <w:sz w:val="4"/>
                <w:szCs w:val="4"/>
              </w:rPr>
            </w:pPr>
            <w:r>
              <w:rPr>
                <w:sz w:val="4"/>
                <w:szCs w:val="4"/>
              </w:rPr>
            </w:r>
          </w:p>
        </w:tc>
        <w:tc>
          <w:tcPr>
            <w:tcW w:w="46" w:type="dxa"/>
            <w:tcBorders/>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0"/>
              <w:jc w:val="left"/>
              <w:rPr>
                <w:rFonts w:ascii="arial" w:hAnsi="arial"/>
                <w:sz w:val="18"/>
              </w:rPr>
            </w:pPr>
            <w:r>
              <w:rPr>
                <w:rFonts w:ascii="arial" w:hAnsi="arial"/>
                <w:sz w:val="18"/>
              </w:rPr>
              <w:t xml:space="preserve">Adjustments to other income (expense), net </w:t>
            </w:r>
            <w:r>
              <w:rPr>
                <w:rFonts w:ascii="arial" w:hAnsi="arial"/>
                <w:b/>
                <w:sz w:val="18"/>
              </w:rPr>
              <w:t>(e) (f)</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(2,147</w:t>
            </w:r>
          </w:p>
        </w:tc>
        <w:tc>
          <w:tcPr>
            <w:tcW w:w="2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554</w:t>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(248</w:t>
            </w:r>
          </w:p>
        </w:tc>
        <w:tc>
          <w:tcPr>
            <w:tcW w:w="295" w:type="dxa"/>
            <w:tcBorders/>
            <w:vAlign w:val="center"/>
          </w:tcPr>
          <w:p>
            <w:pPr>
              <w:pStyle w:val="TableContents"/>
              <w:bidi w:val="0"/>
              <w:spacing w:before="0" w:after="283"/>
              <w:jc w:val="left"/>
              <w:rPr/>
            </w:pPr>
            <w:r>
              <w:rPr/>
              <w:t>)</w:t>
            </w:r>
          </w:p>
        </w:tc>
        <w:tc>
          <w:tcPr>
            <w:tcW w:w="46" w:type="dxa"/>
            <w:tcBorders/>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single" w:sz="2" w:space="1" w:color="000000"/>
              </w:pBdr>
              <w:bidi w:val="0"/>
              <w:spacing w:before="0" w:after="0"/>
              <w:jc w:val="left"/>
              <w:rPr/>
            </w:pPr>
            <w:r>
              <w:rPr/>
              <w:t> </w:t>
            </w:r>
          </w:p>
        </w:tc>
        <w:tc>
          <w:tcPr>
            <w:tcW w:w="934" w:type="dxa"/>
            <w:tcBorders/>
            <w:vAlign w:val="center"/>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single" w:sz="2" w:space="1" w:color="000000"/>
              </w:pBdr>
              <w:bidi w:val="0"/>
              <w:spacing w:before="0" w:after="0"/>
              <w:jc w:val="left"/>
              <w:rPr/>
            </w:pPr>
            <w:r>
              <w:rPr/>
              <w:t> </w:t>
            </w:r>
          </w:p>
        </w:tc>
        <w:tc>
          <w:tcPr>
            <w:tcW w:w="934" w:type="dxa"/>
            <w:tcBorders/>
            <w:vAlign w:val="center"/>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single" w:sz="2" w:space="1" w:color="000000"/>
              </w:pBdr>
              <w:bidi w:val="0"/>
              <w:spacing w:before="0" w:after="0"/>
              <w:jc w:val="left"/>
              <w:rPr/>
            </w:pPr>
            <w:r>
              <w:rPr/>
              <w:t> </w:t>
            </w:r>
          </w:p>
        </w:tc>
        <w:tc>
          <w:tcPr>
            <w:tcW w:w="934" w:type="dxa"/>
            <w:tcBorders/>
            <w:vAlign w:val="center"/>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46" w:type="dxa"/>
            <w:tcBorders/>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0"/>
              <w:jc w:val="left"/>
              <w:rPr>
                <w:rFonts w:ascii="arial" w:hAnsi="arial"/>
                <w:b/>
                <w:sz w:val="18"/>
              </w:rPr>
            </w:pPr>
            <w:r>
              <w:rPr>
                <w:rFonts w:ascii="arial" w:hAnsi="arial"/>
                <w:b/>
                <w:sz w:val="18"/>
              </w:rPr>
              <w:t>Total adjustments to income before income taxes</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4,162</w:t>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3,754</w:t>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4,537</w:t>
            </w:r>
          </w:p>
        </w:tc>
        <w:tc>
          <w:tcPr>
            <w:tcW w:w="295" w:type="dxa"/>
            <w:tcBorders/>
            <w:vAlign w:val="center"/>
          </w:tcPr>
          <w:p>
            <w:pPr>
              <w:pStyle w:val="TableContents"/>
              <w:bidi w:val="0"/>
              <w:spacing w:before="0" w:after="283"/>
              <w:jc w:val="left"/>
              <w:rPr>
                <w:sz w:val="4"/>
                <w:szCs w:val="4"/>
              </w:rPr>
            </w:pPr>
            <w:r>
              <w:rPr>
                <w:sz w:val="4"/>
                <w:szCs w:val="4"/>
              </w:rPr>
            </w:r>
          </w:p>
        </w:tc>
        <w:tc>
          <w:tcPr>
            <w:tcW w:w="46" w:type="dxa"/>
            <w:tcBorders/>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single" w:sz="2" w:space="1" w:color="000000"/>
              </w:pBdr>
              <w:bidi w:val="0"/>
              <w:spacing w:before="0" w:after="0"/>
              <w:jc w:val="left"/>
              <w:rPr/>
            </w:pPr>
            <w:r>
              <w:rPr/>
              <w:t> </w:t>
            </w:r>
          </w:p>
        </w:tc>
        <w:tc>
          <w:tcPr>
            <w:tcW w:w="934" w:type="dxa"/>
            <w:tcBorders/>
            <w:vAlign w:val="center"/>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single" w:sz="2" w:space="1" w:color="000000"/>
              </w:pBdr>
              <w:bidi w:val="0"/>
              <w:spacing w:before="0" w:after="0"/>
              <w:jc w:val="left"/>
              <w:rPr/>
            </w:pPr>
            <w:r>
              <w:rPr/>
              <w:t> </w:t>
            </w:r>
          </w:p>
        </w:tc>
        <w:tc>
          <w:tcPr>
            <w:tcW w:w="934" w:type="dxa"/>
            <w:tcBorders/>
            <w:vAlign w:val="center"/>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single" w:sz="2" w:space="1" w:color="000000"/>
              </w:pBdr>
              <w:bidi w:val="0"/>
              <w:spacing w:before="0" w:after="0"/>
              <w:jc w:val="left"/>
              <w:rPr/>
            </w:pPr>
            <w:r>
              <w:rPr/>
              <w:t> </w:t>
            </w:r>
          </w:p>
        </w:tc>
        <w:tc>
          <w:tcPr>
            <w:tcW w:w="934" w:type="dxa"/>
            <w:tcBorders/>
            <w:vAlign w:val="center"/>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46" w:type="dxa"/>
            <w:tcBorders/>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0"/>
              <w:jc w:val="left"/>
              <w:rPr>
                <w:rFonts w:ascii="arial" w:hAnsi="arial"/>
                <w:b/>
                <w:sz w:val="18"/>
              </w:rPr>
            </w:pPr>
            <w:r>
              <w:rPr>
                <w:rFonts w:ascii="arial" w:hAnsi="arial"/>
                <w:b/>
                <w:sz w:val="18"/>
              </w:rPr>
              <w:t>Non-GAAP income before income taxes</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34" w:type="dxa"/>
            <w:tcBorders/>
            <w:vAlign w:val="center"/>
          </w:tcPr>
          <w:p>
            <w:pPr>
              <w:pStyle w:val="TableContents"/>
              <w:bidi w:val="0"/>
              <w:spacing w:before="0" w:after="283"/>
              <w:jc w:val="right"/>
              <w:rPr/>
            </w:pPr>
            <w:r>
              <w:rPr/>
              <w:t>12,017</w:t>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34" w:type="dxa"/>
            <w:tcBorders/>
            <w:vAlign w:val="center"/>
          </w:tcPr>
          <w:p>
            <w:pPr>
              <w:pStyle w:val="TableContents"/>
              <w:bidi w:val="0"/>
              <w:spacing w:before="0" w:after="283"/>
              <w:jc w:val="right"/>
              <w:rPr/>
            </w:pPr>
            <w:r>
              <w:rPr/>
              <w:t>11,100</w:t>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34" w:type="dxa"/>
            <w:tcBorders/>
            <w:vAlign w:val="center"/>
          </w:tcPr>
          <w:p>
            <w:pPr>
              <w:pStyle w:val="TableContents"/>
              <w:bidi w:val="0"/>
              <w:spacing w:before="0" w:after="283"/>
              <w:jc w:val="right"/>
              <w:rPr/>
            </w:pPr>
            <w:r>
              <w:rPr/>
              <w:t>11,238</w:t>
            </w:r>
          </w:p>
        </w:tc>
        <w:tc>
          <w:tcPr>
            <w:tcW w:w="295" w:type="dxa"/>
            <w:tcBorders/>
            <w:vAlign w:val="center"/>
          </w:tcPr>
          <w:p>
            <w:pPr>
              <w:pStyle w:val="TableContents"/>
              <w:bidi w:val="0"/>
              <w:spacing w:before="0" w:after="283"/>
              <w:jc w:val="left"/>
              <w:rPr>
                <w:sz w:val="4"/>
                <w:szCs w:val="4"/>
              </w:rPr>
            </w:pPr>
            <w:r>
              <w:rPr>
                <w:sz w:val="4"/>
                <w:szCs w:val="4"/>
              </w:rPr>
            </w:r>
          </w:p>
        </w:tc>
        <w:tc>
          <w:tcPr>
            <w:tcW w:w="46" w:type="dxa"/>
            <w:tcBorders/>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double" w:sz="6" w:space="1" w:color="000000"/>
              </w:pBdr>
              <w:bidi w:val="0"/>
              <w:spacing w:before="0" w:after="0"/>
              <w:jc w:val="left"/>
              <w:rPr/>
            </w:pPr>
            <w:r>
              <w:rPr/>
              <w:t> </w:t>
            </w:r>
          </w:p>
        </w:tc>
        <w:tc>
          <w:tcPr>
            <w:tcW w:w="934" w:type="dxa"/>
            <w:tcBorders/>
            <w:vAlign w:val="center"/>
          </w:tcPr>
          <w:p>
            <w:pPr>
              <w:pStyle w:val="TableContents"/>
              <w:pBdr>
                <w:top w:val="double" w:sz="6"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double" w:sz="6" w:space="1" w:color="000000"/>
              </w:pBdr>
              <w:bidi w:val="0"/>
              <w:spacing w:before="0" w:after="0"/>
              <w:jc w:val="left"/>
              <w:rPr/>
            </w:pPr>
            <w:r>
              <w:rPr/>
              <w:t> </w:t>
            </w:r>
          </w:p>
        </w:tc>
        <w:tc>
          <w:tcPr>
            <w:tcW w:w="934" w:type="dxa"/>
            <w:tcBorders/>
            <w:vAlign w:val="center"/>
          </w:tcPr>
          <w:p>
            <w:pPr>
              <w:pStyle w:val="TableContents"/>
              <w:pBdr>
                <w:top w:val="double" w:sz="6"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double" w:sz="6" w:space="1" w:color="000000"/>
              </w:pBdr>
              <w:bidi w:val="0"/>
              <w:spacing w:before="0" w:after="0"/>
              <w:jc w:val="left"/>
              <w:rPr/>
            </w:pPr>
            <w:r>
              <w:rPr/>
              <w:t> </w:t>
            </w:r>
          </w:p>
        </w:tc>
        <w:tc>
          <w:tcPr>
            <w:tcW w:w="934" w:type="dxa"/>
            <w:tcBorders/>
            <w:vAlign w:val="center"/>
          </w:tcPr>
          <w:p>
            <w:pPr>
              <w:pStyle w:val="TableContents"/>
              <w:pBdr>
                <w:top w:val="double" w:sz="6"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46" w:type="dxa"/>
            <w:tcBorders/>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283"/>
              <w:jc w:val="left"/>
              <w:rPr>
                <w:sz w:val="4"/>
                <w:szCs w:val="4"/>
              </w:rPr>
            </w:pPr>
            <w:r>
              <w:rPr>
                <w:sz w:val="4"/>
                <w:szCs w:val="4"/>
              </w:rPr>
            </w:r>
          </w:p>
        </w:tc>
        <w:tc>
          <w:tcPr>
            <w:tcW w:w="1622" w:type="dxa"/>
            <w:gridSpan w:val="5"/>
            <w:tcBorders/>
            <w:vAlign w:val="center"/>
          </w:tcPr>
          <w:p>
            <w:pPr>
              <w:pStyle w:val="TableContents"/>
              <w:bidi w:val="0"/>
              <w:spacing w:before="0" w:after="283"/>
              <w:jc w:val="left"/>
              <w:rPr>
                <w:sz w:val="4"/>
                <w:szCs w:val="4"/>
              </w:rPr>
            </w:pPr>
            <w:r>
              <w:rPr>
                <w:sz w:val="4"/>
                <w:szCs w:val="4"/>
              </w:rPr>
            </w:r>
          </w:p>
        </w:tc>
        <w:tc>
          <w:tcPr>
            <w:tcW w:w="1562" w:type="dxa"/>
            <w:gridSpan w:val="5"/>
            <w:tcBorders/>
            <w:vAlign w:val="center"/>
          </w:tcPr>
          <w:p>
            <w:pPr>
              <w:pStyle w:val="TableContents"/>
              <w:bidi w:val="0"/>
              <w:spacing w:before="0" w:after="283"/>
              <w:jc w:val="left"/>
              <w:rPr>
                <w:sz w:val="4"/>
                <w:szCs w:val="4"/>
              </w:rPr>
            </w:pPr>
            <w:r>
              <w:rPr>
                <w:sz w:val="4"/>
                <w:szCs w:val="4"/>
              </w:rPr>
            </w:r>
          </w:p>
        </w:tc>
        <w:tc>
          <w:tcPr>
            <w:tcW w:w="1562" w:type="dxa"/>
            <w:gridSpan w:val="5"/>
            <w:tcBorders/>
            <w:vAlign w:val="center"/>
          </w:tcPr>
          <w:p>
            <w:pPr>
              <w:pStyle w:val="TableContents"/>
              <w:bidi w:val="0"/>
              <w:spacing w:before="0" w:after="283"/>
              <w:jc w:val="left"/>
              <w:rPr>
                <w:sz w:val="4"/>
                <w:szCs w:val="4"/>
              </w:rPr>
            </w:pPr>
            <w:r>
              <w:rPr>
                <w:sz w:val="4"/>
                <w:szCs w:val="4"/>
              </w:rPr>
            </w:r>
          </w:p>
        </w:tc>
        <w:tc>
          <w:tcPr>
            <w:tcW w:w="46" w:type="dxa"/>
            <w:tcBorders/>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0"/>
              <w:jc w:val="left"/>
              <w:rPr>
                <w:rFonts w:ascii="arial" w:hAnsi="arial"/>
                <w:b/>
                <w:sz w:val="18"/>
              </w:rPr>
            </w:pPr>
            <w:r>
              <w:rPr>
                <w:rFonts w:ascii="arial" w:hAnsi="arial"/>
                <w:b/>
                <w:sz w:val="18"/>
              </w:rPr>
              <w:t>GAAP provision for income taxes</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34" w:type="dxa"/>
            <w:tcBorders/>
            <w:vAlign w:val="center"/>
          </w:tcPr>
          <w:p>
            <w:pPr>
              <w:pStyle w:val="TableContents"/>
              <w:bidi w:val="0"/>
              <w:spacing w:before="0" w:after="283"/>
              <w:jc w:val="right"/>
              <w:rPr/>
            </w:pPr>
            <w:r>
              <w:rPr/>
              <w:t>1,138</w:t>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34" w:type="dxa"/>
            <w:tcBorders/>
            <w:vAlign w:val="center"/>
          </w:tcPr>
          <w:p>
            <w:pPr>
              <w:pStyle w:val="TableContents"/>
              <w:bidi w:val="0"/>
              <w:spacing w:before="0" w:after="283"/>
              <w:jc w:val="right"/>
              <w:rPr/>
            </w:pPr>
            <w:r>
              <w:rPr/>
              <w:t>794</w:t>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34" w:type="dxa"/>
            <w:tcBorders/>
            <w:vAlign w:val="center"/>
          </w:tcPr>
          <w:p>
            <w:pPr>
              <w:pStyle w:val="TableContents"/>
              <w:bidi w:val="0"/>
              <w:spacing w:before="0" w:after="283"/>
              <w:jc w:val="right"/>
              <w:rPr/>
            </w:pPr>
            <w:r>
              <w:rPr/>
              <w:t>808</w:t>
            </w:r>
          </w:p>
        </w:tc>
        <w:tc>
          <w:tcPr>
            <w:tcW w:w="295" w:type="dxa"/>
            <w:tcBorders/>
            <w:vAlign w:val="center"/>
          </w:tcPr>
          <w:p>
            <w:pPr>
              <w:pStyle w:val="TableContents"/>
              <w:bidi w:val="0"/>
              <w:spacing w:before="0" w:after="283"/>
              <w:jc w:val="left"/>
              <w:rPr>
                <w:sz w:val="4"/>
                <w:szCs w:val="4"/>
              </w:rPr>
            </w:pPr>
            <w:r>
              <w:rPr>
                <w:sz w:val="4"/>
                <w:szCs w:val="4"/>
              </w:rPr>
            </w:r>
          </w:p>
        </w:tc>
        <w:tc>
          <w:tcPr>
            <w:tcW w:w="46" w:type="dxa"/>
            <w:tcBorders/>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0"/>
              <w:jc w:val="left"/>
              <w:rPr>
                <w:rFonts w:ascii="arial" w:hAnsi="arial"/>
                <w:b/>
                <w:sz w:val="18"/>
              </w:rPr>
            </w:pPr>
            <w:r>
              <w:rPr>
                <w:rFonts w:ascii="arial" w:hAnsi="arial"/>
                <w:b/>
                <w:sz w:val="18"/>
              </w:rPr>
              <w:t>Adjustments to provision for income taxes:</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6" w:type="dxa"/>
            <w:tcBorders/>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0"/>
              <w:jc w:val="left"/>
              <w:rPr>
                <w:rFonts w:ascii="arial" w:hAnsi="arial"/>
                <w:sz w:val="18"/>
              </w:rPr>
            </w:pPr>
            <w:r>
              <w:rPr>
                <w:rFonts w:ascii="arial" w:hAnsi="arial"/>
                <w:sz w:val="18"/>
              </w:rPr>
              <w:t xml:space="preserve">Income tax effect of the above adjustments </w:t>
            </w:r>
            <w:r>
              <w:rPr>
                <w:rFonts w:ascii="arial" w:hAnsi="arial"/>
                <w:b/>
                <w:sz w:val="18"/>
              </w:rPr>
              <w:t>(g)</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846</w:t>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690</w:t>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630</w:t>
            </w:r>
          </w:p>
        </w:tc>
        <w:tc>
          <w:tcPr>
            <w:tcW w:w="295" w:type="dxa"/>
            <w:tcBorders/>
            <w:vAlign w:val="center"/>
          </w:tcPr>
          <w:p>
            <w:pPr>
              <w:pStyle w:val="TableContents"/>
              <w:bidi w:val="0"/>
              <w:spacing w:before="0" w:after="283"/>
              <w:jc w:val="left"/>
              <w:rPr>
                <w:sz w:val="4"/>
                <w:szCs w:val="4"/>
              </w:rPr>
            </w:pPr>
            <w:r>
              <w:rPr>
                <w:sz w:val="4"/>
                <w:szCs w:val="4"/>
              </w:rPr>
            </w:r>
          </w:p>
        </w:tc>
        <w:tc>
          <w:tcPr>
            <w:tcW w:w="46" w:type="dxa"/>
            <w:tcBorders/>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0"/>
              <w:jc w:val="left"/>
              <w:rPr>
                <w:rFonts w:ascii="arial" w:hAnsi="arial"/>
                <w:sz w:val="18"/>
              </w:rPr>
            </w:pPr>
            <w:r>
              <w:rPr>
                <w:rFonts w:ascii="arial" w:hAnsi="arial"/>
                <w:sz w:val="18"/>
              </w:rPr>
              <w:t xml:space="preserve">Other income tax adjustments </w:t>
            </w:r>
            <w:r>
              <w:rPr>
                <w:rFonts w:ascii="arial" w:hAnsi="arial"/>
                <w:b/>
                <w:sz w:val="18"/>
              </w:rPr>
              <w:t>(h)</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(1</w:t>
            </w:r>
          </w:p>
        </w:tc>
        <w:tc>
          <w:tcPr>
            <w:tcW w:w="2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46</w:t>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3</w:t>
            </w:r>
          </w:p>
        </w:tc>
        <w:tc>
          <w:tcPr>
            <w:tcW w:w="295" w:type="dxa"/>
            <w:tcBorders/>
            <w:vAlign w:val="center"/>
          </w:tcPr>
          <w:p>
            <w:pPr>
              <w:pStyle w:val="TableContents"/>
              <w:bidi w:val="0"/>
              <w:spacing w:before="0" w:after="283"/>
              <w:jc w:val="left"/>
              <w:rPr>
                <w:sz w:val="4"/>
                <w:szCs w:val="4"/>
              </w:rPr>
            </w:pPr>
            <w:r>
              <w:rPr>
                <w:sz w:val="4"/>
                <w:szCs w:val="4"/>
              </w:rPr>
            </w:r>
          </w:p>
        </w:tc>
        <w:tc>
          <w:tcPr>
            <w:tcW w:w="46" w:type="dxa"/>
            <w:tcBorders/>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single" w:sz="2" w:space="1" w:color="000000"/>
              </w:pBdr>
              <w:bidi w:val="0"/>
              <w:spacing w:before="0" w:after="0"/>
              <w:jc w:val="left"/>
              <w:rPr/>
            </w:pPr>
            <w:r>
              <w:rPr/>
              <w:t> </w:t>
            </w:r>
          </w:p>
        </w:tc>
        <w:tc>
          <w:tcPr>
            <w:tcW w:w="934" w:type="dxa"/>
            <w:tcBorders/>
            <w:vAlign w:val="center"/>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single" w:sz="2" w:space="1" w:color="000000"/>
              </w:pBdr>
              <w:bidi w:val="0"/>
              <w:spacing w:before="0" w:after="0"/>
              <w:jc w:val="left"/>
              <w:rPr/>
            </w:pPr>
            <w:r>
              <w:rPr/>
              <w:t> </w:t>
            </w:r>
          </w:p>
        </w:tc>
        <w:tc>
          <w:tcPr>
            <w:tcW w:w="934" w:type="dxa"/>
            <w:tcBorders/>
            <w:vAlign w:val="center"/>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single" w:sz="2" w:space="1" w:color="000000"/>
              </w:pBdr>
              <w:bidi w:val="0"/>
              <w:spacing w:before="0" w:after="0"/>
              <w:jc w:val="left"/>
              <w:rPr/>
            </w:pPr>
            <w:r>
              <w:rPr/>
              <w:t> </w:t>
            </w:r>
          </w:p>
        </w:tc>
        <w:tc>
          <w:tcPr>
            <w:tcW w:w="934" w:type="dxa"/>
            <w:tcBorders/>
            <w:vAlign w:val="center"/>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46" w:type="dxa"/>
            <w:tcBorders/>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0"/>
              <w:jc w:val="left"/>
              <w:rPr>
                <w:rFonts w:ascii="arial" w:hAnsi="arial"/>
                <w:b/>
                <w:sz w:val="18"/>
              </w:rPr>
            </w:pPr>
            <w:r>
              <w:rPr>
                <w:rFonts w:ascii="arial" w:hAnsi="arial"/>
                <w:b/>
                <w:sz w:val="18"/>
              </w:rPr>
              <w:t>Total adjustments to provision for income taxes</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845</w:t>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736</w:t>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633</w:t>
            </w:r>
          </w:p>
        </w:tc>
        <w:tc>
          <w:tcPr>
            <w:tcW w:w="295" w:type="dxa"/>
            <w:tcBorders/>
            <w:vAlign w:val="center"/>
          </w:tcPr>
          <w:p>
            <w:pPr>
              <w:pStyle w:val="TableContents"/>
              <w:bidi w:val="0"/>
              <w:spacing w:before="0" w:after="283"/>
              <w:jc w:val="left"/>
              <w:rPr>
                <w:sz w:val="4"/>
                <w:szCs w:val="4"/>
              </w:rPr>
            </w:pPr>
            <w:r>
              <w:rPr>
                <w:sz w:val="4"/>
                <w:szCs w:val="4"/>
              </w:rPr>
            </w:r>
          </w:p>
        </w:tc>
        <w:tc>
          <w:tcPr>
            <w:tcW w:w="46" w:type="dxa"/>
            <w:tcBorders/>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single" w:sz="2" w:space="1" w:color="000000"/>
              </w:pBdr>
              <w:bidi w:val="0"/>
              <w:spacing w:before="0" w:after="0"/>
              <w:jc w:val="left"/>
              <w:rPr/>
            </w:pPr>
            <w:r>
              <w:rPr/>
              <w:t> </w:t>
            </w:r>
          </w:p>
        </w:tc>
        <w:tc>
          <w:tcPr>
            <w:tcW w:w="934" w:type="dxa"/>
            <w:tcBorders/>
            <w:vAlign w:val="center"/>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single" w:sz="2" w:space="1" w:color="000000"/>
              </w:pBdr>
              <w:bidi w:val="0"/>
              <w:spacing w:before="0" w:after="0"/>
              <w:jc w:val="left"/>
              <w:rPr/>
            </w:pPr>
            <w:r>
              <w:rPr/>
              <w:t> </w:t>
            </w:r>
          </w:p>
        </w:tc>
        <w:tc>
          <w:tcPr>
            <w:tcW w:w="934" w:type="dxa"/>
            <w:tcBorders/>
            <w:vAlign w:val="center"/>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single" w:sz="2" w:space="1" w:color="000000"/>
              </w:pBdr>
              <w:bidi w:val="0"/>
              <w:spacing w:before="0" w:after="0"/>
              <w:jc w:val="left"/>
              <w:rPr/>
            </w:pPr>
            <w:r>
              <w:rPr/>
              <w:t> </w:t>
            </w:r>
          </w:p>
        </w:tc>
        <w:tc>
          <w:tcPr>
            <w:tcW w:w="934" w:type="dxa"/>
            <w:tcBorders/>
            <w:vAlign w:val="center"/>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46" w:type="dxa"/>
            <w:tcBorders/>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0"/>
              <w:jc w:val="left"/>
              <w:rPr>
                <w:rFonts w:ascii="arial" w:hAnsi="arial"/>
                <w:b/>
                <w:sz w:val="18"/>
              </w:rPr>
            </w:pPr>
            <w:r>
              <w:rPr>
                <w:rFonts w:ascii="arial" w:hAnsi="arial"/>
                <w:b/>
                <w:sz w:val="18"/>
              </w:rPr>
              <w:t>Non-GAAP provision for income taxes</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34" w:type="dxa"/>
            <w:tcBorders/>
            <w:vAlign w:val="center"/>
          </w:tcPr>
          <w:p>
            <w:pPr>
              <w:pStyle w:val="TableContents"/>
              <w:bidi w:val="0"/>
              <w:spacing w:before="0" w:after="283"/>
              <w:jc w:val="right"/>
              <w:rPr/>
            </w:pPr>
            <w:r>
              <w:rPr/>
              <w:t>1,983</w:t>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34" w:type="dxa"/>
            <w:tcBorders/>
            <w:vAlign w:val="center"/>
          </w:tcPr>
          <w:p>
            <w:pPr>
              <w:pStyle w:val="TableContents"/>
              <w:bidi w:val="0"/>
              <w:spacing w:before="0" w:after="283"/>
              <w:jc w:val="right"/>
              <w:rPr/>
            </w:pPr>
            <w:r>
              <w:rPr/>
              <w:t>1,530</w:t>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34" w:type="dxa"/>
            <w:tcBorders/>
            <w:vAlign w:val="center"/>
          </w:tcPr>
          <w:p>
            <w:pPr>
              <w:pStyle w:val="TableContents"/>
              <w:bidi w:val="0"/>
              <w:spacing w:before="0" w:after="283"/>
              <w:jc w:val="right"/>
              <w:rPr/>
            </w:pPr>
            <w:r>
              <w:rPr/>
              <w:t>1,441</w:t>
            </w:r>
          </w:p>
        </w:tc>
        <w:tc>
          <w:tcPr>
            <w:tcW w:w="295" w:type="dxa"/>
            <w:tcBorders/>
            <w:vAlign w:val="center"/>
          </w:tcPr>
          <w:p>
            <w:pPr>
              <w:pStyle w:val="TableContents"/>
              <w:bidi w:val="0"/>
              <w:spacing w:before="0" w:after="283"/>
              <w:jc w:val="left"/>
              <w:rPr>
                <w:sz w:val="4"/>
                <w:szCs w:val="4"/>
              </w:rPr>
            </w:pPr>
            <w:r>
              <w:rPr>
                <w:sz w:val="4"/>
                <w:szCs w:val="4"/>
              </w:rPr>
            </w:r>
          </w:p>
        </w:tc>
        <w:tc>
          <w:tcPr>
            <w:tcW w:w="46" w:type="dxa"/>
            <w:tcBorders/>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double" w:sz="6" w:space="1" w:color="000000"/>
              </w:pBdr>
              <w:bidi w:val="0"/>
              <w:spacing w:before="0" w:after="0"/>
              <w:jc w:val="left"/>
              <w:rPr/>
            </w:pPr>
            <w:r>
              <w:rPr/>
              <w:t> </w:t>
            </w:r>
          </w:p>
        </w:tc>
        <w:tc>
          <w:tcPr>
            <w:tcW w:w="934" w:type="dxa"/>
            <w:tcBorders/>
            <w:vAlign w:val="center"/>
          </w:tcPr>
          <w:p>
            <w:pPr>
              <w:pStyle w:val="TableContents"/>
              <w:pBdr>
                <w:top w:val="double" w:sz="6"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double" w:sz="6" w:space="1" w:color="000000"/>
              </w:pBdr>
              <w:bidi w:val="0"/>
              <w:spacing w:before="0" w:after="0"/>
              <w:jc w:val="left"/>
              <w:rPr/>
            </w:pPr>
            <w:r>
              <w:rPr/>
              <w:t> </w:t>
            </w:r>
          </w:p>
        </w:tc>
        <w:tc>
          <w:tcPr>
            <w:tcW w:w="934" w:type="dxa"/>
            <w:tcBorders/>
            <w:vAlign w:val="center"/>
          </w:tcPr>
          <w:p>
            <w:pPr>
              <w:pStyle w:val="TableContents"/>
              <w:pBdr>
                <w:top w:val="double" w:sz="6"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double" w:sz="6" w:space="1" w:color="000000"/>
              </w:pBdr>
              <w:bidi w:val="0"/>
              <w:spacing w:before="0" w:after="0"/>
              <w:jc w:val="left"/>
              <w:rPr/>
            </w:pPr>
            <w:r>
              <w:rPr/>
              <w:t> </w:t>
            </w:r>
          </w:p>
        </w:tc>
        <w:tc>
          <w:tcPr>
            <w:tcW w:w="934" w:type="dxa"/>
            <w:tcBorders/>
            <w:vAlign w:val="center"/>
          </w:tcPr>
          <w:p>
            <w:pPr>
              <w:pStyle w:val="TableContents"/>
              <w:pBdr>
                <w:top w:val="double" w:sz="6"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46" w:type="dxa"/>
            <w:tcBorders/>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283"/>
              <w:jc w:val="left"/>
              <w:rPr>
                <w:sz w:val="4"/>
                <w:szCs w:val="4"/>
              </w:rPr>
            </w:pPr>
            <w:r>
              <w:rPr>
                <w:sz w:val="4"/>
                <w:szCs w:val="4"/>
              </w:rPr>
            </w:r>
          </w:p>
        </w:tc>
        <w:tc>
          <w:tcPr>
            <w:tcW w:w="1622" w:type="dxa"/>
            <w:gridSpan w:val="5"/>
            <w:tcBorders/>
            <w:vAlign w:val="center"/>
          </w:tcPr>
          <w:p>
            <w:pPr>
              <w:pStyle w:val="TableContents"/>
              <w:bidi w:val="0"/>
              <w:spacing w:before="0" w:after="283"/>
              <w:jc w:val="left"/>
              <w:rPr>
                <w:sz w:val="4"/>
                <w:szCs w:val="4"/>
              </w:rPr>
            </w:pPr>
            <w:r>
              <w:rPr>
                <w:sz w:val="4"/>
                <w:szCs w:val="4"/>
              </w:rPr>
            </w:r>
          </w:p>
        </w:tc>
        <w:tc>
          <w:tcPr>
            <w:tcW w:w="1562" w:type="dxa"/>
            <w:gridSpan w:val="5"/>
            <w:tcBorders/>
            <w:vAlign w:val="center"/>
          </w:tcPr>
          <w:p>
            <w:pPr>
              <w:pStyle w:val="TableContents"/>
              <w:bidi w:val="0"/>
              <w:spacing w:before="0" w:after="283"/>
              <w:jc w:val="left"/>
              <w:rPr>
                <w:sz w:val="4"/>
                <w:szCs w:val="4"/>
              </w:rPr>
            </w:pPr>
            <w:r>
              <w:rPr>
                <w:sz w:val="4"/>
                <w:szCs w:val="4"/>
              </w:rPr>
            </w:r>
          </w:p>
        </w:tc>
        <w:tc>
          <w:tcPr>
            <w:tcW w:w="1562" w:type="dxa"/>
            <w:gridSpan w:val="5"/>
            <w:tcBorders/>
            <w:vAlign w:val="center"/>
          </w:tcPr>
          <w:p>
            <w:pPr>
              <w:pStyle w:val="TableContents"/>
              <w:bidi w:val="0"/>
              <w:spacing w:before="0" w:after="283"/>
              <w:jc w:val="left"/>
              <w:rPr>
                <w:sz w:val="4"/>
                <w:szCs w:val="4"/>
              </w:rPr>
            </w:pPr>
            <w:r>
              <w:rPr>
                <w:sz w:val="4"/>
                <w:szCs w:val="4"/>
              </w:rPr>
            </w:r>
          </w:p>
        </w:tc>
        <w:tc>
          <w:tcPr>
            <w:tcW w:w="46" w:type="dxa"/>
            <w:tcBorders/>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0"/>
              <w:jc w:val="left"/>
              <w:rPr>
                <w:rFonts w:ascii="arial" w:hAnsi="arial"/>
                <w:b/>
                <w:sz w:val="18"/>
              </w:rPr>
            </w:pPr>
            <w:r>
              <w:rPr>
                <w:rFonts w:ascii="arial" w:hAnsi="arial"/>
                <w:b/>
                <w:sz w:val="18"/>
              </w:rPr>
              <w:t>GAAP tax as a percentage of income before taxes</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14.5</w:t>
            </w:r>
          </w:p>
        </w:tc>
        <w:tc>
          <w:tcPr>
            <w:tcW w:w="2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10.8</w:t>
            </w:r>
          </w:p>
        </w:tc>
        <w:tc>
          <w:tcPr>
            <w:tcW w:w="2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12.1</w:t>
            </w:r>
          </w:p>
        </w:tc>
        <w:tc>
          <w:tcPr>
            <w:tcW w:w="295" w:type="dxa"/>
            <w:tcBorders/>
            <w:vAlign w:val="center"/>
          </w:tcPr>
          <w:p>
            <w:pPr>
              <w:pStyle w:val="TableContents"/>
              <w:bidi w:val="0"/>
              <w:spacing w:before="0" w:after="283"/>
              <w:jc w:val="left"/>
              <w:rPr/>
            </w:pPr>
            <w:r>
              <w:rPr/>
              <w:t>%</w:t>
            </w:r>
          </w:p>
        </w:tc>
        <w:tc>
          <w:tcPr>
            <w:tcW w:w="46" w:type="dxa"/>
            <w:tcBorders/>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0"/>
              <w:jc w:val="left"/>
              <w:rPr>
                <w:rFonts w:ascii="arial" w:hAnsi="arial"/>
                <w:b/>
                <w:sz w:val="18"/>
              </w:rPr>
            </w:pPr>
            <w:r>
              <w:rPr>
                <w:rFonts w:ascii="arial" w:hAnsi="arial"/>
                <w:b/>
                <w:sz w:val="18"/>
              </w:rPr>
              <w:t>Adjustments to provision for income taxes:</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6" w:type="dxa"/>
            <w:tcBorders/>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0"/>
              <w:jc w:val="left"/>
              <w:rPr>
                <w:rFonts w:ascii="arial" w:hAnsi="arial"/>
                <w:sz w:val="18"/>
              </w:rPr>
            </w:pPr>
            <w:r>
              <w:rPr>
                <w:rFonts w:ascii="arial" w:hAnsi="arial"/>
                <w:sz w:val="18"/>
              </w:rPr>
              <w:t xml:space="preserve">Income tax effect of the above adjustments </w:t>
            </w:r>
            <w:r>
              <w:rPr>
                <w:rFonts w:ascii="arial" w:hAnsi="arial"/>
                <w:b/>
                <w:sz w:val="18"/>
              </w:rPr>
              <w:t>(g)</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2.0</w:t>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2.6</w:t>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0.7</w:t>
            </w:r>
          </w:p>
        </w:tc>
        <w:tc>
          <w:tcPr>
            <w:tcW w:w="295" w:type="dxa"/>
            <w:tcBorders/>
            <w:vAlign w:val="center"/>
          </w:tcPr>
          <w:p>
            <w:pPr>
              <w:pStyle w:val="TableContents"/>
              <w:bidi w:val="0"/>
              <w:spacing w:before="0" w:after="283"/>
              <w:jc w:val="left"/>
              <w:rPr>
                <w:sz w:val="4"/>
                <w:szCs w:val="4"/>
              </w:rPr>
            </w:pPr>
            <w:r>
              <w:rPr>
                <w:sz w:val="4"/>
                <w:szCs w:val="4"/>
              </w:rPr>
            </w:r>
          </w:p>
        </w:tc>
        <w:tc>
          <w:tcPr>
            <w:tcW w:w="46" w:type="dxa"/>
            <w:tcBorders/>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0"/>
              <w:jc w:val="left"/>
              <w:rPr>
                <w:rFonts w:ascii="arial" w:hAnsi="arial"/>
                <w:sz w:val="18"/>
              </w:rPr>
            </w:pPr>
            <w:r>
              <w:rPr>
                <w:rFonts w:ascii="arial" w:hAnsi="arial"/>
                <w:sz w:val="18"/>
              </w:rPr>
              <w:t xml:space="preserve">Other income tax adjustments </w:t>
            </w:r>
            <w:r>
              <w:rPr>
                <w:rFonts w:ascii="arial" w:hAnsi="arial"/>
                <w:b/>
                <w:sz w:val="18"/>
              </w:rPr>
              <w:t>(h)</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0.0</w:t>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0.4</w:t>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0.0</w:t>
            </w:r>
          </w:p>
        </w:tc>
        <w:tc>
          <w:tcPr>
            <w:tcW w:w="295" w:type="dxa"/>
            <w:tcBorders/>
            <w:vAlign w:val="center"/>
          </w:tcPr>
          <w:p>
            <w:pPr>
              <w:pStyle w:val="TableContents"/>
              <w:bidi w:val="0"/>
              <w:spacing w:before="0" w:after="283"/>
              <w:jc w:val="left"/>
              <w:rPr>
                <w:sz w:val="4"/>
                <w:szCs w:val="4"/>
              </w:rPr>
            </w:pPr>
            <w:r>
              <w:rPr>
                <w:sz w:val="4"/>
                <w:szCs w:val="4"/>
              </w:rPr>
            </w:r>
          </w:p>
        </w:tc>
        <w:tc>
          <w:tcPr>
            <w:tcW w:w="46" w:type="dxa"/>
            <w:tcBorders/>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single" w:sz="2" w:space="1" w:color="000000"/>
              </w:pBdr>
              <w:bidi w:val="0"/>
              <w:spacing w:before="0" w:after="0"/>
              <w:jc w:val="left"/>
              <w:rPr/>
            </w:pPr>
            <w:r>
              <w:rPr/>
              <w:t> </w:t>
            </w:r>
          </w:p>
        </w:tc>
        <w:tc>
          <w:tcPr>
            <w:tcW w:w="934" w:type="dxa"/>
            <w:tcBorders/>
            <w:vAlign w:val="center"/>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single" w:sz="2" w:space="1" w:color="000000"/>
              </w:pBdr>
              <w:bidi w:val="0"/>
              <w:spacing w:before="0" w:after="0"/>
              <w:jc w:val="left"/>
              <w:rPr/>
            </w:pPr>
            <w:r>
              <w:rPr/>
              <w:t> </w:t>
            </w:r>
          </w:p>
        </w:tc>
        <w:tc>
          <w:tcPr>
            <w:tcW w:w="934" w:type="dxa"/>
            <w:tcBorders/>
            <w:vAlign w:val="center"/>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single" w:sz="2" w:space="1" w:color="000000"/>
              </w:pBdr>
              <w:bidi w:val="0"/>
              <w:spacing w:before="0" w:after="0"/>
              <w:jc w:val="left"/>
              <w:rPr/>
            </w:pPr>
            <w:r>
              <w:rPr/>
              <w:t> </w:t>
            </w:r>
          </w:p>
        </w:tc>
        <w:tc>
          <w:tcPr>
            <w:tcW w:w="934" w:type="dxa"/>
            <w:tcBorders/>
            <w:vAlign w:val="center"/>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46" w:type="dxa"/>
            <w:tcBorders/>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0"/>
              <w:jc w:val="left"/>
              <w:rPr>
                <w:rFonts w:ascii="arial" w:hAnsi="arial"/>
                <w:b/>
                <w:sz w:val="18"/>
              </w:rPr>
            </w:pPr>
            <w:r>
              <w:rPr>
                <w:rFonts w:ascii="arial" w:hAnsi="arial"/>
                <w:b/>
                <w:sz w:val="18"/>
              </w:rPr>
              <w:t>Total adjustments to provision for income taxes</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2.0</w:t>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3.0</w:t>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0.7</w:t>
            </w:r>
          </w:p>
        </w:tc>
        <w:tc>
          <w:tcPr>
            <w:tcW w:w="295" w:type="dxa"/>
            <w:tcBorders/>
            <w:vAlign w:val="center"/>
          </w:tcPr>
          <w:p>
            <w:pPr>
              <w:pStyle w:val="TableContents"/>
              <w:bidi w:val="0"/>
              <w:spacing w:before="0" w:after="283"/>
              <w:jc w:val="left"/>
              <w:rPr>
                <w:sz w:val="4"/>
                <w:szCs w:val="4"/>
              </w:rPr>
            </w:pPr>
            <w:r>
              <w:rPr>
                <w:sz w:val="4"/>
                <w:szCs w:val="4"/>
              </w:rPr>
            </w:r>
          </w:p>
        </w:tc>
        <w:tc>
          <w:tcPr>
            <w:tcW w:w="46" w:type="dxa"/>
            <w:tcBorders/>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single" w:sz="2" w:space="1" w:color="000000"/>
              </w:pBdr>
              <w:bidi w:val="0"/>
              <w:spacing w:before="0" w:after="0"/>
              <w:jc w:val="left"/>
              <w:rPr/>
            </w:pPr>
            <w:r>
              <w:rPr/>
              <w:t> </w:t>
            </w:r>
          </w:p>
        </w:tc>
        <w:tc>
          <w:tcPr>
            <w:tcW w:w="934" w:type="dxa"/>
            <w:tcBorders/>
            <w:vAlign w:val="center"/>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single" w:sz="2" w:space="1" w:color="000000"/>
              </w:pBdr>
              <w:bidi w:val="0"/>
              <w:spacing w:before="0" w:after="0"/>
              <w:jc w:val="left"/>
              <w:rPr/>
            </w:pPr>
            <w:r>
              <w:rPr/>
              <w:t> </w:t>
            </w:r>
          </w:p>
        </w:tc>
        <w:tc>
          <w:tcPr>
            <w:tcW w:w="934" w:type="dxa"/>
            <w:tcBorders/>
            <w:vAlign w:val="center"/>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single" w:sz="2" w:space="1" w:color="000000"/>
              </w:pBdr>
              <w:bidi w:val="0"/>
              <w:spacing w:before="0" w:after="0"/>
              <w:jc w:val="left"/>
              <w:rPr/>
            </w:pPr>
            <w:r>
              <w:rPr/>
              <w:t> </w:t>
            </w:r>
          </w:p>
        </w:tc>
        <w:tc>
          <w:tcPr>
            <w:tcW w:w="934" w:type="dxa"/>
            <w:tcBorders/>
            <w:vAlign w:val="center"/>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46" w:type="dxa"/>
            <w:tcBorders/>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0"/>
              <w:jc w:val="left"/>
              <w:rPr>
                <w:rFonts w:ascii="arial" w:hAnsi="arial"/>
                <w:b/>
                <w:sz w:val="18"/>
              </w:rPr>
            </w:pPr>
            <w:r>
              <w:rPr>
                <w:rFonts w:ascii="arial" w:hAnsi="arial"/>
                <w:b/>
                <w:sz w:val="18"/>
              </w:rPr>
              <w:t>Non-GAAP tax as a percentage of income before taxes</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16.5</w:t>
            </w:r>
          </w:p>
        </w:tc>
        <w:tc>
          <w:tcPr>
            <w:tcW w:w="2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13.8</w:t>
            </w:r>
          </w:p>
        </w:tc>
        <w:tc>
          <w:tcPr>
            <w:tcW w:w="2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12.8</w:t>
            </w:r>
          </w:p>
        </w:tc>
        <w:tc>
          <w:tcPr>
            <w:tcW w:w="295" w:type="dxa"/>
            <w:tcBorders/>
            <w:vAlign w:val="center"/>
          </w:tcPr>
          <w:p>
            <w:pPr>
              <w:pStyle w:val="TableContents"/>
              <w:bidi w:val="0"/>
              <w:spacing w:before="0" w:after="283"/>
              <w:jc w:val="left"/>
              <w:rPr/>
            </w:pPr>
            <w:r>
              <w:rPr/>
              <w:t>%</w:t>
            </w:r>
          </w:p>
        </w:tc>
        <w:tc>
          <w:tcPr>
            <w:tcW w:w="46" w:type="dxa"/>
            <w:tcBorders/>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double" w:sz="6" w:space="1" w:color="000000"/>
              </w:pBdr>
              <w:bidi w:val="0"/>
              <w:spacing w:before="0" w:after="0"/>
              <w:jc w:val="left"/>
              <w:rPr/>
            </w:pPr>
            <w:r>
              <w:rPr/>
              <w:t> </w:t>
            </w:r>
          </w:p>
        </w:tc>
        <w:tc>
          <w:tcPr>
            <w:tcW w:w="934" w:type="dxa"/>
            <w:tcBorders/>
            <w:vAlign w:val="center"/>
          </w:tcPr>
          <w:p>
            <w:pPr>
              <w:pStyle w:val="TableContents"/>
              <w:pBdr>
                <w:top w:val="double" w:sz="6"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double" w:sz="6" w:space="1" w:color="000000"/>
              </w:pBdr>
              <w:bidi w:val="0"/>
              <w:spacing w:before="0" w:after="0"/>
              <w:jc w:val="left"/>
              <w:rPr/>
            </w:pPr>
            <w:r>
              <w:rPr/>
              <w:t> </w:t>
            </w:r>
          </w:p>
        </w:tc>
        <w:tc>
          <w:tcPr>
            <w:tcW w:w="934" w:type="dxa"/>
            <w:tcBorders/>
            <w:vAlign w:val="center"/>
          </w:tcPr>
          <w:p>
            <w:pPr>
              <w:pStyle w:val="TableContents"/>
              <w:pBdr>
                <w:top w:val="double" w:sz="6"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double" w:sz="6" w:space="1" w:color="000000"/>
              </w:pBdr>
              <w:bidi w:val="0"/>
              <w:spacing w:before="0" w:after="0"/>
              <w:jc w:val="left"/>
              <w:rPr/>
            </w:pPr>
            <w:r>
              <w:rPr/>
              <w:t> </w:t>
            </w:r>
          </w:p>
        </w:tc>
        <w:tc>
          <w:tcPr>
            <w:tcW w:w="934" w:type="dxa"/>
            <w:tcBorders/>
            <w:vAlign w:val="center"/>
          </w:tcPr>
          <w:p>
            <w:pPr>
              <w:pStyle w:val="TableContents"/>
              <w:pBdr>
                <w:top w:val="double" w:sz="6"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46" w:type="dxa"/>
            <w:tcBorders/>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283"/>
              <w:jc w:val="left"/>
              <w:rPr>
                <w:sz w:val="4"/>
                <w:szCs w:val="4"/>
              </w:rPr>
            </w:pPr>
            <w:r>
              <w:rPr>
                <w:sz w:val="4"/>
                <w:szCs w:val="4"/>
              </w:rPr>
            </w:r>
          </w:p>
        </w:tc>
        <w:tc>
          <w:tcPr>
            <w:tcW w:w="1622" w:type="dxa"/>
            <w:gridSpan w:val="5"/>
            <w:tcBorders/>
            <w:vAlign w:val="center"/>
          </w:tcPr>
          <w:p>
            <w:pPr>
              <w:pStyle w:val="TableContents"/>
              <w:bidi w:val="0"/>
              <w:spacing w:before="0" w:after="283"/>
              <w:jc w:val="left"/>
              <w:rPr>
                <w:sz w:val="4"/>
                <w:szCs w:val="4"/>
              </w:rPr>
            </w:pPr>
            <w:r>
              <w:rPr>
                <w:sz w:val="4"/>
                <w:szCs w:val="4"/>
              </w:rPr>
            </w:r>
          </w:p>
        </w:tc>
        <w:tc>
          <w:tcPr>
            <w:tcW w:w="1562" w:type="dxa"/>
            <w:gridSpan w:val="5"/>
            <w:tcBorders/>
            <w:vAlign w:val="center"/>
          </w:tcPr>
          <w:p>
            <w:pPr>
              <w:pStyle w:val="TableContents"/>
              <w:bidi w:val="0"/>
              <w:spacing w:before="0" w:after="283"/>
              <w:jc w:val="left"/>
              <w:rPr>
                <w:sz w:val="4"/>
                <w:szCs w:val="4"/>
              </w:rPr>
            </w:pPr>
            <w:r>
              <w:rPr>
                <w:sz w:val="4"/>
                <w:szCs w:val="4"/>
              </w:rPr>
            </w:r>
          </w:p>
        </w:tc>
        <w:tc>
          <w:tcPr>
            <w:tcW w:w="1562" w:type="dxa"/>
            <w:gridSpan w:val="5"/>
            <w:tcBorders/>
            <w:vAlign w:val="center"/>
          </w:tcPr>
          <w:p>
            <w:pPr>
              <w:pStyle w:val="TableContents"/>
              <w:bidi w:val="0"/>
              <w:spacing w:before="0" w:after="283"/>
              <w:jc w:val="left"/>
              <w:rPr>
                <w:sz w:val="4"/>
                <w:szCs w:val="4"/>
              </w:rPr>
            </w:pPr>
            <w:r>
              <w:rPr>
                <w:sz w:val="4"/>
                <w:szCs w:val="4"/>
              </w:rPr>
            </w:r>
          </w:p>
        </w:tc>
        <w:tc>
          <w:tcPr>
            <w:tcW w:w="46" w:type="dxa"/>
            <w:tcBorders/>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0"/>
              <w:jc w:val="left"/>
              <w:rPr>
                <w:rFonts w:ascii="arial" w:hAnsi="arial"/>
                <w:b/>
                <w:sz w:val="18"/>
              </w:rPr>
            </w:pPr>
            <w:r>
              <w:rPr>
                <w:rFonts w:ascii="arial" w:hAnsi="arial"/>
                <w:b/>
                <w:sz w:val="18"/>
              </w:rPr>
              <w:t>GAAP net income</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34" w:type="dxa"/>
            <w:tcBorders/>
            <w:vAlign w:val="center"/>
          </w:tcPr>
          <w:p>
            <w:pPr>
              <w:pStyle w:val="TableContents"/>
              <w:bidi w:val="0"/>
              <w:spacing w:before="0" w:after="283"/>
              <w:jc w:val="right"/>
              <w:rPr/>
            </w:pPr>
            <w:r>
              <w:rPr/>
              <w:t>6,717</w:t>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34" w:type="dxa"/>
            <w:tcBorders/>
            <w:vAlign w:val="center"/>
          </w:tcPr>
          <w:p>
            <w:pPr>
              <w:pStyle w:val="TableContents"/>
              <w:bidi w:val="0"/>
              <w:spacing w:before="0" w:after="283"/>
              <w:jc w:val="right"/>
              <w:rPr/>
            </w:pPr>
            <w:r>
              <w:rPr/>
              <w:t>6,552</w:t>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34" w:type="dxa"/>
            <w:tcBorders/>
            <w:vAlign w:val="center"/>
          </w:tcPr>
          <w:p>
            <w:pPr>
              <w:pStyle w:val="TableContents"/>
              <w:bidi w:val="0"/>
              <w:spacing w:before="0" w:after="283"/>
              <w:jc w:val="right"/>
              <w:rPr/>
            </w:pPr>
            <w:r>
              <w:rPr/>
              <w:t>5,893</w:t>
            </w:r>
          </w:p>
        </w:tc>
        <w:tc>
          <w:tcPr>
            <w:tcW w:w="295" w:type="dxa"/>
            <w:tcBorders/>
            <w:vAlign w:val="center"/>
          </w:tcPr>
          <w:p>
            <w:pPr>
              <w:pStyle w:val="TableContents"/>
              <w:bidi w:val="0"/>
              <w:spacing w:before="0" w:after="283"/>
              <w:jc w:val="left"/>
              <w:rPr>
                <w:sz w:val="4"/>
                <w:szCs w:val="4"/>
              </w:rPr>
            </w:pPr>
            <w:r>
              <w:rPr>
                <w:sz w:val="4"/>
                <w:szCs w:val="4"/>
              </w:rPr>
            </w:r>
          </w:p>
        </w:tc>
        <w:tc>
          <w:tcPr>
            <w:tcW w:w="46" w:type="dxa"/>
            <w:tcBorders/>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0"/>
              <w:jc w:val="left"/>
              <w:rPr>
                <w:rFonts w:ascii="arial" w:hAnsi="arial"/>
                <w:b/>
                <w:sz w:val="18"/>
              </w:rPr>
            </w:pPr>
            <w:r>
              <w:rPr>
                <w:rFonts w:ascii="arial" w:hAnsi="arial"/>
                <w:b/>
                <w:sz w:val="18"/>
              </w:rPr>
              <w:t>Adjustments to net income:</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6" w:type="dxa"/>
            <w:tcBorders/>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0"/>
              <w:jc w:val="left"/>
              <w:rPr>
                <w:rFonts w:ascii="arial" w:hAnsi="arial"/>
                <w:sz w:val="18"/>
              </w:rPr>
            </w:pPr>
            <w:r>
              <w:rPr>
                <w:rFonts w:ascii="arial" w:hAnsi="arial"/>
                <w:sz w:val="18"/>
              </w:rPr>
              <w:t>Adjustments to income before income taxes, net of the income tax effect</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3,316</w:t>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3,064</w:t>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3,907</w:t>
            </w:r>
          </w:p>
        </w:tc>
        <w:tc>
          <w:tcPr>
            <w:tcW w:w="295" w:type="dxa"/>
            <w:tcBorders/>
            <w:vAlign w:val="center"/>
          </w:tcPr>
          <w:p>
            <w:pPr>
              <w:pStyle w:val="TableContents"/>
              <w:bidi w:val="0"/>
              <w:spacing w:before="0" w:after="283"/>
              <w:jc w:val="left"/>
              <w:rPr>
                <w:sz w:val="4"/>
                <w:szCs w:val="4"/>
              </w:rPr>
            </w:pPr>
            <w:r>
              <w:rPr>
                <w:sz w:val="4"/>
                <w:szCs w:val="4"/>
              </w:rPr>
            </w:r>
          </w:p>
        </w:tc>
        <w:tc>
          <w:tcPr>
            <w:tcW w:w="46" w:type="dxa"/>
            <w:tcBorders/>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0"/>
              <w:jc w:val="left"/>
              <w:rPr>
                <w:rFonts w:ascii="arial" w:hAnsi="arial"/>
                <w:sz w:val="18"/>
              </w:rPr>
            </w:pPr>
            <w:r>
              <w:rPr>
                <w:rFonts w:ascii="arial" w:hAnsi="arial"/>
                <w:sz w:val="18"/>
              </w:rPr>
              <w:t>Other income tax adjustments</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1</w:t>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(46</w:t>
            </w:r>
          </w:p>
        </w:tc>
        <w:tc>
          <w:tcPr>
            <w:tcW w:w="2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(3</w:t>
            </w:r>
          </w:p>
        </w:tc>
        <w:tc>
          <w:tcPr>
            <w:tcW w:w="295" w:type="dxa"/>
            <w:tcBorders/>
            <w:vAlign w:val="center"/>
          </w:tcPr>
          <w:p>
            <w:pPr>
              <w:pStyle w:val="TableContents"/>
              <w:bidi w:val="0"/>
              <w:spacing w:before="0" w:after="283"/>
              <w:jc w:val="left"/>
              <w:rPr/>
            </w:pPr>
            <w:r>
              <w:rPr/>
              <w:t>)</w:t>
            </w:r>
          </w:p>
        </w:tc>
        <w:tc>
          <w:tcPr>
            <w:tcW w:w="46" w:type="dxa"/>
            <w:tcBorders/>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single" w:sz="2" w:space="1" w:color="000000"/>
              </w:pBdr>
              <w:bidi w:val="0"/>
              <w:spacing w:before="0" w:after="0"/>
              <w:jc w:val="left"/>
              <w:rPr/>
            </w:pPr>
            <w:r>
              <w:rPr/>
              <w:t> </w:t>
            </w:r>
          </w:p>
        </w:tc>
        <w:tc>
          <w:tcPr>
            <w:tcW w:w="934" w:type="dxa"/>
            <w:tcBorders/>
            <w:vAlign w:val="center"/>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single" w:sz="2" w:space="1" w:color="000000"/>
              </w:pBdr>
              <w:bidi w:val="0"/>
              <w:spacing w:before="0" w:after="0"/>
              <w:jc w:val="left"/>
              <w:rPr/>
            </w:pPr>
            <w:r>
              <w:rPr/>
              <w:t> </w:t>
            </w:r>
          </w:p>
        </w:tc>
        <w:tc>
          <w:tcPr>
            <w:tcW w:w="934" w:type="dxa"/>
            <w:tcBorders/>
            <w:vAlign w:val="center"/>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single" w:sz="2" w:space="1" w:color="000000"/>
              </w:pBdr>
              <w:bidi w:val="0"/>
              <w:spacing w:before="0" w:after="0"/>
              <w:jc w:val="left"/>
              <w:rPr/>
            </w:pPr>
            <w:r>
              <w:rPr/>
              <w:t> </w:t>
            </w:r>
          </w:p>
        </w:tc>
        <w:tc>
          <w:tcPr>
            <w:tcW w:w="934" w:type="dxa"/>
            <w:tcBorders/>
            <w:vAlign w:val="center"/>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46" w:type="dxa"/>
            <w:tcBorders/>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0"/>
              <w:jc w:val="left"/>
              <w:rPr>
                <w:rFonts w:ascii="arial" w:hAnsi="arial"/>
                <w:b/>
                <w:sz w:val="18"/>
              </w:rPr>
            </w:pPr>
            <w:r>
              <w:rPr>
                <w:rFonts w:ascii="arial" w:hAnsi="arial"/>
                <w:b/>
                <w:sz w:val="18"/>
              </w:rPr>
              <w:t>Total adjustments to net income</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3,317</w:t>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3,018</w:t>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right"/>
              <w:rPr/>
            </w:pPr>
            <w:r>
              <w:rPr/>
              <w:t>3,904</w:t>
            </w:r>
          </w:p>
        </w:tc>
        <w:tc>
          <w:tcPr>
            <w:tcW w:w="295" w:type="dxa"/>
            <w:tcBorders/>
            <w:vAlign w:val="center"/>
          </w:tcPr>
          <w:p>
            <w:pPr>
              <w:pStyle w:val="TableContents"/>
              <w:bidi w:val="0"/>
              <w:spacing w:before="0" w:after="283"/>
              <w:jc w:val="left"/>
              <w:rPr>
                <w:sz w:val="4"/>
                <w:szCs w:val="4"/>
              </w:rPr>
            </w:pPr>
            <w:r>
              <w:rPr>
                <w:sz w:val="4"/>
                <w:szCs w:val="4"/>
              </w:rPr>
            </w:r>
          </w:p>
        </w:tc>
        <w:tc>
          <w:tcPr>
            <w:tcW w:w="46" w:type="dxa"/>
            <w:tcBorders/>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single" w:sz="2" w:space="1" w:color="000000"/>
              </w:pBdr>
              <w:bidi w:val="0"/>
              <w:spacing w:before="0" w:after="0"/>
              <w:jc w:val="left"/>
              <w:rPr/>
            </w:pPr>
            <w:r>
              <w:rPr/>
              <w:t> </w:t>
            </w:r>
          </w:p>
        </w:tc>
        <w:tc>
          <w:tcPr>
            <w:tcW w:w="934" w:type="dxa"/>
            <w:tcBorders/>
            <w:vAlign w:val="center"/>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single" w:sz="2" w:space="1" w:color="000000"/>
              </w:pBdr>
              <w:bidi w:val="0"/>
              <w:spacing w:before="0" w:after="0"/>
              <w:jc w:val="left"/>
              <w:rPr/>
            </w:pPr>
            <w:r>
              <w:rPr/>
              <w:t> </w:t>
            </w:r>
          </w:p>
        </w:tc>
        <w:tc>
          <w:tcPr>
            <w:tcW w:w="934" w:type="dxa"/>
            <w:tcBorders/>
            <w:vAlign w:val="center"/>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single" w:sz="2" w:space="1" w:color="000000"/>
              </w:pBdr>
              <w:bidi w:val="0"/>
              <w:spacing w:before="0" w:after="0"/>
              <w:jc w:val="left"/>
              <w:rPr/>
            </w:pPr>
            <w:r>
              <w:rPr/>
              <w:t> </w:t>
            </w:r>
          </w:p>
        </w:tc>
        <w:tc>
          <w:tcPr>
            <w:tcW w:w="934" w:type="dxa"/>
            <w:tcBorders/>
            <w:vAlign w:val="center"/>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46" w:type="dxa"/>
            <w:tcBorders/>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0"/>
              <w:jc w:val="left"/>
              <w:rPr>
                <w:rFonts w:ascii="arial" w:hAnsi="arial"/>
                <w:b/>
                <w:sz w:val="18"/>
              </w:rPr>
            </w:pPr>
            <w:r>
              <w:rPr>
                <w:rFonts w:ascii="arial" w:hAnsi="arial"/>
                <w:b/>
                <w:sz w:val="18"/>
              </w:rPr>
              <w:t>Non-GAAP net income</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34" w:type="dxa"/>
            <w:tcBorders/>
            <w:vAlign w:val="center"/>
          </w:tcPr>
          <w:p>
            <w:pPr>
              <w:pStyle w:val="TableContents"/>
              <w:bidi w:val="0"/>
              <w:spacing w:before="0" w:after="283"/>
              <w:jc w:val="right"/>
              <w:rPr/>
            </w:pPr>
            <w:r>
              <w:rPr/>
              <w:t>10,034</w:t>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34" w:type="dxa"/>
            <w:tcBorders/>
            <w:vAlign w:val="center"/>
          </w:tcPr>
          <w:p>
            <w:pPr>
              <w:pStyle w:val="TableContents"/>
              <w:bidi w:val="0"/>
              <w:spacing w:before="0" w:after="283"/>
              <w:jc w:val="right"/>
              <w:rPr/>
            </w:pPr>
            <w:r>
              <w:rPr/>
              <w:t>9,570</w:t>
            </w:r>
          </w:p>
        </w:tc>
        <w:tc>
          <w:tcPr>
            <w:tcW w:w="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34" w:type="dxa"/>
            <w:tcBorders/>
            <w:vAlign w:val="center"/>
          </w:tcPr>
          <w:p>
            <w:pPr>
              <w:pStyle w:val="TableContents"/>
              <w:bidi w:val="0"/>
              <w:spacing w:before="0" w:after="283"/>
              <w:jc w:val="right"/>
              <w:rPr/>
            </w:pPr>
            <w:r>
              <w:rPr/>
              <w:t>9,797</w:t>
            </w:r>
          </w:p>
        </w:tc>
        <w:tc>
          <w:tcPr>
            <w:tcW w:w="295" w:type="dxa"/>
            <w:tcBorders/>
            <w:vAlign w:val="center"/>
          </w:tcPr>
          <w:p>
            <w:pPr>
              <w:pStyle w:val="TableContents"/>
              <w:bidi w:val="0"/>
              <w:spacing w:before="0" w:after="283"/>
              <w:jc w:val="left"/>
              <w:rPr>
                <w:sz w:val="4"/>
                <w:szCs w:val="4"/>
              </w:rPr>
            </w:pPr>
            <w:r>
              <w:rPr>
                <w:sz w:val="4"/>
                <w:szCs w:val="4"/>
              </w:rPr>
            </w:r>
          </w:p>
        </w:tc>
        <w:tc>
          <w:tcPr>
            <w:tcW w:w="46" w:type="dxa"/>
            <w:tcBorders/>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double" w:sz="6" w:space="1" w:color="000000"/>
              </w:pBdr>
              <w:bidi w:val="0"/>
              <w:spacing w:before="0" w:after="0"/>
              <w:jc w:val="left"/>
              <w:rPr/>
            </w:pPr>
            <w:r>
              <w:rPr/>
              <w:t> </w:t>
            </w:r>
          </w:p>
        </w:tc>
        <w:tc>
          <w:tcPr>
            <w:tcW w:w="934" w:type="dxa"/>
            <w:tcBorders/>
            <w:vAlign w:val="center"/>
          </w:tcPr>
          <w:p>
            <w:pPr>
              <w:pStyle w:val="TableContents"/>
              <w:pBdr>
                <w:top w:val="double" w:sz="6"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double" w:sz="6" w:space="1" w:color="000000"/>
              </w:pBdr>
              <w:bidi w:val="0"/>
              <w:spacing w:before="0" w:after="0"/>
              <w:jc w:val="left"/>
              <w:rPr/>
            </w:pPr>
            <w:r>
              <w:rPr/>
              <w:t> </w:t>
            </w:r>
          </w:p>
        </w:tc>
        <w:tc>
          <w:tcPr>
            <w:tcW w:w="934" w:type="dxa"/>
            <w:tcBorders/>
            <w:vAlign w:val="center"/>
          </w:tcPr>
          <w:p>
            <w:pPr>
              <w:pStyle w:val="TableContents"/>
              <w:pBdr>
                <w:top w:val="double" w:sz="6"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double" w:sz="6" w:space="1" w:color="000000"/>
              </w:pBdr>
              <w:bidi w:val="0"/>
              <w:spacing w:before="0" w:after="0"/>
              <w:jc w:val="left"/>
              <w:rPr/>
            </w:pPr>
            <w:r>
              <w:rPr/>
              <w:t> </w:t>
            </w:r>
          </w:p>
        </w:tc>
        <w:tc>
          <w:tcPr>
            <w:tcW w:w="934" w:type="dxa"/>
            <w:tcBorders/>
            <w:vAlign w:val="center"/>
          </w:tcPr>
          <w:p>
            <w:pPr>
              <w:pStyle w:val="TableContents"/>
              <w:pBdr>
                <w:top w:val="double" w:sz="6"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46"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454"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Image208" descr=""/>
                    <pic:cNvPicPr>
                      <a:picLocks noChangeAspect="1" noChangeArrowheads="1"/>
                    </pic:cNvPicPr>
                  </pic:nvPicPr>
                  <pic:blipFill>
                    <a:blip r:embed="rId221"/>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B-3</w:t>
      </w:r>
      <w:r>
        <w:rPr>
          <w:rFonts w:ascii="arial" w:hAnsi="arial"/>
          <w:b/>
          <w:sz w:val="22"/>
        </w:rPr>
        <w:t xml:space="preserve"> </w:t>
      </w:r>
      <w:r>
        <w:br w:type="page"/>
      </w:r>
    </w:p>
    <w:p>
      <w:pPr>
        <w:pStyle w:val="HorizontalLine"/>
        <w:bidi w:val="0"/>
        <w:jc w:val="left"/>
        <w:rPr/>
      </w:pPr>
      <w:r>
        <w:rPr/>
      </w:r>
    </w:p>
    <w:tbl>
      <w:tblPr>
        <w:tblW w:w="185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13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137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Appendix B</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sz w:val="22"/>
        </w:rPr>
      </w:pPr>
      <w:r>
        <w:rPr>
          <w:rFonts w:ascii="arial" w:hAnsi="arial"/>
          <w:b/>
          <w:sz w:val="22"/>
        </w:rPr>
        <w:t xml:space="preserve">Amgen Inc. </w:t>
      </w:r>
    </w:p>
    <w:p>
      <w:pPr>
        <w:pStyle w:val="TextBody"/>
        <w:bidi w:val="0"/>
        <w:spacing w:before="0" w:after="0"/>
        <w:jc w:val="left"/>
        <w:rPr>
          <w:rFonts w:ascii="arial" w:hAnsi="arial"/>
          <w:b/>
          <w:sz w:val="22"/>
        </w:rPr>
      </w:pPr>
      <w:r>
        <w:rPr>
          <w:rFonts w:ascii="arial" w:hAnsi="arial"/>
          <w:b/>
          <w:sz w:val="22"/>
        </w:rPr>
        <w:t xml:space="preserve">GAAP to Non-GAAP Reconciliations </w:t>
      </w:r>
    </w:p>
    <w:p>
      <w:pPr>
        <w:pStyle w:val="TextBody"/>
        <w:bidi w:val="0"/>
        <w:spacing w:before="0" w:after="0"/>
        <w:jc w:val="left"/>
        <w:rPr>
          <w:rFonts w:ascii="arial" w:hAnsi="arial"/>
          <w:b/>
          <w:sz w:val="22"/>
        </w:rPr>
      </w:pPr>
      <w:r>
        <w:rPr>
          <w:rFonts w:ascii="arial" w:hAnsi="arial"/>
          <w:b/>
          <w:sz w:val="22"/>
        </w:rPr>
        <w:t xml:space="preserve">(In millions, except per-share data) </w:t>
      </w:r>
    </w:p>
    <w:p>
      <w:pPr>
        <w:pStyle w:val="TextBody"/>
        <w:bidi w:val="0"/>
        <w:spacing w:before="0" w:after="0"/>
        <w:jc w:val="left"/>
        <w:rPr>
          <w:rFonts w:ascii="arial" w:hAnsi="arial"/>
          <w:b/>
          <w:sz w:val="22"/>
        </w:rPr>
      </w:pPr>
      <w:r>
        <w:rPr>
          <w:rFonts w:ascii="arial" w:hAnsi="arial"/>
          <w:b/>
          <w:sz w:val="22"/>
        </w:rPr>
        <w:t xml:space="preserve">(Unaudited) </w:t>
      </w:r>
    </w:p>
    <w:p>
      <w:pPr>
        <w:pStyle w:val="TextBody"/>
        <w:bidi w:val="0"/>
        <w:spacing w:before="240" w:after="0"/>
        <w:jc w:val="left"/>
        <w:rPr>
          <w:rFonts w:ascii="arial" w:hAnsi="arial"/>
          <w:sz w:val="18"/>
        </w:rPr>
      </w:pPr>
      <w:r>
        <w:rPr>
          <w:rFonts w:ascii="arial" w:hAnsi="arial"/>
          <w:sz w:val="18"/>
        </w:rPr>
        <w:t xml:space="preserve">The following table presents the computations for GAAP and non-GAAP diluted earnings per share. </w:t>
      </w:r>
    </w:p>
    <w:p>
      <w:pPr>
        <w:pStyle w:val="TextBody"/>
        <w:bidi w:val="0"/>
        <w:spacing w:before="0" w:after="0"/>
        <w:jc w:val="left"/>
        <w:rPr/>
      </w:pPr>
      <w:r>
        <w:rPr/>
        <w:t> </w:t>
      </w:r>
    </w:p>
    <w:tbl>
      <w:tblPr>
        <w:tblW w:w="9935" w:type="dxa"/>
        <w:jc w:val="left"/>
        <w:tblInd w:w="0" w:type="dxa"/>
        <w:tblLayout w:type="fixed"/>
        <w:tblCellMar>
          <w:top w:w="0" w:type="dxa"/>
          <w:left w:w="0" w:type="dxa"/>
          <w:bottom w:w="0" w:type="dxa"/>
          <w:right w:w="0" w:type="dxa"/>
        </w:tblCellMar>
      </w:tblPr>
      <w:tblGrid>
        <w:gridCol w:w="3410"/>
        <w:gridCol w:w="60"/>
        <w:gridCol w:w="142"/>
        <w:gridCol w:w="568"/>
        <w:gridCol w:w="60"/>
        <w:gridCol w:w="60"/>
        <w:gridCol w:w="208"/>
        <w:gridCol w:w="1012"/>
        <w:gridCol w:w="60"/>
        <w:gridCol w:w="60"/>
        <w:gridCol w:w="142"/>
        <w:gridCol w:w="568"/>
        <w:gridCol w:w="60"/>
        <w:gridCol w:w="60"/>
        <w:gridCol w:w="244"/>
        <w:gridCol w:w="976"/>
        <w:gridCol w:w="60"/>
        <w:gridCol w:w="60"/>
        <w:gridCol w:w="142"/>
        <w:gridCol w:w="568"/>
        <w:gridCol w:w="60"/>
        <w:gridCol w:w="60"/>
        <w:gridCol w:w="244"/>
        <w:gridCol w:w="976"/>
        <w:gridCol w:w="75"/>
      </w:tblGrid>
      <w:tr>
        <w:trPr/>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90"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 xml:space="preserve">Years ended December 31, </w:t>
            </w:r>
          </w:p>
        </w:tc>
        <w:tc>
          <w:tcPr>
            <w:tcW w:w="7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GAAP</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Non-GAAP</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GAAP</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Non-GAAP</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GAAP</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Non-GAAP</w:t>
            </w:r>
          </w:p>
        </w:tc>
        <w:tc>
          <w:tcPr>
            <w:tcW w:w="7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0"/>
              <w:jc w:val="left"/>
              <w:rPr>
                <w:rFonts w:ascii="arial" w:hAnsi="arial"/>
                <w:sz w:val="18"/>
              </w:rPr>
            </w:pPr>
            <w:r>
              <w:rPr>
                <w:rFonts w:ascii="arial" w:hAnsi="arial"/>
                <w:sz w:val="18"/>
              </w:rPr>
              <w:t>Net income</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w:t>
            </w:r>
          </w:p>
        </w:tc>
        <w:tc>
          <w:tcPr>
            <w:tcW w:w="568" w:type="dxa"/>
            <w:tcBorders/>
            <w:vAlign w:val="center"/>
          </w:tcPr>
          <w:p>
            <w:pPr>
              <w:pStyle w:val="TableContents"/>
              <w:bidi w:val="0"/>
              <w:spacing w:before="0" w:after="283"/>
              <w:jc w:val="right"/>
              <w:rPr/>
            </w:pPr>
            <w:r>
              <w:rPr/>
              <w:t>6,717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w:t>
            </w:r>
          </w:p>
        </w:tc>
        <w:tc>
          <w:tcPr>
            <w:tcW w:w="1012" w:type="dxa"/>
            <w:tcBorders/>
            <w:vAlign w:val="center"/>
          </w:tcPr>
          <w:p>
            <w:pPr>
              <w:pStyle w:val="TableContents"/>
              <w:bidi w:val="0"/>
              <w:spacing w:before="0" w:after="283"/>
              <w:jc w:val="right"/>
              <w:rPr/>
            </w:pPr>
            <w:r>
              <w:rPr/>
              <w:t>10,034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w:t>
            </w:r>
          </w:p>
        </w:tc>
        <w:tc>
          <w:tcPr>
            <w:tcW w:w="568" w:type="dxa"/>
            <w:tcBorders/>
            <w:vAlign w:val="center"/>
          </w:tcPr>
          <w:p>
            <w:pPr>
              <w:pStyle w:val="TableContents"/>
              <w:bidi w:val="0"/>
              <w:spacing w:before="0" w:after="283"/>
              <w:jc w:val="right"/>
              <w:rPr/>
            </w:pPr>
            <w:r>
              <w:rPr/>
              <w:t>6,552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w:t>
            </w:r>
          </w:p>
        </w:tc>
        <w:tc>
          <w:tcPr>
            <w:tcW w:w="976" w:type="dxa"/>
            <w:tcBorders/>
            <w:vAlign w:val="center"/>
          </w:tcPr>
          <w:p>
            <w:pPr>
              <w:pStyle w:val="TableContents"/>
              <w:bidi w:val="0"/>
              <w:spacing w:before="0" w:after="283"/>
              <w:jc w:val="right"/>
              <w:rPr/>
            </w:pPr>
            <w:r>
              <w:rPr/>
              <w:t>9,570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w:t>
            </w:r>
          </w:p>
        </w:tc>
        <w:tc>
          <w:tcPr>
            <w:tcW w:w="568" w:type="dxa"/>
            <w:tcBorders/>
            <w:vAlign w:val="center"/>
          </w:tcPr>
          <w:p>
            <w:pPr>
              <w:pStyle w:val="TableContents"/>
              <w:bidi w:val="0"/>
              <w:spacing w:before="0" w:after="283"/>
              <w:jc w:val="right"/>
              <w:rPr/>
            </w:pPr>
            <w:r>
              <w:rPr/>
              <w:t>5,893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w:t>
            </w:r>
          </w:p>
        </w:tc>
        <w:tc>
          <w:tcPr>
            <w:tcW w:w="976" w:type="dxa"/>
            <w:tcBorders/>
            <w:vAlign w:val="center"/>
          </w:tcPr>
          <w:p>
            <w:pPr>
              <w:pStyle w:val="TableContents"/>
              <w:bidi w:val="0"/>
              <w:spacing w:before="0" w:after="283"/>
              <w:jc w:val="right"/>
              <w:rPr/>
            </w:pPr>
            <w:r>
              <w:rPr/>
              <w:t>9,797</w:t>
            </w:r>
          </w:p>
        </w:tc>
        <w:tc>
          <w:tcPr>
            <w:tcW w:w="7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0"/>
              <w:jc w:val="left"/>
              <w:rPr>
                <w:rFonts w:ascii="arial" w:hAnsi="arial"/>
                <w:sz w:val="18"/>
              </w:rPr>
            </w:pPr>
            <w:r>
              <w:rPr>
                <w:rFonts w:ascii="arial" w:hAnsi="arial"/>
                <w:sz w:val="18"/>
              </w:rPr>
              <w:t>Shares</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0"/>
              <w:jc w:val="left"/>
              <w:rPr>
                <w:rFonts w:ascii="arial" w:hAnsi="arial"/>
                <w:sz w:val="18"/>
              </w:rPr>
            </w:pPr>
            <w:r>
              <w:rPr>
                <w:rFonts w:ascii="arial" w:hAnsi="arial"/>
                <w:sz w:val="18"/>
              </w:rPr>
              <w:t>Weighted-average shares for basic EPS</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right"/>
              <w:rPr/>
            </w:pPr>
            <w:r>
              <w:rPr/>
              <w:t>535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535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right"/>
              <w:rPr/>
            </w:pPr>
            <w:r>
              <w:rPr/>
              <w:t>538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538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right"/>
              <w:rPr/>
            </w:pPr>
            <w:r>
              <w:rPr/>
              <w:t>570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570</w:t>
            </w:r>
          </w:p>
        </w:tc>
        <w:tc>
          <w:tcPr>
            <w:tcW w:w="7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0"/>
              <w:jc w:val="left"/>
              <w:rPr>
                <w:rFonts w:ascii="arial" w:hAnsi="arial"/>
                <w:sz w:val="18"/>
              </w:rPr>
            </w:pPr>
            <w:r>
              <w:rPr>
                <w:rFonts w:ascii="arial" w:hAnsi="arial"/>
                <w:sz w:val="18"/>
              </w:rPr>
              <w:t>Effect of dilutive securities</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right"/>
              <w:rPr/>
            </w:pPr>
            <w:r>
              <w:rP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right"/>
              <w:rPr/>
            </w:pPr>
            <w:r>
              <w:rP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right"/>
              <w:rPr/>
            </w:pPr>
            <w:r>
              <w:rP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pBdr>
                <w:top w:val="single" w:sz="2" w:space="1" w:color="000000"/>
              </w:pBdr>
              <w:bidi w:val="0"/>
              <w:spacing w:before="0" w:after="0"/>
              <w:jc w:val="left"/>
              <w:rPr/>
            </w:pPr>
            <w:r>
              <w:rPr/>
              <w:t> </w:t>
            </w:r>
          </w:p>
        </w:tc>
        <w:tc>
          <w:tcPr>
            <w:tcW w:w="568"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pBdr>
                <w:top w:val="single" w:sz="2" w:space="1" w:color="000000"/>
              </w:pBdr>
              <w:bidi w:val="0"/>
              <w:spacing w:before="0" w:after="0"/>
              <w:jc w:val="left"/>
              <w:rPr/>
            </w:pPr>
            <w:r>
              <w:rPr/>
              <w:t> </w:t>
            </w:r>
          </w:p>
        </w:tc>
        <w:tc>
          <w:tcPr>
            <w:tcW w:w="101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pBdr>
                <w:top w:val="single" w:sz="2" w:space="1" w:color="000000"/>
              </w:pBdr>
              <w:bidi w:val="0"/>
              <w:spacing w:before="0" w:after="0"/>
              <w:jc w:val="left"/>
              <w:rPr/>
            </w:pPr>
            <w:r>
              <w:rPr/>
              <w:t> </w:t>
            </w:r>
          </w:p>
        </w:tc>
        <w:tc>
          <w:tcPr>
            <w:tcW w:w="568"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pBdr>
                <w:top w:val="single" w:sz="2" w:space="1" w:color="000000"/>
              </w:pBdr>
              <w:bidi w:val="0"/>
              <w:spacing w:before="0" w:after="0"/>
              <w:jc w:val="left"/>
              <w:rPr/>
            </w:pPr>
            <w:r>
              <w:rPr/>
              <w:t> </w:t>
            </w:r>
          </w:p>
        </w:tc>
        <w:tc>
          <w:tcPr>
            <w:tcW w:w="97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pBdr>
                <w:top w:val="single" w:sz="2" w:space="1" w:color="000000"/>
              </w:pBdr>
              <w:bidi w:val="0"/>
              <w:spacing w:before="0" w:after="0"/>
              <w:jc w:val="left"/>
              <w:rPr/>
            </w:pPr>
            <w:r>
              <w:rPr/>
              <w:t> </w:t>
            </w:r>
          </w:p>
        </w:tc>
        <w:tc>
          <w:tcPr>
            <w:tcW w:w="568"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pBdr>
                <w:top w:val="single" w:sz="2" w:space="1" w:color="000000"/>
              </w:pBdr>
              <w:bidi w:val="0"/>
              <w:spacing w:before="0" w:after="0"/>
              <w:jc w:val="left"/>
              <w:rPr/>
            </w:pPr>
            <w:r>
              <w:rPr/>
              <w:t> </w:t>
            </w:r>
          </w:p>
        </w:tc>
        <w:tc>
          <w:tcPr>
            <w:tcW w:w="976"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0"/>
              <w:jc w:val="left"/>
              <w:rPr>
                <w:rFonts w:ascii="arial" w:hAnsi="arial"/>
                <w:sz w:val="18"/>
              </w:rPr>
            </w:pPr>
            <w:r>
              <w:rPr>
                <w:rFonts w:ascii="arial" w:hAnsi="arial"/>
                <w:sz w:val="18"/>
              </w:rPr>
              <w:t>Weighted-average shares for diluted EPS</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right"/>
              <w:rPr/>
            </w:pPr>
            <w:r>
              <w:rPr/>
              <w:t>538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538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right"/>
              <w:rPr/>
            </w:pPr>
            <w:r>
              <w:rPr/>
              <w:t>541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541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568" w:type="dxa"/>
            <w:tcBorders/>
            <w:vAlign w:val="center"/>
          </w:tcPr>
          <w:p>
            <w:pPr>
              <w:pStyle w:val="TableContents"/>
              <w:bidi w:val="0"/>
              <w:spacing w:before="0" w:after="283"/>
              <w:jc w:val="right"/>
              <w:rPr/>
            </w:pPr>
            <w:r>
              <w:rPr/>
              <w:t>573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573</w:t>
            </w:r>
          </w:p>
        </w:tc>
        <w:tc>
          <w:tcPr>
            <w:tcW w:w="7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pBdr>
                <w:top w:val="single" w:sz="2" w:space="1" w:color="000000"/>
              </w:pBdr>
              <w:bidi w:val="0"/>
              <w:spacing w:before="0" w:after="0"/>
              <w:jc w:val="left"/>
              <w:rPr/>
            </w:pPr>
            <w:r>
              <w:rPr/>
              <w:t> </w:t>
            </w:r>
          </w:p>
        </w:tc>
        <w:tc>
          <w:tcPr>
            <w:tcW w:w="568"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pBdr>
                <w:top w:val="single" w:sz="2" w:space="1" w:color="000000"/>
              </w:pBdr>
              <w:bidi w:val="0"/>
              <w:spacing w:before="0" w:after="0"/>
              <w:jc w:val="left"/>
              <w:rPr/>
            </w:pPr>
            <w:r>
              <w:rPr/>
              <w:t> </w:t>
            </w:r>
          </w:p>
        </w:tc>
        <w:tc>
          <w:tcPr>
            <w:tcW w:w="101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pBdr>
                <w:top w:val="single" w:sz="2" w:space="1" w:color="000000"/>
              </w:pBdr>
              <w:bidi w:val="0"/>
              <w:spacing w:before="0" w:after="0"/>
              <w:jc w:val="left"/>
              <w:rPr/>
            </w:pPr>
            <w:r>
              <w:rPr/>
              <w:t> </w:t>
            </w:r>
          </w:p>
        </w:tc>
        <w:tc>
          <w:tcPr>
            <w:tcW w:w="568"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pBdr>
                <w:top w:val="single" w:sz="2" w:space="1" w:color="000000"/>
              </w:pBdr>
              <w:bidi w:val="0"/>
              <w:spacing w:before="0" w:after="0"/>
              <w:jc w:val="left"/>
              <w:rPr/>
            </w:pPr>
            <w:r>
              <w:rPr/>
              <w:t> </w:t>
            </w:r>
          </w:p>
        </w:tc>
        <w:tc>
          <w:tcPr>
            <w:tcW w:w="97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pBdr>
                <w:top w:val="single" w:sz="2" w:space="1" w:color="000000"/>
              </w:pBdr>
              <w:bidi w:val="0"/>
              <w:spacing w:before="0" w:after="0"/>
              <w:jc w:val="left"/>
              <w:rPr/>
            </w:pPr>
            <w:r>
              <w:rPr/>
              <w:t> </w:t>
            </w:r>
          </w:p>
        </w:tc>
        <w:tc>
          <w:tcPr>
            <w:tcW w:w="568"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pBdr>
                <w:top w:val="single" w:sz="2" w:space="1" w:color="000000"/>
              </w:pBdr>
              <w:bidi w:val="0"/>
              <w:spacing w:before="0" w:after="0"/>
              <w:jc w:val="left"/>
              <w:rPr/>
            </w:pPr>
            <w:r>
              <w:rPr/>
              <w:t> </w:t>
            </w:r>
          </w:p>
        </w:tc>
        <w:tc>
          <w:tcPr>
            <w:tcW w:w="976"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0"/>
              <w:jc w:val="left"/>
              <w:rPr>
                <w:rFonts w:ascii="arial" w:hAnsi="arial"/>
                <w:sz w:val="18"/>
              </w:rPr>
            </w:pPr>
            <w:r>
              <w:rPr>
                <w:rFonts w:ascii="arial" w:hAnsi="arial"/>
                <w:sz w:val="18"/>
              </w:rPr>
              <w:t>Diluted earnings per share</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w:t>
            </w:r>
          </w:p>
        </w:tc>
        <w:tc>
          <w:tcPr>
            <w:tcW w:w="568" w:type="dxa"/>
            <w:tcBorders/>
            <w:vAlign w:val="center"/>
          </w:tcPr>
          <w:p>
            <w:pPr>
              <w:pStyle w:val="TableContents"/>
              <w:bidi w:val="0"/>
              <w:spacing w:before="0" w:after="283"/>
              <w:jc w:val="right"/>
              <w:rPr/>
            </w:pPr>
            <w:r>
              <w:rPr/>
              <w:t>12.49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w:t>
            </w:r>
          </w:p>
        </w:tc>
        <w:tc>
          <w:tcPr>
            <w:tcW w:w="1012" w:type="dxa"/>
            <w:tcBorders/>
            <w:vAlign w:val="center"/>
          </w:tcPr>
          <w:p>
            <w:pPr>
              <w:pStyle w:val="TableContents"/>
              <w:bidi w:val="0"/>
              <w:spacing w:before="0" w:after="283"/>
              <w:jc w:val="right"/>
              <w:rPr/>
            </w:pPr>
            <w:r>
              <w:rPr/>
              <w:t>18.65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w:t>
            </w:r>
          </w:p>
        </w:tc>
        <w:tc>
          <w:tcPr>
            <w:tcW w:w="568" w:type="dxa"/>
            <w:tcBorders/>
            <w:vAlign w:val="center"/>
          </w:tcPr>
          <w:p>
            <w:pPr>
              <w:pStyle w:val="TableContents"/>
              <w:bidi w:val="0"/>
              <w:spacing w:before="0" w:after="283"/>
              <w:jc w:val="right"/>
              <w:rPr/>
            </w:pPr>
            <w:r>
              <w:rPr/>
              <w:t>12.11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w:t>
            </w:r>
          </w:p>
        </w:tc>
        <w:tc>
          <w:tcPr>
            <w:tcW w:w="976" w:type="dxa"/>
            <w:tcBorders/>
            <w:vAlign w:val="center"/>
          </w:tcPr>
          <w:p>
            <w:pPr>
              <w:pStyle w:val="TableContents"/>
              <w:bidi w:val="0"/>
              <w:spacing w:before="0" w:after="283"/>
              <w:jc w:val="right"/>
              <w:rPr/>
            </w:pPr>
            <w:r>
              <w:rPr/>
              <w:t>17.69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w:t>
            </w:r>
          </w:p>
        </w:tc>
        <w:tc>
          <w:tcPr>
            <w:tcW w:w="568" w:type="dxa"/>
            <w:tcBorders/>
            <w:vAlign w:val="center"/>
          </w:tcPr>
          <w:p>
            <w:pPr>
              <w:pStyle w:val="TableContents"/>
              <w:bidi w:val="0"/>
              <w:spacing w:before="0" w:after="283"/>
              <w:jc w:val="right"/>
              <w:rPr/>
            </w:pPr>
            <w:r>
              <w:rPr/>
              <w:t>10.28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w:t>
            </w:r>
          </w:p>
        </w:tc>
        <w:tc>
          <w:tcPr>
            <w:tcW w:w="976" w:type="dxa"/>
            <w:tcBorders/>
            <w:vAlign w:val="center"/>
          </w:tcPr>
          <w:p>
            <w:pPr>
              <w:pStyle w:val="TableContents"/>
              <w:bidi w:val="0"/>
              <w:spacing w:before="0" w:after="283"/>
              <w:jc w:val="right"/>
              <w:rPr/>
            </w:pPr>
            <w:r>
              <w:rPr/>
              <w:t>17.10</w:t>
            </w:r>
          </w:p>
        </w:tc>
        <w:tc>
          <w:tcPr>
            <w:tcW w:w="7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pBdr>
                <w:top w:val="double" w:sz="6" w:space="1" w:color="000000"/>
              </w:pBdr>
              <w:bidi w:val="0"/>
              <w:spacing w:before="0" w:after="0"/>
              <w:jc w:val="left"/>
              <w:rPr/>
            </w:pPr>
            <w:r>
              <w:rPr/>
              <w:t> </w:t>
            </w:r>
          </w:p>
        </w:tc>
        <w:tc>
          <w:tcPr>
            <w:tcW w:w="568"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pBdr>
                <w:top w:val="double" w:sz="6" w:space="1" w:color="000000"/>
              </w:pBdr>
              <w:bidi w:val="0"/>
              <w:spacing w:before="0" w:after="0"/>
              <w:jc w:val="left"/>
              <w:rPr/>
            </w:pPr>
            <w:r>
              <w:rPr/>
              <w:t> </w:t>
            </w:r>
          </w:p>
        </w:tc>
        <w:tc>
          <w:tcPr>
            <w:tcW w:w="1012"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pBdr>
                <w:top w:val="double" w:sz="6" w:space="1" w:color="000000"/>
              </w:pBdr>
              <w:bidi w:val="0"/>
              <w:spacing w:before="0" w:after="0"/>
              <w:jc w:val="left"/>
              <w:rPr/>
            </w:pPr>
            <w:r>
              <w:rPr/>
              <w:t> </w:t>
            </w:r>
          </w:p>
        </w:tc>
        <w:tc>
          <w:tcPr>
            <w:tcW w:w="568"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pBdr>
                <w:top w:val="double" w:sz="6" w:space="1" w:color="000000"/>
              </w:pBdr>
              <w:bidi w:val="0"/>
              <w:spacing w:before="0" w:after="0"/>
              <w:jc w:val="left"/>
              <w:rPr/>
            </w:pPr>
            <w:r>
              <w:rPr/>
              <w:t> </w:t>
            </w:r>
          </w:p>
        </w:tc>
        <w:tc>
          <w:tcPr>
            <w:tcW w:w="976"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pBdr>
                <w:top w:val="double" w:sz="6" w:space="1" w:color="000000"/>
              </w:pBdr>
              <w:bidi w:val="0"/>
              <w:spacing w:before="0" w:after="0"/>
              <w:jc w:val="left"/>
              <w:rPr/>
            </w:pPr>
            <w:r>
              <w:rPr/>
              <w:t> </w:t>
            </w:r>
          </w:p>
        </w:tc>
        <w:tc>
          <w:tcPr>
            <w:tcW w:w="568"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pBdr>
                <w:top w:val="double" w:sz="6" w:space="1" w:color="000000"/>
              </w:pBdr>
              <w:bidi w:val="0"/>
              <w:spacing w:before="0" w:after="0"/>
              <w:jc w:val="left"/>
              <w:rPr/>
            </w:pPr>
            <w:r>
              <w:rPr/>
              <w:t> </w:t>
            </w:r>
          </w:p>
        </w:tc>
        <w:tc>
          <w:tcPr>
            <w:tcW w:w="976"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120" w:after="0"/>
        <w:jc w:val="left"/>
        <w:rPr>
          <w:rFonts w:ascii="arial" w:hAnsi="arial"/>
          <w:sz w:val="18"/>
        </w:rPr>
      </w:pPr>
      <w:r>
        <w:rPr>
          <w:rFonts w:ascii="arial" w:hAnsi="arial"/>
          <w:sz w:val="18"/>
        </w:rPr>
        <w:t xml:space="preserve">The following tables present the computations for Invested capital and Return on Invested capital under the terms of the 2021 - 2023, 2022 - 2024 and 2023 - 2025 Performance Periods. </w:t>
      </w:r>
    </w:p>
    <w:p>
      <w:pPr>
        <w:pStyle w:val="TextBody"/>
        <w:bidi w:val="0"/>
        <w:spacing w:before="0" w:after="0"/>
        <w:jc w:val="left"/>
        <w:rPr/>
      </w:pPr>
      <w:r>
        <w:rPr/>
        <w:t> </w:t>
      </w:r>
    </w:p>
    <w:tbl>
      <w:tblPr>
        <w:tblW w:w="8720" w:type="dxa"/>
        <w:jc w:val="left"/>
        <w:tblInd w:w="0" w:type="dxa"/>
        <w:tblLayout w:type="fixed"/>
        <w:tblCellMar>
          <w:top w:w="0" w:type="dxa"/>
          <w:left w:w="0" w:type="dxa"/>
          <w:bottom w:w="0" w:type="dxa"/>
          <w:right w:w="0" w:type="dxa"/>
        </w:tblCellMar>
      </w:tblPr>
      <w:tblGrid>
        <w:gridCol w:w="2195"/>
        <w:gridCol w:w="120"/>
        <w:gridCol w:w="140"/>
        <w:gridCol w:w="920"/>
        <w:gridCol w:w="155"/>
        <w:gridCol w:w="120"/>
        <w:gridCol w:w="140"/>
        <w:gridCol w:w="920"/>
        <w:gridCol w:w="155"/>
        <w:gridCol w:w="120"/>
        <w:gridCol w:w="140"/>
        <w:gridCol w:w="920"/>
        <w:gridCol w:w="155"/>
        <w:gridCol w:w="120"/>
        <w:gridCol w:w="140"/>
        <w:gridCol w:w="920"/>
        <w:gridCol w:w="155"/>
        <w:gridCol w:w="120"/>
        <w:gridCol w:w="140"/>
        <w:gridCol w:w="755"/>
        <w:gridCol w:w="170"/>
      </w:tblGrid>
      <w:tr>
        <w:trPr/>
        <w:tc>
          <w:tcPr>
            <w:tcW w:w="2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12/31/22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3/31/23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6/30/23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9/30/23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12/31/23</w:t>
            </w:r>
          </w:p>
        </w:tc>
        <w:tc>
          <w:tcPr>
            <w:tcW w:w="170"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0"/>
              <w:jc w:val="left"/>
              <w:rPr>
                <w:rFonts w:ascii="arial" w:hAnsi="arial"/>
                <w:sz w:val="18"/>
              </w:rPr>
            </w:pPr>
            <w:r>
              <w:rPr>
                <w:rFonts w:ascii="arial" w:hAnsi="arial"/>
                <w:sz w:val="18"/>
              </w:rPr>
              <w:t>Total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20" w:type="dxa"/>
            <w:tcBorders/>
            <w:vAlign w:val="center"/>
          </w:tcPr>
          <w:p>
            <w:pPr>
              <w:pStyle w:val="TableContents"/>
              <w:bidi w:val="0"/>
              <w:spacing w:before="0" w:after="283"/>
              <w:jc w:val="right"/>
              <w:rPr/>
            </w:pPr>
            <w:r>
              <w:rPr/>
              <w:t> </w:t>
            </w:r>
            <w:r>
              <w:rPr/>
              <w:t>65,121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20" w:type="dxa"/>
            <w:tcBorders/>
            <w:vAlign w:val="center"/>
          </w:tcPr>
          <w:p>
            <w:pPr>
              <w:pStyle w:val="TableContents"/>
              <w:bidi w:val="0"/>
              <w:spacing w:before="0" w:after="283"/>
              <w:jc w:val="right"/>
              <w:rPr/>
            </w:pPr>
            <w:r>
              <w:rPr/>
              <w:t> </w:t>
            </w:r>
            <w:r>
              <w:rPr/>
              <w:t>88,720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20" w:type="dxa"/>
            <w:tcBorders/>
            <w:vAlign w:val="center"/>
          </w:tcPr>
          <w:p>
            <w:pPr>
              <w:pStyle w:val="TableContents"/>
              <w:bidi w:val="0"/>
              <w:spacing w:before="0" w:after="283"/>
              <w:jc w:val="right"/>
              <w:rPr/>
            </w:pPr>
            <w:r>
              <w:rPr/>
              <w:t> </w:t>
            </w:r>
            <w:r>
              <w:rPr/>
              <w:t>90,269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20" w:type="dxa"/>
            <w:tcBorders/>
            <w:vAlign w:val="center"/>
          </w:tcPr>
          <w:p>
            <w:pPr>
              <w:pStyle w:val="TableContents"/>
              <w:bidi w:val="0"/>
              <w:spacing w:before="0" w:after="283"/>
              <w:jc w:val="right"/>
              <w:rPr/>
            </w:pPr>
            <w:r>
              <w:rPr/>
              <w:t> </w:t>
            </w:r>
            <w:r>
              <w:rPr/>
              <w:t>90,534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97,154</w:t>
            </w:r>
          </w:p>
        </w:tc>
        <w:tc>
          <w:tcPr>
            <w:tcW w:w="170"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0"/>
              <w:jc w:val="left"/>
              <w:rPr>
                <w:rFonts w:ascii="arial" w:hAnsi="arial"/>
                <w:sz w:val="18"/>
              </w:rPr>
            </w:pPr>
            <w:r>
              <w:rPr>
                <w:rFonts w:ascii="arial" w:hAnsi="arial"/>
                <w:i/>
                <w:sz w:val="18"/>
              </w:rPr>
              <w:t xml:space="preserve">less </w:t>
            </w:r>
            <w:r>
              <w:rPr>
                <w:rFonts w:ascii="arial" w:hAnsi="arial"/>
                <w:sz w:val="18"/>
              </w:rPr>
              <w:t>Total current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(15,687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(14,215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(17,097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(16,954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(18,392</w:t>
            </w:r>
          </w:p>
        </w:tc>
        <w:tc>
          <w:tcPr>
            <w:tcW w:w="170"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0"/>
              <w:jc w:val="left"/>
              <w:rPr>
                <w:rFonts w:ascii="arial" w:hAnsi="arial"/>
                <w:sz w:val="18"/>
              </w:rPr>
            </w:pPr>
            <w:r>
              <w:rPr>
                <w:rFonts w:ascii="arial" w:hAnsi="arial"/>
                <w:sz w:val="18"/>
              </w:rPr>
              <w:t xml:space="preserve">Invested capital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20" w:type="dxa"/>
            <w:tcBorders/>
            <w:vAlign w:val="center"/>
          </w:tcPr>
          <w:p>
            <w:pPr>
              <w:pStyle w:val="TableContents"/>
              <w:bidi w:val="0"/>
              <w:spacing w:before="0" w:after="283"/>
              <w:jc w:val="right"/>
              <w:rPr/>
            </w:pPr>
            <w:r>
              <w:rPr/>
              <w:t>49,434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20" w:type="dxa"/>
            <w:tcBorders/>
            <w:vAlign w:val="center"/>
          </w:tcPr>
          <w:p>
            <w:pPr>
              <w:pStyle w:val="TableContents"/>
              <w:bidi w:val="0"/>
              <w:spacing w:before="0" w:after="283"/>
              <w:jc w:val="right"/>
              <w:rPr/>
            </w:pPr>
            <w:r>
              <w:rPr/>
              <w:t>74,505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20" w:type="dxa"/>
            <w:tcBorders/>
            <w:vAlign w:val="center"/>
          </w:tcPr>
          <w:p>
            <w:pPr>
              <w:pStyle w:val="TableContents"/>
              <w:bidi w:val="0"/>
              <w:spacing w:before="0" w:after="283"/>
              <w:jc w:val="right"/>
              <w:rPr/>
            </w:pPr>
            <w:r>
              <w:rPr/>
              <w:t>73,172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20" w:type="dxa"/>
            <w:tcBorders/>
            <w:vAlign w:val="center"/>
          </w:tcPr>
          <w:p>
            <w:pPr>
              <w:pStyle w:val="TableContents"/>
              <w:bidi w:val="0"/>
              <w:spacing w:before="0" w:after="283"/>
              <w:jc w:val="right"/>
              <w:rPr/>
            </w:pPr>
            <w:r>
              <w:rPr/>
              <w:t>73,580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78,762</w:t>
            </w:r>
          </w:p>
        </w:tc>
        <w:tc>
          <w:tcPr>
            <w:tcW w:w="170"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2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2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2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2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463"/>
        <w:gridCol w:w="120"/>
        <w:gridCol w:w="140"/>
        <w:gridCol w:w="965"/>
        <w:gridCol w:w="60"/>
        <w:gridCol w:w="120"/>
        <w:gridCol w:w="140"/>
        <w:gridCol w:w="965"/>
        <w:gridCol w:w="60"/>
        <w:gridCol w:w="120"/>
        <w:gridCol w:w="140"/>
        <w:gridCol w:w="965"/>
        <w:gridCol w:w="60"/>
        <w:gridCol w:w="120"/>
        <w:gridCol w:w="140"/>
        <w:gridCol w:w="965"/>
        <w:gridCol w:w="60"/>
        <w:gridCol w:w="120"/>
        <w:gridCol w:w="192"/>
        <w:gridCol w:w="954"/>
        <w:gridCol w:w="336"/>
      </w:tblGrid>
      <w:tr>
        <w:trPr/>
        <w:tc>
          <w:tcPr>
            <w:tcW w:w="34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346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96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Average Invested Capital for Quarter Ended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6" w:type="dxa"/>
            <w:gridSpan w:val="2"/>
            <w:tcBorders>
              <w:bottom w:val="single" w:sz="8" w:space="0" w:color="000000"/>
            </w:tcBorders>
            <w:tcMar>
              <w:bottom w:w="28" w:type="dxa"/>
            </w:tcMar>
            <w:vAlign w:val="center"/>
          </w:tcPr>
          <w:p>
            <w:pPr>
              <w:pStyle w:val="TableContents"/>
              <w:bidi w:val="0"/>
              <w:spacing w:before="0" w:after="283"/>
              <w:jc w:val="center"/>
              <w:rPr/>
            </w:pPr>
            <w:r>
              <w:rPr>
                <w:b/>
              </w:rPr>
              <w:t>Average of</w:t>
            </w:r>
            <w:r>
              <w:rPr/>
              <w:br/>
            </w:r>
            <w:r>
              <w:rPr>
                <w:b/>
              </w:rPr>
              <w:t>Quarterly</w:t>
            </w:r>
            <w:r>
              <w:rPr/>
              <w:br/>
            </w:r>
            <w:r>
              <w:rPr>
                <w:b/>
              </w:rPr>
              <w:t>Averages</w:t>
            </w:r>
            <w:r>
              <w:rPr/>
              <w:br/>
            </w:r>
            <w:r>
              <w:rPr>
                <w:b/>
              </w:rPr>
              <w:t>2023</w:t>
            </w:r>
          </w:p>
        </w:tc>
        <w:tc>
          <w:tcPr>
            <w:tcW w:w="336" w:type="dxa"/>
            <w:tcBorders/>
            <w:vAlign w:val="center"/>
          </w:tcPr>
          <w:p>
            <w:pPr>
              <w:pStyle w:val="TableContents"/>
              <w:bidi w:val="0"/>
              <w:spacing w:before="0" w:after="283"/>
              <w:jc w:val="left"/>
              <w:rPr/>
            </w:pPr>
            <w:r>
              <w:rPr/>
              <w:t> </w:t>
            </w:r>
          </w:p>
        </w:tc>
      </w:tr>
      <w:tr>
        <w:trPr/>
        <w:tc>
          <w:tcPr>
            <w:tcW w:w="346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3/31/23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6/30/23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9/30/23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12/31/23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6" w:type="dxa"/>
            <w:gridSpan w:val="2"/>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r>
      <w:tr>
        <w:trPr/>
        <w:tc>
          <w:tcPr>
            <w:tcW w:w="3463" w:type="dxa"/>
            <w:tcBorders/>
            <w:vAlign w:val="center"/>
          </w:tcPr>
          <w:p>
            <w:pPr>
              <w:pStyle w:val="TableContents"/>
              <w:bidi w:val="0"/>
              <w:spacing w:before="0" w:after="0"/>
              <w:jc w:val="left"/>
              <w:rPr>
                <w:rFonts w:ascii="arial" w:hAnsi="arial"/>
                <w:b/>
                <w:sz w:val="18"/>
              </w:rPr>
            </w:pPr>
            <w:r>
              <w:rPr>
                <w:rFonts w:ascii="arial" w:hAnsi="arial"/>
                <w:b/>
                <w:sz w:val="18"/>
              </w:rPr>
              <w:t>Average Invested capital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jc w:val="right"/>
              <w:rPr/>
            </w:pPr>
            <w:r>
              <w:rPr/>
              <w:t>  </w:t>
            </w:r>
            <w:r>
              <w:rPr/>
              <w:t>61,970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jc w:val="right"/>
              <w:rPr/>
            </w:pPr>
            <w:r>
              <w:rPr/>
              <w:t>  </w:t>
            </w:r>
            <w:r>
              <w:rPr/>
              <w:t>73,839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jc w:val="right"/>
              <w:rPr/>
            </w:pPr>
            <w:r>
              <w:rPr/>
              <w:t>  </w:t>
            </w:r>
            <w:r>
              <w:rPr/>
              <w:t>73,376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jc w:val="right"/>
              <w:rPr/>
            </w:pPr>
            <w:r>
              <w:rPr/>
              <w:t>  </w:t>
            </w:r>
            <w:r>
              <w:rPr/>
              <w:t>76,171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b/>
              </w:rPr>
            </w:pPr>
            <w:r>
              <w:rPr>
                <w:b/>
              </w:rPr>
              <w:t>$</w:t>
            </w:r>
          </w:p>
        </w:tc>
        <w:tc>
          <w:tcPr>
            <w:tcW w:w="954" w:type="dxa"/>
            <w:tcBorders/>
            <w:vAlign w:val="center"/>
          </w:tcPr>
          <w:p>
            <w:pPr>
              <w:pStyle w:val="TableContents"/>
              <w:bidi w:val="0"/>
              <w:spacing w:before="0" w:after="283"/>
              <w:jc w:val="right"/>
              <w:rPr/>
            </w:pPr>
            <w:r>
              <w:rPr/>
              <w:t>  </w:t>
            </w:r>
            <w:r>
              <w:rPr>
                <w:b/>
              </w:rPr>
              <w:t>71,339</w:t>
            </w:r>
          </w:p>
        </w:tc>
        <w:tc>
          <w:tcPr>
            <w:tcW w:w="336" w:type="dxa"/>
            <w:tcBorders/>
            <w:vAlign w:val="center"/>
          </w:tcPr>
          <w:p>
            <w:pPr>
              <w:pStyle w:val="TableContents"/>
              <w:bidi w:val="0"/>
              <w:spacing w:before="0" w:after="283"/>
              <w:jc w:val="left"/>
              <w:rPr/>
            </w:pPr>
            <w:r>
              <w:rPr/>
              <w:t> </w:t>
            </w:r>
          </w:p>
        </w:tc>
      </w:tr>
      <w:tr>
        <w:trPr/>
        <w:tc>
          <w:tcPr>
            <w:tcW w:w="3463" w:type="dxa"/>
            <w:tcBorders/>
            <w:vAlign w:val="center"/>
          </w:tcPr>
          <w:p>
            <w:pPr>
              <w:pStyle w:val="TableContents"/>
              <w:bidi w:val="0"/>
              <w:spacing w:before="0" w:after="283"/>
              <w:jc w:val="left"/>
              <w:rPr>
                <w:sz w:val="4"/>
                <w:szCs w:val="4"/>
              </w:rPr>
            </w:pPr>
            <w:r>
              <w:rPr>
                <w:sz w:val="4"/>
                <w:szCs w:val="4"/>
              </w:rPr>
            </w:r>
          </w:p>
        </w:tc>
        <w:tc>
          <w:tcPr>
            <w:tcW w:w="1285" w:type="dxa"/>
            <w:gridSpan w:val="4"/>
            <w:tcBorders/>
            <w:vAlign w:val="center"/>
          </w:tcPr>
          <w:p>
            <w:pPr>
              <w:pStyle w:val="TableContents"/>
              <w:bidi w:val="0"/>
              <w:spacing w:before="0" w:after="283"/>
              <w:jc w:val="left"/>
              <w:rPr>
                <w:sz w:val="4"/>
                <w:szCs w:val="4"/>
              </w:rPr>
            </w:pPr>
            <w:r>
              <w:rPr>
                <w:sz w:val="4"/>
                <w:szCs w:val="4"/>
              </w:rPr>
            </w:r>
          </w:p>
        </w:tc>
        <w:tc>
          <w:tcPr>
            <w:tcW w:w="1285" w:type="dxa"/>
            <w:gridSpan w:val="4"/>
            <w:tcBorders/>
            <w:vAlign w:val="center"/>
          </w:tcPr>
          <w:p>
            <w:pPr>
              <w:pStyle w:val="TableContents"/>
              <w:bidi w:val="0"/>
              <w:spacing w:before="0" w:after="283"/>
              <w:jc w:val="left"/>
              <w:rPr>
                <w:sz w:val="4"/>
                <w:szCs w:val="4"/>
              </w:rPr>
            </w:pPr>
            <w:r>
              <w:rPr>
                <w:sz w:val="4"/>
                <w:szCs w:val="4"/>
              </w:rPr>
            </w:r>
          </w:p>
        </w:tc>
        <w:tc>
          <w:tcPr>
            <w:tcW w:w="1285" w:type="dxa"/>
            <w:gridSpan w:val="4"/>
            <w:tcBorders/>
            <w:vAlign w:val="center"/>
          </w:tcPr>
          <w:p>
            <w:pPr>
              <w:pStyle w:val="TableContents"/>
              <w:bidi w:val="0"/>
              <w:spacing w:before="0" w:after="283"/>
              <w:jc w:val="left"/>
              <w:rPr>
                <w:sz w:val="4"/>
                <w:szCs w:val="4"/>
              </w:rPr>
            </w:pPr>
            <w:r>
              <w:rPr>
                <w:sz w:val="4"/>
                <w:szCs w:val="4"/>
              </w:rPr>
            </w:r>
          </w:p>
        </w:tc>
        <w:tc>
          <w:tcPr>
            <w:tcW w:w="1285" w:type="dxa"/>
            <w:gridSpan w:val="4"/>
            <w:tcBorders/>
            <w:vAlign w:val="center"/>
          </w:tcPr>
          <w:p>
            <w:pPr>
              <w:pStyle w:val="TableContents"/>
              <w:bidi w:val="0"/>
              <w:spacing w:before="0" w:after="283"/>
              <w:jc w:val="left"/>
              <w:rPr>
                <w:sz w:val="4"/>
                <w:szCs w:val="4"/>
              </w:rPr>
            </w:pPr>
            <w:r>
              <w:rPr>
                <w:sz w:val="4"/>
                <w:szCs w:val="4"/>
              </w:rPr>
            </w:r>
          </w:p>
        </w:tc>
        <w:tc>
          <w:tcPr>
            <w:tcW w:w="1602" w:type="dxa"/>
            <w:gridSpan w:val="4"/>
            <w:tcBorders/>
            <w:vAlign w:val="center"/>
          </w:tcPr>
          <w:p>
            <w:pPr>
              <w:pStyle w:val="TableContents"/>
              <w:bidi w:val="0"/>
              <w:spacing w:before="0" w:after="283"/>
              <w:jc w:val="left"/>
              <w:rPr>
                <w:sz w:val="4"/>
                <w:szCs w:val="4"/>
              </w:rPr>
            </w:pPr>
            <w:r>
              <w:rPr>
                <w:sz w:val="4"/>
                <w:szCs w:val="4"/>
              </w:rPr>
            </w:r>
          </w:p>
        </w:tc>
      </w:tr>
      <w:tr>
        <w:trPr/>
        <w:tc>
          <w:tcPr>
            <w:tcW w:w="3463" w:type="dxa"/>
            <w:tcBorders/>
            <w:vAlign w:val="center"/>
          </w:tcPr>
          <w:p>
            <w:pPr>
              <w:pStyle w:val="TableContents"/>
              <w:bidi w:val="0"/>
              <w:spacing w:before="0" w:after="0"/>
              <w:jc w:val="left"/>
              <w:rPr>
                <w:rFonts w:ascii="arial" w:hAnsi="arial"/>
                <w:sz w:val="18"/>
              </w:rPr>
            </w:pPr>
            <w:r>
              <w:rPr>
                <w:rFonts w:ascii="arial" w:hAnsi="arial"/>
                <w:sz w:val="18"/>
              </w:rPr>
              <w:t>2023 Non-GAAP Operating Income (per above)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54" w:type="dxa"/>
            <w:tcBorders/>
            <w:vAlign w:val="center"/>
          </w:tcPr>
          <w:p>
            <w:pPr>
              <w:pStyle w:val="TableContents"/>
              <w:bidi w:val="0"/>
              <w:spacing w:before="0" w:after="283"/>
              <w:jc w:val="right"/>
              <w:rPr/>
            </w:pPr>
            <w:r>
              <w:rPr/>
              <w:t>13,399</w:t>
            </w:r>
          </w:p>
        </w:tc>
        <w:tc>
          <w:tcPr>
            <w:tcW w:w="336" w:type="dxa"/>
            <w:tcBorders/>
            <w:vAlign w:val="center"/>
          </w:tcPr>
          <w:p>
            <w:pPr>
              <w:pStyle w:val="TableContents"/>
              <w:bidi w:val="0"/>
              <w:spacing w:before="0" w:after="283"/>
              <w:jc w:val="left"/>
              <w:rPr/>
            </w:pPr>
            <w:r>
              <w:rPr/>
              <w:t> </w:t>
            </w:r>
          </w:p>
        </w:tc>
      </w:tr>
      <w:tr>
        <w:trPr/>
        <w:tc>
          <w:tcPr>
            <w:tcW w:w="3463" w:type="dxa"/>
            <w:tcBorders/>
            <w:vAlign w:val="center"/>
          </w:tcPr>
          <w:p>
            <w:pPr>
              <w:pStyle w:val="TableContents"/>
              <w:bidi w:val="0"/>
              <w:spacing w:before="0" w:after="0"/>
              <w:jc w:val="left"/>
              <w:rPr>
                <w:rFonts w:ascii="arial" w:hAnsi="arial"/>
                <w:sz w:val="18"/>
              </w:rPr>
            </w:pPr>
            <w:r>
              <w:rPr>
                <w:rFonts w:ascii="arial" w:hAnsi="arial"/>
                <w:sz w:val="18"/>
              </w:rPr>
              <w:t xml:space="preserve">2023 After-tax factor (100% </w:t>
            </w:r>
            <w:r>
              <w:rPr>
                <w:rFonts w:ascii="arial" w:hAnsi="arial"/>
                <w:i/>
                <w:sz w:val="18"/>
              </w:rPr>
              <w:t xml:space="preserve">less </w:t>
            </w:r>
            <w:r>
              <w:rPr>
                <w:rFonts w:ascii="arial" w:hAnsi="arial"/>
                <w:sz w:val="18"/>
              </w:rPr>
              <w:t>Non-GAAP tax rate per above)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83.5</w:t>
            </w:r>
          </w:p>
        </w:tc>
        <w:tc>
          <w:tcPr>
            <w:tcW w:w="336" w:type="dxa"/>
            <w:tcBorders/>
            <w:vAlign w:val="center"/>
          </w:tcPr>
          <w:p>
            <w:pPr>
              <w:pStyle w:val="TableContents"/>
              <w:bidi w:val="0"/>
              <w:spacing w:before="0" w:after="283"/>
              <w:jc w:val="left"/>
              <w:rPr/>
            </w:pPr>
            <w:r>
              <w:rPr/>
              <w:t>% </w:t>
            </w:r>
          </w:p>
        </w:tc>
      </w:tr>
      <w:tr>
        <w:trPr/>
        <w:tc>
          <w:tcPr>
            <w:tcW w:w="34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single" w:sz="2" w:space="1" w:color="000000"/>
              </w:pBdr>
              <w:bidi w:val="0"/>
              <w:spacing w:before="0" w:after="0"/>
              <w:jc w:val="left"/>
              <w:rPr/>
            </w:pPr>
            <w:r>
              <w:rPr/>
              <w:t> </w:t>
            </w:r>
          </w:p>
        </w:tc>
        <w:tc>
          <w:tcPr>
            <w:tcW w:w="954" w:type="dxa"/>
            <w:tcBorders/>
            <w:vAlign w:val="center"/>
          </w:tcPr>
          <w:p>
            <w:pPr>
              <w:pStyle w:val="TableContents"/>
              <w:pBdr>
                <w:top w:val="single" w:sz="2" w:space="1" w:color="000000"/>
              </w:pBdr>
              <w:bidi w:val="0"/>
              <w:spacing w:before="0" w:after="0"/>
              <w:jc w:val="left"/>
              <w:rPr/>
            </w:pPr>
            <w:r>
              <w:rPr/>
              <w:t> </w:t>
            </w:r>
          </w:p>
        </w:tc>
        <w:tc>
          <w:tcPr>
            <w:tcW w:w="336" w:type="dxa"/>
            <w:tcBorders/>
            <w:vAlign w:val="center"/>
          </w:tcPr>
          <w:p>
            <w:pPr>
              <w:pStyle w:val="TableContents"/>
              <w:bidi w:val="0"/>
              <w:spacing w:before="0" w:after="283"/>
              <w:jc w:val="left"/>
              <w:rPr/>
            </w:pPr>
            <w:r>
              <w:rPr/>
              <w:t> </w:t>
            </w:r>
          </w:p>
        </w:tc>
      </w:tr>
      <w:tr>
        <w:trPr/>
        <w:tc>
          <w:tcPr>
            <w:tcW w:w="7258" w:type="dxa"/>
            <w:gridSpan w:val="12"/>
            <w:tcBorders/>
            <w:vAlign w:val="center"/>
          </w:tcPr>
          <w:p>
            <w:pPr>
              <w:pStyle w:val="TableContents"/>
              <w:bidi w:val="0"/>
              <w:spacing w:before="0" w:after="0"/>
              <w:jc w:val="left"/>
              <w:rPr>
                <w:rFonts w:ascii="arial" w:hAnsi="arial"/>
                <w:b/>
                <w:sz w:val="18"/>
              </w:rPr>
            </w:pPr>
            <w:r>
              <w:rPr>
                <w:rFonts w:ascii="arial" w:hAnsi="arial"/>
                <w:b/>
                <w:sz w:val="18"/>
              </w:rPr>
              <w:t>2023 Non-GAAP Net Operating income after tax</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b/>
              </w:rPr>
            </w:pPr>
            <w:r>
              <w:rPr>
                <w:b/>
              </w:rPr>
              <w:t>$</w:t>
            </w:r>
          </w:p>
        </w:tc>
        <w:tc>
          <w:tcPr>
            <w:tcW w:w="954" w:type="dxa"/>
            <w:tcBorders/>
            <w:vAlign w:val="center"/>
          </w:tcPr>
          <w:p>
            <w:pPr>
              <w:pStyle w:val="TableContents"/>
              <w:bidi w:val="0"/>
              <w:spacing w:before="0" w:after="283"/>
              <w:jc w:val="right"/>
              <w:rPr>
                <w:b/>
              </w:rPr>
            </w:pPr>
            <w:r>
              <w:rPr>
                <w:b/>
              </w:rPr>
              <w:t>11,188</w:t>
            </w:r>
          </w:p>
        </w:tc>
        <w:tc>
          <w:tcPr>
            <w:tcW w:w="336" w:type="dxa"/>
            <w:tcBorders/>
            <w:vAlign w:val="center"/>
          </w:tcPr>
          <w:p>
            <w:pPr>
              <w:pStyle w:val="TableContents"/>
              <w:bidi w:val="0"/>
              <w:spacing w:before="0" w:after="283"/>
              <w:jc w:val="left"/>
              <w:rPr/>
            </w:pPr>
            <w:r>
              <w:rPr/>
              <w:t> </w:t>
            </w:r>
          </w:p>
        </w:tc>
      </w:tr>
      <w:tr>
        <w:trPr/>
        <w:tc>
          <w:tcPr>
            <w:tcW w:w="34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double" w:sz="6" w:space="1" w:color="000000"/>
              </w:pBdr>
              <w:bidi w:val="0"/>
              <w:spacing w:before="0" w:after="0"/>
              <w:jc w:val="left"/>
              <w:rPr/>
            </w:pPr>
            <w:r>
              <w:rPr/>
              <w:t> </w:t>
            </w:r>
          </w:p>
        </w:tc>
        <w:tc>
          <w:tcPr>
            <w:tcW w:w="954" w:type="dxa"/>
            <w:tcBorders/>
            <w:vAlign w:val="center"/>
          </w:tcPr>
          <w:p>
            <w:pPr>
              <w:pStyle w:val="TableContents"/>
              <w:pBdr>
                <w:top w:val="double" w:sz="6" w:space="1" w:color="000000"/>
              </w:pBdr>
              <w:bidi w:val="0"/>
              <w:spacing w:before="0" w:after="0"/>
              <w:jc w:val="left"/>
              <w:rPr/>
            </w:pPr>
            <w:r>
              <w:rPr/>
              <w:t> </w:t>
            </w:r>
          </w:p>
        </w:tc>
        <w:tc>
          <w:tcPr>
            <w:tcW w:w="336" w:type="dxa"/>
            <w:tcBorders/>
            <w:vAlign w:val="center"/>
          </w:tcPr>
          <w:p>
            <w:pPr>
              <w:pStyle w:val="TableContents"/>
              <w:bidi w:val="0"/>
              <w:spacing w:before="0" w:after="283"/>
              <w:jc w:val="left"/>
              <w:rPr/>
            </w:pPr>
            <w:r>
              <w:rPr/>
              <w:t> </w:t>
            </w:r>
          </w:p>
        </w:tc>
      </w:tr>
      <w:tr>
        <w:trPr/>
        <w:tc>
          <w:tcPr>
            <w:tcW w:w="8543" w:type="dxa"/>
            <w:gridSpan w:val="16"/>
            <w:tcBorders/>
            <w:vAlign w:val="center"/>
          </w:tcPr>
          <w:p>
            <w:pPr>
              <w:pStyle w:val="TableContents"/>
              <w:bidi w:val="0"/>
              <w:spacing w:before="0" w:after="0"/>
              <w:jc w:val="left"/>
              <w:rPr>
                <w:rFonts w:ascii="arial" w:hAnsi="arial"/>
                <w:sz w:val="18"/>
              </w:rPr>
            </w:pPr>
            <w:r>
              <w:rPr>
                <w:rFonts w:ascii="arial" w:hAnsi="arial"/>
                <w:b/>
                <w:sz w:val="18"/>
              </w:rPr>
              <w:t xml:space="preserve">2023 Return on Invested capital (Net Operating Income after tax </w:t>
            </w:r>
            <w:r>
              <w:rPr>
                <w:rFonts w:ascii="arial" w:hAnsi="arial"/>
                <w:b/>
                <w:i/>
                <w:sz w:val="18"/>
              </w:rPr>
              <w:t xml:space="preserve">divided by </w:t>
            </w:r>
            <w:r>
              <w:rPr>
                <w:rFonts w:ascii="arial" w:hAnsi="arial"/>
                <w:b/>
                <w:sz w:val="18"/>
              </w:rPr>
              <w:t>Average Invested capital)</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b/>
              </w:rPr>
            </w:pPr>
            <w:r>
              <w:rPr>
                <w:b/>
              </w:rPr>
              <w:t>15.7</w:t>
            </w:r>
          </w:p>
        </w:tc>
        <w:tc>
          <w:tcPr>
            <w:tcW w:w="336" w:type="dxa"/>
            <w:tcBorders/>
            <w:vAlign w:val="center"/>
          </w:tcPr>
          <w:p>
            <w:pPr>
              <w:pStyle w:val="TableContents"/>
              <w:bidi w:val="0"/>
              <w:spacing w:before="0" w:after="283"/>
              <w:jc w:val="left"/>
              <w:rPr>
                <w:b/>
              </w:rPr>
            </w:pPr>
            <w:r>
              <w:rPr>
                <w:b/>
              </w:rPr>
              <w:t>% </w:t>
            </w:r>
          </w:p>
        </w:tc>
      </w:tr>
      <w:tr>
        <w:trPr/>
        <w:tc>
          <w:tcPr>
            <w:tcW w:w="34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double" w:sz="6" w:space="1" w:color="000000"/>
              </w:pBdr>
              <w:bidi w:val="0"/>
              <w:spacing w:before="0" w:after="0"/>
              <w:jc w:val="left"/>
              <w:rPr/>
            </w:pPr>
            <w:r>
              <w:rPr/>
              <w:t> </w:t>
            </w:r>
          </w:p>
        </w:tc>
        <w:tc>
          <w:tcPr>
            <w:tcW w:w="954" w:type="dxa"/>
            <w:tcBorders/>
            <w:vAlign w:val="center"/>
          </w:tcPr>
          <w:p>
            <w:pPr>
              <w:pStyle w:val="TableContents"/>
              <w:pBdr>
                <w:top w:val="double" w:sz="6" w:space="1" w:color="000000"/>
              </w:pBdr>
              <w:bidi w:val="0"/>
              <w:spacing w:before="0" w:after="0"/>
              <w:jc w:val="left"/>
              <w:rPr/>
            </w:pPr>
            <w:r>
              <w:rPr/>
              <w:t> </w:t>
            </w:r>
          </w:p>
        </w:tc>
        <w:tc>
          <w:tcPr>
            <w:tcW w:w="33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9110" w:type="dxa"/>
        <w:jc w:val="left"/>
        <w:tblInd w:w="0" w:type="dxa"/>
        <w:tblLayout w:type="fixed"/>
        <w:tblCellMar>
          <w:top w:w="0" w:type="dxa"/>
          <w:left w:w="0" w:type="dxa"/>
          <w:bottom w:w="0" w:type="dxa"/>
          <w:right w:w="0" w:type="dxa"/>
        </w:tblCellMar>
      </w:tblPr>
      <w:tblGrid>
        <w:gridCol w:w="2195"/>
        <w:gridCol w:w="120"/>
        <w:gridCol w:w="140"/>
        <w:gridCol w:w="965"/>
        <w:gridCol w:w="155"/>
        <w:gridCol w:w="120"/>
        <w:gridCol w:w="140"/>
        <w:gridCol w:w="965"/>
        <w:gridCol w:w="155"/>
        <w:gridCol w:w="120"/>
        <w:gridCol w:w="140"/>
        <w:gridCol w:w="965"/>
        <w:gridCol w:w="155"/>
        <w:gridCol w:w="120"/>
        <w:gridCol w:w="140"/>
        <w:gridCol w:w="965"/>
        <w:gridCol w:w="155"/>
        <w:gridCol w:w="120"/>
        <w:gridCol w:w="140"/>
        <w:gridCol w:w="965"/>
        <w:gridCol w:w="170"/>
      </w:tblGrid>
      <w:tr>
        <w:trPr/>
        <w:tc>
          <w:tcPr>
            <w:tcW w:w="2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12/31/21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3/31/22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6/30/22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9/30/22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12/31/22</w:t>
            </w:r>
          </w:p>
        </w:tc>
        <w:tc>
          <w:tcPr>
            <w:tcW w:w="170"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0"/>
              <w:jc w:val="left"/>
              <w:rPr>
                <w:rFonts w:ascii="arial" w:hAnsi="arial"/>
                <w:sz w:val="19"/>
              </w:rPr>
            </w:pPr>
            <w:r>
              <w:rPr>
                <w:rFonts w:ascii="arial" w:hAnsi="arial"/>
                <w:sz w:val="19"/>
              </w:rPr>
              <w:t>Total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jc w:val="right"/>
              <w:rPr/>
            </w:pPr>
            <w:r>
              <w:rPr/>
              <w:t>  </w:t>
            </w:r>
            <w:r>
              <w:rPr/>
              <w:t>61,165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jc w:val="right"/>
              <w:rPr/>
            </w:pPr>
            <w:r>
              <w:rPr/>
              <w:t>  </w:t>
            </w:r>
            <w:r>
              <w:rPr/>
              <w:t>59,196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jc w:val="right"/>
              <w:rPr/>
            </w:pPr>
            <w:r>
              <w:rPr/>
              <w:t>  </w:t>
            </w:r>
            <w:r>
              <w:rPr/>
              <w:t>59,294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jc w:val="right"/>
              <w:rPr/>
            </w:pPr>
            <w:r>
              <w:rPr/>
              <w:t>  </w:t>
            </w:r>
            <w:r>
              <w:rPr/>
              <w:t>63,700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jc w:val="right"/>
              <w:rPr/>
            </w:pPr>
            <w:r>
              <w:rPr/>
              <w:t>  </w:t>
            </w:r>
            <w:r>
              <w:rPr/>
              <w:t>65,121</w:t>
            </w:r>
          </w:p>
        </w:tc>
        <w:tc>
          <w:tcPr>
            <w:tcW w:w="170"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0"/>
              <w:jc w:val="left"/>
              <w:rPr>
                <w:rFonts w:ascii="arial" w:hAnsi="arial"/>
                <w:sz w:val="18"/>
              </w:rPr>
            </w:pPr>
            <w:r>
              <w:rPr>
                <w:rFonts w:ascii="arial" w:hAnsi="arial"/>
                <w:i/>
                <w:sz w:val="18"/>
              </w:rPr>
              <w:t xml:space="preserve">less </w:t>
            </w:r>
            <w:r>
              <w:rPr>
                <w:rFonts w:ascii="arial" w:hAnsi="arial"/>
                <w:sz w:val="18"/>
              </w:rPr>
              <w:t>Total current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(12,184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(12,886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(12,618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(14,331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(15,687</w:t>
            </w:r>
          </w:p>
        </w:tc>
        <w:tc>
          <w:tcPr>
            <w:tcW w:w="170"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6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6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6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6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6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0"/>
              <w:jc w:val="left"/>
              <w:rPr>
                <w:rFonts w:ascii="arial" w:hAnsi="arial"/>
                <w:sz w:val="19"/>
              </w:rPr>
            </w:pPr>
            <w:r>
              <w:rPr>
                <w:rFonts w:ascii="arial" w:hAnsi="arial"/>
                <w:sz w:val="19"/>
              </w:rPr>
              <w:t>Invested capital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jc w:val="right"/>
              <w:rPr/>
            </w:pPr>
            <w:r>
              <w:rPr/>
              <w:t>48,981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jc w:val="right"/>
              <w:rPr/>
            </w:pPr>
            <w:r>
              <w:rPr/>
              <w:t>46,310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jc w:val="right"/>
              <w:rPr/>
            </w:pPr>
            <w:r>
              <w:rPr/>
              <w:t>46,676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jc w:val="right"/>
              <w:rPr/>
            </w:pPr>
            <w:r>
              <w:rPr/>
              <w:t>49,369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jc w:val="right"/>
              <w:rPr/>
            </w:pPr>
            <w:r>
              <w:rPr/>
              <w:t>49,434</w:t>
            </w:r>
          </w:p>
        </w:tc>
        <w:tc>
          <w:tcPr>
            <w:tcW w:w="170"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6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6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6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6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6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63"/>
        <w:gridCol w:w="60"/>
        <w:gridCol w:w="140"/>
        <w:gridCol w:w="965"/>
        <w:gridCol w:w="60"/>
        <w:gridCol w:w="60"/>
        <w:gridCol w:w="140"/>
        <w:gridCol w:w="965"/>
        <w:gridCol w:w="60"/>
        <w:gridCol w:w="60"/>
        <w:gridCol w:w="140"/>
        <w:gridCol w:w="965"/>
        <w:gridCol w:w="60"/>
        <w:gridCol w:w="60"/>
        <w:gridCol w:w="140"/>
        <w:gridCol w:w="965"/>
        <w:gridCol w:w="60"/>
        <w:gridCol w:w="60"/>
        <w:gridCol w:w="192"/>
        <w:gridCol w:w="954"/>
        <w:gridCol w:w="336"/>
      </w:tblGrid>
      <w:tr>
        <w:trPr/>
        <w:tc>
          <w:tcPr>
            <w:tcW w:w="37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37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8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Average Invested Capital for Quarter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Average of</w:t>
              <w:br/>
              <w:t>Quarterly</w:t>
              <w:br/>
              <w:t>Averages</w:t>
              <w:br/>
              <w:t>2022</w:t>
            </w:r>
          </w:p>
        </w:tc>
        <w:tc>
          <w:tcPr>
            <w:tcW w:w="336" w:type="dxa"/>
            <w:tcBorders/>
            <w:vAlign w:val="center"/>
          </w:tcPr>
          <w:p>
            <w:pPr>
              <w:pStyle w:val="TableContents"/>
              <w:bidi w:val="0"/>
              <w:spacing w:before="0" w:after="283"/>
              <w:jc w:val="left"/>
              <w:rPr/>
            </w:pPr>
            <w:r>
              <w:rPr/>
              <w:t> </w:t>
            </w:r>
          </w:p>
        </w:tc>
      </w:tr>
      <w:tr>
        <w:trPr/>
        <w:tc>
          <w:tcPr>
            <w:tcW w:w="37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3/31/22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6/30/22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9/30/22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12/31/22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6" w:type="dxa"/>
            <w:gridSpan w:val="2"/>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r>
      <w:tr>
        <w:trPr/>
        <w:tc>
          <w:tcPr>
            <w:tcW w:w="3763" w:type="dxa"/>
            <w:tcBorders/>
            <w:vAlign w:val="center"/>
          </w:tcPr>
          <w:p>
            <w:pPr>
              <w:pStyle w:val="TableContents"/>
              <w:bidi w:val="0"/>
              <w:spacing w:before="0" w:after="0"/>
              <w:jc w:val="left"/>
              <w:rPr>
                <w:rFonts w:ascii="arial" w:hAnsi="arial"/>
                <w:b/>
                <w:sz w:val="19"/>
              </w:rPr>
            </w:pPr>
            <w:r>
              <w:rPr>
                <w:rFonts w:ascii="arial" w:hAnsi="arial"/>
                <w:b/>
                <w:sz w:val="19"/>
              </w:rPr>
              <w:t>Average Invested capital</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jc w:val="right"/>
              <w:rPr/>
            </w:pPr>
            <w:r>
              <w:rPr/>
              <w:t>  </w:t>
            </w:r>
            <w:r>
              <w:rPr/>
              <w:t>47,646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jc w:val="right"/>
              <w:rPr/>
            </w:pPr>
            <w:r>
              <w:rPr/>
              <w:t>  </w:t>
            </w:r>
            <w:r>
              <w:rPr/>
              <w:t>46,493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jc w:val="right"/>
              <w:rPr/>
            </w:pPr>
            <w:r>
              <w:rPr/>
              <w:t>  </w:t>
            </w:r>
            <w:r>
              <w:rPr/>
              <w:t>48,023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jc w:val="right"/>
              <w:rPr/>
            </w:pPr>
            <w:r>
              <w:rPr/>
              <w:t>  </w:t>
            </w:r>
            <w:r>
              <w:rPr/>
              <w:t>49,402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b/>
              </w:rPr>
            </w:pPr>
            <w:r>
              <w:rPr>
                <w:b/>
              </w:rPr>
              <w:t>$</w:t>
            </w:r>
          </w:p>
        </w:tc>
        <w:tc>
          <w:tcPr>
            <w:tcW w:w="954" w:type="dxa"/>
            <w:tcBorders/>
            <w:vAlign w:val="center"/>
          </w:tcPr>
          <w:p>
            <w:pPr>
              <w:pStyle w:val="TableContents"/>
              <w:bidi w:val="0"/>
              <w:spacing w:before="0" w:after="283"/>
              <w:jc w:val="right"/>
              <w:rPr/>
            </w:pPr>
            <w:r>
              <w:rPr/>
              <w:t>  </w:t>
            </w:r>
            <w:r>
              <w:rPr>
                <w:b/>
              </w:rPr>
              <w:t>47,891</w:t>
            </w:r>
          </w:p>
        </w:tc>
        <w:tc>
          <w:tcPr>
            <w:tcW w:w="336" w:type="dxa"/>
            <w:tcBorders/>
            <w:vAlign w:val="center"/>
          </w:tcPr>
          <w:p>
            <w:pPr>
              <w:pStyle w:val="TableContents"/>
              <w:bidi w:val="0"/>
              <w:spacing w:before="0" w:after="283"/>
              <w:jc w:val="left"/>
              <w:rPr/>
            </w:pPr>
            <w:r>
              <w:rPr/>
              <w:t> </w:t>
            </w:r>
          </w:p>
        </w:tc>
      </w:tr>
      <w:tr>
        <w:trPr/>
        <w:tc>
          <w:tcPr>
            <w:tcW w:w="3763" w:type="dxa"/>
            <w:tcBorders/>
            <w:vAlign w:val="center"/>
          </w:tcPr>
          <w:p>
            <w:pPr>
              <w:pStyle w:val="TableContents"/>
              <w:bidi w:val="0"/>
              <w:spacing w:before="0" w:after="283"/>
              <w:jc w:val="left"/>
              <w:rPr>
                <w:sz w:val="4"/>
                <w:szCs w:val="4"/>
              </w:rPr>
            </w:pPr>
            <w:r>
              <w:rPr>
                <w:sz w:val="4"/>
                <w:szCs w:val="4"/>
              </w:rPr>
            </w:r>
          </w:p>
        </w:tc>
        <w:tc>
          <w:tcPr>
            <w:tcW w:w="1225" w:type="dxa"/>
            <w:gridSpan w:val="4"/>
            <w:tcBorders/>
            <w:vAlign w:val="center"/>
          </w:tcPr>
          <w:p>
            <w:pPr>
              <w:pStyle w:val="TableContents"/>
              <w:bidi w:val="0"/>
              <w:spacing w:before="0" w:after="283"/>
              <w:jc w:val="left"/>
              <w:rPr>
                <w:sz w:val="4"/>
                <w:szCs w:val="4"/>
              </w:rPr>
            </w:pPr>
            <w:r>
              <w:rPr>
                <w:sz w:val="4"/>
                <w:szCs w:val="4"/>
              </w:rPr>
            </w:r>
          </w:p>
        </w:tc>
        <w:tc>
          <w:tcPr>
            <w:tcW w:w="1225" w:type="dxa"/>
            <w:gridSpan w:val="4"/>
            <w:tcBorders/>
            <w:vAlign w:val="center"/>
          </w:tcPr>
          <w:p>
            <w:pPr>
              <w:pStyle w:val="TableContents"/>
              <w:bidi w:val="0"/>
              <w:spacing w:before="0" w:after="283"/>
              <w:jc w:val="left"/>
              <w:rPr>
                <w:sz w:val="4"/>
                <w:szCs w:val="4"/>
              </w:rPr>
            </w:pPr>
            <w:r>
              <w:rPr>
                <w:sz w:val="4"/>
                <w:szCs w:val="4"/>
              </w:rPr>
            </w:r>
          </w:p>
        </w:tc>
        <w:tc>
          <w:tcPr>
            <w:tcW w:w="1225" w:type="dxa"/>
            <w:gridSpan w:val="4"/>
            <w:tcBorders/>
            <w:vAlign w:val="center"/>
          </w:tcPr>
          <w:p>
            <w:pPr>
              <w:pStyle w:val="TableContents"/>
              <w:bidi w:val="0"/>
              <w:spacing w:before="0" w:after="283"/>
              <w:jc w:val="left"/>
              <w:rPr>
                <w:sz w:val="4"/>
                <w:szCs w:val="4"/>
              </w:rPr>
            </w:pPr>
            <w:r>
              <w:rPr>
                <w:sz w:val="4"/>
                <w:szCs w:val="4"/>
              </w:rPr>
            </w:r>
          </w:p>
        </w:tc>
        <w:tc>
          <w:tcPr>
            <w:tcW w:w="1225" w:type="dxa"/>
            <w:gridSpan w:val="4"/>
            <w:tcBorders/>
            <w:vAlign w:val="center"/>
          </w:tcPr>
          <w:p>
            <w:pPr>
              <w:pStyle w:val="TableContents"/>
              <w:bidi w:val="0"/>
              <w:spacing w:before="0" w:after="283"/>
              <w:jc w:val="left"/>
              <w:rPr>
                <w:sz w:val="4"/>
                <w:szCs w:val="4"/>
              </w:rPr>
            </w:pPr>
            <w:r>
              <w:rPr>
                <w:sz w:val="4"/>
                <w:szCs w:val="4"/>
              </w:rPr>
            </w:r>
          </w:p>
        </w:tc>
        <w:tc>
          <w:tcPr>
            <w:tcW w:w="1542" w:type="dxa"/>
            <w:gridSpan w:val="4"/>
            <w:tcBorders/>
            <w:vAlign w:val="center"/>
          </w:tcPr>
          <w:p>
            <w:pPr>
              <w:pStyle w:val="TableContents"/>
              <w:bidi w:val="0"/>
              <w:spacing w:before="0" w:after="283"/>
              <w:jc w:val="left"/>
              <w:rPr>
                <w:sz w:val="4"/>
                <w:szCs w:val="4"/>
              </w:rPr>
            </w:pPr>
            <w:r>
              <w:rPr>
                <w:sz w:val="4"/>
                <w:szCs w:val="4"/>
              </w:rPr>
            </w:r>
          </w:p>
        </w:tc>
      </w:tr>
      <w:tr>
        <w:trPr/>
        <w:tc>
          <w:tcPr>
            <w:tcW w:w="3763" w:type="dxa"/>
            <w:tcBorders/>
            <w:vAlign w:val="center"/>
          </w:tcPr>
          <w:p>
            <w:pPr>
              <w:pStyle w:val="TableContents"/>
              <w:bidi w:val="0"/>
              <w:spacing w:before="0" w:after="0"/>
              <w:jc w:val="left"/>
              <w:rPr>
                <w:rFonts w:ascii="arial" w:hAnsi="arial"/>
                <w:sz w:val="19"/>
              </w:rPr>
            </w:pPr>
            <w:r>
              <w:rPr>
                <w:rFonts w:ascii="arial" w:hAnsi="arial"/>
                <w:sz w:val="19"/>
              </w:rPr>
              <w:t>2022 Non-GAAP Operating Income (per above)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54" w:type="dxa"/>
            <w:tcBorders/>
            <w:vAlign w:val="center"/>
          </w:tcPr>
          <w:p>
            <w:pPr>
              <w:pStyle w:val="TableContents"/>
              <w:bidi w:val="0"/>
              <w:spacing w:before="0" w:after="283"/>
              <w:jc w:val="right"/>
              <w:rPr/>
            </w:pPr>
            <w:r>
              <w:rPr/>
              <w:t>12,761</w:t>
            </w:r>
          </w:p>
        </w:tc>
        <w:tc>
          <w:tcPr>
            <w:tcW w:w="336" w:type="dxa"/>
            <w:tcBorders/>
            <w:vAlign w:val="center"/>
          </w:tcPr>
          <w:p>
            <w:pPr>
              <w:pStyle w:val="TableContents"/>
              <w:bidi w:val="0"/>
              <w:spacing w:before="0" w:after="283"/>
              <w:jc w:val="left"/>
              <w:rPr/>
            </w:pPr>
            <w:r>
              <w:rPr/>
              <w:t> </w:t>
            </w:r>
          </w:p>
        </w:tc>
      </w:tr>
      <w:tr>
        <w:trPr/>
        <w:tc>
          <w:tcPr>
            <w:tcW w:w="3763" w:type="dxa"/>
            <w:tcBorders/>
            <w:vAlign w:val="center"/>
          </w:tcPr>
          <w:p>
            <w:pPr>
              <w:pStyle w:val="TableContents"/>
              <w:bidi w:val="0"/>
              <w:spacing w:before="0" w:after="0"/>
              <w:jc w:val="left"/>
              <w:rPr>
                <w:rFonts w:ascii="arial" w:hAnsi="arial"/>
                <w:sz w:val="19"/>
              </w:rPr>
            </w:pPr>
            <w:r>
              <w:rPr>
                <w:rFonts w:ascii="arial" w:hAnsi="arial"/>
                <w:sz w:val="19"/>
              </w:rPr>
              <w:t xml:space="preserve">2022 After-tax factor (100% </w:t>
            </w:r>
            <w:r>
              <w:rPr>
                <w:rFonts w:ascii="arial" w:hAnsi="arial"/>
                <w:i/>
                <w:sz w:val="19"/>
              </w:rPr>
              <w:t>less</w:t>
            </w:r>
            <w:r>
              <w:rPr>
                <w:rFonts w:ascii="arial" w:hAnsi="arial"/>
                <w:sz w:val="19"/>
              </w:rPr>
              <w:t xml:space="preserve"> Non-GAAP tax rate per above)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86.2</w:t>
            </w:r>
          </w:p>
        </w:tc>
        <w:tc>
          <w:tcPr>
            <w:tcW w:w="336" w:type="dxa"/>
            <w:tcBorders/>
            <w:vAlign w:val="center"/>
          </w:tcPr>
          <w:p>
            <w:pPr>
              <w:pStyle w:val="TableContents"/>
              <w:bidi w:val="0"/>
              <w:spacing w:before="0" w:after="283"/>
              <w:jc w:val="left"/>
              <w:rPr/>
            </w:pPr>
            <w:r>
              <w:rPr/>
              <w:t>% </w:t>
            </w:r>
          </w:p>
        </w:tc>
      </w:tr>
      <w:tr>
        <w:trPr/>
        <w:tc>
          <w:tcPr>
            <w:tcW w:w="37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single" w:sz="2" w:space="1" w:color="000000"/>
              </w:pBdr>
              <w:bidi w:val="0"/>
              <w:spacing w:before="0" w:after="0"/>
              <w:jc w:val="left"/>
              <w:rPr/>
            </w:pPr>
            <w:r>
              <w:rPr/>
              <w:t> </w:t>
            </w:r>
          </w:p>
        </w:tc>
        <w:tc>
          <w:tcPr>
            <w:tcW w:w="954" w:type="dxa"/>
            <w:tcBorders/>
            <w:vAlign w:val="center"/>
          </w:tcPr>
          <w:p>
            <w:pPr>
              <w:pStyle w:val="TableContents"/>
              <w:pBdr>
                <w:top w:val="single" w:sz="2" w:space="1" w:color="000000"/>
              </w:pBdr>
              <w:bidi w:val="0"/>
              <w:spacing w:before="0" w:after="0"/>
              <w:jc w:val="left"/>
              <w:rPr/>
            </w:pPr>
            <w:r>
              <w:rPr/>
              <w:t> </w:t>
            </w:r>
          </w:p>
        </w:tc>
        <w:tc>
          <w:tcPr>
            <w:tcW w:w="336" w:type="dxa"/>
            <w:tcBorders/>
            <w:vAlign w:val="center"/>
          </w:tcPr>
          <w:p>
            <w:pPr>
              <w:pStyle w:val="TableContents"/>
              <w:bidi w:val="0"/>
              <w:spacing w:before="0" w:after="283"/>
              <w:jc w:val="left"/>
              <w:rPr/>
            </w:pPr>
            <w:r>
              <w:rPr/>
              <w:t> </w:t>
            </w:r>
          </w:p>
        </w:tc>
      </w:tr>
      <w:tr>
        <w:trPr/>
        <w:tc>
          <w:tcPr>
            <w:tcW w:w="3763" w:type="dxa"/>
            <w:tcBorders/>
            <w:vAlign w:val="center"/>
          </w:tcPr>
          <w:p>
            <w:pPr>
              <w:pStyle w:val="TableContents"/>
              <w:bidi w:val="0"/>
              <w:spacing w:before="0" w:after="0"/>
              <w:jc w:val="left"/>
              <w:rPr>
                <w:rFonts w:ascii="arial" w:hAnsi="arial"/>
                <w:b/>
                <w:sz w:val="19"/>
              </w:rPr>
            </w:pPr>
            <w:r>
              <w:rPr>
                <w:rFonts w:ascii="arial" w:hAnsi="arial"/>
                <w:b/>
                <w:sz w:val="19"/>
              </w:rPr>
              <w:t>2022 Non-GAAP Net Operating income after tax</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b/>
              </w:rPr>
            </w:pPr>
            <w:r>
              <w:rPr>
                <w:b/>
              </w:rPr>
              <w:t>$</w:t>
            </w:r>
          </w:p>
        </w:tc>
        <w:tc>
          <w:tcPr>
            <w:tcW w:w="954" w:type="dxa"/>
            <w:tcBorders/>
            <w:vAlign w:val="center"/>
          </w:tcPr>
          <w:p>
            <w:pPr>
              <w:pStyle w:val="TableContents"/>
              <w:bidi w:val="0"/>
              <w:spacing w:before="0" w:after="283"/>
              <w:jc w:val="right"/>
              <w:rPr>
                <w:b/>
              </w:rPr>
            </w:pPr>
            <w:r>
              <w:rPr>
                <w:b/>
              </w:rPr>
              <w:t>11,002</w:t>
            </w:r>
          </w:p>
        </w:tc>
        <w:tc>
          <w:tcPr>
            <w:tcW w:w="336" w:type="dxa"/>
            <w:tcBorders/>
            <w:vAlign w:val="center"/>
          </w:tcPr>
          <w:p>
            <w:pPr>
              <w:pStyle w:val="TableContents"/>
              <w:bidi w:val="0"/>
              <w:spacing w:before="0" w:after="283"/>
              <w:jc w:val="left"/>
              <w:rPr/>
            </w:pPr>
            <w:r>
              <w:rPr/>
              <w:t> </w:t>
            </w:r>
          </w:p>
        </w:tc>
      </w:tr>
      <w:tr>
        <w:trPr/>
        <w:tc>
          <w:tcPr>
            <w:tcW w:w="37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double" w:sz="6" w:space="1" w:color="000000"/>
              </w:pBdr>
              <w:bidi w:val="0"/>
              <w:spacing w:before="0" w:after="0"/>
              <w:jc w:val="left"/>
              <w:rPr/>
            </w:pPr>
            <w:r>
              <w:rPr/>
              <w:t> </w:t>
            </w:r>
          </w:p>
        </w:tc>
        <w:tc>
          <w:tcPr>
            <w:tcW w:w="954" w:type="dxa"/>
            <w:tcBorders/>
            <w:vAlign w:val="center"/>
          </w:tcPr>
          <w:p>
            <w:pPr>
              <w:pStyle w:val="TableContents"/>
              <w:pBdr>
                <w:top w:val="double" w:sz="6" w:space="1" w:color="000000"/>
              </w:pBdr>
              <w:bidi w:val="0"/>
              <w:spacing w:before="0" w:after="0"/>
              <w:jc w:val="left"/>
              <w:rPr/>
            </w:pPr>
            <w:r>
              <w:rPr/>
              <w:t> </w:t>
            </w:r>
          </w:p>
        </w:tc>
        <w:tc>
          <w:tcPr>
            <w:tcW w:w="336" w:type="dxa"/>
            <w:tcBorders/>
            <w:vAlign w:val="center"/>
          </w:tcPr>
          <w:p>
            <w:pPr>
              <w:pStyle w:val="TableContents"/>
              <w:bidi w:val="0"/>
              <w:spacing w:before="0" w:after="283"/>
              <w:jc w:val="left"/>
              <w:rPr/>
            </w:pPr>
            <w:r>
              <w:rPr/>
              <w:t> </w:t>
            </w:r>
          </w:p>
        </w:tc>
      </w:tr>
      <w:tr>
        <w:trPr/>
        <w:tc>
          <w:tcPr>
            <w:tcW w:w="8603" w:type="dxa"/>
            <w:gridSpan w:val="16"/>
            <w:tcBorders/>
            <w:vAlign w:val="center"/>
          </w:tcPr>
          <w:p>
            <w:pPr>
              <w:pStyle w:val="TableContents"/>
              <w:bidi w:val="0"/>
              <w:spacing w:before="0" w:after="0"/>
              <w:jc w:val="left"/>
              <w:rPr>
                <w:rFonts w:ascii="arial" w:hAnsi="arial"/>
                <w:sz w:val="19"/>
              </w:rPr>
            </w:pPr>
            <w:r>
              <w:rPr>
                <w:rFonts w:ascii="arial" w:hAnsi="arial"/>
                <w:b/>
                <w:sz w:val="19"/>
              </w:rPr>
              <w:t xml:space="preserve">2022 Return on Invested capital (Net Operating Income after tax </w:t>
            </w:r>
            <w:r>
              <w:rPr>
                <w:rFonts w:ascii="arial" w:hAnsi="arial"/>
                <w:b/>
                <w:i/>
                <w:sz w:val="19"/>
              </w:rPr>
              <w:t xml:space="preserve">divided by </w:t>
            </w:r>
            <w:r>
              <w:rPr>
                <w:rFonts w:ascii="arial" w:hAnsi="arial"/>
                <w:b/>
                <w:sz w:val="19"/>
              </w:rPr>
              <w:t>Average Invested capital)</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b/>
              </w:rPr>
            </w:pPr>
            <w:r>
              <w:rPr>
                <w:b/>
              </w:rPr>
              <w:t>23.0</w:t>
            </w:r>
          </w:p>
        </w:tc>
        <w:tc>
          <w:tcPr>
            <w:tcW w:w="336" w:type="dxa"/>
            <w:tcBorders/>
            <w:vAlign w:val="center"/>
          </w:tcPr>
          <w:p>
            <w:pPr>
              <w:pStyle w:val="TableContents"/>
              <w:bidi w:val="0"/>
              <w:spacing w:before="0" w:after="283"/>
              <w:jc w:val="left"/>
              <w:rPr>
                <w:b/>
              </w:rPr>
            </w:pPr>
            <w:r>
              <w:rPr>
                <w:b/>
              </w:rPr>
              <w:t>% </w:t>
            </w:r>
          </w:p>
        </w:tc>
      </w:tr>
      <w:tr>
        <w:trPr/>
        <w:tc>
          <w:tcPr>
            <w:tcW w:w="37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double" w:sz="6" w:space="1" w:color="000000"/>
              </w:pBdr>
              <w:bidi w:val="0"/>
              <w:spacing w:before="0" w:after="0"/>
              <w:jc w:val="left"/>
              <w:rPr/>
            </w:pPr>
            <w:r>
              <w:rPr/>
              <w:t> </w:t>
            </w:r>
          </w:p>
        </w:tc>
        <w:tc>
          <w:tcPr>
            <w:tcW w:w="954" w:type="dxa"/>
            <w:tcBorders/>
            <w:vAlign w:val="center"/>
          </w:tcPr>
          <w:p>
            <w:pPr>
              <w:pStyle w:val="TableContents"/>
              <w:pBdr>
                <w:top w:val="double" w:sz="6" w:space="1" w:color="000000"/>
              </w:pBdr>
              <w:bidi w:val="0"/>
              <w:spacing w:before="0" w:after="0"/>
              <w:jc w:val="left"/>
              <w:rPr/>
            </w:pPr>
            <w:r>
              <w:rPr/>
              <w:t> </w:t>
            </w:r>
          </w:p>
        </w:tc>
        <w:tc>
          <w:tcPr>
            <w:tcW w:w="33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B-4  </w:t>
      </w:r>
      <w:r>
        <w:rPr>
          <w:rFonts w:ascii="arial" w:hAnsi="arial"/>
          <w:b/>
          <w:color w:val="474747"/>
          <w:sz w:val="22"/>
        </w:rPr>
        <w:drawing>
          <wp:inline distT="0" distB="0" distL="0" distR="0">
            <wp:extent cx="64770" cy="15240"/>
            <wp:effectExtent l="0" t="0" r="0" b="0"/>
            <wp:docPr id="455"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Image209" descr=""/>
                    <pic:cNvPicPr>
                      <a:picLocks noChangeAspect="1" noChangeArrowheads="1"/>
                    </pic:cNvPicPr>
                  </pic:nvPicPr>
                  <pic:blipFill>
                    <a:blip r:embed="rId222"/>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185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13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137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Appendix B</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9110" w:type="dxa"/>
        <w:jc w:val="left"/>
        <w:tblInd w:w="0" w:type="dxa"/>
        <w:tblLayout w:type="fixed"/>
        <w:tblCellMar>
          <w:top w:w="0" w:type="dxa"/>
          <w:left w:w="0" w:type="dxa"/>
          <w:bottom w:w="0" w:type="dxa"/>
          <w:right w:w="0" w:type="dxa"/>
        </w:tblCellMar>
      </w:tblPr>
      <w:tblGrid>
        <w:gridCol w:w="2195"/>
        <w:gridCol w:w="120"/>
        <w:gridCol w:w="140"/>
        <w:gridCol w:w="965"/>
        <w:gridCol w:w="155"/>
        <w:gridCol w:w="120"/>
        <w:gridCol w:w="140"/>
        <w:gridCol w:w="965"/>
        <w:gridCol w:w="155"/>
        <w:gridCol w:w="120"/>
        <w:gridCol w:w="140"/>
        <w:gridCol w:w="965"/>
        <w:gridCol w:w="155"/>
        <w:gridCol w:w="120"/>
        <w:gridCol w:w="140"/>
        <w:gridCol w:w="965"/>
        <w:gridCol w:w="155"/>
        <w:gridCol w:w="120"/>
        <w:gridCol w:w="140"/>
        <w:gridCol w:w="965"/>
        <w:gridCol w:w="170"/>
      </w:tblGrid>
      <w:tr>
        <w:trPr/>
        <w:tc>
          <w:tcPr>
            <w:tcW w:w="2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12/31/20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3/31/21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6/30/21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9/30/21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12/31/21</w:t>
            </w:r>
          </w:p>
        </w:tc>
        <w:tc>
          <w:tcPr>
            <w:tcW w:w="170"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0"/>
              <w:jc w:val="left"/>
              <w:rPr>
                <w:rFonts w:ascii="arial" w:hAnsi="arial"/>
                <w:sz w:val="19"/>
              </w:rPr>
            </w:pPr>
            <w:r>
              <w:rPr>
                <w:rFonts w:ascii="arial" w:hAnsi="arial"/>
                <w:sz w:val="19"/>
              </w:rPr>
              <w:t>Total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jc w:val="right"/>
              <w:rPr/>
            </w:pPr>
            <w:r>
              <w:rPr/>
              <w:t>  </w:t>
            </w:r>
            <w:r>
              <w:rPr/>
              <w:t>62,948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jc w:val="right"/>
              <w:rPr/>
            </w:pPr>
            <w:r>
              <w:rPr/>
              <w:t>  </w:t>
            </w:r>
            <w:r>
              <w:rPr/>
              <w:t>62,539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jc w:val="right"/>
              <w:rPr/>
            </w:pPr>
            <w:r>
              <w:rPr/>
              <w:t>  </w:t>
            </w:r>
            <w:r>
              <w:rPr/>
              <w:t>59,773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jc w:val="right"/>
              <w:rPr/>
            </w:pPr>
            <w:r>
              <w:rPr/>
              <w:t>  </w:t>
            </w:r>
            <w:r>
              <w:rPr/>
              <w:t>64,993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jc w:val="right"/>
              <w:rPr/>
            </w:pPr>
            <w:r>
              <w:rPr/>
              <w:t>  </w:t>
            </w:r>
            <w:r>
              <w:rPr/>
              <w:t>61,165</w:t>
            </w:r>
          </w:p>
        </w:tc>
        <w:tc>
          <w:tcPr>
            <w:tcW w:w="170"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0"/>
              <w:jc w:val="left"/>
              <w:rPr>
                <w:rFonts w:ascii="arial" w:hAnsi="arial"/>
                <w:sz w:val="18"/>
              </w:rPr>
            </w:pPr>
            <w:r>
              <w:rPr>
                <w:rFonts w:ascii="arial" w:hAnsi="arial"/>
                <w:sz w:val="18"/>
              </w:rPr>
              <w:t>less Total current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(11,653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(12,869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(14,585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(14,842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(12,184</w:t>
            </w:r>
          </w:p>
        </w:tc>
        <w:tc>
          <w:tcPr>
            <w:tcW w:w="170"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6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6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6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6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6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0"/>
              <w:jc w:val="left"/>
              <w:rPr>
                <w:rFonts w:ascii="arial" w:hAnsi="arial"/>
                <w:sz w:val="19"/>
              </w:rPr>
            </w:pPr>
            <w:r>
              <w:rPr>
                <w:rFonts w:ascii="arial" w:hAnsi="arial"/>
                <w:sz w:val="19"/>
              </w:rPr>
              <w:t>Invested capital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jc w:val="right"/>
              <w:rPr/>
            </w:pPr>
            <w:r>
              <w:rPr/>
              <w:t>  </w:t>
            </w:r>
            <w:r>
              <w:rPr/>
              <w:t>51,295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jc w:val="right"/>
              <w:rPr/>
            </w:pPr>
            <w:r>
              <w:rPr/>
              <w:t>  </w:t>
            </w:r>
            <w:r>
              <w:rPr/>
              <w:t>49,670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jc w:val="right"/>
              <w:rPr/>
            </w:pPr>
            <w:r>
              <w:rPr/>
              <w:t>  </w:t>
            </w:r>
            <w:r>
              <w:rPr/>
              <w:t>45,188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jc w:val="right"/>
              <w:rPr/>
            </w:pPr>
            <w:r>
              <w:rPr/>
              <w:t>  </w:t>
            </w:r>
            <w:r>
              <w:rPr/>
              <w:t>50,151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jc w:val="right"/>
              <w:rPr/>
            </w:pPr>
            <w:r>
              <w:rPr/>
              <w:t>  </w:t>
            </w:r>
            <w:r>
              <w:rPr/>
              <w:t>48,981</w:t>
            </w:r>
          </w:p>
        </w:tc>
        <w:tc>
          <w:tcPr>
            <w:tcW w:w="170"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6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6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6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6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6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465"/>
        <w:gridCol w:w="120"/>
        <w:gridCol w:w="140"/>
        <w:gridCol w:w="965"/>
        <w:gridCol w:w="60"/>
        <w:gridCol w:w="120"/>
        <w:gridCol w:w="140"/>
        <w:gridCol w:w="965"/>
        <w:gridCol w:w="60"/>
        <w:gridCol w:w="120"/>
        <w:gridCol w:w="140"/>
        <w:gridCol w:w="965"/>
        <w:gridCol w:w="60"/>
        <w:gridCol w:w="120"/>
        <w:gridCol w:w="140"/>
        <w:gridCol w:w="965"/>
        <w:gridCol w:w="60"/>
        <w:gridCol w:w="120"/>
        <w:gridCol w:w="192"/>
        <w:gridCol w:w="952"/>
        <w:gridCol w:w="336"/>
      </w:tblGrid>
      <w:tr>
        <w:trPr/>
        <w:tc>
          <w:tcPr>
            <w:tcW w:w="34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34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96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Average Invested Capital for Quarter Ended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4" w:type="dxa"/>
            <w:gridSpan w:val="2"/>
            <w:tcBorders>
              <w:bottom w:val="single" w:sz="8" w:space="0" w:color="000000"/>
            </w:tcBorders>
            <w:tcMar>
              <w:bottom w:w="28" w:type="dxa"/>
            </w:tcMar>
            <w:vAlign w:val="center"/>
          </w:tcPr>
          <w:p>
            <w:pPr>
              <w:pStyle w:val="TableContents"/>
              <w:bidi w:val="0"/>
              <w:spacing w:before="0" w:after="283"/>
              <w:jc w:val="center"/>
              <w:rPr/>
            </w:pPr>
            <w:r>
              <w:rPr>
                <w:b/>
              </w:rPr>
              <w:t>Average of</w:t>
              <w:br/>
              <w:t>Quarterly</w:t>
              <w:br/>
              <w:t>Averages</w:t>
            </w:r>
            <w:r>
              <w:rPr/>
              <w:br/>
            </w:r>
            <w:r>
              <w:rPr>
                <w:b/>
              </w:rPr>
              <w:t>2021</w:t>
            </w:r>
          </w:p>
        </w:tc>
        <w:tc>
          <w:tcPr>
            <w:tcW w:w="336" w:type="dxa"/>
            <w:tcBorders/>
            <w:vAlign w:val="center"/>
          </w:tcPr>
          <w:p>
            <w:pPr>
              <w:pStyle w:val="TableContents"/>
              <w:bidi w:val="0"/>
              <w:spacing w:before="0" w:after="283"/>
              <w:jc w:val="left"/>
              <w:rPr/>
            </w:pPr>
            <w:r>
              <w:rPr/>
              <w:t> </w:t>
            </w:r>
          </w:p>
        </w:tc>
      </w:tr>
      <w:tr>
        <w:trPr/>
        <w:tc>
          <w:tcPr>
            <w:tcW w:w="34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3/31/21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6/30/21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9/30/21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12/31/21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4" w:type="dxa"/>
            <w:gridSpan w:val="2"/>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r>
      <w:tr>
        <w:trPr/>
        <w:tc>
          <w:tcPr>
            <w:tcW w:w="3465" w:type="dxa"/>
            <w:tcBorders/>
            <w:vAlign w:val="center"/>
          </w:tcPr>
          <w:p>
            <w:pPr>
              <w:pStyle w:val="TableContents"/>
              <w:bidi w:val="0"/>
              <w:spacing w:before="0" w:after="0"/>
              <w:jc w:val="left"/>
              <w:rPr>
                <w:rFonts w:ascii="arial" w:hAnsi="arial"/>
                <w:b/>
                <w:sz w:val="19"/>
              </w:rPr>
            </w:pPr>
            <w:r>
              <w:rPr>
                <w:rFonts w:ascii="arial" w:hAnsi="arial"/>
                <w:b/>
                <w:sz w:val="19"/>
              </w:rPr>
              <w:t>Average Invested capital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jc w:val="right"/>
              <w:rPr/>
            </w:pPr>
            <w:r>
              <w:rPr/>
              <w:t>  </w:t>
            </w:r>
            <w:r>
              <w:rPr/>
              <w:t>50,483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jc w:val="right"/>
              <w:rPr/>
            </w:pPr>
            <w:r>
              <w:rPr/>
              <w:t>  </w:t>
            </w:r>
            <w:r>
              <w:rPr/>
              <w:t>47,429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jc w:val="right"/>
              <w:rPr/>
            </w:pPr>
            <w:r>
              <w:rPr/>
              <w:t>  </w:t>
            </w:r>
            <w:r>
              <w:rPr/>
              <w:t>47,670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jc w:val="right"/>
              <w:rPr/>
            </w:pPr>
            <w:r>
              <w:rPr/>
              <w:t>  </w:t>
            </w:r>
            <w:r>
              <w:rPr/>
              <w:t>49,566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b/>
              </w:rPr>
            </w:pPr>
            <w:r>
              <w:rPr>
                <w:b/>
              </w:rPr>
              <w:t>$</w:t>
            </w:r>
          </w:p>
        </w:tc>
        <w:tc>
          <w:tcPr>
            <w:tcW w:w="952" w:type="dxa"/>
            <w:tcBorders/>
            <w:vAlign w:val="center"/>
          </w:tcPr>
          <w:p>
            <w:pPr>
              <w:pStyle w:val="TableContents"/>
              <w:bidi w:val="0"/>
              <w:spacing w:before="0" w:after="283"/>
              <w:jc w:val="right"/>
              <w:rPr/>
            </w:pPr>
            <w:r>
              <w:rPr/>
              <w:t>  </w:t>
            </w:r>
            <w:r>
              <w:rPr>
                <w:b/>
              </w:rPr>
              <w:t>48,787</w:t>
            </w:r>
          </w:p>
        </w:tc>
        <w:tc>
          <w:tcPr>
            <w:tcW w:w="336" w:type="dxa"/>
            <w:tcBorders/>
            <w:vAlign w:val="center"/>
          </w:tcPr>
          <w:p>
            <w:pPr>
              <w:pStyle w:val="TableContents"/>
              <w:bidi w:val="0"/>
              <w:spacing w:before="0" w:after="283"/>
              <w:jc w:val="left"/>
              <w:rPr/>
            </w:pPr>
            <w:r>
              <w:rPr/>
              <w:t> </w:t>
            </w:r>
          </w:p>
        </w:tc>
      </w:tr>
      <w:tr>
        <w:trPr/>
        <w:tc>
          <w:tcPr>
            <w:tcW w:w="3465" w:type="dxa"/>
            <w:tcBorders/>
            <w:vAlign w:val="center"/>
          </w:tcPr>
          <w:p>
            <w:pPr>
              <w:pStyle w:val="TableContents"/>
              <w:bidi w:val="0"/>
              <w:spacing w:before="0" w:after="283"/>
              <w:jc w:val="left"/>
              <w:rPr>
                <w:sz w:val="4"/>
                <w:szCs w:val="4"/>
              </w:rPr>
            </w:pPr>
            <w:r>
              <w:rPr>
                <w:sz w:val="4"/>
                <w:szCs w:val="4"/>
              </w:rPr>
            </w:r>
          </w:p>
        </w:tc>
        <w:tc>
          <w:tcPr>
            <w:tcW w:w="1285" w:type="dxa"/>
            <w:gridSpan w:val="4"/>
            <w:tcBorders/>
            <w:vAlign w:val="center"/>
          </w:tcPr>
          <w:p>
            <w:pPr>
              <w:pStyle w:val="TableContents"/>
              <w:bidi w:val="0"/>
              <w:spacing w:before="0" w:after="283"/>
              <w:jc w:val="left"/>
              <w:rPr>
                <w:sz w:val="4"/>
                <w:szCs w:val="4"/>
              </w:rPr>
            </w:pPr>
            <w:r>
              <w:rPr>
                <w:sz w:val="4"/>
                <w:szCs w:val="4"/>
              </w:rPr>
            </w:r>
          </w:p>
        </w:tc>
        <w:tc>
          <w:tcPr>
            <w:tcW w:w="1285" w:type="dxa"/>
            <w:gridSpan w:val="4"/>
            <w:tcBorders/>
            <w:vAlign w:val="center"/>
          </w:tcPr>
          <w:p>
            <w:pPr>
              <w:pStyle w:val="TableContents"/>
              <w:bidi w:val="0"/>
              <w:spacing w:before="0" w:after="283"/>
              <w:jc w:val="left"/>
              <w:rPr>
                <w:sz w:val="4"/>
                <w:szCs w:val="4"/>
              </w:rPr>
            </w:pPr>
            <w:r>
              <w:rPr>
                <w:sz w:val="4"/>
                <w:szCs w:val="4"/>
              </w:rPr>
            </w:r>
          </w:p>
        </w:tc>
        <w:tc>
          <w:tcPr>
            <w:tcW w:w="1285" w:type="dxa"/>
            <w:gridSpan w:val="4"/>
            <w:tcBorders/>
            <w:vAlign w:val="center"/>
          </w:tcPr>
          <w:p>
            <w:pPr>
              <w:pStyle w:val="TableContents"/>
              <w:bidi w:val="0"/>
              <w:spacing w:before="0" w:after="283"/>
              <w:jc w:val="left"/>
              <w:rPr>
                <w:sz w:val="4"/>
                <w:szCs w:val="4"/>
              </w:rPr>
            </w:pPr>
            <w:r>
              <w:rPr>
                <w:sz w:val="4"/>
                <w:szCs w:val="4"/>
              </w:rPr>
            </w:r>
          </w:p>
        </w:tc>
        <w:tc>
          <w:tcPr>
            <w:tcW w:w="1285" w:type="dxa"/>
            <w:gridSpan w:val="4"/>
            <w:tcBorders/>
            <w:vAlign w:val="center"/>
          </w:tcPr>
          <w:p>
            <w:pPr>
              <w:pStyle w:val="TableContents"/>
              <w:bidi w:val="0"/>
              <w:spacing w:before="0" w:after="283"/>
              <w:jc w:val="left"/>
              <w:rPr>
                <w:sz w:val="4"/>
                <w:szCs w:val="4"/>
              </w:rPr>
            </w:pPr>
            <w:r>
              <w:rPr>
                <w:sz w:val="4"/>
                <w:szCs w:val="4"/>
              </w:rPr>
            </w:r>
          </w:p>
        </w:tc>
        <w:tc>
          <w:tcPr>
            <w:tcW w:w="1600" w:type="dxa"/>
            <w:gridSpan w:val="4"/>
            <w:tcBorders/>
            <w:vAlign w:val="center"/>
          </w:tcPr>
          <w:p>
            <w:pPr>
              <w:pStyle w:val="TableContents"/>
              <w:bidi w:val="0"/>
              <w:spacing w:before="0" w:after="283"/>
              <w:jc w:val="left"/>
              <w:rPr>
                <w:sz w:val="4"/>
                <w:szCs w:val="4"/>
              </w:rPr>
            </w:pPr>
            <w:r>
              <w:rPr>
                <w:sz w:val="4"/>
                <w:szCs w:val="4"/>
              </w:rPr>
            </w:r>
          </w:p>
        </w:tc>
      </w:tr>
      <w:tr>
        <w:trPr/>
        <w:tc>
          <w:tcPr>
            <w:tcW w:w="3465" w:type="dxa"/>
            <w:tcBorders/>
            <w:vAlign w:val="center"/>
          </w:tcPr>
          <w:p>
            <w:pPr>
              <w:pStyle w:val="TableContents"/>
              <w:bidi w:val="0"/>
              <w:spacing w:before="0" w:after="0"/>
              <w:jc w:val="left"/>
              <w:rPr>
                <w:rFonts w:ascii="arial" w:hAnsi="arial"/>
                <w:sz w:val="19"/>
              </w:rPr>
            </w:pPr>
            <w:r>
              <w:rPr>
                <w:rFonts w:ascii="arial" w:hAnsi="arial"/>
                <w:sz w:val="19"/>
              </w:rPr>
              <w:t>2021 Non-GAAP Operating Income (per above)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952" w:type="dxa"/>
            <w:tcBorders/>
            <w:vAlign w:val="center"/>
          </w:tcPr>
          <w:p>
            <w:pPr>
              <w:pStyle w:val="TableContents"/>
              <w:bidi w:val="0"/>
              <w:spacing w:before="0" w:after="283"/>
              <w:jc w:val="right"/>
              <w:rPr/>
            </w:pPr>
            <w:r>
              <w:rPr/>
              <w:t>12,424</w:t>
            </w:r>
          </w:p>
        </w:tc>
        <w:tc>
          <w:tcPr>
            <w:tcW w:w="336" w:type="dxa"/>
            <w:tcBorders/>
            <w:vAlign w:val="center"/>
          </w:tcPr>
          <w:p>
            <w:pPr>
              <w:pStyle w:val="TableContents"/>
              <w:bidi w:val="0"/>
              <w:spacing w:before="0" w:after="283"/>
              <w:jc w:val="left"/>
              <w:rPr/>
            </w:pPr>
            <w:r>
              <w:rPr/>
              <w:t> </w:t>
            </w:r>
          </w:p>
        </w:tc>
      </w:tr>
      <w:tr>
        <w:trPr/>
        <w:tc>
          <w:tcPr>
            <w:tcW w:w="3465" w:type="dxa"/>
            <w:tcBorders/>
            <w:vAlign w:val="center"/>
          </w:tcPr>
          <w:p>
            <w:pPr>
              <w:pStyle w:val="TableContents"/>
              <w:bidi w:val="0"/>
              <w:spacing w:before="0" w:after="0"/>
              <w:jc w:val="left"/>
              <w:rPr>
                <w:rFonts w:ascii="arial" w:hAnsi="arial"/>
                <w:sz w:val="19"/>
              </w:rPr>
            </w:pPr>
            <w:r>
              <w:rPr>
                <w:rFonts w:ascii="arial" w:hAnsi="arial"/>
                <w:sz w:val="19"/>
              </w:rPr>
              <w:t>2021 After-tax factor (100% less Non-GAAP tax rate per above)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52" w:type="dxa"/>
            <w:tcBorders/>
            <w:vAlign w:val="center"/>
          </w:tcPr>
          <w:p>
            <w:pPr>
              <w:pStyle w:val="TableContents"/>
              <w:bidi w:val="0"/>
              <w:spacing w:before="0" w:after="283"/>
              <w:jc w:val="right"/>
              <w:rPr/>
            </w:pPr>
            <w:r>
              <w:rPr/>
              <w:t>87.2</w:t>
            </w:r>
          </w:p>
        </w:tc>
        <w:tc>
          <w:tcPr>
            <w:tcW w:w="336" w:type="dxa"/>
            <w:tcBorders/>
            <w:vAlign w:val="center"/>
          </w:tcPr>
          <w:p>
            <w:pPr>
              <w:pStyle w:val="TableContents"/>
              <w:bidi w:val="0"/>
              <w:spacing w:before="0" w:after="283"/>
              <w:jc w:val="left"/>
              <w:rPr/>
            </w:pPr>
            <w:r>
              <w:rPr/>
              <w:t>% </w:t>
            </w:r>
          </w:p>
        </w:tc>
      </w:tr>
      <w:tr>
        <w:trPr/>
        <w:tc>
          <w:tcPr>
            <w:tcW w:w="34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single" w:sz="2" w:space="1" w:color="000000"/>
              </w:pBdr>
              <w:bidi w:val="0"/>
              <w:spacing w:before="0" w:after="0"/>
              <w:jc w:val="left"/>
              <w:rPr/>
            </w:pPr>
            <w:r>
              <w:rPr/>
              <w:t> </w:t>
            </w:r>
          </w:p>
        </w:tc>
        <w:tc>
          <w:tcPr>
            <w:tcW w:w="952" w:type="dxa"/>
            <w:tcBorders/>
            <w:vAlign w:val="center"/>
          </w:tcPr>
          <w:p>
            <w:pPr>
              <w:pStyle w:val="TableContents"/>
              <w:pBdr>
                <w:top w:val="single" w:sz="2" w:space="1" w:color="000000"/>
              </w:pBdr>
              <w:bidi w:val="0"/>
              <w:spacing w:before="0" w:after="0"/>
              <w:jc w:val="left"/>
              <w:rPr/>
            </w:pPr>
            <w:r>
              <w:rPr/>
              <w:t> </w:t>
            </w:r>
          </w:p>
        </w:tc>
        <w:tc>
          <w:tcPr>
            <w:tcW w:w="336" w:type="dxa"/>
            <w:tcBorders/>
            <w:vAlign w:val="center"/>
          </w:tcPr>
          <w:p>
            <w:pPr>
              <w:pStyle w:val="TableContents"/>
              <w:bidi w:val="0"/>
              <w:spacing w:before="0" w:after="283"/>
              <w:jc w:val="left"/>
              <w:rPr/>
            </w:pPr>
            <w:r>
              <w:rPr/>
              <w:t> </w:t>
            </w:r>
          </w:p>
        </w:tc>
      </w:tr>
      <w:tr>
        <w:trPr/>
        <w:tc>
          <w:tcPr>
            <w:tcW w:w="3465" w:type="dxa"/>
            <w:tcBorders/>
            <w:vAlign w:val="center"/>
          </w:tcPr>
          <w:p>
            <w:pPr>
              <w:pStyle w:val="TableContents"/>
              <w:bidi w:val="0"/>
              <w:spacing w:before="0" w:after="0"/>
              <w:jc w:val="left"/>
              <w:rPr>
                <w:rFonts w:ascii="arial" w:hAnsi="arial"/>
                <w:b/>
                <w:sz w:val="19"/>
              </w:rPr>
            </w:pPr>
            <w:r>
              <w:rPr>
                <w:rFonts w:ascii="arial" w:hAnsi="arial"/>
                <w:b/>
                <w:sz w:val="19"/>
              </w:rPr>
              <w:t>2021 Non-GAAP Net Operating income after tax</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b/>
              </w:rPr>
            </w:pPr>
            <w:r>
              <w:rPr>
                <w:b/>
              </w:rPr>
              <w:t>$</w:t>
            </w:r>
          </w:p>
        </w:tc>
        <w:tc>
          <w:tcPr>
            <w:tcW w:w="952" w:type="dxa"/>
            <w:tcBorders/>
            <w:vAlign w:val="center"/>
          </w:tcPr>
          <w:p>
            <w:pPr>
              <w:pStyle w:val="TableContents"/>
              <w:bidi w:val="0"/>
              <w:spacing w:before="0" w:after="283"/>
              <w:jc w:val="right"/>
              <w:rPr>
                <w:b/>
              </w:rPr>
            </w:pPr>
            <w:r>
              <w:rPr>
                <w:b/>
              </w:rPr>
              <w:t>10,834</w:t>
            </w:r>
          </w:p>
        </w:tc>
        <w:tc>
          <w:tcPr>
            <w:tcW w:w="336" w:type="dxa"/>
            <w:tcBorders/>
            <w:vAlign w:val="center"/>
          </w:tcPr>
          <w:p>
            <w:pPr>
              <w:pStyle w:val="TableContents"/>
              <w:bidi w:val="0"/>
              <w:spacing w:before="0" w:after="283"/>
              <w:jc w:val="left"/>
              <w:rPr/>
            </w:pPr>
            <w:r>
              <w:rPr/>
              <w:t> </w:t>
            </w:r>
          </w:p>
        </w:tc>
      </w:tr>
      <w:tr>
        <w:trPr/>
        <w:tc>
          <w:tcPr>
            <w:tcW w:w="34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double" w:sz="6" w:space="1" w:color="000000"/>
              </w:pBdr>
              <w:bidi w:val="0"/>
              <w:spacing w:before="0" w:after="0"/>
              <w:jc w:val="left"/>
              <w:rPr/>
            </w:pPr>
            <w:r>
              <w:rPr/>
              <w:t> </w:t>
            </w:r>
          </w:p>
        </w:tc>
        <w:tc>
          <w:tcPr>
            <w:tcW w:w="952" w:type="dxa"/>
            <w:tcBorders/>
            <w:vAlign w:val="center"/>
          </w:tcPr>
          <w:p>
            <w:pPr>
              <w:pStyle w:val="TableContents"/>
              <w:pBdr>
                <w:top w:val="double" w:sz="6" w:space="1" w:color="000000"/>
              </w:pBdr>
              <w:bidi w:val="0"/>
              <w:spacing w:before="0" w:after="0"/>
              <w:jc w:val="left"/>
              <w:rPr/>
            </w:pPr>
            <w:r>
              <w:rPr/>
              <w:t> </w:t>
            </w:r>
          </w:p>
        </w:tc>
        <w:tc>
          <w:tcPr>
            <w:tcW w:w="336" w:type="dxa"/>
            <w:tcBorders/>
            <w:vAlign w:val="center"/>
          </w:tcPr>
          <w:p>
            <w:pPr>
              <w:pStyle w:val="TableContents"/>
              <w:bidi w:val="0"/>
              <w:spacing w:before="0" w:after="283"/>
              <w:jc w:val="left"/>
              <w:rPr/>
            </w:pPr>
            <w:r>
              <w:rPr/>
              <w:t> </w:t>
            </w:r>
          </w:p>
        </w:tc>
      </w:tr>
      <w:tr>
        <w:trPr/>
        <w:tc>
          <w:tcPr>
            <w:tcW w:w="8545" w:type="dxa"/>
            <w:gridSpan w:val="16"/>
            <w:tcBorders/>
            <w:vAlign w:val="center"/>
          </w:tcPr>
          <w:p>
            <w:pPr>
              <w:pStyle w:val="TableContents"/>
              <w:bidi w:val="0"/>
              <w:spacing w:before="0" w:after="0"/>
              <w:jc w:val="left"/>
              <w:rPr>
                <w:rFonts w:ascii="arial" w:hAnsi="arial"/>
                <w:b/>
                <w:sz w:val="19"/>
              </w:rPr>
            </w:pPr>
            <w:r>
              <w:rPr>
                <w:rFonts w:ascii="arial" w:hAnsi="arial"/>
                <w:b/>
                <w:sz w:val="19"/>
              </w:rPr>
              <w:t>2021 Return on Invested capital (Net Operating Income after tax divided by Average Invested capital)</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52" w:type="dxa"/>
            <w:tcBorders/>
            <w:vAlign w:val="center"/>
          </w:tcPr>
          <w:p>
            <w:pPr>
              <w:pStyle w:val="TableContents"/>
              <w:bidi w:val="0"/>
              <w:spacing w:before="0" w:after="283"/>
              <w:jc w:val="right"/>
              <w:rPr>
                <w:b/>
              </w:rPr>
            </w:pPr>
            <w:r>
              <w:rPr>
                <w:b/>
              </w:rPr>
              <w:t>22.2</w:t>
            </w:r>
          </w:p>
        </w:tc>
        <w:tc>
          <w:tcPr>
            <w:tcW w:w="336" w:type="dxa"/>
            <w:tcBorders/>
            <w:vAlign w:val="center"/>
          </w:tcPr>
          <w:p>
            <w:pPr>
              <w:pStyle w:val="TableContents"/>
              <w:bidi w:val="0"/>
              <w:spacing w:before="0" w:after="283"/>
              <w:jc w:val="left"/>
              <w:rPr>
                <w:b/>
              </w:rPr>
            </w:pPr>
            <w:r>
              <w:rPr>
                <w:b/>
              </w:rPr>
              <w:t>% </w:t>
            </w:r>
          </w:p>
        </w:tc>
      </w:tr>
      <w:tr>
        <w:trPr/>
        <w:tc>
          <w:tcPr>
            <w:tcW w:w="34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double" w:sz="6" w:space="1" w:color="000000"/>
              </w:pBdr>
              <w:bidi w:val="0"/>
              <w:spacing w:before="0" w:after="0"/>
              <w:jc w:val="left"/>
              <w:rPr/>
            </w:pPr>
            <w:r>
              <w:rPr/>
              <w:t> </w:t>
            </w:r>
          </w:p>
        </w:tc>
        <w:tc>
          <w:tcPr>
            <w:tcW w:w="952" w:type="dxa"/>
            <w:tcBorders/>
            <w:vAlign w:val="center"/>
          </w:tcPr>
          <w:p>
            <w:pPr>
              <w:pStyle w:val="TableContents"/>
              <w:pBdr>
                <w:top w:val="double" w:sz="6" w:space="1" w:color="000000"/>
              </w:pBdr>
              <w:bidi w:val="0"/>
              <w:spacing w:before="0" w:after="0"/>
              <w:jc w:val="left"/>
              <w:rPr/>
            </w:pPr>
            <w:r>
              <w:rPr/>
              <w:t> </w:t>
            </w:r>
          </w:p>
        </w:tc>
        <w:tc>
          <w:tcPr>
            <w:tcW w:w="33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8050" w:type="dxa"/>
        <w:jc w:val="left"/>
        <w:tblInd w:w="0" w:type="dxa"/>
        <w:tblLayout w:type="fixed"/>
        <w:tblCellMar>
          <w:top w:w="0" w:type="dxa"/>
          <w:left w:w="0" w:type="dxa"/>
          <w:bottom w:w="0" w:type="dxa"/>
          <w:right w:w="0" w:type="dxa"/>
        </w:tblCellMar>
      </w:tblPr>
      <w:tblGrid>
        <w:gridCol w:w="305"/>
        <w:gridCol w:w="7745"/>
      </w:tblGrid>
      <w:tr>
        <w:trPr/>
        <w:tc>
          <w:tcPr>
            <w:tcW w:w="305" w:type="dxa"/>
            <w:tcBorders/>
            <w:vAlign w:val="center"/>
          </w:tcPr>
          <w:p>
            <w:pPr>
              <w:pStyle w:val="TableContents"/>
              <w:bidi w:val="0"/>
              <w:spacing w:before="0" w:after="283"/>
              <w:jc w:val="left"/>
              <w:rPr>
                <w:b/>
              </w:rPr>
            </w:pPr>
            <w:r>
              <w:rPr>
                <w:b/>
              </w:rPr>
              <w:t>(a)</w:t>
            </w:r>
          </w:p>
        </w:tc>
        <w:tc>
          <w:tcPr>
            <w:tcW w:w="7745" w:type="dxa"/>
            <w:tcBorders/>
            <w:vAlign w:val="center"/>
          </w:tcPr>
          <w:p>
            <w:pPr>
              <w:pStyle w:val="TableContents"/>
              <w:bidi w:val="0"/>
              <w:spacing w:before="0" w:after="0"/>
              <w:jc w:val="both"/>
              <w:rPr>
                <w:rFonts w:ascii="arial" w:hAnsi="arial"/>
                <w:sz w:val="16"/>
              </w:rPr>
            </w:pPr>
            <w:r>
              <w:rPr>
                <w:rFonts w:ascii="arial" w:hAnsi="arial"/>
                <w:sz w:val="16"/>
              </w:rPr>
              <w:t xml:space="preserve">The adjustments related primarily to noncash amortization of intangible assets from business acquisitions. </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b/>
              </w:rPr>
            </w:pPr>
            <w:r>
              <w:rPr>
                <w:b/>
              </w:rPr>
              <w:t>(b)</w:t>
            </w:r>
          </w:p>
        </w:tc>
        <w:tc>
          <w:tcPr>
            <w:tcW w:w="9924" w:type="dxa"/>
            <w:tcBorders/>
            <w:vAlign w:val="center"/>
          </w:tcPr>
          <w:p>
            <w:pPr>
              <w:pStyle w:val="TableContents"/>
              <w:bidi w:val="0"/>
              <w:spacing w:before="0" w:after="0"/>
              <w:jc w:val="both"/>
              <w:rPr>
                <w:rFonts w:ascii="arial" w:hAnsi="arial"/>
                <w:sz w:val="16"/>
              </w:rPr>
            </w:pPr>
            <w:r>
              <w:rPr>
                <w:rFonts w:ascii="arial" w:hAnsi="arial"/>
                <w:sz w:val="16"/>
              </w:rPr>
              <w:t xml:space="preserve">Effective January 2022, the Company’s non-GAAP financial measures no longer exclude adjustments for upfront license fees, development milestones and IPR&amp;D expenses of pre-approval programs related to licensing, collaboration and asset acquisition transactions.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b/>
              </w:rPr>
            </w:pPr>
            <w:r>
              <w:rPr>
                <w:b/>
              </w:rPr>
              <w:t>(c)</w:t>
            </w:r>
          </w:p>
        </w:tc>
        <w:tc>
          <w:tcPr>
            <w:tcW w:w="9960" w:type="dxa"/>
            <w:tcBorders/>
            <w:vAlign w:val="center"/>
          </w:tcPr>
          <w:p>
            <w:pPr>
              <w:pStyle w:val="TableContents"/>
              <w:bidi w:val="0"/>
              <w:spacing w:before="0" w:after="0"/>
              <w:jc w:val="both"/>
              <w:rPr>
                <w:rFonts w:ascii="arial" w:hAnsi="arial"/>
                <w:sz w:val="16"/>
              </w:rPr>
            </w:pPr>
            <w:r>
              <w:rPr>
                <w:rFonts w:ascii="arial" w:hAnsi="arial"/>
                <w:sz w:val="16"/>
              </w:rPr>
              <w:t xml:space="preserve">For the year ended December 31, 2023, the adjustments related primarily to acquisition-related costs related to our Horizon Therapeutics plc acquisition. For the years ended December 31, 2022 and 2021, the adjustments related primarily to noncash amortization of intangible assets from business acquisitions. </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b/>
              </w:rPr>
            </w:pPr>
            <w:r>
              <w:rPr>
                <w:b/>
              </w:rPr>
              <w:t>(d)</w:t>
            </w:r>
          </w:p>
        </w:tc>
        <w:tc>
          <w:tcPr>
            <w:tcW w:w="9923" w:type="dxa"/>
            <w:tcBorders/>
            <w:vAlign w:val="center"/>
          </w:tcPr>
          <w:p>
            <w:pPr>
              <w:pStyle w:val="TableContents"/>
              <w:bidi w:val="0"/>
              <w:spacing w:before="0" w:after="0"/>
              <w:jc w:val="both"/>
              <w:rPr>
                <w:rFonts w:ascii="arial" w:hAnsi="arial"/>
                <w:sz w:val="16"/>
              </w:rPr>
            </w:pPr>
            <w:r>
              <w:rPr>
                <w:rFonts w:ascii="arial" w:hAnsi="arial"/>
                <w:sz w:val="16"/>
              </w:rPr>
              <w:t xml:space="preserve">For the year ended December 31, 2023, the adjustments related primarily to a net impairment charge for AMG 340. For the year ended December 31, 2022, the adjustments related primarily to a loss on the divestiture of Gensenta İlaç Sanayi ve Ticaret AŞ.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b/>
              </w:rPr>
            </w:pPr>
            <w:r>
              <w:rPr>
                <w:b/>
              </w:rPr>
              <w:t>(e)</w:t>
            </w:r>
          </w:p>
        </w:tc>
        <w:tc>
          <w:tcPr>
            <w:tcW w:w="9960" w:type="dxa"/>
            <w:tcBorders/>
            <w:vAlign w:val="center"/>
          </w:tcPr>
          <w:p>
            <w:pPr>
              <w:pStyle w:val="TableContents"/>
              <w:bidi w:val="0"/>
              <w:spacing w:before="0" w:after="0"/>
              <w:jc w:val="both"/>
              <w:rPr>
                <w:rFonts w:ascii="arial" w:hAnsi="arial"/>
                <w:sz w:val="16"/>
              </w:rPr>
            </w:pPr>
            <w:r>
              <w:rPr>
                <w:rFonts w:ascii="arial" w:hAnsi="arial"/>
                <w:sz w:val="16"/>
              </w:rPr>
              <w:t xml:space="preserve">For the year ended December 31, 2023, the adjustment included (i) interest expense and income on senior notes issued in March 2023 and (ii) debt issuance costs and other fees related to our bridge credit and term loan credit agreements, incurred prior to the closing of our acquisition of Horizon Therapeutics plc.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283"/>
              <w:jc w:val="left"/>
              <w:rPr>
                <w:b/>
              </w:rPr>
            </w:pPr>
            <w:r>
              <w:rPr>
                <w:b/>
              </w:rPr>
              <w:t>(f)</w:t>
            </w:r>
          </w:p>
        </w:tc>
        <w:tc>
          <w:tcPr>
            <w:tcW w:w="10007" w:type="dxa"/>
            <w:tcBorders/>
            <w:vAlign w:val="center"/>
          </w:tcPr>
          <w:p>
            <w:pPr>
              <w:pStyle w:val="TableContents"/>
              <w:bidi w:val="0"/>
              <w:spacing w:before="0" w:after="0"/>
              <w:jc w:val="both"/>
              <w:rPr>
                <w:rFonts w:ascii="arial" w:hAnsi="arial"/>
                <w:sz w:val="16"/>
              </w:rPr>
            </w:pPr>
            <w:r>
              <w:rPr>
                <w:rFonts w:ascii="arial" w:hAnsi="arial"/>
                <w:sz w:val="16"/>
              </w:rPr>
              <w:t xml:space="preserve">For the year ended December 31, 2023, the adjustments related primarily to our BeiGene, Ltd. (BeiGene) equity fair value adjustment. In the first quarter of 2023, we began to account for our ownership interest in BeiGene as an equity security with a readily determinable fair value, with changes in fair value recorded in Other income (expense), net. For the year ended December 31, 2022, the adjustments related to equity investment losses and the amortization of the basis difference from our BeiGene equity method investment. For the year ended December 31, 2021, the adjustments related to equity investment gains, partially offset by the amortization of the basis difference from our BeiGene equity method investment.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b/>
              </w:rPr>
            </w:pPr>
            <w:r>
              <w:rPr>
                <w:b/>
              </w:rPr>
              <w:t>(g)</w:t>
            </w:r>
          </w:p>
        </w:tc>
        <w:tc>
          <w:tcPr>
            <w:tcW w:w="9966" w:type="dxa"/>
            <w:tcBorders/>
            <w:vAlign w:val="center"/>
          </w:tcPr>
          <w:p>
            <w:pPr>
              <w:pStyle w:val="TableContents"/>
              <w:bidi w:val="0"/>
              <w:spacing w:before="0" w:after="0"/>
              <w:jc w:val="both"/>
              <w:rPr>
                <w:rFonts w:ascii="arial" w:hAnsi="arial"/>
                <w:sz w:val="16"/>
              </w:rPr>
            </w:pPr>
            <w:r>
              <w:rPr>
                <w:rFonts w:ascii="arial" w:hAnsi="arial"/>
                <w:sz w:val="16"/>
              </w:rPr>
              <w:t xml:space="preserve">The tax effect of the adjustments between our GAAP and non-GAAP results takes into account the tax treatment and related tax rate(s) that apply to each adjustment in the applicable tax jurisdiction(s). Generally, this results in a tax impact at the U.S. marginal tax rate for certain adjustments, including the majority of amortization of intangible assets and certain gains and losses on our investments in equity securities, whereas the tax impact of other adjustments, including restructuring and cost saving initiatives, depends on whether the amounts are deductible in the respective tax jurisdictions and the applicable tax rate(s) in those jurisdictions. Acquired IPR&amp;D expense from the Five Prime acquisition was not tax deductible. Due to these factors, the effective tax rate for the adjustments to our GAAP income before income taxes, for the year ended December 31, 2023, was 20.3% compared with 18.4% and 13.9% for 2022 and 2021, respectively. </w:t>
            </w:r>
          </w:p>
        </w:tc>
      </w:tr>
    </w:tbl>
    <w:tbl>
      <w:tblPr>
        <w:tblW w:w="8500" w:type="dxa"/>
        <w:jc w:val="left"/>
        <w:tblInd w:w="0" w:type="dxa"/>
        <w:tblLayout w:type="fixed"/>
        <w:tblCellMar>
          <w:top w:w="0" w:type="dxa"/>
          <w:left w:w="0" w:type="dxa"/>
          <w:bottom w:w="0" w:type="dxa"/>
          <w:right w:w="0" w:type="dxa"/>
        </w:tblCellMar>
      </w:tblPr>
      <w:tblGrid>
        <w:gridCol w:w="320"/>
        <w:gridCol w:w="8180"/>
      </w:tblGrid>
      <w:tr>
        <w:trPr/>
        <w:tc>
          <w:tcPr>
            <w:tcW w:w="320" w:type="dxa"/>
            <w:tcBorders/>
            <w:vAlign w:val="center"/>
          </w:tcPr>
          <w:p>
            <w:pPr>
              <w:pStyle w:val="TableContents"/>
              <w:bidi w:val="0"/>
              <w:spacing w:before="0" w:after="283"/>
              <w:jc w:val="left"/>
              <w:rPr>
                <w:b/>
              </w:rPr>
            </w:pPr>
            <w:r>
              <w:rPr>
                <w:b/>
              </w:rPr>
              <w:t>(h)</w:t>
            </w:r>
          </w:p>
        </w:tc>
        <w:tc>
          <w:tcPr>
            <w:tcW w:w="8180" w:type="dxa"/>
            <w:tcBorders/>
            <w:vAlign w:val="center"/>
          </w:tcPr>
          <w:p>
            <w:pPr>
              <w:pStyle w:val="TableContents"/>
              <w:bidi w:val="0"/>
              <w:spacing w:before="0" w:after="0"/>
              <w:jc w:val="both"/>
              <w:rPr>
                <w:rFonts w:ascii="arial" w:hAnsi="arial"/>
                <w:sz w:val="16"/>
              </w:rPr>
            </w:pPr>
            <w:r>
              <w:rPr>
                <w:rFonts w:ascii="arial" w:hAnsi="arial"/>
                <w:sz w:val="16"/>
              </w:rPr>
              <w:t xml:space="preserve">The adjustments related to certain acquisition items, prior period and other items excluded from GAAP earnings. </w:t>
            </w:r>
          </w:p>
        </w:tc>
      </w:tr>
    </w:tbl>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456"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Image210" descr=""/>
                    <pic:cNvPicPr>
                      <a:picLocks noChangeAspect="1" noChangeArrowheads="1"/>
                    </pic:cNvPicPr>
                  </pic:nvPicPr>
                  <pic:blipFill>
                    <a:blip r:embed="rId223"/>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B-5</w:t>
      </w:r>
      <w:r>
        <w:rPr>
          <w:rFonts w:ascii="arial" w:hAnsi="arial"/>
          <w:b/>
          <w:sz w:val="22"/>
        </w:rPr>
        <w:t xml:space="preserve"> </w:t>
      </w:r>
      <w:r>
        <w:br w:type="page"/>
      </w:r>
    </w:p>
    <w:p>
      <w:pPr>
        <w:pStyle w:val="HorizontalLine"/>
        <w:bidi w:val="0"/>
        <w:jc w:val="left"/>
        <w:rPr/>
      </w:pPr>
      <w:r>
        <w:rPr/>
      </w:r>
    </w:p>
    <w:tbl>
      <w:tblPr>
        <w:tblW w:w="185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13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137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Appendix C</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171B9"/>
          <w:sz w:val="44"/>
        </w:rPr>
      </w:pPr>
      <w:bookmarkStart w:id="74" w:name="toc445034_61a"/>
      <w:bookmarkEnd w:id="74"/>
      <w:r>
        <w:rPr>
          <w:rFonts w:ascii="arial" w:hAnsi="arial"/>
          <w:b/>
          <w:color w:val="0171B9"/>
          <w:sz w:val="44"/>
        </w:rPr>
        <w:t xml:space="preserve">Appendix C </w:t>
      </w:r>
    </w:p>
    <w:p>
      <w:pPr>
        <w:pStyle w:val="TextBody"/>
        <w:bidi w:val="0"/>
        <w:spacing w:before="240" w:after="0"/>
        <w:jc w:val="left"/>
        <w:rPr>
          <w:rFonts w:ascii="arial" w:hAnsi="arial"/>
          <w:b/>
          <w:color w:val="0171B9"/>
          <w:sz w:val="38"/>
        </w:rPr>
      </w:pPr>
      <w:r>
        <w:rPr>
          <w:rFonts w:ascii="arial" w:hAnsi="arial"/>
          <w:b/>
          <w:color w:val="0171B9"/>
          <w:sz w:val="38"/>
        </w:rPr>
        <w:t xml:space="preserve">AMGEN INC. SECOND AMENDED AND RESTATED 2009 EQUITY INCENTIVE PLAN </w:t>
      </w:r>
    </w:p>
    <w:p>
      <w:pPr>
        <w:pStyle w:val="TextBody"/>
        <w:pBdr>
          <w:bottom w:val="single" w:sz="2" w:space="1" w:color="666666"/>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240" w:after="0"/>
        <w:jc w:val="left"/>
        <w:rPr>
          <w:rFonts w:ascii="arial" w:hAnsi="arial"/>
          <w:b/>
          <w:sz w:val="24"/>
        </w:rPr>
      </w:pPr>
      <w:r>
        <w:rPr>
          <w:rFonts w:ascii="arial" w:hAnsi="arial"/>
          <w:b/>
          <w:sz w:val="24"/>
        </w:rPr>
        <w:t xml:space="preserve">ARTICLE 1. </w:t>
      </w:r>
    </w:p>
    <w:p>
      <w:pPr>
        <w:pStyle w:val="TextBody"/>
        <w:bidi w:val="0"/>
        <w:spacing w:before="120" w:after="0"/>
        <w:jc w:val="left"/>
        <w:rPr>
          <w:rFonts w:ascii="arial" w:hAnsi="arial"/>
          <w:b/>
          <w:sz w:val="22"/>
        </w:rPr>
      </w:pPr>
      <w:r>
        <w:rPr>
          <w:rFonts w:ascii="arial" w:hAnsi="arial"/>
          <w:b/>
          <w:sz w:val="22"/>
        </w:rPr>
        <w:t xml:space="preserve">PURPOSE </w:t>
      </w:r>
    </w:p>
    <w:p>
      <w:pPr>
        <w:pStyle w:val="TextBody"/>
        <w:bidi w:val="0"/>
        <w:spacing w:before="120" w:after="0"/>
        <w:jc w:val="both"/>
        <w:rPr>
          <w:rFonts w:ascii="arial" w:hAnsi="arial"/>
          <w:sz w:val="19"/>
        </w:rPr>
      </w:pPr>
      <w:r>
        <w:rPr>
          <w:rFonts w:ascii="arial" w:hAnsi="arial"/>
          <w:sz w:val="19"/>
        </w:rPr>
        <w:t>The purpose of the Amgen Inc. Second Amended and Restated 2009 Equity Incentive Plan (the “</w:t>
      </w:r>
      <w:r>
        <w:rPr>
          <w:rFonts w:ascii="arial" w:hAnsi="arial"/>
          <w:sz w:val="19"/>
          <w:u w:val="single"/>
        </w:rPr>
        <w:t>Plan</w:t>
      </w:r>
      <w:r>
        <w:rPr>
          <w:rFonts w:ascii="arial" w:hAnsi="arial"/>
          <w:sz w:val="19"/>
        </w:rPr>
        <w:t>”) is to promote the success and enhance the value of Amgen Inc. by linking the individual interests of the members of the Board and Employees to those of Company stockholders and by providing such individuals with an incentive for outstanding performance to generate superior returns to Company stockholders. The Plan also provides flexibility to the Company in its ability to motivate, attract, and retain the services of members of the Board and Employees upon whose judgment, interest, and special effort the successful conduct of the Company’s operation is dependent. The Amgen Inc. Amended and Restated 2009 Equity Incentive Plan (the “</w:t>
      </w:r>
      <w:r>
        <w:rPr>
          <w:rFonts w:ascii="arial" w:hAnsi="arial"/>
          <w:sz w:val="19"/>
          <w:u w:val="single"/>
        </w:rPr>
        <w:t>2009 Plan</w:t>
      </w:r>
      <w:r>
        <w:rPr>
          <w:rFonts w:ascii="arial" w:hAnsi="arial"/>
          <w:sz w:val="19"/>
        </w:rPr>
        <w:t>”) was further amended and restated on [</w:t>
      </w:r>
      <w:r>
        <w:rPr>
          <w:rFonts w:ascii="arial" w:hAnsi="arial"/>
          <w:i/>
          <w:sz w:val="19"/>
        </w:rPr>
        <w:t>___________</w:t>
      </w:r>
      <w:r>
        <w:rPr>
          <w:rFonts w:ascii="arial" w:hAnsi="arial"/>
          <w:sz w:val="19"/>
        </w:rPr>
        <w:t xml:space="preserve">], 2024(1), and this Second Amended and Restated 2009 Equity Incentive Plan is referred to herein as the “Plan”. </w:t>
      </w:r>
    </w:p>
    <w:p>
      <w:pPr>
        <w:pStyle w:val="TextBody"/>
        <w:bidi w:val="0"/>
        <w:spacing w:before="240" w:after="0"/>
        <w:jc w:val="left"/>
        <w:rPr>
          <w:rFonts w:ascii="arial" w:hAnsi="arial"/>
          <w:b/>
          <w:sz w:val="24"/>
        </w:rPr>
      </w:pPr>
      <w:r>
        <w:rPr>
          <w:rFonts w:ascii="arial" w:hAnsi="arial"/>
          <w:b/>
          <w:sz w:val="24"/>
        </w:rPr>
        <w:t xml:space="preserve">ARTICLE 2. </w:t>
      </w:r>
    </w:p>
    <w:p>
      <w:pPr>
        <w:pStyle w:val="TextBody"/>
        <w:bidi w:val="0"/>
        <w:spacing w:before="120" w:after="0"/>
        <w:jc w:val="left"/>
        <w:rPr>
          <w:rFonts w:ascii="arial" w:hAnsi="arial"/>
          <w:b/>
          <w:sz w:val="22"/>
        </w:rPr>
      </w:pPr>
      <w:r>
        <w:rPr>
          <w:rFonts w:ascii="arial" w:hAnsi="arial"/>
          <w:b/>
          <w:sz w:val="22"/>
        </w:rPr>
        <w:t xml:space="preserve">DEFINITIONS AND CONSTRUCTION </w:t>
      </w:r>
    </w:p>
    <w:p>
      <w:pPr>
        <w:pStyle w:val="TextBody"/>
        <w:bidi w:val="0"/>
        <w:spacing w:before="120" w:after="0"/>
        <w:jc w:val="both"/>
        <w:rPr>
          <w:rFonts w:ascii="arial" w:hAnsi="arial"/>
          <w:sz w:val="19"/>
        </w:rPr>
      </w:pPr>
      <w:r>
        <w:rPr>
          <w:rFonts w:ascii="arial" w:hAnsi="arial"/>
          <w:sz w:val="19"/>
        </w:rPr>
        <w:t xml:space="preserve">Wherever the following terms are used in the Plan they shall have the meanings specified below, unless the context clearly indicates otherwise. The singular pronoun shall include the plural where the context so indicates. </w:t>
      </w:r>
    </w:p>
    <w:p>
      <w:pPr>
        <w:pStyle w:val="TextBody"/>
        <w:bidi w:val="0"/>
        <w:spacing w:before="120" w:after="0"/>
        <w:jc w:val="both"/>
        <w:rPr>
          <w:rFonts w:ascii="arial" w:hAnsi="arial"/>
          <w:sz w:val="19"/>
        </w:rPr>
      </w:pPr>
      <w:r>
        <w:rPr>
          <w:rFonts w:ascii="arial" w:hAnsi="arial"/>
          <w:sz w:val="19"/>
        </w:rPr>
        <w:t>2.1 “</w:t>
      </w:r>
      <w:r>
        <w:rPr>
          <w:rFonts w:ascii="arial" w:hAnsi="arial"/>
          <w:sz w:val="19"/>
          <w:u w:val="single"/>
        </w:rPr>
        <w:t>Administrator</w:t>
      </w:r>
      <w:r>
        <w:rPr>
          <w:rFonts w:ascii="arial" w:hAnsi="arial"/>
          <w:sz w:val="19"/>
        </w:rPr>
        <w:t xml:space="preserve">” shall mean the entity that conducts the general administration of the Plan as provided in Article 12. With reference to the duties of the Committee under the Plan which have been delegated to one or more persons pursuant to Section 12.6, or as to which the Board has assumed, the term “Administrator” shall refer to such person(s) unless the Committee or the Board has revoked such delegation or the Board has terminated the assumption of such duties. </w:t>
      </w:r>
    </w:p>
    <w:p>
      <w:pPr>
        <w:pStyle w:val="TextBody"/>
        <w:bidi w:val="0"/>
        <w:spacing w:before="120" w:after="0"/>
        <w:jc w:val="both"/>
        <w:rPr>
          <w:rFonts w:ascii="arial" w:hAnsi="arial"/>
          <w:sz w:val="19"/>
        </w:rPr>
      </w:pPr>
      <w:r>
        <w:rPr>
          <w:rFonts w:ascii="arial" w:hAnsi="arial"/>
          <w:sz w:val="19"/>
        </w:rPr>
        <w:t>2.2 “</w:t>
      </w:r>
      <w:r>
        <w:rPr>
          <w:rFonts w:ascii="arial" w:hAnsi="arial"/>
          <w:sz w:val="19"/>
          <w:u w:val="single"/>
        </w:rPr>
        <w:t>Affiliate</w:t>
      </w:r>
      <w:r>
        <w:rPr>
          <w:rFonts w:ascii="arial" w:hAnsi="arial"/>
          <w:sz w:val="19"/>
        </w:rPr>
        <w:t xml:space="preserve">” shall mean (a) any Parent or Subsidiary, and (b) any domestic eligible entity that is disregarded, under U.S. Treasury Regulation Section 301.7701-3, as an entity separate from either (i) the Company or (ii) any Parent or Subsidiary. </w:t>
      </w:r>
    </w:p>
    <w:p>
      <w:pPr>
        <w:pStyle w:val="TextBody"/>
        <w:bidi w:val="0"/>
        <w:spacing w:before="120" w:after="0"/>
        <w:jc w:val="both"/>
        <w:rPr>
          <w:rFonts w:ascii="arial" w:hAnsi="arial"/>
          <w:sz w:val="19"/>
        </w:rPr>
      </w:pPr>
      <w:r>
        <w:rPr>
          <w:rFonts w:ascii="arial" w:hAnsi="arial"/>
          <w:sz w:val="19"/>
        </w:rPr>
        <w:t>2.3 “</w:t>
      </w:r>
      <w:r>
        <w:rPr>
          <w:rFonts w:ascii="arial" w:hAnsi="arial"/>
          <w:sz w:val="19"/>
          <w:u w:val="single"/>
        </w:rPr>
        <w:t>Applicable Accounting Standards</w:t>
      </w:r>
      <w:r>
        <w:rPr>
          <w:rFonts w:ascii="arial" w:hAnsi="arial"/>
          <w:sz w:val="19"/>
        </w:rPr>
        <w:t xml:space="preserve">” shall mean Generally Accepted Accounting Principles in the United States, International Financial Reporting Standards or such other accounting principles or standards as may apply to the Company’s financial statements under United States federal securities laws from time to time. </w:t>
      </w:r>
    </w:p>
    <w:p>
      <w:pPr>
        <w:pStyle w:val="TextBody"/>
        <w:bidi w:val="0"/>
        <w:spacing w:before="120" w:after="0"/>
        <w:jc w:val="both"/>
        <w:rPr>
          <w:rFonts w:ascii="arial" w:hAnsi="arial"/>
          <w:sz w:val="19"/>
        </w:rPr>
      </w:pPr>
      <w:r>
        <w:rPr>
          <w:rFonts w:ascii="arial" w:hAnsi="arial"/>
          <w:sz w:val="19"/>
        </w:rPr>
        <w:t>2.4 “</w:t>
      </w:r>
      <w:r>
        <w:rPr>
          <w:rFonts w:ascii="arial" w:hAnsi="arial"/>
          <w:sz w:val="19"/>
          <w:u w:val="single"/>
        </w:rPr>
        <w:t>Automatic Exercise Date</w:t>
      </w:r>
      <w:r>
        <w:rPr>
          <w:rFonts w:ascii="arial" w:hAnsi="arial"/>
          <w:sz w:val="19"/>
        </w:rPr>
        <w:t xml:space="preserve">” shall mean, with respect to an Option or a Stock Appreciation Right, the last business day of the term of an Option or Stock Appreciation Right that was initially established by the Administrator for such Option or Stock Appreciation Right. </w:t>
      </w:r>
    </w:p>
    <w:p>
      <w:pPr>
        <w:pStyle w:val="TextBody"/>
        <w:bidi w:val="0"/>
        <w:spacing w:before="120" w:after="0"/>
        <w:jc w:val="both"/>
        <w:rPr>
          <w:rFonts w:ascii="arial" w:hAnsi="arial"/>
          <w:sz w:val="19"/>
        </w:rPr>
      </w:pPr>
      <w:r>
        <w:rPr>
          <w:rFonts w:ascii="arial" w:hAnsi="arial"/>
          <w:sz w:val="19"/>
        </w:rPr>
        <w:t>2.5 “</w:t>
      </w:r>
      <w:r>
        <w:rPr>
          <w:rFonts w:ascii="arial" w:hAnsi="arial"/>
          <w:sz w:val="19"/>
          <w:u w:val="single"/>
        </w:rPr>
        <w:t>Award</w:t>
      </w:r>
      <w:r>
        <w:rPr>
          <w:rFonts w:ascii="arial" w:hAnsi="arial"/>
          <w:sz w:val="19"/>
        </w:rPr>
        <w:t>” shall mean an Option, a Restricted Stock award, a Restricted Stock Unit award, a Performance Award, a Dividend Equivalents award, a Deferred Stock award, a Stock Payment award or a Stock Appreciation Right, which may be awarded or granted under the Plan (collectively, “</w:t>
      </w:r>
      <w:r>
        <w:rPr>
          <w:rFonts w:ascii="arial" w:hAnsi="arial"/>
          <w:sz w:val="19"/>
          <w:u w:val="single"/>
        </w:rPr>
        <w:t>Awards</w:t>
      </w:r>
      <w:r>
        <w:rPr>
          <w:rFonts w:ascii="arial" w:hAnsi="arial"/>
          <w:sz w:val="19"/>
        </w:rPr>
        <w:t xml:space="preserve">”). </w:t>
      </w:r>
    </w:p>
    <w:p>
      <w:pPr>
        <w:pStyle w:val="TextBody"/>
        <w:bidi w:val="0"/>
        <w:spacing w:before="120" w:after="0"/>
        <w:jc w:val="both"/>
        <w:rPr>
          <w:rFonts w:ascii="arial" w:hAnsi="arial"/>
          <w:sz w:val="19"/>
        </w:rPr>
      </w:pPr>
      <w:r>
        <w:rPr>
          <w:rFonts w:ascii="arial" w:hAnsi="arial"/>
          <w:sz w:val="19"/>
        </w:rPr>
        <w:t>2.6 “</w:t>
      </w:r>
      <w:r>
        <w:rPr>
          <w:rFonts w:ascii="arial" w:hAnsi="arial"/>
          <w:sz w:val="19"/>
          <w:u w:val="single"/>
        </w:rPr>
        <w:t>Award Agreement</w:t>
      </w:r>
      <w:r>
        <w:rPr>
          <w:rFonts w:ascii="arial" w:hAnsi="arial"/>
          <w:sz w:val="19"/>
        </w:rPr>
        <w:t xml:space="preserve">” shall mean any written notice, agreement, terms and conditions, contract or other instrument or document evidencing an Award, including through electronic medium, which shall contain such terms and conditions with respect to an Award as the Administrator shall determine consistent with the Plan and any applicable Program. </w:t>
      </w:r>
    </w:p>
    <w:p>
      <w:pPr>
        <w:pStyle w:val="TextBody"/>
        <w:bidi w:val="0"/>
        <w:spacing w:before="120" w:after="0"/>
        <w:jc w:val="both"/>
        <w:rPr>
          <w:rFonts w:ascii="arial" w:hAnsi="arial"/>
          <w:sz w:val="19"/>
        </w:rPr>
      </w:pPr>
      <w:r>
        <w:rPr>
          <w:rFonts w:ascii="arial" w:hAnsi="arial"/>
          <w:sz w:val="19"/>
        </w:rPr>
        <w:t>2.7 “</w:t>
      </w:r>
      <w:r>
        <w:rPr>
          <w:rFonts w:ascii="arial" w:hAnsi="arial"/>
          <w:sz w:val="19"/>
          <w:u w:val="single"/>
        </w:rPr>
        <w:t>Award Limit</w:t>
      </w:r>
      <w:r>
        <w:rPr>
          <w:rFonts w:ascii="arial" w:hAnsi="arial"/>
          <w:sz w:val="19"/>
        </w:rPr>
        <w:t xml:space="preserve">” shall mean with respect to Awards that shall be payable in Shares or in cash, as the case may be, the respective limit set forth in Section 3.3. </w:t>
      </w:r>
    </w:p>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tbl>
      <w:tblPr>
        <w:tblW w:w="8305" w:type="dxa"/>
        <w:jc w:val="left"/>
        <w:tblInd w:w="0" w:type="dxa"/>
        <w:tblLayout w:type="fixed"/>
        <w:tblCellMar>
          <w:top w:w="0" w:type="dxa"/>
          <w:left w:w="0" w:type="dxa"/>
          <w:bottom w:w="0" w:type="dxa"/>
          <w:right w:w="0" w:type="dxa"/>
        </w:tblCellMar>
      </w:tblPr>
      <w:tblGrid>
        <w:gridCol w:w="365"/>
        <w:gridCol w:w="7940"/>
      </w:tblGrid>
      <w:tr>
        <w:trPr/>
        <w:tc>
          <w:tcPr>
            <w:tcW w:w="365" w:type="dxa"/>
            <w:tcBorders/>
            <w:vAlign w:val="center"/>
          </w:tcPr>
          <w:p>
            <w:pPr>
              <w:pStyle w:val="TableContents"/>
              <w:bidi w:val="0"/>
              <w:spacing w:before="0" w:after="283"/>
              <w:jc w:val="left"/>
              <w:rPr/>
            </w:pPr>
            <w:r>
              <w:rPr/>
              <w:t>(1) </w:t>
            </w:r>
          </w:p>
        </w:tc>
        <w:tc>
          <w:tcPr>
            <w:tcW w:w="7940" w:type="dxa"/>
            <w:tcBorders/>
            <w:vAlign w:val="center"/>
          </w:tcPr>
          <w:p>
            <w:pPr>
              <w:pStyle w:val="TableContents"/>
              <w:bidi w:val="0"/>
              <w:spacing w:before="0" w:after="0"/>
              <w:jc w:val="both"/>
              <w:rPr>
                <w:rFonts w:ascii="arial" w:hAnsi="arial"/>
                <w:sz w:val="16"/>
              </w:rPr>
            </w:pPr>
            <w:r>
              <w:rPr>
                <w:rFonts w:ascii="arial" w:hAnsi="arial"/>
                <w:sz w:val="16"/>
              </w:rPr>
              <w:t xml:space="preserve">Date of approval of the Amgen Inc. Second Amended and Restated 2009 Equity Incentive Plan will be added. </w:t>
            </w:r>
          </w:p>
        </w:tc>
      </w:tr>
    </w:tbl>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457"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 name="Image211" descr=""/>
                    <pic:cNvPicPr>
                      <a:picLocks noChangeAspect="1" noChangeArrowheads="1"/>
                    </pic:cNvPicPr>
                  </pic:nvPicPr>
                  <pic:blipFill>
                    <a:blip r:embed="rId224"/>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C-1</w:t>
      </w:r>
      <w:r>
        <w:rPr>
          <w:rFonts w:ascii="arial" w:hAnsi="arial"/>
          <w:b/>
          <w:sz w:val="22"/>
        </w:rPr>
        <w:t xml:space="preserve"> </w:t>
      </w:r>
      <w:r>
        <w:br w:type="page"/>
      </w:r>
    </w:p>
    <w:p>
      <w:pPr>
        <w:pStyle w:val="HorizontalLine"/>
        <w:bidi w:val="0"/>
        <w:jc w:val="left"/>
        <w:rPr/>
      </w:pPr>
      <w:r>
        <w:rPr/>
      </w:r>
    </w:p>
    <w:tbl>
      <w:tblPr>
        <w:tblW w:w="185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13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137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Appendix C</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both"/>
        <w:rPr>
          <w:rFonts w:ascii="arial" w:hAnsi="arial"/>
          <w:sz w:val="19"/>
        </w:rPr>
      </w:pPr>
      <w:r>
        <w:rPr>
          <w:rFonts w:ascii="arial" w:hAnsi="arial"/>
          <w:sz w:val="19"/>
        </w:rPr>
        <w:t>2.8 “</w:t>
      </w:r>
      <w:r>
        <w:rPr>
          <w:rFonts w:ascii="arial" w:hAnsi="arial"/>
          <w:sz w:val="19"/>
          <w:u w:val="single"/>
        </w:rPr>
        <w:t>Board</w:t>
      </w:r>
      <w:r>
        <w:rPr>
          <w:rFonts w:ascii="arial" w:hAnsi="arial"/>
          <w:sz w:val="19"/>
        </w:rPr>
        <w:t xml:space="preserve">” shall mean the Board of Directors of the Company. </w:t>
      </w:r>
    </w:p>
    <w:p>
      <w:pPr>
        <w:pStyle w:val="TextBody"/>
        <w:bidi w:val="0"/>
        <w:spacing w:before="120" w:after="0"/>
        <w:jc w:val="both"/>
        <w:rPr>
          <w:rFonts w:ascii="arial" w:hAnsi="arial"/>
          <w:sz w:val="19"/>
        </w:rPr>
      </w:pPr>
      <w:r>
        <w:rPr>
          <w:rFonts w:ascii="arial" w:hAnsi="arial"/>
          <w:sz w:val="19"/>
        </w:rPr>
        <w:t>2.9 “</w:t>
      </w:r>
      <w:r>
        <w:rPr>
          <w:rFonts w:ascii="arial" w:hAnsi="arial"/>
          <w:sz w:val="19"/>
          <w:u w:val="single"/>
        </w:rPr>
        <w:t>Change of Control</w:t>
      </w:r>
      <w:r>
        <w:rPr>
          <w:rFonts w:ascii="arial" w:hAnsi="arial"/>
          <w:sz w:val="19"/>
        </w:rPr>
        <w:t xml:space="preserve">” shall mean the occurrence of any of the following: </w:t>
      </w:r>
    </w:p>
    <w:p>
      <w:pPr>
        <w:pStyle w:val="TextBody"/>
        <w:bidi w:val="0"/>
        <w:spacing w:before="120" w:after="0"/>
        <w:jc w:val="both"/>
        <w:rPr>
          <w:rFonts w:ascii="arial" w:hAnsi="arial"/>
          <w:sz w:val="19"/>
        </w:rPr>
      </w:pPr>
      <w:r>
        <w:rPr>
          <w:rFonts w:ascii="arial" w:hAnsi="arial"/>
          <w:sz w:val="19"/>
        </w:rPr>
        <w:t xml:space="preserve">(A) the acquisition (other than from the Company) by any person, entity or “group,” within the meaning of Section 13(d)(3) or 14(d)(2) of the Exchange Act (excluding, for this purpose, the Company or any of its Affiliates, or any employee benefit plan of the Company or any of its Affiliates which acquires beneficial ownership of voting securities of the Company), of beneficial ownership (within the meaning of Rule 13d-3 promulgated under the Exchange Act) of fifty percent (50%) or more of either the then-outstanding Shares or the combined voting power of the Company’s then-outstanding voting securities entitled to vote generally in the election of directors; or </w:t>
      </w:r>
    </w:p>
    <w:p>
      <w:pPr>
        <w:pStyle w:val="TextBody"/>
        <w:bidi w:val="0"/>
        <w:spacing w:before="120" w:after="0"/>
        <w:jc w:val="both"/>
        <w:rPr>
          <w:rFonts w:ascii="arial" w:hAnsi="arial"/>
          <w:sz w:val="19"/>
        </w:rPr>
      </w:pPr>
      <w:r>
        <w:rPr>
          <w:rFonts w:ascii="arial" w:hAnsi="arial"/>
          <w:sz w:val="19"/>
        </w:rPr>
        <w:t xml:space="preserve">(B) the consummation by the Company of a reorganization, merger, consolidation, (in each case, with respect to which persons who were the stockholders of the Company immediately prior to such reorganization, merger or consolidation do not, immediately thereafter, own more than fifty percent (50%) of the combined voting power entitled to vote generally in the election of directors of the reorganized, merged or consolidated company’s then-outstanding voting securities) or a liquidation or dissolution of the Company or of the sale of all or substantially all of the assets of the Company. </w:t>
      </w:r>
    </w:p>
    <w:p>
      <w:pPr>
        <w:pStyle w:val="TextBody"/>
        <w:bidi w:val="0"/>
        <w:spacing w:before="120" w:after="0"/>
        <w:jc w:val="both"/>
        <w:rPr>
          <w:rFonts w:ascii="arial" w:hAnsi="arial"/>
          <w:sz w:val="19"/>
        </w:rPr>
      </w:pPr>
      <w:r>
        <w:rPr>
          <w:rFonts w:ascii="arial" w:hAnsi="arial"/>
          <w:sz w:val="19"/>
        </w:rPr>
        <w:t xml:space="preserve">Notwithstanding anything herein or in any Award Agreement to the contrary, if a Change of Control constitutes a payment event with respect to any Award that is subject to United States income tax and which provides for a deferral of compensation that is subject to Section 409A of the Code, the transaction or event described in subsection (A) or (B) above must also constitute a “change in control event,” as defined in U.S. Treasury Regulation § 1.409A-3(i)(5), in order to constitute a Change of Control for purposes of payment of such Award. </w:t>
      </w:r>
    </w:p>
    <w:p>
      <w:pPr>
        <w:pStyle w:val="TextBody"/>
        <w:bidi w:val="0"/>
        <w:spacing w:before="120" w:after="0"/>
        <w:jc w:val="both"/>
        <w:rPr>
          <w:rFonts w:ascii="arial" w:hAnsi="arial"/>
          <w:sz w:val="19"/>
        </w:rPr>
      </w:pPr>
      <w:r>
        <w:rPr>
          <w:rFonts w:ascii="arial" w:hAnsi="arial"/>
          <w:sz w:val="19"/>
        </w:rPr>
        <w:t>2.10  “</w:t>
      </w:r>
      <w:r>
        <w:rPr>
          <w:rFonts w:ascii="arial" w:hAnsi="arial"/>
          <w:sz w:val="19"/>
          <w:u w:val="single"/>
        </w:rPr>
        <w:t>Code</w:t>
      </w:r>
      <w:r>
        <w:rPr>
          <w:rFonts w:ascii="arial" w:hAnsi="arial"/>
          <w:sz w:val="19"/>
        </w:rPr>
        <w:t xml:space="preserve">” shall mean the U.S. Internal Revenue Code of 1986, as amended from time to time, together with the regulations and official guidance promulgated thereunder. </w:t>
      </w:r>
    </w:p>
    <w:p>
      <w:pPr>
        <w:pStyle w:val="TextBody"/>
        <w:bidi w:val="0"/>
        <w:spacing w:before="120" w:after="0"/>
        <w:jc w:val="both"/>
        <w:rPr>
          <w:rFonts w:ascii="arial" w:hAnsi="arial"/>
          <w:sz w:val="19"/>
        </w:rPr>
      </w:pPr>
      <w:r>
        <w:rPr>
          <w:rFonts w:ascii="arial" w:hAnsi="arial"/>
          <w:sz w:val="19"/>
        </w:rPr>
        <w:t>2.11 “</w:t>
      </w:r>
      <w:r>
        <w:rPr>
          <w:rFonts w:ascii="arial" w:hAnsi="arial"/>
          <w:sz w:val="19"/>
          <w:u w:val="single"/>
        </w:rPr>
        <w:t>Committee</w:t>
      </w:r>
      <w:r>
        <w:rPr>
          <w:rFonts w:ascii="arial" w:hAnsi="arial"/>
          <w:sz w:val="19"/>
        </w:rPr>
        <w:t xml:space="preserve">” shall mean the Compensation and Management Development Committee of the Board, or another committee or subcommittee of the Board, appointed as provided in Section 12.1. </w:t>
      </w:r>
    </w:p>
    <w:p>
      <w:pPr>
        <w:pStyle w:val="TextBody"/>
        <w:bidi w:val="0"/>
        <w:spacing w:before="120" w:after="0"/>
        <w:jc w:val="both"/>
        <w:rPr>
          <w:rFonts w:ascii="arial" w:hAnsi="arial"/>
          <w:sz w:val="19"/>
        </w:rPr>
      </w:pPr>
      <w:r>
        <w:rPr>
          <w:rFonts w:ascii="arial" w:hAnsi="arial"/>
          <w:sz w:val="19"/>
        </w:rPr>
        <w:t>2.12 “</w:t>
      </w:r>
      <w:r>
        <w:rPr>
          <w:rFonts w:ascii="arial" w:hAnsi="arial"/>
          <w:sz w:val="19"/>
          <w:u w:val="single"/>
        </w:rPr>
        <w:t>Common Stock</w:t>
      </w:r>
      <w:r>
        <w:rPr>
          <w:rFonts w:ascii="arial" w:hAnsi="arial"/>
          <w:sz w:val="19"/>
        </w:rPr>
        <w:t xml:space="preserve">” shall mean the common stock of the Company, par value $0.0001 per share. </w:t>
      </w:r>
    </w:p>
    <w:p>
      <w:pPr>
        <w:pStyle w:val="TextBody"/>
        <w:bidi w:val="0"/>
        <w:spacing w:before="120" w:after="0"/>
        <w:jc w:val="both"/>
        <w:rPr>
          <w:rFonts w:ascii="arial" w:hAnsi="arial"/>
          <w:sz w:val="19"/>
        </w:rPr>
      </w:pPr>
      <w:r>
        <w:rPr>
          <w:rFonts w:ascii="arial" w:hAnsi="arial"/>
          <w:sz w:val="19"/>
        </w:rPr>
        <w:t>2.13 “</w:t>
      </w:r>
      <w:r>
        <w:rPr>
          <w:rFonts w:ascii="arial" w:hAnsi="arial"/>
          <w:sz w:val="19"/>
          <w:u w:val="single"/>
        </w:rPr>
        <w:t>Company</w:t>
      </w:r>
      <w:r>
        <w:rPr>
          <w:rFonts w:ascii="arial" w:hAnsi="arial"/>
          <w:sz w:val="19"/>
        </w:rPr>
        <w:t>” shall mean Amgen Inc.</w:t>
      </w:r>
      <w:r>
        <w:rPr>
          <w:rFonts w:ascii="arial" w:hAnsi="arial"/>
          <w:i/>
          <w:sz w:val="19"/>
        </w:rPr>
        <w:t xml:space="preserve">, </w:t>
      </w:r>
      <w:r>
        <w:rPr>
          <w:rFonts w:ascii="arial" w:hAnsi="arial"/>
          <w:sz w:val="19"/>
        </w:rPr>
        <w:t xml:space="preserve">a Delaware corporation. </w:t>
      </w:r>
    </w:p>
    <w:p>
      <w:pPr>
        <w:pStyle w:val="TextBody"/>
        <w:bidi w:val="0"/>
        <w:spacing w:before="120" w:after="0"/>
        <w:jc w:val="both"/>
        <w:rPr>
          <w:rFonts w:ascii="arial" w:hAnsi="arial"/>
          <w:sz w:val="19"/>
        </w:rPr>
      </w:pPr>
      <w:r>
        <w:rPr>
          <w:rFonts w:ascii="arial" w:hAnsi="arial"/>
          <w:sz w:val="19"/>
        </w:rPr>
        <w:t>2.14 “</w:t>
      </w:r>
      <w:r>
        <w:rPr>
          <w:rFonts w:ascii="arial" w:hAnsi="arial"/>
          <w:sz w:val="19"/>
          <w:u w:val="single"/>
        </w:rPr>
        <w:t>Company Stock Administrator</w:t>
      </w:r>
      <w:r>
        <w:rPr>
          <w:rFonts w:ascii="arial" w:hAnsi="arial"/>
          <w:sz w:val="19"/>
        </w:rPr>
        <w:t xml:space="preserve">” shall mean the stock administrator of the Company, or such other person or entity designated by the Administrator, or his, her or their office, as applicable, whether or not employed by the Company. </w:t>
      </w:r>
    </w:p>
    <w:p>
      <w:pPr>
        <w:pStyle w:val="TextBody"/>
        <w:bidi w:val="0"/>
        <w:spacing w:before="120" w:after="0"/>
        <w:jc w:val="both"/>
        <w:rPr>
          <w:rFonts w:ascii="arial" w:hAnsi="arial"/>
          <w:sz w:val="19"/>
        </w:rPr>
      </w:pPr>
      <w:r>
        <w:rPr>
          <w:rFonts w:ascii="arial" w:hAnsi="arial"/>
          <w:sz w:val="19"/>
        </w:rPr>
        <w:t>2.15 “</w:t>
      </w:r>
      <w:r>
        <w:rPr>
          <w:rFonts w:ascii="arial" w:hAnsi="arial"/>
          <w:sz w:val="19"/>
          <w:u w:val="single"/>
        </w:rPr>
        <w:t>Deferred Stock</w:t>
      </w:r>
      <w:r>
        <w:rPr>
          <w:rFonts w:ascii="arial" w:hAnsi="arial"/>
          <w:sz w:val="19"/>
        </w:rPr>
        <w:t xml:space="preserve">” shall mean a right to receive Shares awarded under Section 9.4. </w:t>
      </w:r>
    </w:p>
    <w:p>
      <w:pPr>
        <w:pStyle w:val="TextBody"/>
        <w:bidi w:val="0"/>
        <w:spacing w:before="120" w:after="0"/>
        <w:jc w:val="both"/>
        <w:rPr>
          <w:rFonts w:ascii="arial" w:hAnsi="arial"/>
          <w:sz w:val="19"/>
        </w:rPr>
      </w:pPr>
      <w:r>
        <w:rPr>
          <w:rFonts w:ascii="arial" w:hAnsi="arial"/>
          <w:sz w:val="19"/>
        </w:rPr>
        <w:t>2.16 “</w:t>
      </w:r>
      <w:r>
        <w:rPr>
          <w:rFonts w:ascii="arial" w:hAnsi="arial"/>
          <w:sz w:val="19"/>
          <w:u w:val="single"/>
        </w:rPr>
        <w:t>Director</w:t>
      </w:r>
      <w:r>
        <w:rPr>
          <w:rFonts w:ascii="arial" w:hAnsi="arial"/>
          <w:sz w:val="19"/>
        </w:rPr>
        <w:t xml:space="preserve">” shall mean a member of the Board, as constituted from time to time. </w:t>
      </w:r>
    </w:p>
    <w:p>
      <w:pPr>
        <w:pStyle w:val="TextBody"/>
        <w:bidi w:val="0"/>
        <w:spacing w:before="120" w:after="0"/>
        <w:jc w:val="both"/>
        <w:rPr>
          <w:rFonts w:ascii="arial" w:hAnsi="arial"/>
          <w:sz w:val="19"/>
        </w:rPr>
      </w:pPr>
      <w:r>
        <w:rPr>
          <w:rFonts w:ascii="arial" w:hAnsi="arial"/>
          <w:sz w:val="19"/>
        </w:rPr>
        <w:t>2.17 “</w:t>
      </w:r>
      <w:r>
        <w:rPr>
          <w:rFonts w:ascii="arial" w:hAnsi="arial"/>
          <w:sz w:val="19"/>
          <w:u w:val="single"/>
        </w:rPr>
        <w:t>Dividend Equivalent</w:t>
      </w:r>
      <w:r>
        <w:rPr>
          <w:rFonts w:ascii="arial" w:hAnsi="arial"/>
          <w:sz w:val="19"/>
        </w:rPr>
        <w:t xml:space="preserve">” shall mean a right to receive the equivalent value (in cash or Shares) of dividends paid on Shares, awarded under Section 9.2. </w:t>
      </w:r>
    </w:p>
    <w:p>
      <w:pPr>
        <w:pStyle w:val="TextBody"/>
        <w:bidi w:val="0"/>
        <w:spacing w:before="120" w:after="0"/>
        <w:jc w:val="both"/>
        <w:rPr>
          <w:rFonts w:ascii="arial" w:hAnsi="arial"/>
          <w:sz w:val="19"/>
        </w:rPr>
      </w:pPr>
      <w:r>
        <w:rPr>
          <w:rFonts w:ascii="arial" w:hAnsi="arial"/>
          <w:sz w:val="19"/>
        </w:rPr>
        <w:t>2.18 “</w:t>
      </w:r>
      <w:r>
        <w:rPr>
          <w:rFonts w:ascii="arial" w:hAnsi="arial"/>
          <w:sz w:val="19"/>
          <w:u w:val="single"/>
        </w:rPr>
        <w:t>Effective Date</w:t>
      </w:r>
      <w:r>
        <w:rPr>
          <w:rFonts w:ascii="arial" w:hAnsi="arial"/>
          <w:sz w:val="19"/>
        </w:rPr>
        <w:t xml:space="preserve">” shall mean the date that this Plan, as the second amendment and restatement of and successor to the 2009 Plan, is approved by the stockholders of the Company. </w:t>
      </w:r>
    </w:p>
    <w:p>
      <w:pPr>
        <w:pStyle w:val="TextBody"/>
        <w:bidi w:val="0"/>
        <w:spacing w:before="120" w:after="0"/>
        <w:jc w:val="both"/>
        <w:rPr>
          <w:rFonts w:ascii="arial" w:hAnsi="arial"/>
          <w:sz w:val="19"/>
        </w:rPr>
      </w:pPr>
      <w:r>
        <w:rPr>
          <w:rFonts w:ascii="arial" w:hAnsi="arial"/>
          <w:sz w:val="19"/>
        </w:rPr>
        <w:t>2.19 “</w:t>
      </w:r>
      <w:r>
        <w:rPr>
          <w:rFonts w:ascii="arial" w:hAnsi="arial"/>
          <w:sz w:val="19"/>
          <w:u w:val="single"/>
        </w:rPr>
        <w:t>Eligible Employee</w:t>
      </w:r>
      <w:r>
        <w:rPr>
          <w:rFonts w:ascii="arial" w:hAnsi="arial"/>
          <w:sz w:val="19"/>
        </w:rPr>
        <w:t xml:space="preserve">” shall mean an Employee described in subsection (a) of this Section who is not excluded under subsection (b). An individual’s status as an Eligible Employee shall be determined by the Company or the related Affiliate, if applicable, based on how the Company or the related Affiliate, if applicable, treats the individual. </w:t>
      </w:r>
    </w:p>
    <w:p>
      <w:pPr>
        <w:pStyle w:val="TextBody"/>
        <w:bidi w:val="0"/>
        <w:spacing w:before="120" w:after="0"/>
        <w:jc w:val="both"/>
        <w:rPr>
          <w:rFonts w:ascii="arial" w:hAnsi="arial"/>
          <w:sz w:val="19"/>
        </w:rPr>
      </w:pPr>
      <w:r>
        <w:rPr>
          <w:rFonts w:ascii="arial" w:hAnsi="arial"/>
          <w:sz w:val="19"/>
        </w:rPr>
        <w:t>(a) </w:t>
      </w:r>
      <w:r>
        <w:rPr>
          <w:rFonts w:ascii="arial" w:hAnsi="arial"/>
          <w:sz w:val="19"/>
          <w:u w:val="single"/>
        </w:rPr>
        <w:t>Included Employees</w:t>
      </w:r>
      <w:r>
        <w:rPr>
          <w:rFonts w:ascii="arial" w:hAnsi="arial"/>
          <w:sz w:val="19"/>
        </w:rPr>
        <w:t xml:space="preserve">. Unless excluded under (b) below, an individual regarded by the Company or the related Affiliate, if applicable, as a regular Employee working twenty (20) or more hours per week (or such lesser period of time as may be determined by the Administrator in its sole discretion) or an Employee on an authorized leave of absence, as determined by the Company or the related Affiliate, as applicable, who customarily worked twenty (20) or more hours per week (or such lesser period of time as may be determined by the Administrator in its discretion) before going on leave. </w:t>
      </w:r>
    </w:p>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C-2  </w:t>
      </w:r>
      <w:r>
        <w:rPr>
          <w:rFonts w:ascii="arial" w:hAnsi="arial"/>
          <w:b/>
          <w:color w:val="474747"/>
          <w:sz w:val="22"/>
        </w:rPr>
        <w:drawing>
          <wp:inline distT="0" distB="0" distL="0" distR="0">
            <wp:extent cx="64770" cy="15240"/>
            <wp:effectExtent l="0" t="0" r="0" b="0"/>
            <wp:docPr id="458"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Image212" descr=""/>
                    <pic:cNvPicPr>
                      <a:picLocks noChangeAspect="1" noChangeArrowheads="1"/>
                    </pic:cNvPicPr>
                  </pic:nvPicPr>
                  <pic:blipFill>
                    <a:blip r:embed="rId225"/>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185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13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137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Appendix C</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both"/>
        <w:rPr>
          <w:rFonts w:ascii="arial" w:hAnsi="arial"/>
          <w:sz w:val="19"/>
        </w:rPr>
      </w:pPr>
      <w:r>
        <w:rPr>
          <w:rFonts w:ascii="arial" w:hAnsi="arial"/>
          <w:sz w:val="19"/>
        </w:rPr>
        <w:t>(b) </w:t>
      </w:r>
      <w:r>
        <w:rPr>
          <w:rFonts w:ascii="arial" w:hAnsi="arial"/>
          <w:sz w:val="19"/>
          <w:u w:val="single"/>
        </w:rPr>
        <w:t>Excluded Employees</w:t>
      </w:r>
      <w:r>
        <w:rPr>
          <w:rFonts w:ascii="arial" w:hAnsi="arial"/>
          <w:sz w:val="19"/>
        </w:rPr>
        <w:t xml:space="preserve">. An Employee shall not be an Eligible Employee for any period in which the Company or the related Affiliate, if applicable, regards the Employee as: </w:t>
      </w:r>
    </w:p>
    <w:p>
      <w:pPr>
        <w:pStyle w:val="TextBody"/>
        <w:bidi w:val="0"/>
        <w:spacing w:before="120" w:after="0"/>
        <w:jc w:val="both"/>
        <w:rPr>
          <w:rFonts w:ascii="arial" w:hAnsi="arial"/>
          <w:sz w:val="19"/>
        </w:rPr>
      </w:pPr>
      <w:r>
        <w:rPr>
          <w:rFonts w:ascii="arial" w:hAnsi="arial"/>
          <w:sz w:val="19"/>
        </w:rPr>
        <w:t xml:space="preserve">(i) not on the payroll of the Company or Affiliate, if applicable, even though such person may be deemed, for any reason, to be an Employee; </w:t>
      </w:r>
    </w:p>
    <w:p>
      <w:pPr>
        <w:pStyle w:val="TextBody"/>
        <w:bidi w:val="0"/>
        <w:spacing w:before="120" w:after="0"/>
        <w:jc w:val="both"/>
        <w:rPr>
          <w:rFonts w:ascii="arial" w:hAnsi="arial"/>
          <w:sz w:val="19"/>
        </w:rPr>
      </w:pPr>
      <w:r>
        <w:rPr>
          <w:rFonts w:ascii="arial" w:hAnsi="arial"/>
          <w:sz w:val="19"/>
        </w:rPr>
        <w:t xml:space="preserve">(ii) a “leased employee” within the meaning of Section 414(n) of the Code with respect to the Employer; or </w:t>
      </w:r>
    </w:p>
    <w:p>
      <w:pPr>
        <w:pStyle w:val="TextBody"/>
        <w:bidi w:val="0"/>
        <w:spacing w:before="120" w:after="0"/>
        <w:jc w:val="both"/>
        <w:rPr>
          <w:rFonts w:ascii="arial" w:hAnsi="arial"/>
          <w:sz w:val="19"/>
        </w:rPr>
      </w:pPr>
      <w:r>
        <w:rPr>
          <w:rFonts w:ascii="arial" w:hAnsi="arial"/>
          <w:sz w:val="19"/>
        </w:rPr>
        <w:t xml:space="preserve">(iii) a “temporary employee,” “independent contractor,” or “consultant,” regardless of how long the person actually works for the Company or the related Affiliate, if applicable. </w:t>
      </w:r>
    </w:p>
    <w:p>
      <w:pPr>
        <w:pStyle w:val="TextBody"/>
        <w:bidi w:val="0"/>
        <w:spacing w:before="120" w:after="0"/>
        <w:jc w:val="both"/>
        <w:rPr>
          <w:rFonts w:ascii="arial" w:hAnsi="arial"/>
          <w:sz w:val="19"/>
        </w:rPr>
      </w:pPr>
      <w:r>
        <w:rPr>
          <w:rFonts w:ascii="arial" w:hAnsi="arial"/>
          <w:sz w:val="19"/>
        </w:rPr>
        <w:t>2.20 “</w:t>
      </w:r>
      <w:r>
        <w:rPr>
          <w:rFonts w:ascii="arial" w:hAnsi="arial"/>
          <w:sz w:val="19"/>
          <w:u w:val="single"/>
        </w:rPr>
        <w:t>Eligible Individual</w:t>
      </w:r>
      <w:r>
        <w:rPr>
          <w:rFonts w:ascii="arial" w:hAnsi="arial"/>
          <w:sz w:val="19"/>
        </w:rPr>
        <w:t xml:space="preserve">” shall mean any person who is an Eligible Employee or a Non-Employee Director, as determined by the Committee. </w:t>
      </w:r>
    </w:p>
    <w:p>
      <w:pPr>
        <w:pStyle w:val="TextBody"/>
        <w:bidi w:val="0"/>
        <w:spacing w:before="120" w:after="0"/>
        <w:jc w:val="both"/>
        <w:rPr>
          <w:rFonts w:ascii="arial" w:hAnsi="arial"/>
          <w:sz w:val="19"/>
        </w:rPr>
      </w:pPr>
      <w:r>
        <w:rPr>
          <w:rFonts w:ascii="arial" w:hAnsi="arial"/>
          <w:sz w:val="19"/>
        </w:rPr>
        <w:t>2.21 “</w:t>
      </w:r>
      <w:r>
        <w:rPr>
          <w:rFonts w:ascii="arial" w:hAnsi="arial"/>
          <w:sz w:val="19"/>
          <w:u w:val="single"/>
        </w:rPr>
        <w:t>Employee</w:t>
      </w:r>
      <w:r>
        <w:rPr>
          <w:rFonts w:ascii="arial" w:hAnsi="arial"/>
          <w:sz w:val="19"/>
        </w:rPr>
        <w:t xml:space="preserve">” shall mean an individual regarded by the Company or any Affiliate as its employee, as evidenced by the Company’s, or such Affiliate’s withholding of any income tax (including federal, state and local taxes), social insurance, payroll tax, payment on account or other tax-related obligations from such person’s wages or other cash compensation. If, during any period, the Company or any Affiliate has not regarded an individual as an Employee and, for that reason, has not withheld income tax (including federal, state and local taxes), social insurance, payroll tax, payment on account or other tax-related obligations with respect to that individual, then that individual shall not be an Eligible Employee for that period, even in the event that the individual is determined, retroactively, to have been an Employee during all or any portion of that period. </w:t>
      </w:r>
    </w:p>
    <w:p>
      <w:pPr>
        <w:pStyle w:val="TextBody"/>
        <w:bidi w:val="0"/>
        <w:spacing w:before="120" w:after="0"/>
        <w:jc w:val="both"/>
        <w:rPr>
          <w:rFonts w:ascii="arial" w:hAnsi="arial"/>
          <w:sz w:val="19"/>
        </w:rPr>
      </w:pPr>
      <w:r>
        <w:rPr>
          <w:rFonts w:ascii="arial" w:hAnsi="arial"/>
          <w:sz w:val="19"/>
        </w:rPr>
        <w:t>2.22 “</w:t>
      </w:r>
      <w:r>
        <w:rPr>
          <w:rFonts w:ascii="arial" w:hAnsi="arial"/>
          <w:sz w:val="19"/>
          <w:u w:val="single"/>
        </w:rPr>
        <w:t>Equity Restructuring</w:t>
      </w:r>
      <w:r>
        <w:rPr>
          <w:rFonts w:ascii="arial" w:hAnsi="arial"/>
          <w:sz w:val="19"/>
        </w:rPr>
        <w:t xml:space="preserve">” shall mean a nonreciprocal transaction between the Company and its stockholders, such as a stock dividend, stock split, spin-off, rights offering or recapitalization through a large, nonrecurring cash dividend, that affects the number or kind of shares of Common Stock (or other securities of the Company) or the share price of Common Stock (or other securities) and causes a change in the per share value of the Common Stock underlying outstanding Awards. </w:t>
      </w:r>
    </w:p>
    <w:p>
      <w:pPr>
        <w:pStyle w:val="TextBody"/>
        <w:bidi w:val="0"/>
        <w:spacing w:before="120" w:after="0"/>
        <w:jc w:val="both"/>
        <w:rPr>
          <w:rFonts w:ascii="arial" w:hAnsi="arial"/>
          <w:sz w:val="19"/>
        </w:rPr>
      </w:pPr>
      <w:r>
        <w:rPr>
          <w:rFonts w:ascii="arial" w:hAnsi="arial"/>
          <w:sz w:val="19"/>
        </w:rPr>
        <w:t>2.23 “</w:t>
      </w:r>
      <w:r>
        <w:rPr>
          <w:rFonts w:ascii="arial" w:hAnsi="arial"/>
          <w:sz w:val="19"/>
          <w:u w:val="single"/>
        </w:rPr>
        <w:t>Exchange Act</w:t>
      </w:r>
      <w:r>
        <w:rPr>
          <w:rFonts w:ascii="arial" w:hAnsi="arial"/>
          <w:sz w:val="19"/>
        </w:rPr>
        <w:t xml:space="preserve">” shall mean the U.S. Securities Exchange Act of 1934, as amended from time to time. </w:t>
      </w:r>
    </w:p>
    <w:p>
      <w:pPr>
        <w:pStyle w:val="TextBody"/>
        <w:bidi w:val="0"/>
        <w:spacing w:before="120" w:after="0"/>
        <w:jc w:val="both"/>
        <w:rPr>
          <w:rFonts w:ascii="arial" w:hAnsi="arial"/>
          <w:sz w:val="19"/>
        </w:rPr>
      </w:pPr>
      <w:r>
        <w:rPr>
          <w:rFonts w:ascii="arial" w:hAnsi="arial"/>
          <w:sz w:val="19"/>
        </w:rPr>
        <w:t>2.24 “</w:t>
      </w:r>
      <w:r>
        <w:rPr>
          <w:rFonts w:ascii="arial" w:hAnsi="arial"/>
          <w:sz w:val="19"/>
          <w:u w:val="single"/>
        </w:rPr>
        <w:t>Fair Market Value</w:t>
      </w:r>
      <w:r>
        <w:rPr>
          <w:rFonts w:ascii="arial" w:hAnsi="arial"/>
          <w:sz w:val="19"/>
        </w:rPr>
        <w:t xml:space="preserve">” shall mean, as of any given date, the value of a Share determined as follows: </w:t>
      </w:r>
    </w:p>
    <w:p>
      <w:pPr>
        <w:pStyle w:val="TextBody"/>
        <w:bidi w:val="0"/>
        <w:spacing w:before="120" w:after="0"/>
        <w:jc w:val="both"/>
        <w:rPr>
          <w:rFonts w:ascii="arial" w:hAnsi="arial"/>
          <w:sz w:val="19"/>
        </w:rPr>
      </w:pPr>
      <w:r>
        <w:rPr>
          <w:rFonts w:ascii="arial" w:hAnsi="arial"/>
          <w:sz w:val="19"/>
        </w:rPr>
        <w:t xml:space="preserve">(a) If the Common Stock is listed on any Securities Exchange, its Fair Market Value shall be the closing sales price for a share of Common Stock as quoted on such exchange or system for such date or, if there is no closing sales price for a share of Common Stock on the date in question, the closing sales price for a share of Common Stock on the last preceding date for which such quotation exists, as reported in </w:t>
      </w:r>
      <w:r>
        <w:rPr>
          <w:rFonts w:ascii="arial" w:hAnsi="arial"/>
          <w:i/>
          <w:sz w:val="19"/>
        </w:rPr>
        <w:t>The Wall Street Journal</w:t>
      </w:r>
      <w:r>
        <w:rPr>
          <w:rFonts w:ascii="arial" w:hAnsi="arial"/>
          <w:sz w:val="19"/>
        </w:rPr>
        <w:t xml:space="preserve"> or such other source as the Administrator deems reliable; </w:t>
      </w:r>
    </w:p>
    <w:p>
      <w:pPr>
        <w:pStyle w:val="TextBody"/>
        <w:bidi w:val="0"/>
        <w:spacing w:before="120" w:after="0"/>
        <w:jc w:val="both"/>
        <w:rPr>
          <w:rFonts w:ascii="arial" w:hAnsi="arial"/>
          <w:sz w:val="19"/>
        </w:rPr>
      </w:pPr>
      <w:r>
        <w:rPr>
          <w:rFonts w:ascii="arial" w:hAnsi="arial"/>
          <w:sz w:val="19"/>
        </w:rPr>
        <w:t xml:space="preserve">(b) If the Common Stock is not listed on any Securities Exchange, but the Common Stock is regularly quoted by a recognized securities dealer, its Fair Market Value shall be the mean of the high bid and low asked prices for such date or, if there are no high bid and low asked prices for a share of Common Stock on such date, the high bid and low asked prices for a share of Common Stock on the last preceding date for which such information exists, as reported in </w:t>
      </w:r>
      <w:r>
        <w:rPr>
          <w:rFonts w:ascii="arial" w:hAnsi="arial"/>
          <w:i/>
          <w:sz w:val="19"/>
        </w:rPr>
        <w:t>The Wall Street Journal</w:t>
      </w:r>
      <w:r>
        <w:rPr>
          <w:rFonts w:ascii="arial" w:hAnsi="arial"/>
          <w:sz w:val="19"/>
        </w:rPr>
        <w:t xml:space="preserve"> or such other source as the Administrator deems reliable; or </w:t>
      </w:r>
    </w:p>
    <w:p>
      <w:pPr>
        <w:pStyle w:val="TextBody"/>
        <w:bidi w:val="0"/>
        <w:spacing w:before="120" w:after="0"/>
        <w:jc w:val="both"/>
        <w:rPr>
          <w:rFonts w:ascii="arial" w:hAnsi="arial"/>
          <w:sz w:val="19"/>
        </w:rPr>
      </w:pPr>
      <w:r>
        <w:rPr>
          <w:rFonts w:ascii="arial" w:hAnsi="arial"/>
          <w:sz w:val="19"/>
        </w:rPr>
        <w:t xml:space="preserve">(c) If the Common Stock is neither listed on any Securities Exchange nor regularly quoted by a recognized securities dealer, its Fair Market Value shall be established by the Administrator in good faith. </w:t>
      </w:r>
    </w:p>
    <w:p>
      <w:pPr>
        <w:pStyle w:val="TextBody"/>
        <w:bidi w:val="0"/>
        <w:spacing w:before="120" w:after="0"/>
        <w:jc w:val="both"/>
        <w:rPr>
          <w:rFonts w:ascii="arial" w:hAnsi="arial"/>
          <w:sz w:val="20"/>
        </w:rPr>
      </w:pPr>
      <w:r>
        <w:rPr>
          <w:rFonts w:ascii="arial" w:hAnsi="arial"/>
          <w:sz w:val="20"/>
        </w:rPr>
        <w:t>2.25 “</w:t>
      </w:r>
      <w:r>
        <w:rPr>
          <w:rFonts w:ascii="arial" w:hAnsi="arial"/>
          <w:sz w:val="20"/>
          <w:u w:val="single"/>
        </w:rPr>
        <w:t>Full Value Award</w:t>
      </w:r>
      <w:r>
        <w:rPr>
          <w:rFonts w:ascii="arial" w:hAnsi="arial"/>
          <w:sz w:val="20"/>
        </w:rPr>
        <w:t xml:space="preserve">” shall mean any Award settled in Shares other than (i) an Option, (ii) a Stock Appreciation Right or (iii) any other Award for which the Holder pays the intrinsic value existing as of the date of grant (whether directly or by forgoing a right to receive a payment from the Company or any Affiliate). </w:t>
      </w:r>
    </w:p>
    <w:p>
      <w:pPr>
        <w:pStyle w:val="TextBody"/>
        <w:bidi w:val="0"/>
        <w:spacing w:before="120" w:after="0"/>
        <w:jc w:val="both"/>
        <w:rPr>
          <w:rFonts w:ascii="arial" w:hAnsi="arial"/>
          <w:sz w:val="19"/>
        </w:rPr>
      </w:pPr>
      <w:r>
        <w:rPr>
          <w:rFonts w:ascii="arial" w:hAnsi="arial"/>
          <w:sz w:val="19"/>
        </w:rPr>
        <w:t>2.26 “</w:t>
      </w:r>
      <w:r>
        <w:rPr>
          <w:rFonts w:ascii="arial" w:hAnsi="arial"/>
          <w:sz w:val="19"/>
          <w:u w:val="single"/>
        </w:rPr>
        <w:t>Greater Than 10% Stockholder</w:t>
      </w:r>
      <w:r>
        <w:rPr>
          <w:rFonts w:ascii="arial" w:hAnsi="arial"/>
          <w:sz w:val="19"/>
        </w:rPr>
        <w:t xml:space="preserve">” shall mean an individual then owning (within the meaning of Section 424(d) of the Code) more than 10% of the total combined voting power of all classes of stock of the Company or any subsidiary corporation (as defined in Section 424(f) of the Code) or parent corporation thereof (as defined in Section 424(e) of the Code). </w:t>
      </w:r>
    </w:p>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459"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 name="Image213" descr=""/>
                    <pic:cNvPicPr>
                      <a:picLocks noChangeAspect="1" noChangeArrowheads="1"/>
                    </pic:cNvPicPr>
                  </pic:nvPicPr>
                  <pic:blipFill>
                    <a:blip r:embed="rId226"/>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C-3</w:t>
      </w:r>
      <w:r>
        <w:rPr>
          <w:rFonts w:ascii="arial" w:hAnsi="arial"/>
          <w:b/>
          <w:sz w:val="22"/>
        </w:rPr>
        <w:t xml:space="preserve"> </w:t>
      </w:r>
      <w:r>
        <w:br w:type="page"/>
      </w:r>
    </w:p>
    <w:p>
      <w:pPr>
        <w:pStyle w:val="HorizontalLine"/>
        <w:bidi w:val="0"/>
        <w:jc w:val="left"/>
        <w:rPr/>
      </w:pPr>
      <w:r>
        <w:rPr/>
      </w:r>
    </w:p>
    <w:tbl>
      <w:tblPr>
        <w:tblW w:w="185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13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137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Appendix C</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both"/>
        <w:rPr>
          <w:rFonts w:ascii="arial" w:hAnsi="arial"/>
          <w:sz w:val="19"/>
        </w:rPr>
      </w:pPr>
      <w:r>
        <w:rPr>
          <w:rFonts w:ascii="arial" w:hAnsi="arial"/>
          <w:sz w:val="19"/>
        </w:rPr>
        <w:t>2.27 “</w:t>
      </w:r>
      <w:r>
        <w:rPr>
          <w:rFonts w:ascii="arial" w:hAnsi="arial"/>
          <w:sz w:val="19"/>
          <w:u w:val="single"/>
        </w:rPr>
        <w:t>Holder</w:t>
      </w:r>
      <w:r>
        <w:rPr>
          <w:rFonts w:ascii="arial" w:hAnsi="arial"/>
          <w:sz w:val="19"/>
        </w:rPr>
        <w:t xml:space="preserve">” shall mean a person who has been granted an Award. </w:t>
      </w:r>
    </w:p>
    <w:p>
      <w:pPr>
        <w:pStyle w:val="TextBody"/>
        <w:bidi w:val="0"/>
        <w:spacing w:before="120" w:after="0"/>
        <w:jc w:val="both"/>
        <w:rPr>
          <w:rFonts w:ascii="arial" w:hAnsi="arial"/>
          <w:sz w:val="19"/>
        </w:rPr>
      </w:pPr>
      <w:r>
        <w:rPr>
          <w:rFonts w:ascii="arial" w:hAnsi="arial"/>
          <w:sz w:val="19"/>
        </w:rPr>
        <w:t>2.28 “</w:t>
      </w:r>
      <w:r>
        <w:rPr>
          <w:rFonts w:ascii="arial" w:hAnsi="arial"/>
          <w:sz w:val="19"/>
          <w:u w:val="single"/>
        </w:rPr>
        <w:t>Incentive Stock Option</w:t>
      </w:r>
      <w:r>
        <w:rPr>
          <w:rFonts w:ascii="arial" w:hAnsi="arial"/>
          <w:sz w:val="19"/>
        </w:rPr>
        <w:t xml:space="preserve">” shall mean an Option that is intended to qualify as an incentive stock option and conforms to the applicable provisions of Section 422 of the Code. </w:t>
      </w:r>
    </w:p>
    <w:p>
      <w:pPr>
        <w:pStyle w:val="TextBody"/>
        <w:bidi w:val="0"/>
        <w:spacing w:before="120" w:after="0"/>
        <w:jc w:val="both"/>
        <w:rPr>
          <w:rFonts w:ascii="arial" w:hAnsi="arial"/>
          <w:sz w:val="19"/>
        </w:rPr>
      </w:pPr>
      <w:r>
        <w:rPr>
          <w:rFonts w:ascii="arial" w:hAnsi="arial"/>
          <w:sz w:val="19"/>
        </w:rPr>
        <w:t>2.29  “</w:t>
      </w:r>
      <w:r>
        <w:rPr>
          <w:rFonts w:ascii="arial" w:hAnsi="arial"/>
          <w:sz w:val="19"/>
          <w:u w:val="single"/>
        </w:rPr>
        <w:t>Non-Employee Director</w:t>
      </w:r>
      <w:r>
        <w:rPr>
          <w:rFonts w:ascii="arial" w:hAnsi="arial"/>
          <w:sz w:val="19"/>
        </w:rPr>
        <w:t xml:space="preserve">” shall mean a Director of the Company who is not an Employee. </w:t>
      </w:r>
    </w:p>
    <w:p>
      <w:pPr>
        <w:pStyle w:val="TextBody"/>
        <w:bidi w:val="0"/>
        <w:spacing w:before="120" w:after="0"/>
        <w:jc w:val="both"/>
        <w:rPr>
          <w:rFonts w:ascii="arial" w:hAnsi="arial"/>
          <w:sz w:val="19"/>
        </w:rPr>
      </w:pPr>
      <w:r>
        <w:rPr>
          <w:rFonts w:ascii="arial" w:hAnsi="arial"/>
          <w:sz w:val="19"/>
        </w:rPr>
        <w:t>2.30 “</w:t>
      </w:r>
      <w:r>
        <w:rPr>
          <w:rFonts w:ascii="arial" w:hAnsi="arial"/>
          <w:sz w:val="19"/>
          <w:u w:val="single"/>
        </w:rPr>
        <w:t>Non-Qualified Stock Option</w:t>
      </w:r>
      <w:r>
        <w:rPr>
          <w:rFonts w:ascii="arial" w:hAnsi="arial"/>
          <w:sz w:val="19"/>
        </w:rPr>
        <w:t xml:space="preserve">” shall mean an Option that is not an Incentive Stock Option. </w:t>
      </w:r>
    </w:p>
    <w:p>
      <w:pPr>
        <w:pStyle w:val="TextBody"/>
        <w:bidi w:val="0"/>
        <w:spacing w:before="120" w:after="0"/>
        <w:jc w:val="both"/>
        <w:rPr>
          <w:rFonts w:ascii="arial" w:hAnsi="arial"/>
          <w:sz w:val="19"/>
        </w:rPr>
      </w:pPr>
      <w:r>
        <w:rPr>
          <w:rFonts w:ascii="arial" w:hAnsi="arial"/>
          <w:sz w:val="19"/>
        </w:rPr>
        <w:t>2.31 “</w:t>
      </w:r>
      <w:r>
        <w:rPr>
          <w:rFonts w:ascii="arial" w:hAnsi="arial"/>
          <w:sz w:val="19"/>
          <w:u w:val="single"/>
        </w:rPr>
        <w:t>Option</w:t>
      </w:r>
      <w:r>
        <w:rPr>
          <w:rFonts w:ascii="arial" w:hAnsi="arial"/>
          <w:sz w:val="19"/>
        </w:rPr>
        <w:t xml:space="preserve">” shall mean a right to purchase Shares at a specified exercise price, granted under Article 6. An Option shall be either a Non-Qualified Stock Option or an Incentive Stock Option; </w:t>
      </w:r>
      <w:r>
        <w:rPr>
          <w:rFonts w:ascii="arial" w:hAnsi="arial"/>
          <w:sz w:val="19"/>
          <w:u w:val="single"/>
        </w:rPr>
        <w:t>provided</w:t>
      </w:r>
      <w:r>
        <w:rPr>
          <w:rFonts w:ascii="arial" w:hAnsi="arial"/>
          <w:sz w:val="19"/>
        </w:rPr>
        <w:t xml:space="preserve">, </w:t>
      </w:r>
      <w:r>
        <w:rPr>
          <w:rFonts w:ascii="arial" w:hAnsi="arial"/>
          <w:sz w:val="19"/>
          <w:u w:val="single"/>
        </w:rPr>
        <w:t>however</w:t>
      </w:r>
      <w:r>
        <w:rPr>
          <w:rFonts w:ascii="arial" w:hAnsi="arial"/>
          <w:sz w:val="19"/>
        </w:rPr>
        <w:t xml:space="preserve">, that Options granted to Non-Employee Directors shall only be Non-Qualified Stock Options. </w:t>
      </w:r>
    </w:p>
    <w:p>
      <w:pPr>
        <w:pStyle w:val="TextBody"/>
        <w:bidi w:val="0"/>
        <w:spacing w:before="120" w:after="0"/>
        <w:jc w:val="both"/>
        <w:rPr>
          <w:rFonts w:ascii="arial" w:hAnsi="arial"/>
          <w:sz w:val="19"/>
        </w:rPr>
      </w:pPr>
      <w:r>
        <w:rPr>
          <w:rFonts w:ascii="arial" w:hAnsi="arial"/>
          <w:sz w:val="19"/>
        </w:rPr>
        <w:t>2.32 “</w:t>
      </w:r>
      <w:r>
        <w:rPr>
          <w:rFonts w:ascii="arial" w:hAnsi="arial"/>
          <w:sz w:val="19"/>
          <w:u w:val="single"/>
        </w:rPr>
        <w:t>Parent</w:t>
      </w:r>
      <w:r>
        <w:rPr>
          <w:rFonts w:ascii="arial" w:hAnsi="arial"/>
          <w:sz w:val="19"/>
        </w:rPr>
        <w:t xml:space="preserve">” shall mean any entity (other than the Company), whether domestic or foreign, in an unbroken chain of entities ending with the Company if each of the entities other than the Company beneficially owns, at the time of the determination, securities or interests representing more than fifty percent (50%) of the total combined voting power of all classes of securities or interests in one of the other entities in such chain. </w:t>
      </w:r>
    </w:p>
    <w:p>
      <w:pPr>
        <w:pStyle w:val="TextBody"/>
        <w:bidi w:val="0"/>
        <w:spacing w:before="120" w:after="0"/>
        <w:jc w:val="both"/>
        <w:rPr>
          <w:rFonts w:ascii="arial" w:hAnsi="arial"/>
          <w:sz w:val="19"/>
        </w:rPr>
      </w:pPr>
      <w:r>
        <w:rPr>
          <w:rFonts w:ascii="arial" w:hAnsi="arial"/>
          <w:sz w:val="19"/>
        </w:rPr>
        <w:t>2.33 “</w:t>
      </w:r>
      <w:r>
        <w:rPr>
          <w:rFonts w:ascii="arial" w:hAnsi="arial"/>
          <w:sz w:val="19"/>
          <w:u w:val="single"/>
        </w:rPr>
        <w:t>Performance Award</w:t>
      </w:r>
      <w:r>
        <w:rPr>
          <w:rFonts w:ascii="arial" w:hAnsi="arial"/>
          <w:sz w:val="19"/>
        </w:rPr>
        <w:t xml:space="preserve">” shall mean a cash bonus award, stock bonus award, performance award or incentive award that is paid in cash, Shares or a combination of both, awarded under Section 9.1. </w:t>
      </w:r>
    </w:p>
    <w:p>
      <w:pPr>
        <w:pStyle w:val="TextBody"/>
        <w:bidi w:val="0"/>
        <w:spacing w:before="120" w:after="0"/>
        <w:jc w:val="both"/>
        <w:rPr>
          <w:rFonts w:ascii="arial" w:hAnsi="arial"/>
          <w:sz w:val="20"/>
        </w:rPr>
      </w:pPr>
      <w:r>
        <w:rPr>
          <w:rFonts w:ascii="arial" w:hAnsi="arial"/>
          <w:sz w:val="20"/>
        </w:rPr>
        <w:t>2.34 “</w:t>
      </w:r>
      <w:r>
        <w:rPr>
          <w:rFonts w:ascii="arial" w:hAnsi="arial"/>
          <w:sz w:val="20"/>
          <w:u w:val="single"/>
        </w:rPr>
        <w:t>Performance Criteria</w:t>
      </w:r>
      <w:r>
        <w:rPr>
          <w:rFonts w:ascii="arial" w:hAnsi="arial"/>
          <w:sz w:val="20"/>
        </w:rPr>
        <w:t xml:space="preserve">” shall mean the criteria (and adjustments) that the Committee selects for an Award for purposes of establishing the Performance Goal or Performance Goals for a Performance Period, determined as follows: </w:t>
      </w:r>
    </w:p>
    <w:p>
      <w:pPr>
        <w:pStyle w:val="TextBody"/>
        <w:bidi w:val="0"/>
        <w:spacing w:before="120" w:after="0"/>
        <w:jc w:val="both"/>
        <w:rPr>
          <w:rFonts w:ascii="arial" w:hAnsi="arial"/>
          <w:sz w:val="19"/>
        </w:rPr>
      </w:pPr>
      <w:r>
        <w:rPr>
          <w:rFonts w:ascii="arial" w:hAnsi="arial"/>
          <w:sz w:val="19"/>
        </w:rPr>
        <w:t xml:space="preserve">(a) The Performance Criteria that shall be used to establish Performance Goals may include, without limitation, the following: (i) net earnings (either before or after one or more of the following: (A) interest expense or interest income or net interest income/expense, (B) taxes, (C) depreciation, (D) amortization and (E) non-cash equity-based compensation expense); (ii) gross or net product sales or revenue or product sales or revenue growth, including, without limitation, product sales or revenue growth rates for individual or multiple products or therapeutic areas by region, country or other geographic subdivision; (iii) net income (either before or after taxes); (iv) operating earnings or profit (either before or after taxes); (v) cash flow (including, but not limited to, operating cash flow and free cash flow); (vi) return of cash; (vii) return on assets; (viii) return on capital (or invested capital) and cost of capital; (ix) return on stockholders’ equity; (x) total stockholder return; (xi) return on sales; (xii) gross or net profit or operating margin; (xiii) costs, reductions in costs or cost control measures; (xiv) expenses; (xv) working capital; (xvi) earnings per share; (xvii) price or dividends per share (or appreciation in, maintenance of, and/or growth rates of such price or dividends); (xviii) credit ratings; (xix) leverage ratio or other financial ratios; (xx) regulatory achievements or compliance; (xxi) implementation or completion of critical projects; (xxii) segment or market share for products or therapeutic areas; (xxiii) geographic expansion or market entry; (xxiv) economic value or economic value added; (xxv) product development, including, without limitation, scientific innovations and advancements; (xxvi) manufacturing; (xxvii) manufacturing capacity; (xxviii) mergers or other transactions; (xxix) acquisitions or sales of assets or subsidiaries; (xxx) headcount or workforce size or composition; (xxxi) environmental, corporate sustainability, or governance activities or performance; (xxxii) operating efficiencies (or other measures of efficiency); or (xxxiii) any other subjective or objective metric selected by the Committee, any of which may be measured either in absolute terms or as compared to any incremental increase or decrease or as compared to results of a peer group or to market performance indicators or indices or adjusted to include or exclude any items otherwise includable or excludable under Applicable Accounting Standards. </w:t>
      </w:r>
    </w:p>
    <w:p>
      <w:pPr>
        <w:pStyle w:val="TextBody"/>
        <w:bidi w:val="0"/>
        <w:spacing w:before="120" w:after="0"/>
        <w:jc w:val="both"/>
        <w:rPr>
          <w:rFonts w:ascii="arial" w:hAnsi="arial"/>
          <w:sz w:val="19"/>
        </w:rPr>
      </w:pPr>
      <w:r>
        <w:rPr>
          <w:rFonts w:ascii="arial" w:hAnsi="arial"/>
          <w:sz w:val="19"/>
        </w:rPr>
        <w:t xml:space="preserve">(b) The Administrator may, in its sole discretion, provide that one or more adjustments to include or exclude any items otherwise includable or excludable under Applicable Accounting Standards shall be made to one or more of the Performance Goals. Such adjustments may include, without limitation, one or more of the following: (i) items related to a change in accounting principle; (ii) items relating to financing activities; (iii) expenses for restructuring or productivity initiatives; (iv) other non-operating items; (v) items related to acquisitions; (vi) items attributable to the business operations of any entity acquired by the Company during the Performance Period; (vii) items related to the disposal of a business or segment of a business; (viii) items related to discontinued operations that do not qualify as a segment of a business under Applicable Accounting Standards; (ix) items attributable to any stock dividend, stock split, combination or exchange of stock occurring during the </w:t>
      </w:r>
    </w:p>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C-4  </w:t>
      </w:r>
      <w:r>
        <w:rPr>
          <w:rFonts w:ascii="arial" w:hAnsi="arial"/>
          <w:b/>
          <w:color w:val="474747"/>
          <w:sz w:val="22"/>
        </w:rPr>
        <w:drawing>
          <wp:inline distT="0" distB="0" distL="0" distR="0">
            <wp:extent cx="64770" cy="15240"/>
            <wp:effectExtent l="0" t="0" r="0" b="0"/>
            <wp:docPr id="460"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Image214" descr=""/>
                    <pic:cNvPicPr>
                      <a:picLocks noChangeAspect="1" noChangeArrowheads="1"/>
                    </pic:cNvPicPr>
                  </pic:nvPicPr>
                  <pic:blipFill>
                    <a:blip r:embed="rId227"/>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185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13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137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Appendix C</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both"/>
        <w:rPr>
          <w:rFonts w:ascii="arial" w:hAnsi="arial"/>
          <w:sz w:val="19"/>
        </w:rPr>
      </w:pPr>
      <w:r>
        <w:rPr>
          <w:rFonts w:ascii="arial" w:hAnsi="arial"/>
          <w:sz w:val="19"/>
        </w:rPr>
        <w:t xml:space="preserve">Performance Period; (x) any other items of significant income or expense which are determined to be appropriate adjustments; (xi) items relating to unusual or extraordinary corporate transactions, events or developments, (xii) items related to amortization of acquired intangible assets; (xiii) items that are outside the scope of the Company’s core, on-going business activities; (xiv) items related to acquired in-process research and development; (xv) items relating to changes in tax laws; (xvi) items relating to major licensing or partnership arrangements; (xvii) items relating to asset impairment charges; (xviii) items relating to gains or losses for litigation, arbitration and contractual settlements; (xix) items attributable to expenses incurred in connection with a reduction in force or early retirement initiative; (xx) items relating to foreign exchange or currency transactions and/or fluctuations; or (xxi) items relating to any other unusual, infrequently occurring or nonrecurring events, including without limitation, natural disasters or health-related events, or changes in applicable laws or business conditions. </w:t>
      </w:r>
    </w:p>
    <w:p>
      <w:pPr>
        <w:pStyle w:val="TextBody"/>
        <w:bidi w:val="0"/>
        <w:spacing w:before="120" w:after="0"/>
        <w:jc w:val="both"/>
        <w:rPr>
          <w:rFonts w:ascii="arial" w:hAnsi="arial"/>
          <w:sz w:val="20"/>
        </w:rPr>
      </w:pPr>
      <w:r>
        <w:rPr>
          <w:rFonts w:ascii="arial" w:hAnsi="arial"/>
          <w:sz w:val="20"/>
        </w:rPr>
        <w:t>2.35 “</w:t>
      </w:r>
      <w:r>
        <w:rPr>
          <w:rFonts w:ascii="arial" w:hAnsi="arial"/>
          <w:sz w:val="20"/>
          <w:u w:val="single"/>
        </w:rPr>
        <w:t>Performance Goals</w:t>
      </w:r>
      <w:r>
        <w:rPr>
          <w:rFonts w:ascii="arial" w:hAnsi="arial"/>
          <w:sz w:val="20"/>
        </w:rPr>
        <w:t xml:space="preserve">” shall mean, for a Performance Period, one or more goals established in writing by the Administrator for the Performance Period based upon one or more Performance Criteria. Depending on the Performance Criteria used to establish such Performance Goals, the Performance Goals may be expressed in terms of overall Company performance, either independently or as compared to a comparator group of companies, performance of internal Company units, functions or Subsidiaries, either independently or as compared to a comparator group of companies’ internal units, functions or Subsidiaries, or otherwise as determined by the Administrator. The achievement of each Performance Goal shall be determined in accordance with Applicable Accounting Standards, as appropriate, and may be adjusted to include or exclude any items otherwise includable or excludable under Applicable Accounting Standards. </w:t>
      </w:r>
    </w:p>
    <w:p>
      <w:pPr>
        <w:pStyle w:val="TextBody"/>
        <w:bidi w:val="0"/>
        <w:spacing w:before="120" w:after="0"/>
        <w:jc w:val="both"/>
        <w:rPr>
          <w:rFonts w:ascii="arial" w:hAnsi="arial"/>
          <w:sz w:val="19"/>
        </w:rPr>
      </w:pPr>
      <w:r>
        <w:rPr>
          <w:rFonts w:ascii="arial" w:hAnsi="arial"/>
          <w:sz w:val="19"/>
        </w:rPr>
        <w:t>2.36 “</w:t>
      </w:r>
      <w:r>
        <w:rPr>
          <w:rFonts w:ascii="arial" w:hAnsi="arial"/>
          <w:sz w:val="19"/>
          <w:u w:val="single"/>
        </w:rPr>
        <w:t>Performance Period</w:t>
      </w:r>
      <w:r>
        <w:rPr>
          <w:rFonts w:ascii="arial" w:hAnsi="arial"/>
          <w:sz w:val="19"/>
        </w:rPr>
        <w:t xml:space="preserve">” shall mean one or more periods of time, which may be of varying and overlapping durations, as the Administrator may select, over which the attainment of one or more Performance Goals will be measured for the purpose of determining a Holder’s right to, and the payment of, a Performance Award. </w:t>
      </w:r>
    </w:p>
    <w:p>
      <w:pPr>
        <w:pStyle w:val="TextBody"/>
        <w:bidi w:val="0"/>
        <w:spacing w:before="120" w:after="0"/>
        <w:jc w:val="both"/>
        <w:rPr>
          <w:rFonts w:ascii="arial" w:hAnsi="arial"/>
          <w:sz w:val="19"/>
        </w:rPr>
      </w:pPr>
      <w:r>
        <w:rPr>
          <w:rFonts w:ascii="arial" w:hAnsi="arial"/>
          <w:sz w:val="19"/>
        </w:rPr>
        <w:t>2.37 “</w:t>
      </w:r>
      <w:r>
        <w:rPr>
          <w:rFonts w:ascii="arial" w:hAnsi="arial"/>
          <w:sz w:val="19"/>
          <w:u w:val="single"/>
        </w:rPr>
        <w:t>Permitted Transferee</w:t>
      </w:r>
      <w:r>
        <w:rPr>
          <w:rFonts w:ascii="arial" w:hAnsi="arial"/>
          <w:sz w:val="19"/>
        </w:rPr>
        <w:t xml:space="preserve">” shall mean, with respect to a Holder, any “family member” of the Holder, as defined under the instructions to use of the Form S-8 Registration Statement under the Securities Act. </w:t>
      </w:r>
    </w:p>
    <w:p>
      <w:pPr>
        <w:pStyle w:val="TextBody"/>
        <w:bidi w:val="0"/>
        <w:spacing w:before="120" w:after="0"/>
        <w:jc w:val="both"/>
        <w:rPr>
          <w:rFonts w:ascii="arial" w:hAnsi="arial"/>
          <w:sz w:val="19"/>
        </w:rPr>
      </w:pPr>
      <w:r>
        <w:rPr>
          <w:rFonts w:ascii="arial" w:hAnsi="arial"/>
          <w:sz w:val="19"/>
        </w:rPr>
        <w:t>2.38 “</w:t>
      </w:r>
      <w:r>
        <w:rPr>
          <w:rFonts w:ascii="arial" w:hAnsi="arial"/>
          <w:sz w:val="19"/>
          <w:u w:val="single"/>
        </w:rPr>
        <w:t>Plan</w:t>
      </w:r>
      <w:r>
        <w:rPr>
          <w:rFonts w:ascii="arial" w:hAnsi="arial"/>
          <w:sz w:val="19"/>
        </w:rPr>
        <w:t xml:space="preserve">” shall mean this Amgen Inc. Second Amended and Restated 2009 Equity Incentive Plan (as the successor to the Amgen Inc. Amended and Restated 2009 Equity Incentive Plan), as it may be amended or restated from time to time. </w:t>
      </w:r>
    </w:p>
    <w:p>
      <w:pPr>
        <w:pStyle w:val="TextBody"/>
        <w:bidi w:val="0"/>
        <w:spacing w:before="120" w:after="0"/>
        <w:jc w:val="both"/>
        <w:rPr>
          <w:rFonts w:ascii="arial" w:hAnsi="arial"/>
          <w:sz w:val="19"/>
        </w:rPr>
      </w:pPr>
      <w:r>
        <w:rPr>
          <w:rFonts w:ascii="arial" w:hAnsi="arial"/>
          <w:sz w:val="19"/>
        </w:rPr>
        <w:t>2.39 “</w:t>
      </w:r>
      <w:r>
        <w:rPr>
          <w:rFonts w:ascii="arial" w:hAnsi="arial"/>
          <w:sz w:val="19"/>
          <w:u w:val="single"/>
        </w:rPr>
        <w:t>Program</w:t>
      </w:r>
      <w:r>
        <w:rPr>
          <w:rFonts w:ascii="arial" w:hAnsi="arial"/>
          <w:sz w:val="19"/>
        </w:rPr>
        <w:t xml:space="preserve">” shall mean any program adopted by the Committee pursuant to the Plan containing terms and conditions intended to govern a specified type of Award granted under the Plan and pursuant to which such type of Award may be granted under the Plan. </w:t>
      </w:r>
    </w:p>
    <w:p>
      <w:pPr>
        <w:pStyle w:val="TextBody"/>
        <w:bidi w:val="0"/>
        <w:spacing w:before="120" w:after="0"/>
        <w:jc w:val="both"/>
        <w:rPr>
          <w:rFonts w:ascii="arial" w:hAnsi="arial"/>
          <w:sz w:val="19"/>
        </w:rPr>
      </w:pPr>
      <w:r>
        <w:rPr>
          <w:rFonts w:ascii="arial" w:hAnsi="arial"/>
          <w:sz w:val="19"/>
        </w:rPr>
        <w:t>2.40 “</w:t>
      </w:r>
      <w:r>
        <w:rPr>
          <w:rFonts w:ascii="arial" w:hAnsi="arial"/>
          <w:sz w:val="19"/>
          <w:u w:val="single"/>
        </w:rPr>
        <w:t>QDRO</w:t>
      </w:r>
      <w:r>
        <w:rPr>
          <w:rFonts w:ascii="arial" w:hAnsi="arial"/>
          <w:sz w:val="19"/>
        </w:rPr>
        <w:t xml:space="preserve">” shall mean a domestic relations order as defined by the Code or Title I of the Employee Retirement Income Security Act of 1974, as amended from time to time, or the rules thereunder. </w:t>
      </w:r>
    </w:p>
    <w:p>
      <w:pPr>
        <w:pStyle w:val="TextBody"/>
        <w:bidi w:val="0"/>
        <w:spacing w:before="120" w:after="0"/>
        <w:jc w:val="both"/>
        <w:rPr>
          <w:rFonts w:ascii="arial" w:hAnsi="arial"/>
          <w:sz w:val="19"/>
        </w:rPr>
      </w:pPr>
      <w:r>
        <w:rPr>
          <w:rFonts w:ascii="arial" w:hAnsi="arial"/>
          <w:sz w:val="19"/>
        </w:rPr>
        <w:t>2.41 “</w:t>
      </w:r>
      <w:r>
        <w:rPr>
          <w:rFonts w:ascii="arial" w:hAnsi="arial"/>
          <w:sz w:val="19"/>
          <w:u w:val="single"/>
        </w:rPr>
        <w:t>Restricted Stock</w:t>
      </w:r>
      <w:r>
        <w:rPr>
          <w:rFonts w:ascii="arial" w:hAnsi="arial"/>
          <w:sz w:val="19"/>
        </w:rPr>
        <w:t xml:space="preserve">” shall mean Shares awarded under Article 8 that is subject to certain restrictions and may be subject to risk of forfeiture or repurchase. </w:t>
      </w:r>
    </w:p>
    <w:p>
      <w:pPr>
        <w:pStyle w:val="TextBody"/>
        <w:bidi w:val="0"/>
        <w:spacing w:before="120" w:after="0"/>
        <w:jc w:val="both"/>
        <w:rPr>
          <w:rFonts w:ascii="arial" w:hAnsi="arial"/>
          <w:sz w:val="19"/>
        </w:rPr>
      </w:pPr>
      <w:r>
        <w:rPr>
          <w:rFonts w:ascii="arial" w:hAnsi="arial"/>
          <w:sz w:val="19"/>
        </w:rPr>
        <w:t>2.42 “</w:t>
      </w:r>
      <w:r>
        <w:rPr>
          <w:rFonts w:ascii="arial" w:hAnsi="arial"/>
          <w:sz w:val="19"/>
          <w:u w:val="single"/>
        </w:rPr>
        <w:t>Restricted Stock Units</w:t>
      </w:r>
      <w:r>
        <w:rPr>
          <w:rFonts w:ascii="arial" w:hAnsi="arial"/>
          <w:sz w:val="19"/>
        </w:rPr>
        <w:t xml:space="preserve">” shall mean the right to receive Shares (or a cash equivalent) awarded under Section 9.5. </w:t>
      </w:r>
    </w:p>
    <w:p>
      <w:pPr>
        <w:pStyle w:val="TextBody"/>
        <w:bidi w:val="0"/>
        <w:spacing w:before="120" w:after="0"/>
        <w:jc w:val="both"/>
        <w:rPr>
          <w:rFonts w:ascii="arial" w:hAnsi="arial"/>
          <w:sz w:val="19"/>
        </w:rPr>
      </w:pPr>
      <w:r>
        <w:rPr>
          <w:rFonts w:ascii="arial" w:hAnsi="arial"/>
          <w:sz w:val="19"/>
        </w:rPr>
        <w:t>2.43 “</w:t>
      </w:r>
      <w:r>
        <w:rPr>
          <w:rFonts w:ascii="arial" w:hAnsi="arial"/>
          <w:sz w:val="19"/>
          <w:u w:val="single"/>
        </w:rPr>
        <w:t>Securities Act</w:t>
      </w:r>
      <w:r>
        <w:rPr>
          <w:rFonts w:ascii="arial" w:hAnsi="arial"/>
          <w:sz w:val="19"/>
        </w:rPr>
        <w:t xml:space="preserve">” shall mean the U.S. Securities Act of 1933, as amended from time to time. </w:t>
      </w:r>
    </w:p>
    <w:p>
      <w:pPr>
        <w:pStyle w:val="TextBody"/>
        <w:bidi w:val="0"/>
        <w:spacing w:before="120" w:after="0"/>
        <w:jc w:val="both"/>
        <w:rPr>
          <w:rFonts w:ascii="arial" w:hAnsi="arial"/>
          <w:sz w:val="19"/>
        </w:rPr>
      </w:pPr>
      <w:r>
        <w:rPr>
          <w:rFonts w:ascii="arial" w:hAnsi="arial"/>
          <w:sz w:val="19"/>
        </w:rPr>
        <w:t>2.44 “</w:t>
      </w:r>
      <w:r>
        <w:rPr>
          <w:rFonts w:ascii="arial" w:hAnsi="arial"/>
          <w:sz w:val="19"/>
          <w:u w:val="single"/>
        </w:rPr>
        <w:t>Securities Exchange</w:t>
      </w:r>
      <w:r>
        <w:rPr>
          <w:rFonts w:ascii="arial" w:hAnsi="arial"/>
          <w:sz w:val="19"/>
        </w:rPr>
        <w:t xml:space="preserve">” shall mean the Nasdaq Stock Market or any other securities exchange or any other national or foreign market system or automated quotation system on which the Shares are listed, quoted, or traded. </w:t>
      </w:r>
    </w:p>
    <w:p>
      <w:pPr>
        <w:pStyle w:val="TextBody"/>
        <w:bidi w:val="0"/>
        <w:spacing w:before="120" w:after="0"/>
        <w:jc w:val="both"/>
        <w:rPr>
          <w:rFonts w:ascii="arial" w:hAnsi="arial"/>
          <w:sz w:val="19"/>
        </w:rPr>
      </w:pPr>
      <w:r>
        <w:rPr>
          <w:rFonts w:ascii="arial" w:hAnsi="arial"/>
          <w:sz w:val="19"/>
        </w:rPr>
        <w:t>2.45 “</w:t>
      </w:r>
      <w:r>
        <w:rPr>
          <w:rFonts w:ascii="arial" w:hAnsi="arial"/>
          <w:sz w:val="19"/>
          <w:u w:val="single"/>
        </w:rPr>
        <w:t>Shares</w:t>
      </w:r>
      <w:r>
        <w:rPr>
          <w:rFonts w:ascii="arial" w:hAnsi="arial"/>
          <w:sz w:val="19"/>
        </w:rPr>
        <w:t xml:space="preserve">” shall mean shares of Common Stock. </w:t>
      </w:r>
    </w:p>
    <w:p>
      <w:pPr>
        <w:pStyle w:val="TextBody"/>
        <w:bidi w:val="0"/>
        <w:spacing w:before="120" w:after="0"/>
        <w:jc w:val="both"/>
        <w:rPr>
          <w:rFonts w:ascii="arial" w:hAnsi="arial"/>
          <w:sz w:val="19"/>
        </w:rPr>
      </w:pPr>
      <w:r>
        <w:rPr>
          <w:rFonts w:ascii="arial" w:hAnsi="arial"/>
          <w:sz w:val="19"/>
        </w:rPr>
        <w:t>2.46 “</w:t>
      </w:r>
      <w:r>
        <w:rPr>
          <w:rFonts w:ascii="arial" w:hAnsi="arial"/>
          <w:sz w:val="19"/>
          <w:u w:val="single"/>
        </w:rPr>
        <w:t>Stock Appreciation Right</w:t>
      </w:r>
      <w:r>
        <w:rPr>
          <w:rFonts w:ascii="arial" w:hAnsi="arial"/>
          <w:sz w:val="19"/>
        </w:rPr>
        <w:t xml:space="preserve">” shall mean a stock appreciation right granted under Article 10. </w:t>
      </w:r>
    </w:p>
    <w:p>
      <w:pPr>
        <w:pStyle w:val="TextBody"/>
        <w:bidi w:val="0"/>
        <w:spacing w:before="120" w:after="0"/>
        <w:jc w:val="both"/>
        <w:rPr>
          <w:rFonts w:ascii="arial" w:hAnsi="arial"/>
          <w:sz w:val="19"/>
        </w:rPr>
      </w:pPr>
      <w:r>
        <w:rPr>
          <w:rFonts w:ascii="arial" w:hAnsi="arial"/>
          <w:sz w:val="19"/>
        </w:rPr>
        <w:t>2.47 “</w:t>
      </w:r>
      <w:r>
        <w:rPr>
          <w:rFonts w:ascii="arial" w:hAnsi="arial"/>
          <w:sz w:val="19"/>
          <w:u w:val="single"/>
        </w:rPr>
        <w:t>Stock Payment</w:t>
      </w:r>
      <w:r>
        <w:rPr>
          <w:rFonts w:ascii="arial" w:hAnsi="arial"/>
          <w:sz w:val="19"/>
        </w:rPr>
        <w:t xml:space="preserve">” shall mean (a) a payment in the form of Shares, or (b) an option or other right to purchase Shares, as part of a bonus, deferred compensation or other arrangement, awarded under Section 9.3. </w:t>
      </w:r>
    </w:p>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461"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 name="Image215" descr=""/>
                    <pic:cNvPicPr>
                      <a:picLocks noChangeAspect="1" noChangeArrowheads="1"/>
                    </pic:cNvPicPr>
                  </pic:nvPicPr>
                  <pic:blipFill>
                    <a:blip r:embed="rId228"/>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C-5</w:t>
      </w:r>
      <w:r>
        <w:rPr>
          <w:rFonts w:ascii="arial" w:hAnsi="arial"/>
          <w:b/>
          <w:sz w:val="22"/>
        </w:rPr>
        <w:t xml:space="preserve"> </w:t>
      </w:r>
      <w:r>
        <w:br w:type="page"/>
      </w:r>
    </w:p>
    <w:p>
      <w:pPr>
        <w:pStyle w:val="HorizontalLine"/>
        <w:bidi w:val="0"/>
        <w:jc w:val="left"/>
        <w:rPr/>
      </w:pPr>
      <w:r>
        <w:rPr/>
      </w:r>
    </w:p>
    <w:tbl>
      <w:tblPr>
        <w:tblW w:w="185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13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137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Appendix C</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both"/>
        <w:rPr>
          <w:rFonts w:ascii="arial" w:hAnsi="arial"/>
          <w:sz w:val="19"/>
        </w:rPr>
      </w:pPr>
      <w:r>
        <w:rPr>
          <w:rFonts w:ascii="arial" w:hAnsi="arial"/>
          <w:sz w:val="19"/>
        </w:rPr>
        <w:t>2.48 “</w:t>
      </w:r>
      <w:r>
        <w:rPr>
          <w:rFonts w:ascii="arial" w:hAnsi="arial"/>
          <w:sz w:val="19"/>
          <w:u w:val="single"/>
        </w:rPr>
        <w:t>Subsidiary</w:t>
      </w:r>
      <w:r>
        <w:rPr>
          <w:rFonts w:ascii="arial" w:hAnsi="arial"/>
          <w:sz w:val="19"/>
        </w:rPr>
        <w:t xml:space="preserve">” shall mean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more than fifty percent (50%) of the total combined voting power of all classes of securities or interests in one of the other entities in such chain. </w:t>
      </w:r>
    </w:p>
    <w:p>
      <w:pPr>
        <w:pStyle w:val="TextBody"/>
        <w:bidi w:val="0"/>
        <w:spacing w:before="120" w:after="0"/>
        <w:jc w:val="both"/>
        <w:rPr>
          <w:rFonts w:ascii="arial" w:hAnsi="arial"/>
          <w:sz w:val="19"/>
        </w:rPr>
      </w:pPr>
      <w:r>
        <w:rPr>
          <w:rFonts w:ascii="arial" w:hAnsi="arial"/>
          <w:sz w:val="19"/>
        </w:rPr>
        <w:t>2.49 “</w:t>
      </w:r>
      <w:r>
        <w:rPr>
          <w:rFonts w:ascii="arial" w:hAnsi="arial"/>
          <w:sz w:val="19"/>
          <w:u w:val="single"/>
        </w:rPr>
        <w:t>Substitute Award</w:t>
      </w:r>
      <w:r>
        <w:rPr>
          <w:rFonts w:ascii="arial" w:hAnsi="arial"/>
          <w:sz w:val="19"/>
        </w:rPr>
        <w:t xml:space="preserve">” shall mean an Award granted under the Plan upon the assumption of, or in substitution for, outstanding equity awards previously granted by a company or other entity in connection with a corporate transaction, such as a merger, combination, consolidation or acquisition of property or stock; </w:t>
      </w:r>
      <w:r>
        <w:rPr>
          <w:rFonts w:ascii="arial" w:hAnsi="arial"/>
          <w:sz w:val="19"/>
          <w:u w:val="single"/>
        </w:rPr>
        <w:t>provided</w:t>
      </w:r>
      <w:r>
        <w:rPr>
          <w:rFonts w:ascii="arial" w:hAnsi="arial"/>
          <w:sz w:val="19"/>
        </w:rPr>
        <w:t xml:space="preserve">, </w:t>
      </w:r>
      <w:r>
        <w:rPr>
          <w:rFonts w:ascii="arial" w:hAnsi="arial"/>
          <w:sz w:val="19"/>
          <w:u w:val="single"/>
        </w:rPr>
        <w:t>however</w:t>
      </w:r>
      <w:r>
        <w:rPr>
          <w:rFonts w:ascii="arial" w:hAnsi="arial"/>
          <w:sz w:val="19"/>
        </w:rPr>
        <w:t xml:space="preserve">, that in no event shall the term “Substitute Award” be construed to refer to an award made in connection with the cancellation and repricing of an Option or Stock Appreciation Right. </w:t>
      </w:r>
    </w:p>
    <w:p>
      <w:pPr>
        <w:pStyle w:val="TextBody"/>
        <w:bidi w:val="0"/>
        <w:spacing w:before="120" w:after="0"/>
        <w:jc w:val="both"/>
        <w:rPr>
          <w:rFonts w:ascii="arial" w:hAnsi="arial"/>
          <w:sz w:val="20"/>
        </w:rPr>
      </w:pPr>
      <w:r>
        <w:rPr>
          <w:rFonts w:ascii="arial" w:hAnsi="arial"/>
          <w:sz w:val="20"/>
        </w:rPr>
        <w:t>2.50 “</w:t>
      </w:r>
      <w:r>
        <w:rPr>
          <w:rFonts w:ascii="arial" w:hAnsi="arial"/>
          <w:sz w:val="20"/>
          <w:u w:val="single"/>
        </w:rPr>
        <w:t>Termination of Service</w:t>
      </w:r>
      <w:r>
        <w:rPr>
          <w:rFonts w:ascii="arial" w:hAnsi="arial"/>
          <w:sz w:val="20"/>
        </w:rPr>
        <w:t xml:space="preserve">” shall mean: </w:t>
      </w:r>
    </w:p>
    <w:p>
      <w:pPr>
        <w:pStyle w:val="TextBody"/>
        <w:bidi w:val="0"/>
        <w:spacing w:before="120" w:after="0"/>
        <w:jc w:val="both"/>
        <w:rPr>
          <w:rFonts w:ascii="arial" w:hAnsi="arial"/>
          <w:sz w:val="19"/>
        </w:rPr>
      </w:pPr>
      <w:r>
        <w:rPr>
          <w:rFonts w:ascii="arial" w:hAnsi="arial"/>
          <w:sz w:val="19"/>
        </w:rPr>
        <w:t xml:space="preserve">(a) As to a Non-Employee Director, the time when a Holder who is a Non-Employee Director ceases to be a Director for any reason, with or without cause, including, without limitation, a termination by resignation, failure to be elected, death or retirement, but excluding terminations where the Holder simultaneously commences or remains in employment or service with the Company or any Affiliate. </w:t>
      </w:r>
    </w:p>
    <w:p>
      <w:pPr>
        <w:pStyle w:val="TextBody"/>
        <w:bidi w:val="0"/>
        <w:spacing w:before="120" w:after="0"/>
        <w:jc w:val="both"/>
        <w:rPr>
          <w:rFonts w:ascii="arial" w:hAnsi="arial"/>
          <w:sz w:val="19"/>
        </w:rPr>
      </w:pPr>
      <w:r>
        <w:rPr>
          <w:rFonts w:ascii="arial" w:hAnsi="arial"/>
          <w:sz w:val="19"/>
        </w:rPr>
        <w:t xml:space="preserve">(b) As to an Employee, the time when the employee-employer relationship between a Holder and the Company or any Affiliate is terminated for any reason, with or without cause, including, without limitation, a termination by resignation, discharge, death, disability or retirement, but excluding terminations where the Holder simultaneously commences or remains in employment or service with the Company or any Affiliate. </w:t>
      </w:r>
    </w:p>
    <w:p>
      <w:pPr>
        <w:pStyle w:val="TextBody"/>
        <w:bidi w:val="0"/>
        <w:spacing w:before="120" w:after="0"/>
        <w:jc w:val="both"/>
        <w:rPr>
          <w:rFonts w:ascii="arial" w:hAnsi="arial"/>
          <w:sz w:val="19"/>
        </w:rPr>
      </w:pPr>
      <w:r>
        <w:rPr>
          <w:rFonts w:ascii="arial" w:hAnsi="arial"/>
          <w:sz w:val="19"/>
        </w:rPr>
        <w:t xml:space="preserve">The Administrator, in its sole discretion, shall determine the effect of all matters and questions relating to Terminations of Service, including, without limitation, the question of whether a Termination of Service resulted from a discharge for cause and all questions of whether particular leaves of absence constitute a Termination of Service; </w:t>
      </w:r>
      <w:r>
        <w:rPr>
          <w:rFonts w:ascii="arial" w:hAnsi="arial"/>
          <w:sz w:val="19"/>
          <w:u w:val="single"/>
        </w:rPr>
        <w:t>provided</w:t>
      </w:r>
      <w:r>
        <w:rPr>
          <w:rFonts w:ascii="arial" w:hAnsi="arial"/>
          <w:sz w:val="19"/>
        </w:rPr>
        <w:t xml:space="preserve">, </w:t>
      </w:r>
      <w:r>
        <w:rPr>
          <w:rFonts w:ascii="arial" w:hAnsi="arial"/>
          <w:sz w:val="19"/>
          <w:u w:val="single"/>
        </w:rPr>
        <w:t>however</w:t>
      </w:r>
      <w:r>
        <w:rPr>
          <w:rFonts w:ascii="arial" w:hAnsi="arial"/>
          <w:sz w:val="19"/>
        </w:rPr>
        <w:t xml:space="preserve">, that, with respect to Incentive Stock Options, unless the Administrator otherwise provides in the terms of the Program, Award Agreement or otherwise, a leave of absence, change in status from an employee to an independent contractor or other change in the employee-employer relationship shall constitute a Termination of Service only if, and to the extent that, such leave of absence, change in status or other change interrupts employment for the purposes of Section 422(a)(2) of the Code and the then applicable regulations and revenue rulings under said Section. For purposes of the Plan, a Holder’s employee-employer relationship shall be deemed to be terminated in the event that the Affiliate employing or contracting with such Holder ceases to remain an Affiliate following any merger, sale of stock or other corporate transaction or event (including, without limitation, a spin-off). </w:t>
      </w:r>
    </w:p>
    <w:p>
      <w:pPr>
        <w:pStyle w:val="TextBody"/>
        <w:bidi w:val="0"/>
        <w:spacing w:before="240" w:after="0"/>
        <w:jc w:val="left"/>
        <w:rPr>
          <w:rFonts w:ascii="arial" w:hAnsi="arial"/>
          <w:b/>
          <w:sz w:val="24"/>
        </w:rPr>
      </w:pPr>
      <w:r>
        <w:rPr>
          <w:rFonts w:ascii="arial" w:hAnsi="arial"/>
          <w:b/>
          <w:sz w:val="24"/>
        </w:rPr>
        <w:t xml:space="preserve">ARTICLE 3. </w:t>
      </w:r>
    </w:p>
    <w:p>
      <w:pPr>
        <w:pStyle w:val="TextBody"/>
        <w:bidi w:val="0"/>
        <w:spacing w:before="120" w:after="0"/>
        <w:jc w:val="left"/>
        <w:rPr>
          <w:rFonts w:ascii="arial" w:hAnsi="arial"/>
          <w:b/>
          <w:sz w:val="22"/>
        </w:rPr>
      </w:pPr>
      <w:r>
        <w:rPr>
          <w:rFonts w:ascii="arial" w:hAnsi="arial"/>
          <w:b/>
          <w:sz w:val="22"/>
        </w:rPr>
        <w:t xml:space="preserve">SHARES SUBJECT TO THE PLAN </w:t>
      </w:r>
    </w:p>
    <w:p>
      <w:pPr>
        <w:pStyle w:val="TextBody"/>
        <w:bidi w:val="0"/>
        <w:spacing w:before="120" w:after="0"/>
        <w:jc w:val="both"/>
        <w:rPr>
          <w:rFonts w:ascii="arial" w:hAnsi="arial"/>
          <w:sz w:val="19"/>
        </w:rPr>
      </w:pPr>
      <w:r>
        <w:rPr>
          <w:rFonts w:ascii="arial" w:hAnsi="arial"/>
          <w:sz w:val="19"/>
        </w:rPr>
        <w:t>3.1 </w:t>
      </w:r>
      <w:r>
        <w:rPr>
          <w:rFonts w:ascii="arial" w:hAnsi="arial"/>
          <w:sz w:val="19"/>
          <w:u w:val="single"/>
        </w:rPr>
        <w:t>Number of Shares</w:t>
      </w:r>
      <w:r>
        <w:rPr>
          <w:rFonts w:ascii="arial" w:hAnsi="arial"/>
          <w:sz w:val="19"/>
        </w:rPr>
        <w:t xml:space="preserve">. </w:t>
      </w:r>
    </w:p>
    <w:p>
      <w:pPr>
        <w:pStyle w:val="TextBody"/>
        <w:bidi w:val="0"/>
        <w:spacing w:before="120" w:after="0"/>
        <w:jc w:val="both"/>
        <w:rPr>
          <w:rFonts w:ascii="arial" w:hAnsi="arial"/>
          <w:sz w:val="19"/>
        </w:rPr>
      </w:pPr>
      <w:r>
        <w:rPr>
          <w:rFonts w:ascii="arial" w:hAnsi="arial"/>
          <w:sz w:val="19"/>
        </w:rPr>
        <w:t xml:space="preserve">(a) Subject to adjustment as provided in Section 3.1(b) and Section 13.2, a total of One Hundred Thirty-Five Million Fifty Hundred Seventy-Seven Thousand One Hundred Seven (135,577,107)(1) Shares shall be authorized for grant under the Plan; </w:t>
      </w:r>
      <w:r>
        <w:rPr>
          <w:rFonts w:ascii="arial" w:hAnsi="arial"/>
          <w:sz w:val="19"/>
          <w:u w:val="single"/>
        </w:rPr>
        <w:t>provided</w:t>
      </w:r>
      <w:r>
        <w:rPr>
          <w:rFonts w:ascii="arial" w:hAnsi="arial"/>
          <w:sz w:val="19"/>
        </w:rPr>
        <w:t xml:space="preserve">, that, subject to adjustment as provided in Section 13.2, the number of Shares authorized for grant as Incentive Stock Options shall be no more than the total number of Shares authorized for grant under the Plan, above. Any Shares that are subject to Awards of Options or Stock Appreciation Rights shall be counted against this limit as one (1) Share for every one (1) Share granted. Any Shares that are subject to Full Value Awards shall be counted against this limit as 1.9 Shares for every one (1) Share granted. </w:t>
      </w:r>
    </w:p>
    <w:p>
      <w:pPr>
        <w:pStyle w:val="TextBody"/>
        <w:bidi w:val="0"/>
        <w:spacing w:before="120" w:after="0"/>
        <w:jc w:val="both"/>
        <w:rPr>
          <w:rFonts w:ascii="arial" w:hAnsi="arial"/>
          <w:sz w:val="19"/>
        </w:rPr>
      </w:pPr>
      <w:r>
        <w:rPr>
          <w:rFonts w:ascii="arial" w:hAnsi="arial"/>
          <w:sz w:val="19"/>
        </w:rPr>
        <w:t xml:space="preserve">(b) If any Shares subject to an Award are forfeited or expire or an Award is settled for cash (in whole or in part), the Shares subject to such Award shall, to the extent of such forfeiture, expiration or cash settlement, again be available for Awards under the Plan, in accordance with Section 3.1(d) below. Notwithstanding </w:t>
      </w:r>
    </w:p>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(1) </w:t>
            </w:r>
          </w:p>
        </w:tc>
        <w:tc>
          <w:tcPr>
            <w:tcW w:w="9952" w:type="dxa"/>
            <w:tcBorders/>
            <w:vAlign w:val="center"/>
          </w:tcPr>
          <w:p>
            <w:pPr>
              <w:pStyle w:val="TableContents"/>
              <w:bidi w:val="0"/>
              <w:spacing w:before="0" w:after="0"/>
              <w:jc w:val="both"/>
              <w:rPr>
                <w:rFonts w:ascii="arial" w:hAnsi="arial"/>
                <w:sz w:val="19"/>
              </w:rPr>
            </w:pPr>
            <w:r>
              <w:rPr>
                <w:rFonts w:ascii="arial" w:hAnsi="arial"/>
                <w:sz w:val="19"/>
              </w:rPr>
              <w:t xml:space="preserve">This number reflects 104,280,107 shares (including 11,545,168 shares available for future grant under the 2009 Plan as of April 1, 2024) plus 31,297,000 shares approved by stockholders on May 31, 2024. As of May 31, 2024, there will be 42,842,168 shares available for future grant under the Plan, less one share for every one share subject to an Option or Stock Appreciation Award granted under the 2009 Plan after April 1, 2024 and prior to May 31, 2024, and less 1.9 shares for every one share subject to a Full Value Award granted under the 2009 Plan after April 1, 2024 and prior to May 31, 2024. </w:t>
            </w:r>
          </w:p>
        </w:tc>
      </w:tr>
    </w:tbl>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C-6  </w:t>
      </w:r>
      <w:r>
        <w:rPr>
          <w:rFonts w:ascii="arial" w:hAnsi="arial"/>
          <w:b/>
          <w:color w:val="474747"/>
          <w:sz w:val="22"/>
        </w:rPr>
        <w:drawing>
          <wp:inline distT="0" distB="0" distL="0" distR="0">
            <wp:extent cx="64770" cy="15240"/>
            <wp:effectExtent l="0" t="0" r="0" b="0"/>
            <wp:docPr id="462"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Image216" descr=""/>
                    <pic:cNvPicPr>
                      <a:picLocks noChangeAspect="1" noChangeArrowheads="1"/>
                    </pic:cNvPicPr>
                  </pic:nvPicPr>
                  <pic:blipFill>
                    <a:blip r:embed="rId229"/>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185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13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137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Appendix C</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both"/>
        <w:rPr>
          <w:rFonts w:ascii="arial" w:hAnsi="arial"/>
          <w:sz w:val="19"/>
        </w:rPr>
      </w:pPr>
      <w:r>
        <w:rPr>
          <w:rFonts w:ascii="arial" w:hAnsi="arial"/>
          <w:sz w:val="19"/>
        </w:rPr>
        <w:t xml:space="preserve">anything to the contrary contained herein, the following Shares shall not be added to the Shares authorized for grant under Section 3.1(a): (i) Shares tendered by a Holder or withheld by the Company in payment of the exercise price of an Option; (ii) Shares tendered by the Holder or withheld by the Company to satisfy any tax withholding obligation with respect to an Option or Stock Appreciation Right; (iii) Shares subject to a Stock Appreciation Right that are not issued in connection with the stock settlement of the Stock Appreciation Right on exercise thereof; and (iv) Shares purchased on the open market with the cash proceeds from the exercise of Options. Notwithstanding the foregoing, Shares tendered by the Holder or withheld by the Company to satisfy any tax withholding obligations with respect to a Full Value Award, and any Shares repurchased by the Company under Section 8.4 at the same price paid by the Holder so that such Shares are returned to the Company, in each case shall again be available for Awards in accordance with Section 3.1(d) below. Dividend Equivalents paid in cash in conjunction with any outstanding Awards shall not be counted against the Shares available for issuance under the Plan. </w:t>
      </w:r>
    </w:p>
    <w:p>
      <w:pPr>
        <w:pStyle w:val="TextBody"/>
        <w:bidi w:val="0"/>
        <w:spacing w:before="120" w:after="0"/>
        <w:jc w:val="both"/>
        <w:rPr>
          <w:rFonts w:ascii="arial" w:hAnsi="arial"/>
          <w:sz w:val="19"/>
        </w:rPr>
      </w:pPr>
      <w:r>
        <w:rPr>
          <w:rFonts w:ascii="arial" w:hAnsi="arial"/>
          <w:sz w:val="19"/>
        </w:rPr>
        <w:t xml:space="preserve">(c) Substitute Awards shall not reduce the Shares authorized for grant under the Plan. Additionally, in the event that a company acquired by the Company or any Affiliate or with which the Company or any Affiliate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w:t>
      </w:r>
      <w:r>
        <w:rPr>
          <w:rFonts w:ascii="arial" w:hAnsi="arial"/>
          <w:sz w:val="19"/>
          <w:u w:val="single"/>
        </w:rPr>
        <w:t>provided</w:t>
      </w:r>
      <w:r>
        <w:rPr>
          <w:rFonts w:ascii="arial" w:hAnsi="arial"/>
          <w:sz w:val="19"/>
        </w:rPr>
        <w:t xml:space="preserve">, that Awards using such available shares shall not be made after the date awards could have been made under the terms of the pre-existing plan, absent the acquisition or combination, and shall only be made to individuals who were not employed by or providing services to the Company or its Affiliates immediately prior to such acquisition or combination. </w:t>
      </w:r>
    </w:p>
    <w:p>
      <w:pPr>
        <w:pStyle w:val="TextBody"/>
        <w:bidi w:val="0"/>
        <w:spacing w:before="120" w:after="0"/>
        <w:jc w:val="both"/>
        <w:rPr>
          <w:rFonts w:ascii="arial" w:hAnsi="arial"/>
          <w:sz w:val="19"/>
        </w:rPr>
      </w:pPr>
      <w:r>
        <w:rPr>
          <w:rFonts w:ascii="arial" w:hAnsi="arial"/>
          <w:sz w:val="19"/>
        </w:rPr>
        <w:t xml:space="preserve">(d) Any Shares that again become available for grant pursuant to this Section 3.1 shall be added back as (i) one (1) Share if such Shares were subject to an Option or a Stock Appreciation Right, and (ii) as 1.9 Shares if such Shares were subject to Full Value Awards. </w:t>
      </w:r>
    </w:p>
    <w:p>
      <w:pPr>
        <w:pStyle w:val="TextBody"/>
        <w:bidi w:val="0"/>
        <w:spacing w:before="120" w:after="0"/>
        <w:jc w:val="both"/>
        <w:rPr>
          <w:rFonts w:ascii="arial" w:hAnsi="arial"/>
          <w:sz w:val="19"/>
        </w:rPr>
      </w:pPr>
      <w:r>
        <w:rPr>
          <w:rFonts w:ascii="arial" w:hAnsi="arial"/>
          <w:sz w:val="19"/>
        </w:rPr>
        <w:t>3.2 </w:t>
      </w:r>
      <w:r>
        <w:rPr>
          <w:rFonts w:ascii="arial" w:hAnsi="arial"/>
          <w:sz w:val="19"/>
          <w:u w:val="single"/>
        </w:rPr>
        <w:t>Stock Distributed</w:t>
      </w:r>
      <w:r>
        <w:rPr>
          <w:rFonts w:ascii="arial" w:hAnsi="arial"/>
          <w:sz w:val="19"/>
        </w:rPr>
        <w:t xml:space="preserve">. Any Shares distributed pursuant to an Award may consist, in whole or in part, of authorized and unissued Common Stock, treasury Common Stock or Common Stock purchased on the open market. </w:t>
      </w:r>
    </w:p>
    <w:p>
      <w:pPr>
        <w:pStyle w:val="TextBody"/>
        <w:bidi w:val="0"/>
        <w:spacing w:before="120" w:after="0"/>
        <w:jc w:val="both"/>
        <w:rPr>
          <w:rFonts w:ascii="arial" w:hAnsi="arial"/>
          <w:sz w:val="19"/>
        </w:rPr>
      </w:pPr>
      <w:r>
        <w:rPr>
          <w:rFonts w:ascii="arial" w:hAnsi="arial"/>
          <w:sz w:val="19"/>
        </w:rPr>
        <w:t>3.3 </w:t>
      </w:r>
      <w:r>
        <w:rPr>
          <w:rFonts w:ascii="arial" w:hAnsi="arial"/>
          <w:sz w:val="19"/>
          <w:u w:val="single"/>
        </w:rPr>
        <w:t>Limitation on Awards</w:t>
      </w:r>
      <w:r>
        <w:rPr>
          <w:rFonts w:ascii="arial" w:hAnsi="arial"/>
          <w:sz w:val="19"/>
        </w:rPr>
        <w:t xml:space="preserve">. Notwithstanding any provision in the Plan to the contrary, and subject to Section 13.2, the maximum aggregate number of Shares with respect to one or more Awards that may be granted to any one person during any calendar year shall be Four Million (4,000,000) and the maximum aggregate amount of cash that may be paid to any one person during any calendar year with respect to one or more Performance Awards payable in cash shall be Fifteen Million Dollars ($15,000,000). </w:t>
      </w:r>
    </w:p>
    <w:p>
      <w:pPr>
        <w:pStyle w:val="TextBody"/>
        <w:bidi w:val="0"/>
        <w:spacing w:before="240" w:after="0"/>
        <w:jc w:val="left"/>
        <w:rPr>
          <w:rFonts w:ascii="arial" w:hAnsi="arial"/>
          <w:b/>
          <w:sz w:val="24"/>
        </w:rPr>
      </w:pPr>
      <w:r>
        <w:rPr>
          <w:rFonts w:ascii="arial" w:hAnsi="arial"/>
          <w:b/>
          <w:sz w:val="24"/>
        </w:rPr>
        <w:t xml:space="preserve">ARTICLE 4. </w:t>
      </w:r>
    </w:p>
    <w:p>
      <w:pPr>
        <w:pStyle w:val="TextBody"/>
        <w:bidi w:val="0"/>
        <w:spacing w:before="120" w:after="0"/>
        <w:jc w:val="left"/>
        <w:rPr>
          <w:rFonts w:ascii="arial" w:hAnsi="arial"/>
          <w:b/>
          <w:sz w:val="22"/>
        </w:rPr>
      </w:pPr>
      <w:r>
        <w:rPr>
          <w:rFonts w:ascii="arial" w:hAnsi="arial"/>
          <w:b/>
          <w:sz w:val="22"/>
        </w:rPr>
        <w:t xml:space="preserve">GRANTING OF AWARDS </w:t>
      </w:r>
    </w:p>
    <w:p>
      <w:pPr>
        <w:pStyle w:val="TextBody"/>
        <w:bidi w:val="0"/>
        <w:spacing w:before="120" w:after="0"/>
        <w:jc w:val="both"/>
        <w:rPr>
          <w:rFonts w:ascii="arial" w:hAnsi="arial"/>
          <w:sz w:val="19"/>
        </w:rPr>
      </w:pPr>
      <w:r>
        <w:rPr>
          <w:rFonts w:ascii="arial" w:hAnsi="arial"/>
          <w:sz w:val="19"/>
        </w:rPr>
        <w:t>4.1 </w:t>
      </w:r>
      <w:r>
        <w:rPr>
          <w:rFonts w:ascii="arial" w:hAnsi="arial"/>
          <w:sz w:val="19"/>
          <w:u w:val="single"/>
        </w:rPr>
        <w:t>Participation.</w:t>
      </w:r>
      <w:r>
        <w:rPr>
          <w:rFonts w:ascii="arial" w:hAnsi="arial"/>
          <w:sz w:val="19"/>
        </w:rPr>
        <w:t xml:space="preserve"> The Administrator may, from time to time, select from among all Eligible Individuals, those to whom an Award shall be granted and shall determine the nature and amount of each Award, which shall not be inconsistent with the requirements of the Plan. No Eligible Individual shall have any right to be granted an Award pursuant to the Plan. </w:t>
      </w:r>
    </w:p>
    <w:p>
      <w:pPr>
        <w:pStyle w:val="TextBody"/>
        <w:bidi w:val="0"/>
        <w:spacing w:before="120" w:after="0"/>
        <w:jc w:val="both"/>
        <w:rPr>
          <w:rFonts w:ascii="arial" w:hAnsi="arial"/>
          <w:sz w:val="19"/>
        </w:rPr>
      </w:pPr>
      <w:r>
        <w:rPr>
          <w:rFonts w:ascii="arial" w:hAnsi="arial"/>
          <w:sz w:val="19"/>
        </w:rPr>
        <w:t>4.2 </w:t>
      </w:r>
      <w:r>
        <w:rPr>
          <w:rFonts w:ascii="arial" w:hAnsi="arial"/>
          <w:sz w:val="19"/>
          <w:u w:val="single"/>
        </w:rPr>
        <w:t>Award Agreement</w:t>
      </w:r>
      <w:r>
        <w:rPr>
          <w:rFonts w:ascii="arial" w:hAnsi="arial"/>
          <w:sz w:val="19"/>
        </w:rPr>
        <w:t xml:space="preserve">. Award Agreements evidencing Incentive Stock Options shall contain such terms and conditions as may be necessary to meet the applicable provisions of Section 422 of the Code. </w:t>
      </w:r>
    </w:p>
    <w:p>
      <w:pPr>
        <w:pStyle w:val="TextBody"/>
        <w:bidi w:val="0"/>
        <w:spacing w:before="120" w:after="0"/>
        <w:jc w:val="both"/>
        <w:rPr>
          <w:rFonts w:ascii="arial" w:hAnsi="arial"/>
          <w:sz w:val="19"/>
        </w:rPr>
      </w:pPr>
      <w:r>
        <w:rPr>
          <w:rFonts w:ascii="arial" w:hAnsi="arial"/>
          <w:sz w:val="19"/>
        </w:rPr>
        <w:t>4.3 </w:t>
      </w:r>
      <w:r>
        <w:rPr>
          <w:rFonts w:ascii="arial" w:hAnsi="arial"/>
          <w:sz w:val="19"/>
          <w:u w:val="single"/>
        </w:rPr>
        <w:t>Programs</w:t>
      </w:r>
      <w:r>
        <w:rPr>
          <w:rFonts w:ascii="arial" w:hAnsi="arial"/>
          <w:sz w:val="19"/>
        </w:rPr>
        <w:t xml:space="preserve">. The Board or the Committee may from time to time establish Programs pursuant to the Plan. An Award Agreement evidencing an Award granted pursuant to any Program shall comply with the terms and conditions of such Program. Any Program containing terms and conditions governing Incentive Stock Options shall contain such terms and conditions as may be necessary to allow such Incentive Stock Options to meet the applicable provisions of Section 422 of the Code. </w:t>
      </w:r>
    </w:p>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463"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 name="Image217" descr=""/>
                    <pic:cNvPicPr>
                      <a:picLocks noChangeAspect="1" noChangeArrowheads="1"/>
                    </pic:cNvPicPr>
                  </pic:nvPicPr>
                  <pic:blipFill>
                    <a:blip r:embed="rId230"/>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C-7</w:t>
      </w:r>
      <w:r>
        <w:rPr>
          <w:rFonts w:ascii="arial" w:hAnsi="arial"/>
          <w:b/>
          <w:sz w:val="22"/>
        </w:rPr>
        <w:t xml:space="preserve"> </w:t>
      </w:r>
      <w:r>
        <w:br w:type="page"/>
      </w:r>
    </w:p>
    <w:p>
      <w:pPr>
        <w:pStyle w:val="HorizontalLine"/>
        <w:bidi w:val="0"/>
        <w:jc w:val="left"/>
        <w:rPr/>
      </w:pPr>
      <w:r>
        <w:rPr/>
      </w:r>
    </w:p>
    <w:tbl>
      <w:tblPr>
        <w:tblW w:w="185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13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137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Appendix C</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both"/>
        <w:rPr>
          <w:rFonts w:ascii="arial" w:hAnsi="arial"/>
          <w:sz w:val="19"/>
        </w:rPr>
      </w:pPr>
      <w:r>
        <w:rPr>
          <w:rFonts w:ascii="arial" w:hAnsi="arial"/>
          <w:sz w:val="19"/>
        </w:rPr>
        <w:t>4.4 </w:t>
      </w:r>
      <w:r>
        <w:rPr>
          <w:rFonts w:ascii="arial" w:hAnsi="arial"/>
          <w:sz w:val="19"/>
          <w:u w:val="single"/>
        </w:rPr>
        <w:t>Limitations Applicable to Section 16 Persons</w:t>
      </w:r>
      <w:r>
        <w:rPr>
          <w:rFonts w:ascii="arial" w:hAnsi="arial"/>
          <w:sz w:val="19"/>
        </w:rPr>
        <w:t xml:space="preserve">. Notwithstanding any other provision of the Plan, the Plan, any Award granted or awarded to any individual who is then subject to Section 16 of the Exchange Act, and any applicable Program,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the Plan, any applicable Program and Awards granted or awarded thereunder shall be deemed amended to the extent necessary to conform to such applicable exemptive rule. </w:t>
      </w:r>
    </w:p>
    <w:p>
      <w:pPr>
        <w:pStyle w:val="TextBody"/>
        <w:bidi w:val="0"/>
        <w:spacing w:before="120" w:after="0"/>
        <w:jc w:val="both"/>
        <w:rPr>
          <w:rFonts w:ascii="arial" w:hAnsi="arial"/>
          <w:sz w:val="19"/>
        </w:rPr>
      </w:pPr>
      <w:r>
        <w:rPr>
          <w:rFonts w:ascii="arial" w:hAnsi="arial"/>
          <w:sz w:val="19"/>
        </w:rPr>
        <w:t>4.5 </w:t>
      </w:r>
      <w:r>
        <w:rPr>
          <w:rFonts w:ascii="arial" w:hAnsi="arial"/>
          <w:sz w:val="19"/>
          <w:u w:val="single"/>
        </w:rPr>
        <w:t>No Right to Employment</w:t>
      </w:r>
      <w:r>
        <w:rPr>
          <w:rFonts w:ascii="arial" w:hAnsi="arial"/>
          <w:sz w:val="19"/>
        </w:rPr>
        <w:t xml:space="preserve">. Nothing in the Plan, any Program or any Award Agreement hereunder shall confer upon any Holder any right to continue in the employ of, or as a Director for, the Company or any Affiliate, or shall interfere with or restrict in any way the rights of the Company and any Affiliate, which rights are hereby expressly reserved, to discharge any Holder at any time for any reason whatsoever, with or without cause, and with or without notice, or to terminate or change all other terms and conditions of employment or engagement, except to the extent expressly provided otherwise in a written agreement between the Holder and the Company or any Affiliate. </w:t>
      </w:r>
    </w:p>
    <w:p>
      <w:pPr>
        <w:pStyle w:val="TextBody"/>
        <w:bidi w:val="0"/>
        <w:spacing w:before="120" w:after="0"/>
        <w:jc w:val="both"/>
        <w:rPr>
          <w:rFonts w:ascii="arial" w:hAnsi="arial"/>
          <w:sz w:val="19"/>
        </w:rPr>
      </w:pPr>
      <w:r>
        <w:rPr>
          <w:rFonts w:ascii="arial" w:hAnsi="arial"/>
          <w:sz w:val="19"/>
        </w:rPr>
        <w:t>4.6 </w:t>
      </w:r>
      <w:r>
        <w:rPr>
          <w:rFonts w:ascii="arial" w:hAnsi="arial"/>
          <w:sz w:val="19"/>
          <w:u w:val="single"/>
        </w:rPr>
        <w:t>Foreign Holders</w:t>
      </w:r>
      <w:r>
        <w:rPr>
          <w:rFonts w:ascii="arial" w:hAnsi="arial"/>
          <w:sz w:val="19"/>
        </w:rPr>
        <w:t xml:space="preserve">. Notwithstanding any provision of the Plan to the contrary, in order to comply with the applicable laws of other countries in which the Company and its Affiliates operate or have Employees or Non-Employee Directors, or in order to comply with the requirements of any foreign governmental agency or foreign securities exchange, the Administrator, in its sole discretion, shall have the power and authority to: (a) determine which Affiliates shall be covered by the Plan; (b) determine which Eligible Individuals outside the United States are eligible to participate in the Plan; (c) modify the terms and conditions of any Award granted to Eligible Individuals outside the United States to comply with applicable foreign laws or listing requirements of any foreign governmental agency or foreign securities exchange; (d) establish subplans and modify exercise procedures and other terms and procedures, to the extent such actions may be necessary or advisable (any such subplans and/or modifications shall be attached to the Plan as appendices); </w:t>
      </w:r>
      <w:r>
        <w:rPr>
          <w:rFonts w:ascii="arial" w:hAnsi="arial"/>
          <w:sz w:val="19"/>
          <w:u w:val="single"/>
        </w:rPr>
        <w:t>provided</w:t>
      </w:r>
      <w:r>
        <w:rPr>
          <w:rFonts w:ascii="arial" w:hAnsi="arial"/>
          <w:sz w:val="19"/>
        </w:rPr>
        <w:t xml:space="preserve">, </w:t>
      </w:r>
      <w:r>
        <w:rPr>
          <w:rFonts w:ascii="arial" w:hAnsi="arial"/>
          <w:sz w:val="19"/>
          <w:u w:val="single"/>
        </w:rPr>
        <w:t>however</w:t>
      </w:r>
      <w:r>
        <w:rPr>
          <w:rFonts w:ascii="arial" w:hAnsi="arial"/>
          <w:sz w:val="19"/>
        </w:rPr>
        <w:t xml:space="preserve">, that no such subplans and/or modifications shall increase the share limitations contained in Sections 3.1 and 3.3; and (e) take any action, before or after an Award is made, that it deems advisable to obtain approval or comply with any necessary local governmental regulatory exemptions or approvals or listing requirements of any such foreign governmental agency or foreign securities exchange. Without limiting the generality of the foregoing, the Administrator is specifically authorized to adopt rules, procedures and subplans with provisions that limit or modify rights on eligibility to receive an Award under the Plan or on death, disability, retirement or other Termination of Service, available methods of exercise or settlement of an Award, payment of income, social insurance contributions and payroll taxes, the shifting of employer tax liability to the Holder, the withholding procedures and handling of stock certificates or other indicia of ownership. Notwithstanding the foregoing, the Administrator may not take any actions hereunder, and no Awards shall be granted, that would violate the Code, the Exchange Act, the Securities Act, any other securities law or governing statute, or the rules of any Securities Exchange or any other applicable law. </w:t>
      </w:r>
    </w:p>
    <w:p>
      <w:pPr>
        <w:pStyle w:val="TextBody"/>
        <w:bidi w:val="0"/>
        <w:spacing w:before="120" w:after="0"/>
        <w:jc w:val="both"/>
        <w:rPr>
          <w:rFonts w:ascii="arial" w:hAnsi="arial"/>
          <w:sz w:val="19"/>
        </w:rPr>
      </w:pPr>
      <w:r>
        <w:rPr>
          <w:rFonts w:ascii="arial" w:hAnsi="arial"/>
          <w:sz w:val="19"/>
        </w:rPr>
        <w:t>4.7 </w:t>
      </w:r>
      <w:r>
        <w:rPr>
          <w:rFonts w:ascii="arial" w:hAnsi="arial"/>
          <w:sz w:val="19"/>
          <w:u w:val="single"/>
        </w:rPr>
        <w:t>Stand-Alone and Tandem Awards</w:t>
      </w:r>
      <w:r>
        <w:rPr>
          <w:rFonts w:ascii="arial" w:hAnsi="arial"/>
          <w:sz w:val="19"/>
        </w:rPr>
        <w:t xml:space="preserve">. Awards granted pursuant to the Plan may, in the sole discretion of the Administrator, be granted either alone, in addition to, or in tandem with, any other Award granted pursuant to the Plan. Awards granted in addition to or in tandem with other Awards may be granted either at the same time as or at a different time from the grant of such other Awards. </w:t>
      </w:r>
    </w:p>
    <w:p>
      <w:pPr>
        <w:pStyle w:val="TextBody"/>
        <w:bidi w:val="0"/>
        <w:spacing w:before="120" w:after="0"/>
        <w:jc w:val="both"/>
        <w:rPr>
          <w:rFonts w:ascii="arial" w:hAnsi="arial"/>
          <w:sz w:val="19"/>
        </w:rPr>
      </w:pPr>
      <w:r>
        <w:rPr>
          <w:rFonts w:ascii="arial" w:hAnsi="arial"/>
          <w:sz w:val="19"/>
        </w:rPr>
        <w:t>4.8 </w:t>
      </w:r>
      <w:r>
        <w:rPr>
          <w:rFonts w:ascii="arial" w:hAnsi="arial"/>
          <w:sz w:val="19"/>
          <w:u w:val="single"/>
        </w:rPr>
        <w:t>Automatic Exercise of In-The-Money Options and Stock Appreciation Rights</w:t>
      </w:r>
      <w:r>
        <w:rPr>
          <w:rFonts w:ascii="arial" w:hAnsi="arial"/>
          <w:sz w:val="19"/>
        </w:rPr>
        <w:t xml:space="preserve">. The Administrator, in its sole discretion, may provide in an Award Agreement or otherwise that any Option or Stock Appreciation Right outstanding on the Automatic Exercise Date with an exercise price per Share that is less than the Fair Market Value per Share as of such date shall automatically and without further action by the Holder (or, in the event of Holder’s death, Holder’s personal representative or estate) or the Company be exercised on the Automatic Exercise Date if the Administrator, in its sole discretion, determines that such exercise would provide economic benefit to the Holder after payment of the exercise price, applicable taxes and any expenses to effect the exercise. In the sole discretion of the Administrator, payment of the exercise price of any such Option or Stock Appreciation Right may be made pursuant to Section 11.1(b) or 11.1(c), and the Company may deduct or withhold an amount sufficient to satisfy all taxes associated with such exercise in accordance with Section 11.2. Unless otherwise determined by the Administrator, this Section 4.8 shall not apply to an Option or Stock Appreciation Right if the Holder of such Option or Stock Appreciation Right incurs a Termination of Service on or before the Automatic Exercise Date. </w:t>
      </w:r>
    </w:p>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C-8  </w:t>
      </w:r>
      <w:r>
        <w:rPr>
          <w:rFonts w:ascii="arial" w:hAnsi="arial"/>
          <w:b/>
          <w:color w:val="474747"/>
          <w:sz w:val="22"/>
        </w:rPr>
        <w:drawing>
          <wp:inline distT="0" distB="0" distL="0" distR="0">
            <wp:extent cx="64770" cy="15240"/>
            <wp:effectExtent l="0" t="0" r="0" b="0"/>
            <wp:docPr id="464"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Image218" descr=""/>
                    <pic:cNvPicPr>
                      <a:picLocks noChangeAspect="1" noChangeArrowheads="1"/>
                    </pic:cNvPicPr>
                  </pic:nvPicPr>
                  <pic:blipFill>
                    <a:blip r:embed="rId231"/>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185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13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137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Appendix C</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sz w:val="24"/>
        </w:rPr>
      </w:pPr>
      <w:r>
        <w:rPr>
          <w:rFonts w:ascii="arial" w:hAnsi="arial"/>
          <w:b/>
          <w:sz w:val="24"/>
        </w:rPr>
        <w:t xml:space="preserve">ARTICLE 5. </w:t>
      </w:r>
    </w:p>
    <w:p>
      <w:pPr>
        <w:pStyle w:val="TextBody"/>
        <w:bidi w:val="0"/>
        <w:spacing w:before="120" w:after="0"/>
        <w:jc w:val="left"/>
        <w:rPr>
          <w:rFonts w:ascii="arial" w:hAnsi="arial"/>
          <w:b/>
          <w:sz w:val="22"/>
        </w:rPr>
      </w:pPr>
      <w:r>
        <w:rPr>
          <w:rFonts w:ascii="arial" w:hAnsi="arial"/>
          <w:b/>
          <w:sz w:val="22"/>
        </w:rPr>
        <w:t xml:space="preserve">[RESERVED] </w:t>
      </w:r>
    </w:p>
    <w:p>
      <w:pPr>
        <w:pStyle w:val="TextBody"/>
        <w:bidi w:val="0"/>
        <w:spacing w:before="120" w:after="0"/>
        <w:jc w:val="left"/>
        <w:rPr>
          <w:rFonts w:ascii="arial" w:hAnsi="arial"/>
          <w:b/>
          <w:sz w:val="24"/>
        </w:rPr>
      </w:pPr>
      <w:r>
        <w:rPr>
          <w:rFonts w:ascii="arial" w:hAnsi="arial"/>
          <w:b/>
          <w:sz w:val="24"/>
        </w:rPr>
        <w:t xml:space="preserve">ARTICLE 6. </w:t>
      </w:r>
    </w:p>
    <w:p>
      <w:pPr>
        <w:pStyle w:val="TextBody"/>
        <w:bidi w:val="0"/>
        <w:spacing w:before="120" w:after="0"/>
        <w:jc w:val="left"/>
        <w:rPr>
          <w:rFonts w:ascii="arial" w:hAnsi="arial"/>
          <w:b/>
          <w:sz w:val="22"/>
        </w:rPr>
      </w:pPr>
      <w:r>
        <w:rPr>
          <w:rFonts w:ascii="arial" w:hAnsi="arial"/>
          <w:b/>
          <w:sz w:val="22"/>
        </w:rPr>
        <w:t xml:space="preserve">GRANTING OF OPTIONS </w:t>
      </w:r>
    </w:p>
    <w:p>
      <w:pPr>
        <w:pStyle w:val="TextBody"/>
        <w:bidi w:val="0"/>
        <w:spacing w:before="120" w:after="0"/>
        <w:jc w:val="both"/>
        <w:rPr>
          <w:rFonts w:ascii="arial" w:hAnsi="arial"/>
          <w:sz w:val="19"/>
        </w:rPr>
      </w:pPr>
      <w:r>
        <w:rPr>
          <w:rFonts w:ascii="arial" w:hAnsi="arial"/>
          <w:sz w:val="19"/>
        </w:rPr>
        <w:t>6.1 </w:t>
      </w:r>
      <w:r>
        <w:rPr>
          <w:rFonts w:ascii="arial" w:hAnsi="arial"/>
          <w:sz w:val="19"/>
          <w:u w:val="single"/>
        </w:rPr>
        <w:t>Granting of Options to Eligible Individuals</w:t>
      </w:r>
      <w:r>
        <w:rPr>
          <w:rFonts w:ascii="arial" w:hAnsi="arial"/>
          <w:sz w:val="19"/>
        </w:rPr>
        <w:t xml:space="preserve">. The Administrator is authorized to grant Options to Eligible Individuals from time to time, in its sole discretion, on such terms and conditions as it may determine which shall not be inconsistent with the Plan. </w:t>
      </w:r>
    </w:p>
    <w:p>
      <w:pPr>
        <w:pStyle w:val="TextBody"/>
        <w:bidi w:val="0"/>
        <w:spacing w:before="120" w:after="0"/>
        <w:jc w:val="both"/>
        <w:rPr>
          <w:rFonts w:ascii="arial" w:hAnsi="arial"/>
          <w:sz w:val="19"/>
        </w:rPr>
      </w:pPr>
      <w:r>
        <w:rPr>
          <w:rFonts w:ascii="arial" w:hAnsi="arial"/>
          <w:sz w:val="19"/>
        </w:rPr>
        <w:t>6.2 </w:t>
      </w:r>
      <w:r>
        <w:rPr>
          <w:rFonts w:ascii="arial" w:hAnsi="arial"/>
          <w:sz w:val="19"/>
          <w:u w:val="single"/>
        </w:rPr>
        <w:t>Qualification of Incentive Stock Options</w:t>
      </w:r>
      <w:r>
        <w:rPr>
          <w:rFonts w:ascii="arial" w:hAnsi="arial"/>
          <w:sz w:val="19"/>
        </w:rPr>
        <w:t xml:space="preserve">. No Incentive Stock Option shall be granted to any person who is not an Employee of the Company or any subsidiary corporation of the Company (as defined in Section 424(f) of the Code). No person who qualifies as a Greater Than 10% Stockholder may be granted an Incentive Stock Option unless such Incentive Stock Option conforms to the applicable provisions of Section 422 of the Code. Any Incentive Stock Option granted under the Plan may be modified by the Administrator, with the consent of the Holder, to disqualify such Option from treatment as an “incentive stock option” under Section 422 of the Code. To the extent that the aggregate fair market value of stock with respect to which “incentive stock options” (within the meaning of Section 422 of the Code, but without regard to Section 422(d) of the Code) are exercisable for the first time by a Holder during any calendar year under the Plan, and all other plans of the Company and any subsidiary or parent corporation thereof (each as defined in Section 424(f) and (e) of the Code, respectively), exceeds $100,000, the Options shall be treated as Non-Qualified Stock Options to the extent required by Section 422 of the Code. The rule set forth in the preceding sentence shall be applied by taking Options and other “incentive stock options” into account in the order in which they were granted and the Fair Market Value of stock shall be determined as of the time the respective options were granted. In no event may any Incentive Stock Option be granted under the Plan after the tenth (10th) anniversary of the date the Plan is approved by the Board. Neither the Company nor the Administrator shall have any liability to a Holder, or any other Person, (a) if an Option (or any part thereof) which is intended to qualify as an Incentive Stock Option fails to qualify as an Incentive Stock Option or (b) for any action or omission by the Company or the Administrator that causes an Option not to qualify as an Incentive Stock Option, including without limitation, the conversion of an Incentive Stock Option to a Non-Qualified Stock Option or the grant of an Option intended as an Incentive Stock Option that fails to satisfy the requirements under the Code applicable to an Incentive Stock Option. </w:t>
      </w:r>
    </w:p>
    <w:p>
      <w:pPr>
        <w:pStyle w:val="TextBody"/>
        <w:bidi w:val="0"/>
        <w:spacing w:before="120" w:after="0"/>
        <w:jc w:val="both"/>
        <w:rPr>
          <w:rFonts w:ascii="arial" w:hAnsi="arial"/>
          <w:sz w:val="19"/>
        </w:rPr>
      </w:pPr>
      <w:r>
        <w:rPr>
          <w:rFonts w:ascii="arial" w:hAnsi="arial"/>
          <w:sz w:val="19"/>
        </w:rPr>
        <w:t>6.3 </w:t>
      </w:r>
      <w:r>
        <w:rPr>
          <w:rFonts w:ascii="arial" w:hAnsi="arial"/>
          <w:sz w:val="19"/>
          <w:u w:val="single"/>
        </w:rPr>
        <w:t>Option Exercise Price</w:t>
      </w:r>
      <w:r>
        <w:rPr>
          <w:rFonts w:ascii="arial" w:hAnsi="arial"/>
          <w:sz w:val="19"/>
        </w:rPr>
        <w:t xml:space="preserve">. The exercise price per Share subject to each Option shall be set by the Administrator, but shall not be less than 100% of the Fair Market Value of a Share on the date the Option is granted (or, as to Incentive Stock Options, on the date the Option is modified, extended or renewed for purposes of Section 424(h) of the Code). In addition, in the case of Incentive Stock Options granted to a Greater Than 10% Stockholder, such price shall not be less than 110% of the Fair Market Value of a Share on the date the Option is granted (or the date the Option is modified, extended or renewed for purposes of Section 424(h) of the Code). </w:t>
      </w:r>
    </w:p>
    <w:p>
      <w:pPr>
        <w:pStyle w:val="TextBody"/>
        <w:bidi w:val="0"/>
        <w:spacing w:before="120" w:after="0"/>
        <w:jc w:val="both"/>
        <w:rPr>
          <w:rFonts w:ascii="arial" w:hAnsi="arial"/>
          <w:sz w:val="19"/>
        </w:rPr>
      </w:pPr>
      <w:r>
        <w:rPr>
          <w:rFonts w:ascii="arial" w:hAnsi="arial"/>
          <w:sz w:val="19"/>
        </w:rPr>
        <w:t>6.4 </w:t>
      </w:r>
      <w:r>
        <w:rPr>
          <w:rFonts w:ascii="arial" w:hAnsi="arial"/>
          <w:sz w:val="19"/>
          <w:u w:val="single"/>
        </w:rPr>
        <w:t>Option Term</w:t>
      </w:r>
      <w:r>
        <w:rPr>
          <w:rFonts w:ascii="arial" w:hAnsi="arial"/>
          <w:sz w:val="19"/>
        </w:rPr>
        <w:t xml:space="preserve">. The term of each Option shall be set by the Administrator in its sole discretion; </w:t>
      </w:r>
      <w:r>
        <w:rPr>
          <w:rFonts w:ascii="arial" w:hAnsi="arial"/>
          <w:sz w:val="19"/>
          <w:u w:val="single"/>
        </w:rPr>
        <w:t>provided</w:t>
      </w:r>
      <w:r>
        <w:rPr>
          <w:rFonts w:ascii="arial" w:hAnsi="arial"/>
          <w:sz w:val="19"/>
        </w:rPr>
        <w:t xml:space="preserve">, </w:t>
      </w:r>
      <w:r>
        <w:rPr>
          <w:rFonts w:ascii="arial" w:hAnsi="arial"/>
          <w:sz w:val="19"/>
          <w:u w:val="single"/>
        </w:rPr>
        <w:t>however</w:t>
      </w:r>
      <w:r>
        <w:rPr>
          <w:rFonts w:ascii="arial" w:hAnsi="arial"/>
          <w:sz w:val="19"/>
        </w:rPr>
        <w:t xml:space="preserve">, that the term shall not be more than ten (10) years from the date the Option is granted, or five (5) years from the date an Incentive Stock Option is granted to a Greater Than 10% Stockholder. The Administrator shall determine the time period, including the time period following a Termination of Service, during which the Holder has the right to exercise the vested Options, which time period may not extend beyond the term of the Option. Except as limited by the requirements of Section 409A or Section 422 of the Code and regulations and rulings thereunder, the Administrator may extend the term of any outstanding Option, and may extend the time period during which vested Options may be exercised (but not beyond the original term of the Option), in connection with any Termination of Service of the Holder, and may amend any other term or condition of such Option relating to such a Termination of Service. </w:t>
      </w:r>
    </w:p>
    <w:p>
      <w:pPr>
        <w:pStyle w:val="TextBody"/>
        <w:bidi w:val="0"/>
        <w:spacing w:before="120" w:after="0"/>
        <w:jc w:val="both"/>
        <w:rPr>
          <w:rFonts w:ascii="arial" w:hAnsi="arial"/>
          <w:sz w:val="19"/>
        </w:rPr>
      </w:pPr>
      <w:r>
        <w:rPr>
          <w:rFonts w:ascii="arial" w:hAnsi="arial"/>
          <w:sz w:val="19"/>
        </w:rPr>
        <w:t>6.5 </w:t>
      </w:r>
      <w:r>
        <w:rPr>
          <w:rFonts w:ascii="arial" w:hAnsi="arial"/>
          <w:sz w:val="19"/>
          <w:u w:val="single"/>
        </w:rPr>
        <w:t>Option Vesting</w:t>
      </w:r>
      <w:r>
        <w:rPr>
          <w:rFonts w:ascii="arial" w:hAnsi="arial"/>
          <w:sz w:val="19"/>
        </w:rPr>
        <w:t xml:space="preserve">. </w:t>
      </w:r>
    </w:p>
    <w:p>
      <w:pPr>
        <w:pStyle w:val="TextBody"/>
        <w:bidi w:val="0"/>
        <w:spacing w:before="120" w:after="0"/>
        <w:jc w:val="both"/>
        <w:rPr>
          <w:rFonts w:ascii="arial" w:hAnsi="arial"/>
          <w:sz w:val="19"/>
        </w:rPr>
      </w:pPr>
      <w:r>
        <w:rPr>
          <w:rFonts w:ascii="arial" w:hAnsi="arial"/>
          <w:sz w:val="19"/>
        </w:rPr>
        <w:t xml:space="preserve">(a) Subject to Section 11.8, the period during which the right to exercise, in whole or in part, an Option vests in the Holder shall be set by the Administrator and the Administrator may determine that an Option may not be exercised in whole or in part for a specified period after it is granted. Such vesting may be based on service with the Company or any Affiliate, any of the Performance Criteria, or any other criteria selected by the Administrator. At any time after grant of an Option, the Administrator may, in its sole discretion and subject to whatever terms and conditions it selects, accelerate the period during which an Option vests. </w:t>
      </w:r>
    </w:p>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465"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 name="Image219" descr=""/>
                    <pic:cNvPicPr>
                      <a:picLocks noChangeAspect="1" noChangeArrowheads="1"/>
                    </pic:cNvPicPr>
                  </pic:nvPicPr>
                  <pic:blipFill>
                    <a:blip r:embed="rId232"/>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C-9</w:t>
      </w:r>
      <w:r>
        <w:rPr>
          <w:rFonts w:ascii="arial" w:hAnsi="arial"/>
          <w:b/>
          <w:sz w:val="22"/>
        </w:rPr>
        <w:t xml:space="preserve"> </w:t>
      </w:r>
      <w:r>
        <w:br w:type="page"/>
      </w:r>
    </w:p>
    <w:p>
      <w:pPr>
        <w:pStyle w:val="HorizontalLine"/>
        <w:bidi w:val="0"/>
        <w:jc w:val="left"/>
        <w:rPr/>
      </w:pPr>
      <w:r>
        <w:rPr/>
      </w:r>
    </w:p>
    <w:tbl>
      <w:tblPr>
        <w:tblW w:w="185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13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137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Appendix C</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both"/>
        <w:rPr>
          <w:rFonts w:ascii="arial" w:hAnsi="arial"/>
          <w:sz w:val="19"/>
        </w:rPr>
      </w:pPr>
      <w:r>
        <w:rPr>
          <w:rFonts w:ascii="arial" w:hAnsi="arial"/>
          <w:sz w:val="19"/>
        </w:rPr>
        <w:t xml:space="preserve">(b) No portion of an Option which is unexercisable at a Holder’s Termination of Service shall thereafter become exercisable, except as may be otherwise provided by the Administrator either in the Program, the Award Agreement or by action of the Administrator following the grant of the Option. </w:t>
      </w:r>
    </w:p>
    <w:p>
      <w:pPr>
        <w:pStyle w:val="TextBody"/>
        <w:bidi w:val="0"/>
        <w:spacing w:before="120" w:after="0"/>
        <w:jc w:val="both"/>
        <w:rPr>
          <w:rFonts w:ascii="arial" w:hAnsi="arial"/>
          <w:sz w:val="19"/>
        </w:rPr>
      </w:pPr>
      <w:r>
        <w:rPr>
          <w:rFonts w:ascii="arial" w:hAnsi="arial"/>
          <w:sz w:val="19"/>
        </w:rPr>
        <w:t>6.6 </w:t>
      </w:r>
      <w:r>
        <w:rPr>
          <w:rFonts w:ascii="arial" w:hAnsi="arial"/>
          <w:sz w:val="19"/>
          <w:u w:val="single"/>
        </w:rPr>
        <w:t>Substitute Awards</w:t>
      </w:r>
      <w:r>
        <w:rPr>
          <w:rFonts w:ascii="arial" w:hAnsi="arial"/>
          <w:sz w:val="19"/>
        </w:rPr>
        <w:t xml:space="preserve">. Notwithstanding the foregoing provisions of this Article 6 to the contrary, in the case of an Option that is a Substitute Award, the price per share of the shares subject to such Option may be less than the Fair Market Value per share on the date of grant; </w:t>
      </w:r>
      <w:r>
        <w:rPr>
          <w:rFonts w:ascii="arial" w:hAnsi="arial"/>
          <w:sz w:val="19"/>
          <w:u w:val="single"/>
        </w:rPr>
        <w:t>provided</w:t>
      </w:r>
      <w:r>
        <w:rPr>
          <w:rFonts w:ascii="arial" w:hAnsi="arial"/>
          <w:sz w:val="19"/>
        </w:rPr>
        <w:t xml:space="preserve">, that the excess of: (a) the aggregate Fair Market Value (as of the date such Substitute Award is granted) of the shares subject to the Substitute Award, over (b) the aggregate exercise price thereof does not exceed the excess of: (x) the aggregate fair market value (as of the time immediately preceding the transaction giving rise to the Substitute Award, such fair market value to be determined by the Administrator) of the shares of the predecessor entity that were subject to the grant assumed or substituted for by the Company, over (y) the aggregate exercise price of such shares. </w:t>
      </w:r>
    </w:p>
    <w:p>
      <w:pPr>
        <w:pStyle w:val="TextBody"/>
        <w:bidi w:val="0"/>
        <w:spacing w:before="120" w:after="0"/>
        <w:jc w:val="both"/>
        <w:rPr>
          <w:rFonts w:ascii="arial" w:hAnsi="arial"/>
          <w:sz w:val="19"/>
        </w:rPr>
      </w:pPr>
      <w:r>
        <w:rPr>
          <w:rFonts w:ascii="arial" w:hAnsi="arial"/>
          <w:sz w:val="19"/>
        </w:rPr>
        <w:t>6.7 </w:t>
      </w:r>
      <w:r>
        <w:rPr>
          <w:rFonts w:ascii="arial" w:hAnsi="arial"/>
          <w:sz w:val="19"/>
          <w:u w:val="single"/>
        </w:rPr>
        <w:t>Substitution of Stock Appreciation Rights</w:t>
      </w:r>
      <w:r>
        <w:rPr>
          <w:rFonts w:ascii="arial" w:hAnsi="arial"/>
          <w:sz w:val="19"/>
        </w:rPr>
        <w:t xml:space="preserve">. The Administrator may provide in the applicable Program or the Award Agreement evidencing the grant of an Option that the Administrator, in its sole discretion, shall have the right to substitute a Stock Appreciation Right for such Option at any time prior to or upon exercise of such Option; </w:t>
      </w:r>
      <w:r>
        <w:rPr>
          <w:rFonts w:ascii="arial" w:hAnsi="arial"/>
          <w:sz w:val="19"/>
          <w:u w:val="single"/>
        </w:rPr>
        <w:t>provided</w:t>
      </w:r>
      <w:r>
        <w:rPr>
          <w:rFonts w:ascii="arial" w:hAnsi="arial"/>
          <w:i/>
          <w:sz w:val="19"/>
        </w:rPr>
        <w:t>,</w:t>
      </w:r>
      <w:r>
        <w:rPr>
          <w:rFonts w:ascii="arial" w:hAnsi="arial"/>
          <w:sz w:val="19"/>
        </w:rPr>
        <w:t xml:space="preserve"> that such Stock Appreciation Right shall be exercisable with respect to the same number of Shares for which such substituted Option would have been exercisable. </w:t>
      </w:r>
    </w:p>
    <w:p>
      <w:pPr>
        <w:pStyle w:val="TextBody"/>
        <w:bidi w:val="0"/>
        <w:spacing w:before="240" w:after="0"/>
        <w:jc w:val="left"/>
        <w:rPr>
          <w:rFonts w:ascii="arial" w:hAnsi="arial"/>
          <w:b/>
          <w:sz w:val="24"/>
        </w:rPr>
      </w:pPr>
      <w:r>
        <w:rPr>
          <w:rFonts w:ascii="arial" w:hAnsi="arial"/>
          <w:b/>
          <w:sz w:val="24"/>
        </w:rPr>
        <w:t xml:space="preserve">ARTICLE 7. </w:t>
      </w:r>
    </w:p>
    <w:p>
      <w:pPr>
        <w:pStyle w:val="TextBody"/>
        <w:bidi w:val="0"/>
        <w:spacing w:before="120" w:after="0"/>
        <w:jc w:val="left"/>
        <w:rPr>
          <w:rFonts w:ascii="arial" w:hAnsi="arial"/>
          <w:b/>
          <w:sz w:val="22"/>
        </w:rPr>
      </w:pPr>
      <w:r>
        <w:rPr>
          <w:rFonts w:ascii="arial" w:hAnsi="arial"/>
          <w:b/>
          <w:sz w:val="22"/>
        </w:rPr>
        <w:t xml:space="preserve">EXERCISE OF OPTIONS </w:t>
      </w:r>
    </w:p>
    <w:p>
      <w:pPr>
        <w:pStyle w:val="TextBody"/>
        <w:bidi w:val="0"/>
        <w:spacing w:before="120" w:after="0"/>
        <w:jc w:val="both"/>
        <w:rPr>
          <w:rFonts w:ascii="arial" w:hAnsi="arial"/>
          <w:sz w:val="19"/>
        </w:rPr>
      </w:pPr>
      <w:r>
        <w:rPr>
          <w:rFonts w:ascii="arial" w:hAnsi="arial"/>
          <w:sz w:val="19"/>
        </w:rPr>
        <w:t>7.1 </w:t>
      </w:r>
      <w:r>
        <w:rPr>
          <w:rFonts w:ascii="arial" w:hAnsi="arial"/>
          <w:sz w:val="19"/>
          <w:u w:val="single"/>
        </w:rPr>
        <w:t>Partial Exercise</w:t>
      </w:r>
      <w:r>
        <w:rPr>
          <w:rFonts w:ascii="arial" w:hAnsi="arial"/>
          <w:sz w:val="19"/>
        </w:rPr>
        <w:t xml:space="preserve">. An exercisable Option may be exercised in whole or in part. However, an Option shall not be exercisable with respect to fractional shares and the Administrator may require that, by the terms of the Option, a partial exercise must be with respect to a minimum number of shares. </w:t>
      </w:r>
    </w:p>
    <w:p>
      <w:pPr>
        <w:pStyle w:val="TextBody"/>
        <w:bidi w:val="0"/>
        <w:spacing w:before="120" w:after="0"/>
        <w:jc w:val="both"/>
        <w:rPr>
          <w:rFonts w:ascii="arial" w:hAnsi="arial"/>
          <w:sz w:val="19"/>
        </w:rPr>
      </w:pPr>
      <w:r>
        <w:rPr>
          <w:rFonts w:ascii="arial" w:hAnsi="arial"/>
          <w:sz w:val="19"/>
        </w:rPr>
        <w:t>7.2 </w:t>
      </w:r>
      <w:r>
        <w:rPr>
          <w:rFonts w:ascii="arial" w:hAnsi="arial"/>
          <w:sz w:val="19"/>
          <w:u w:val="single"/>
        </w:rPr>
        <w:t>Manner of Exercise</w:t>
      </w:r>
      <w:r>
        <w:rPr>
          <w:rFonts w:ascii="arial" w:hAnsi="arial"/>
          <w:sz w:val="19"/>
        </w:rPr>
        <w:t xml:space="preserve">. All or a portion of an exercisable Option shall be deemed exercised upon delivery of all of the following to the Company Stock Administrator: </w:t>
      </w:r>
    </w:p>
    <w:p>
      <w:pPr>
        <w:pStyle w:val="TextBody"/>
        <w:bidi w:val="0"/>
        <w:spacing w:before="120" w:after="0"/>
        <w:jc w:val="both"/>
        <w:rPr>
          <w:rFonts w:ascii="arial" w:hAnsi="arial"/>
          <w:sz w:val="19"/>
        </w:rPr>
      </w:pPr>
      <w:r>
        <w:rPr>
          <w:rFonts w:ascii="arial" w:hAnsi="arial"/>
          <w:sz w:val="19"/>
        </w:rPr>
        <w:t xml:space="preserve">(a) A written or electronic notice complying with the applicable rules established by the Company Stock Administrator stating that the Option, or a portion thereof, is exercised. The notice shall be signed by the Holder or other person then entitled to exercise the Option or such portion of the Option; </w:t>
      </w:r>
    </w:p>
    <w:p>
      <w:pPr>
        <w:pStyle w:val="TextBody"/>
        <w:bidi w:val="0"/>
        <w:spacing w:before="120" w:after="0"/>
        <w:jc w:val="both"/>
        <w:rPr>
          <w:rFonts w:ascii="arial" w:hAnsi="arial"/>
          <w:sz w:val="19"/>
        </w:rPr>
      </w:pPr>
      <w:r>
        <w:rPr>
          <w:rFonts w:ascii="arial" w:hAnsi="arial"/>
          <w:sz w:val="19"/>
        </w:rPr>
        <w:t xml:space="preserve">(b) Such representations and documents as the Company Stock Administrator, in its sole discretion, deems necessary or advisable to effect compliance with all applicable provisions of the Securities Act and any other federal, state or foreign securities laws or regulations, the rules of any Securities Exchange or any other applicable law. The Company Stock Administrator may, in its sole discretion, also take whatever additional actions it deems appropriate to effect such compliance including, without limitation, placing legends on share certificates and issuing stop-transfer notices to agents and registrars; </w:t>
      </w:r>
    </w:p>
    <w:p>
      <w:pPr>
        <w:pStyle w:val="TextBody"/>
        <w:bidi w:val="0"/>
        <w:spacing w:before="120" w:after="0"/>
        <w:jc w:val="both"/>
        <w:rPr>
          <w:rFonts w:ascii="arial" w:hAnsi="arial"/>
          <w:sz w:val="19"/>
        </w:rPr>
      </w:pPr>
      <w:r>
        <w:rPr>
          <w:rFonts w:ascii="arial" w:hAnsi="arial"/>
          <w:sz w:val="19"/>
        </w:rPr>
        <w:t xml:space="preserve">(c) In the event that the Option shall be exercised pursuant to Section 11.3 by any person or persons other than the Holder, appropriate proof of the right of such person or persons to exercise the Option, as determined in the sole discretion of the Company Stock Administrator; and </w:t>
      </w:r>
    </w:p>
    <w:p>
      <w:pPr>
        <w:pStyle w:val="TextBody"/>
        <w:bidi w:val="0"/>
        <w:spacing w:before="120" w:after="0"/>
        <w:jc w:val="both"/>
        <w:rPr>
          <w:rFonts w:ascii="arial" w:hAnsi="arial"/>
          <w:sz w:val="19"/>
        </w:rPr>
      </w:pPr>
      <w:r>
        <w:rPr>
          <w:rFonts w:ascii="arial" w:hAnsi="arial"/>
          <w:sz w:val="19"/>
        </w:rPr>
        <w:t xml:space="preserve">(d) Full payment of the exercise price and applicable withholding taxes to the Company for the shares with respect to which the Option, or portion thereof, is exercised, in a manner permitted by Section 11.1 and 11.2. </w:t>
      </w:r>
    </w:p>
    <w:p>
      <w:pPr>
        <w:pStyle w:val="TextBody"/>
        <w:bidi w:val="0"/>
        <w:spacing w:before="120" w:after="0"/>
        <w:jc w:val="both"/>
        <w:rPr>
          <w:rFonts w:ascii="arial" w:hAnsi="arial"/>
          <w:sz w:val="19"/>
        </w:rPr>
      </w:pPr>
      <w:r>
        <w:rPr>
          <w:rFonts w:ascii="arial" w:hAnsi="arial"/>
          <w:sz w:val="19"/>
        </w:rPr>
        <w:t>7.3 </w:t>
      </w:r>
      <w:r>
        <w:rPr>
          <w:rFonts w:ascii="arial" w:hAnsi="arial"/>
          <w:sz w:val="19"/>
          <w:u w:val="single"/>
        </w:rPr>
        <w:t>Notification Regarding Disposition</w:t>
      </w:r>
      <w:r>
        <w:rPr>
          <w:rFonts w:ascii="arial" w:hAnsi="arial"/>
          <w:sz w:val="19"/>
        </w:rPr>
        <w:t xml:space="preserve">. The Holder shall give the Company Stock Administrator prompt written or electronic notice of any disposition of Shares acquired by exercise of an Incentive Stock Option which occurs within (a) two years from the date of granting (including the date the Option is modified, extended or renewed for purposes of Section 424(h) of the Code) such Option to such Holder, or (b) one year after the transfer of such shares to such Holder. </w:t>
      </w:r>
    </w:p>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C-10  </w:t>
      </w:r>
      <w:r>
        <w:rPr>
          <w:rFonts w:ascii="arial" w:hAnsi="arial"/>
          <w:b/>
          <w:color w:val="474747"/>
          <w:sz w:val="22"/>
        </w:rPr>
        <w:drawing>
          <wp:inline distT="0" distB="0" distL="0" distR="0">
            <wp:extent cx="64770" cy="15240"/>
            <wp:effectExtent l="0" t="0" r="0" b="0"/>
            <wp:docPr id="466"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 name="Image220" descr=""/>
                    <pic:cNvPicPr>
                      <a:picLocks noChangeAspect="1" noChangeArrowheads="1"/>
                    </pic:cNvPicPr>
                  </pic:nvPicPr>
                  <pic:blipFill>
                    <a:blip r:embed="rId233"/>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185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13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137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Appendix C</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sz w:val="24"/>
        </w:rPr>
      </w:pPr>
      <w:r>
        <w:rPr>
          <w:rFonts w:ascii="arial" w:hAnsi="arial"/>
          <w:b/>
          <w:sz w:val="24"/>
        </w:rPr>
        <w:t xml:space="preserve">ARTICLE 8. </w:t>
      </w:r>
    </w:p>
    <w:p>
      <w:pPr>
        <w:pStyle w:val="TextBody"/>
        <w:bidi w:val="0"/>
        <w:spacing w:before="120" w:after="0"/>
        <w:jc w:val="left"/>
        <w:rPr>
          <w:rFonts w:ascii="arial" w:hAnsi="arial"/>
          <w:b/>
          <w:sz w:val="22"/>
        </w:rPr>
      </w:pPr>
      <w:r>
        <w:rPr>
          <w:rFonts w:ascii="arial" w:hAnsi="arial"/>
          <w:b/>
          <w:sz w:val="22"/>
        </w:rPr>
        <w:t xml:space="preserve">AWARD OF RESTRICTED STOCK </w:t>
      </w:r>
    </w:p>
    <w:p>
      <w:pPr>
        <w:pStyle w:val="TextBody"/>
        <w:bidi w:val="0"/>
        <w:spacing w:before="120" w:after="0"/>
        <w:jc w:val="both"/>
        <w:rPr>
          <w:rFonts w:ascii="arial" w:hAnsi="arial"/>
          <w:sz w:val="19"/>
        </w:rPr>
      </w:pPr>
      <w:r>
        <w:rPr>
          <w:rFonts w:ascii="arial" w:hAnsi="arial"/>
          <w:sz w:val="19"/>
        </w:rPr>
        <w:t>8.1 </w:t>
      </w:r>
      <w:r>
        <w:rPr>
          <w:rFonts w:ascii="arial" w:hAnsi="arial"/>
          <w:sz w:val="19"/>
          <w:u w:val="single"/>
        </w:rPr>
        <w:t>Award of Restricted Stock</w:t>
      </w:r>
      <w:r>
        <w:rPr>
          <w:rFonts w:ascii="arial" w:hAnsi="arial"/>
          <w:sz w:val="19"/>
        </w:rPr>
        <w:t xml:space="preserve">. </w:t>
      </w:r>
    </w:p>
    <w:p>
      <w:pPr>
        <w:pStyle w:val="TextBody"/>
        <w:bidi w:val="0"/>
        <w:spacing w:before="120" w:after="0"/>
        <w:jc w:val="both"/>
        <w:rPr>
          <w:rFonts w:ascii="arial" w:hAnsi="arial"/>
          <w:sz w:val="19"/>
        </w:rPr>
      </w:pPr>
      <w:r>
        <w:rPr>
          <w:rFonts w:ascii="arial" w:hAnsi="arial"/>
          <w:sz w:val="19"/>
        </w:rPr>
        <w:t xml:space="preserve">(a) The Administrator is authorized to grant Restricted Stock to Eligible Individuals, and shall determine the terms and conditions, including the restrictions applicable to each award of Restricted Stock, which terms and conditions shall not be inconsistent with the Plan, and may impose such conditions on the issuance of such Restricted Stock as it deems appropriate. </w:t>
      </w:r>
    </w:p>
    <w:p>
      <w:pPr>
        <w:pStyle w:val="TextBody"/>
        <w:bidi w:val="0"/>
        <w:spacing w:before="120" w:after="0"/>
        <w:jc w:val="both"/>
        <w:rPr>
          <w:rFonts w:ascii="arial" w:hAnsi="arial"/>
          <w:sz w:val="19"/>
        </w:rPr>
      </w:pPr>
      <w:r>
        <w:rPr>
          <w:rFonts w:ascii="arial" w:hAnsi="arial"/>
          <w:sz w:val="19"/>
        </w:rPr>
        <w:t xml:space="preserve">(b) The Administrator shall establish the purchase price, if any, and form of payment for Restricted Stock; </w:t>
      </w:r>
      <w:r>
        <w:rPr>
          <w:rFonts w:ascii="arial" w:hAnsi="arial"/>
          <w:sz w:val="19"/>
          <w:u w:val="single"/>
        </w:rPr>
        <w:t>provided</w:t>
      </w:r>
      <w:r>
        <w:rPr>
          <w:rFonts w:ascii="arial" w:hAnsi="arial"/>
          <w:sz w:val="19"/>
        </w:rPr>
        <w:t xml:space="preserve">, </w:t>
      </w:r>
      <w:r>
        <w:rPr>
          <w:rFonts w:ascii="arial" w:hAnsi="arial"/>
          <w:sz w:val="19"/>
          <w:u w:val="single"/>
        </w:rPr>
        <w:t>however</w:t>
      </w:r>
      <w:r>
        <w:rPr>
          <w:rFonts w:ascii="arial" w:hAnsi="arial"/>
          <w:sz w:val="19"/>
        </w:rPr>
        <w:t xml:space="preserve">, that if a purchase price is changed, such purchase price shall be no less than the par value of the Shares to be purchased, unless otherwise permitted by applicable state law. In all cases, legal consideration shall be required for each issuance of Restricted Stock. </w:t>
      </w:r>
    </w:p>
    <w:p>
      <w:pPr>
        <w:pStyle w:val="TextBody"/>
        <w:bidi w:val="0"/>
        <w:spacing w:before="120" w:after="0"/>
        <w:jc w:val="both"/>
        <w:rPr>
          <w:rFonts w:ascii="arial" w:hAnsi="arial"/>
          <w:sz w:val="19"/>
        </w:rPr>
      </w:pPr>
      <w:r>
        <w:rPr>
          <w:rFonts w:ascii="arial" w:hAnsi="arial"/>
          <w:sz w:val="19"/>
        </w:rPr>
        <w:t>8.2 </w:t>
      </w:r>
      <w:r>
        <w:rPr>
          <w:rFonts w:ascii="arial" w:hAnsi="arial"/>
          <w:sz w:val="19"/>
          <w:u w:val="single"/>
        </w:rPr>
        <w:t>Rights as Stockholders</w:t>
      </w:r>
      <w:r>
        <w:rPr>
          <w:rFonts w:ascii="arial" w:hAnsi="arial"/>
          <w:sz w:val="19"/>
        </w:rPr>
        <w:t xml:space="preserve">. Subject to Section 8.4, upon issuance of Restricted Stock, the Holder shall have, unless otherwise provided by the Administrator, all the rights of a stockholder with respect to said shares, subject to the restrictions in this Section 8.2, the applicable Program or in his, her or their Award Agreement, including the right to receive all dividends and other distributions paid or made with respect to the shares; </w:t>
      </w:r>
      <w:r>
        <w:rPr>
          <w:rFonts w:ascii="arial" w:hAnsi="arial"/>
          <w:sz w:val="19"/>
          <w:u w:val="single"/>
        </w:rPr>
        <w:t>provided</w:t>
      </w:r>
      <w:r>
        <w:rPr>
          <w:rFonts w:ascii="arial" w:hAnsi="arial"/>
          <w:sz w:val="19"/>
        </w:rPr>
        <w:t xml:space="preserve">, </w:t>
      </w:r>
      <w:r>
        <w:rPr>
          <w:rFonts w:ascii="arial" w:hAnsi="arial"/>
          <w:sz w:val="19"/>
          <w:u w:val="single"/>
        </w:rPr>
        <w:t>however</w:t>
      </w:r>
      <w:r>
        <w:rPr>
          <w:rFonts w:ascii="arial" w:hAnsi="arial"/>
          <w:sz w:val="19"/>
        </w:rPr>
        <w:t xml:space="preserve">, that, in the sole discretion of the Administrator, any extraordinary distributions with respect to the Shares of Restricted Stock shall be subject to the restrictions set forth in Section 8.3. In addition, any dividends payable with respect to a Share of Restricted Stock shall be accumulated and subject to vesting to the same extent as the related Share of Restricted Stock, with such accumulated dividends paid out to the Holder only to the extent that, and no earlier than, the time that the applicable Share of Restricted Stock vests and becomes non-forfeitable. </w:t>
      </w:r>
    </w:p>
    <w:p>
      <w:pPr>
        <w:pStyle w:val="TextBody"/>
        <w:bidi w:val="0"/>
        <w:spacing w:before="120" w:after="0"/>
        <w:jc w:val="both"/>
        <w:rPr>
          <w:rFonts w:ascii="arial" w:hAnsi="arial"/>
          <w:sz w:val="19"/>
        </w:rPr>
      </w:pPr>
      <w:r>
        <w:rPr>
          <w:rFonts w:ascii="arial" w:hAnsi="arial"/>
          <w:sz w:val="19"/>
        </w:rPr>
        <w:t>8.3 </w:t>
      </w:r>
      <w:r>
        <w:rPr>
          <w:rFonts w:ascii="arial" w:hAnsi="arial"/>
          <w:sz w:val="19"/>
          <w:u w:val="single"/>
        </w:rPr>
        <w:t>Restrictions</w:t>
      </w:r>
      <w:r>
        <w:rPr>
          <w:rFonts w:ascii="arial" w:hAnsi="arial"/>
          <w:sz w:val="19"/>
        </w:rPr>
        <w:t xml:space="preserve">. Subject to Section 11.8, all shares of Restricted Stock (including any shares received by Holders thereof with respect to shares of Restricted Stock as a result of stock dividends, stock splits or any other form of recapitalization) shall, in the terms of the applicable Program or in each individual Award Agreement, be subject to such restrictions and vesting requirements as the Administrator shall provide. Such restrictions may include, without limitation, restrictions concerning voting rights and transferability and such restrictions may lapse separately or in combination at such times and pursuant to such circumstances or based on such criteria as selected by the Administrator, including, without limitation, criteria based on the Holder’s duration of employment or directorship with the Company, the Performance Criteria, Company performance, individual performance or other criteria selected by the Administrator. By action taken after the Restricted Stock is issued, the Administrator may, on such terms and conditions as it may determine to be appropriate, accelerate the vesting of such Restricted Stock by removing any or all of the restrictions imposed by the terms of the Program or Award Agreement. Restricted Stock may not be sold or encumbered until all restrictions are terminated or expire. </w:t>
      </w:r>
    </w:p>
    <w:p>
      <w:pPr>
        <w:pStyle w:val="TextBody"/>
        <w:bidi w:val="0"/>
        <w:spacing w:before="120" w:after="0"/>
        <w:jc w:val="both"/>
        <w:rPr>
          <w:rFonts w:ascii="arial" w:hAnsi="arial"/>
          <w:sz w:val="19"/>
        </w:rPr>
      </w:pPr>
      <w:r>
        <w:rPr>
          <w:rFonts w:ascii="arial" w:hAnsi="arial"/>
          <w:sz w:val="19"/>
        </w:rPr>
        <w:t>8.4 </w:t>
      </w:r>
      <w:r>
        <w:rPr>
          <w:rFonts w:ascii="arial" w:hAnsi="arial"/>
          <w:sz w:val="19"/>
          <w:u w:val="single"/>
        </w:rPr>
        <w:t>Repurchase or Forfeiture of Restricted Stock</w:t>
      </w:r>
      <w:r>
        <w:rPr>
          <w:rFonts w:ascii="arial" w:hAnsi="arial"/>
          <w:sz w:val="19"/>
        </w:rPr>
        <w:t xml:space="preserve">. If no price was paid by the Holder in cash or property for the Restricted Stock, upon a Termination of Service the Holder’s rights in unvested Restricted Stock then subject to restrictions shall lapse, and such Restricted Stock shall be surrendered to the Company and cancelled without consideration. If a price was paid by the Holder in cash or property for the Restricted Stock, upon a Termination of Service the Company shall have the right to repurchase from the Holder the unvested Restricted Stock then subject to restrictions at a cash price per share equal to the price paid by the Holder in cash or property for such Restricted Stock or such other amount as may be specified in the Program or the Award Agreement. The Administrator in its sole discretion may provide that in the event of certain events, including the Holder’s death, retirement or disability or any other specified Termination of Service or any other event, the Holder’s rights in unvested Restricted Stock shall not lapse, such Restricted Stock shall vest and, if applicable, the Company shall not have a right of repurchase. </w:t>
      </w:r>
    </w:p>
    <w:p>
      <w:pPr>
        <w:pStyle w:val="TextBody"/>
        <w:bidi w:val="0"/>
        <w:spacing w:before="120" w:after="0"/>
        <w:jc w:val="both"/>
        <w:rPr>
          <w:rFonts w:ascii="arial" w:hAnsi="arial"/>
          <w:sz w:val="19"/>
        </w:rPr>
      </w:pPr>
      <w:r>
        <w:rPr>
          <w:rFonts w:ascii="arial" w:hAnsi="arial"/>
          <w:sz w:val="19"/>
        </w:rPr>
        <w:t>8.5 </w:t>
      </w:r>
      <w:r>
        <w:rPr>
          <w:rFonts w:ascii="arial" w:hAnsi="arial"/>
          <w:sz w:val="19"/>
          <w:u w:val="single"/>
        </w:rPr>
        <w:t>Certificates for Restricted Stock</w:t>
      </w:r>
      <w:r>
        <w:rPr>
          <w:rFonts w:ascii="arial" w:hAnsi="arial"/>
          <w:sz w:val="19"/>
        </w:rPr>
        <w:t xml:space="preserve">. Restricted Stock granted pursuant to the Plan may be evidenced in such manner as the Company Stock Administrator shall determine. Certificates, book entries or electronic registration evidencing shares of Restricted Stock must include an appropriate legend referring to the terms, conditions, and restrictions applicable to such Restricted Stock, and the Company may, in its sole discretion, retain physical possession of any stock certificate until such time as all applicable restrictions lapse. </w:t>
      </w:r>
    </w:p>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467"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 name="Image221" descr=""/>
                    <pic:cNvPicPr>
                      <a:picLocks noChangeAspect="1" noChangeArrowheads="1"/>
                    </pic:cNvPicPr>
                  </pic:nvPicPr>
                  <pic:blipFill>
                    <a:blip r:embed="rId234"/>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C-11</w:t>
      </w:r>
      <w:r>
        <w:rPr>
          <w:rFonts w:ascii="arial" w:hAnsi="arial"/>
          <w:b/>
          <w:sz w:val="22"/>
        </w:rPr>
        <w:t xml:space="preserve"> </w:t>
      </w:r>
      <w:r>
        <w:br w:type="page"/>
      </w:r>
    </w:p>
    <w:p>
      <w:pPr>
        <w:pStyle w:val="HorizontalLine"/>
        <w:bidi w:val="0"/>
        <w:jc w:val="left"/>
        <w:rPr/>
      </w:pPr>
      <w:r>
        <w:rPr/>
      </w:r>
    </w:p>
    <w:tbl>
      <w:tblPr>
        <w:tblW w:w="185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13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137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Appendix C</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both"/>
        <w:rPr>
          <w:rFonts w:ascii="arial" w:hAnsi="arial"/>
          <w:sz w:val="19"/>
        </w:rPr>
      </w:pPr>
      <w:r>
        <w:rPr>
          <w:rFonts w:ascii="arial" w:hAnsi="arial"/>
          <w:sz w:val="19"/>
        </w:rPr>
        <w:t>8.6 </w:t>
      </w:r>
      <w:r>
        <w:rPr>
          <w:rFonts w:ascii="arial" w:hAnsi="arial"/>
          <w:sz w:val="19"/>
          <w:u w:val="single"/>
        </w:rPr>
        <w:t>Section 83(b) Election</w:t>
      </w:r>
      <w:r>
        <w:rPr>
          <w:rFonts w:ascii="arial" w:hAnsi="arial"/>
          <w:sz w:val="19"/>
        </w:rPr>
        <w:t xml:space="preserve">. If a Holder makes an election under Section 83(b) of the Code to be taxed with respect to the Restricted Stock as of the date of transfer of the Restricted Stock rather than as of the date or dates upon which the Holder would otherwise be taxable under Section 83(a) of the Code, the Holder shall be required to deliver a copy of such election to the Company promptly after filing such election with the Internal Revenue Service. </w:t>
      </w:r>
    </w:p>
    <w:p>
      <w:pPr>
        <w:pStyle w:val="TextBody"/>
        <w:bidi w:val="0"/>
        <w:spacing w:before="240" w:after="0"/>
        <w:jc w:val="left"/>
        <w:rPr>
          <w:rFonts w:ascii="arial" w:hAnsi="arial"/>
          <w:b/>
          <w:sz w:val="24"/>
        </w:rPr>
      </w:pPr>
      <w:r>
        <w:rPr>
          <w:rFonts w:ascii="arial" w:hAnsi="arial"/>
          <w:b/>
          <w:sz w:val="24"/>
        </w:rPr>
        <w:t xml:space="preserve">ARTICLE 9. </w:t>
      </w:r>
    </w:p>
    <w:p>
      <w:pPr>
        <w:pStyle w:val="TextBody"/>
        <w:bidi w:val="0"/>
        <w:spacing w:before="120" w:after="0"/>
        <w:jc w:val="left"/>
        <w:rPr>
          <w:rFonts w:ascii="arial" w:hAnsi="arial"/>
          <w:b/>
          <w:sz w:val="22"/>
        </w:rPr>
      </w:pPr>
      <w:r>
        <w:rPr>
          <w:rFonts w:ascii="arial" w:hAnsi="arial"/>
          <w:b/>
          <w:sz w:val="22"/>
        </w:rPr>
        <w:t xml:space="preserve">AWARD OF PERFORMANCE AWARDS, DIVIDEND EQUIVALENTS, DEFERRED STOCK, STOCK PAYMENTS, RESTRICTED STOCK UNITS </w:t>
      </w:r>
    </w:p>
    <w:p>
      <w:pPr>
        <w:pStyle w:val="TextBody"/>
        <w:bidi w:val="0"/>
        <w:spacing w:before="120" w:after="0"/>
        <w:jc w:val="both"/>
        <w:rPr>
          <w:rFonts w:ascii="arial" w:hAnsi="arial"/>
          <w:sz w:val="19"/>
        </w:rPr>
      </w:pPr>
      <w:r>
        <w:rPr>
          <w:rFonts w:ascii="arial" w:hAnsi="arial"/>
          <w:sz w:val="19"/>
        </w:rPr>
        <w:t>9.1 </w:t>
      </w:r>
      <w:r>
        <w:rPr>
          <w:rFonts w:ascii="arial" w:hAnsi="arial"/>
          <w:sz w:val="19"/>
          <w:u w:val="single"/>
        </w:rPr>
        <w:t>Performance Awards</w:t>
      </w:r>
      <w:r>
        <w:rPr>
          <w:rFonts w:ascii="arial" w:hAnsi="arial"/>
          <w:sz w:val="19"/>
        </w:rPr>
        <w:t xml:space="preserve">. </w:t>
      </w:r>
    </w:p>
    <w:p>
      <w:pPr>
        <w:pStyle w:val="TextBody"/>
        <w:bidi w:val="0"/>
        <w:spacing w:before="120" w:after="0"/>
        <w:jc w:val="both"/>
        <w:rPr>
          <w:rFonts w:ascii="arial" w:hAnsi="arial"/>
          <w:sz w:val="19"/>
        </w:rPr>
      </w:pPr>
      <w:r>
        <w:rPr>
          <w:rFonts w:ascii="arial" w:hAnsi="arial"/>
          <w:sz w:val="19"/>
        </w:rPr>
        <w:t xml:space="preserve">(a) The Administrator is authorized to grant Performance Awards to any Eligible Individual. The value of Performance Awards may be linked to any one or more of the Performance Criteria or other specific criteria determined by the Administrator, in each case on a specified date or dates or over any period or periods determined by the Administrator, in each case subject to Section 11.8, as applicable. Performance Awards may be paid in cash, Shares, or both, as determined by the Administrator. </w:t>
      </w:r>
    </w:p>
    <w:p>
      <w:pPr>
        <w:pStyle w:val="TextBody"/>
        <w:bidi w:val="0"/>
        <w:spacing w:before="120" w:after="0"/>
        <w:jc w:val="both"/>
        <w:rPr>
          <w:rFonts w:ascii="arial" w:hAnsi="arial"/>
          <w:sz w:val="19"/>
        </w:rPr>
      </w:pPr>
      <w:r>
        <w:rPr>
          <w:rFonts w:ascii="arial" w:hAnsi="arial"/>
          <w:sz w:val="19"/>
        </w:rPr>
        <w:t xml:space="preserve">(b) Without limiting Section 9.1(a), the Administrator may grant Performance Awards to any Eligible Individual in the form of a cash bonus payable upon the attainment of objective Performance Goals, or such other criteria, whether or not objective, which are established by the Administrator, in each case on a specified date or dates or over any period or periods determined by the Administrator. </w:t>
      </w:r>
    </w:p>
    <w:p>
      <w:pPr>
        <w:pStyle w:val="TextBody"/>
        <w:bidi w:val="0"/>
        <w:spacing w:before="120" w:after="0"/>
        <w:jc w:val="both"/>
        <w:rPr>
          <w:rFonts w:ascii="arial" w:hAnsi="arial"/>
          <w:sz w:val="19"/>
        </w:rPr>
      </w:pPr>
      <w:r>
        <w:rPr>
          <w:rFonts w:ascii="arial" w:hAnsi="arial"/>
          <w:sz w:val="19"/>
        </w:rPr>
        <w:t xml:space="preserve">(c) The grant of a Performance Award to an Eligible Individual for a particular Performance Period shall not require the grant of an Award to such Eligible Individual in any subsequent Performance Period and the grant of an Award to any one Eligible Individual shall not require the grant of an Award to any other Eligible Individual in such period or in any other period. </w:t>
      </w:r>
    </w:p>
    <w:p>
      <w:pPr>
        <w:pStyle w:val="TextBody"/>
        <w:bidi w:val="0"/>
        <w:spacing w:before="120" w:after="0"/>
        <w:jc w:val="both"/>
        <w:rPr>
          <w:rFonts w:ascii="arial" w:hAnsi="arial"/>
          <w:sz w:val="19"/>
        </w:rPr>
      </w:pPr>
      <w:r>
        <w:rPr>
          <w:rFonts w:ascii="arial" w:hAnsi="arial"/>
          <w:sz w:val="19"/>
        </w:rPr>
        <w:t xml:space="preserve">(d) Unless otherwise provided in the applicable Performance Goals, Program or Award Agreement, a Holder shall be eligible to receive payment pursuant to a Performance Award for a Performance Period only if and to the extent the Performance Goals for such period are achieved. Unless otherwise provided by the Administrator, a Holder of a Performance Award shall have no rights as a Company stockholder with respect to such Performance Award until such time as the Performance Award has vested and the Shares (or cash) underlying the Performance Award have been issued to the Holder, and any applicable Dividend Equivalents shall be subject to Section 9.2(a). </w:t>
      </w:r>
    </w:p>
    <w:p>
      <w:pPr>
        <w:pStyle w:val="TextBody"/>
        <w:bidi w:val="0"/>
        <w:spacing w:before="120" w:after="0"/>
        <w:jc w:val="both"/>
        <w:rPr>
          <w:rFonts w:ascii="arial" w:hAnsi="arial"/>
          <w:sz w:val="19"/>
        </w:rPr>
      </w:pPr>
      <w:r>
        <w:rPr>
          <w:rFonts w:ascii="arial" w:hAnsi="arial"/>
          <w:sz w:val="19"/>
        </w:rPr>
        <w:t>9.2 </w:t>
      </w:r>
      <w:r>
        <w:rPr>
          <w:rFonts w:ascii="arial" w:hAnsi="arial"/>
          <w:sz w:val="19"/>
          <w:u w:val="single"/>
        </w:rPr>
        <w:t>Dividend Equivalents</w:t>
      </w:r>
      <w:r>
        <w:rPr>
          <w:rFonts w:ascii="arial" w:hAnsi="arial"/>
          <w:sz w:val="19"/>
        </w:rPr>
        <w:t xml:space="preserve">. </w:t>
      </w:r>
    </w:p>
    <w:p>
      <w:pPr>
        <w:pStyle w:val="TextBody"/>
        <w:bidi w:val="0"/>
        <w:spacing w:before="120" w:after="0"/>
        <w:jc w:val="both"/>
        <w:rPr>
          <w:rFonts w:ascii="arial" w:hAnsi="arial"/>
          <w:sz w:val="19"/>
        </w:rPr>
      </w:pPr>
      <w:r>
        <w:rPr>
          <w:rFonts w:ascii="arial" w:hAnsi="arial"/>
          <w:sz w:val="19"/>
        </w:rPr>
        <w:t xml:space="preserve">(a) Dividend Equivalents may be granted by the Administrator based on dividends declared on the Common Stock, to be credited as of dividend payment dates during the period between the date an Award is granted to a Holder (or such other date as may be determined by the Administrator) and the date such Award vests, is exercised, is distributed or expires, as determined by the Administrator. Such Dividend Equivalents shall be converted to cash or additional shares of Common Stock by such formula and at such time and subject to such limitations as may be determined by the Administrator. In addition, Dividend Equivalents shall be accumulated and subject to vesting to the same extent as the underlying Award, with such accumulated dividends paid out to the Holder only to the extent that, and no earlier than, the time that the underlying Award vests and becomes non-forfeitable. </w:t>
      </w:r>
    </w:p>
    <w:p>
      <w:pPr>
        <w:pStyle w:val="TextBody"/>
        <w:bidi w:val="0"/>
        <w:spacing w:before="120" w:after="0"/>
        <w:jc w:val="both"/>
        <w:rPr>
          <w:rFonts w:ascii="arial" w:hAnsi="arial"/>
          <w:sz w:val="19"/>
        </w:rPr>
      </w:pPr>
      <w:r>
        <w:rPr>
          <w:rFonts w:ascii="arial" w:hAnsi="arial"/>
          <w:sz w:val="19"/>
        </w:rPr>
        <w:t xml:space="preserve">(b) Notwithstanding the foregoing, no Dividend Equivalents shall be payable with respect to Options or Stock Appreciation Rights. </w:t>
      </w:r>
    </w:p>
    <w:p>
      <w:pPr>
        <w:pStyle w:val="TextBody"/>
        <w:bidi w:val="0"/>
        <w:spacing w:before="120" w:after="0"/>
        <w:jc w:val="both"/>
        <w:rPr>
          <w:rFonts w:ascii="arial" w:hAnsi="arial"/>
          <w:sz w:val="19"/>
        </w:rPr>
      </w:pPr>
      <w:r>
        <w:rPr>
          <w:rFonts w:ascii="arial" w:hAnsi="arial"/>
          <w:sz w:val="19"/>
        </w:rPr>
        <w:t>9.3 </w:t>
      </w:r>
      <w:r>
        <w:rPr>
          <w:rFonts w:ascii="arial" w:hAnsi="arial"/>
          <w:sz w:val="19"/>
          <w:u w:val="single"/>
        </w:rPr>
        <w:t>Stock Payments</w:t>
      </w:r>
      <w:r>
        <w:rPr>
          <w:rFonts w:ascii="arial" w:hAnsi="arial"/>
          <w:sz w:val="19"/>
        </w:rPr>
        <w:t xml:space="preserve">. The Administrator is authorized to make Stock Payments to any Eligible Individual. The number or value of shares of any Stock Payment shall be determined by the Administrator and may be based upon one or more Performance Criteria or any other specific criteria, including service to the Company or any Affiliate, determined by the Administrator, subject to Section 11.8, as applicable. Unless otherwise provided by the Administrator, Shares underlying a Stock Payment which is subject to a vesting schedule or other conditions or criteria set by the Administrator will not be issued until those conditions have been satisfied. Unless otherwise provided by the Administrator, a Holder of a Stock Payment shall have no rights as a Company stockholder with respect to such Stock Payment until such time as the Stock Payment has vested and the Shares underlying the </w:t>
      </w:r>
    </w:p>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C-12  </w:t>
      </w:r>
      <w:r>
        <w:rPr>
          <w:rFonts w:ascii="arial" w:hAnsi="arial"/>
          <w:b/>
          <w:color w:val="474747"/>
          <w:sz w:val="22"/>
        </w:rPr>
        <w:drawing>
          <wp:inline distT="0" distB="0" distL="0" distR="0">
            <wp:extent cx="64770" cy="15240"/>
            <wp:effectExtent l="0" t="0" r="0" b="0"/>
            <wp:docPr id="468"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Image222" descr=""/>
                    <pic:cNvPicPr>
                      <a:picLocks noChangeAspect="1" noChangeArrowheads="1"/>
                    </pic:cNvPicPr>
                  </pic:nvPicPr>
                  <pic:blipFill>
                    <a:blip r:embed="rId235"/>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185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13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137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Appendix C</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both"/>
        <w:rPr>
          <w:rFonts w:ascii="arial" w:hAnsi="arial"/>
          <w:sz w:val="19"/>
        </w:rPr>
      </w:pPr>
      <w:r>
        <w:rPr>
          <w:rFonts w:ascii="arial" w:hAnsi="arial"/>
          <w:sz w:val="19"/>
        </w:rPr>
        <w:t xml:space="preserve">Award have been issued to the Holder, and any applicable Dividend Equivalents shall be subject to Section 9.2(a). Stock Payments may, but are not required to be made in lieu of base salary, bonus, fees or other cash compensation otherwise payable to such Eligible Individual. </w:t>
      </w:r>
    </w:p>
    <w:p>
      <w:pPr>
        <w:pStyle w:val="TextBody"/>
        <w:bidi w:val="0"/>
        <w:spacing w:before="120" w:after="0"/>
        <w:jc w:val="both"/>
        <w:rPr>
          <w:rFonts w:ascii="arial" w:hAnsi="arial"/>
          <w:sz w:val="19"/>
        </w:rPr>
      </w:pPr>
      <w:r>
        <w:rPr>
          <w:rFonts w:ascii="arial" w:hAnsi="arial"/>
          <w:sz w:val="19"/>
        </w:rPr>
        <w:t>9.4 </w:t>
      </w:r>
      <w:r>
        <w:rPr>
          <w:rFonts w:ascii="arial" w:hAnsi="arial"/>
          <w:sz w:val="19"/>
          <w:u w:val="single"/>
        </w:rPr>
        <w:t>Deferred Stock</w:t>
      </w:r>
      <w:r>
        <w:rPr>
          <w:rFonts w:ascii="arial" w:hAnsi="arial"/>
          <w:sz w:val="19"/>
        </w:rPr>
        <w:t xml:space="preserve">. The Administrator is authorized to grant Deferred Stock, which shall consist of the right to receive Shares at some future date, to any Eligible Individual. The number of shares of Deferred Stock shall be determined by the Administrator and may be based on one or more Performance Criteria or other specific criteria, including service to the Company or any Affiliate, as the Administrator determines, in each case on a specified date or dates or over any period or periods determined by the Administrator, subject to Section 11.8, as applicable. Unless otherwise provided by the Administrator and, in all cases, subject to the requirements of Section 409A of the Code, Shares underlying a Deferred Stock award which is subject to a vesting schedule or other conditions or criteria set by the Administrator will not be issued until those conditions have been satisfied. Unless otherwise provided by the Administrator, a Holder of Deferred Stock shall have no rights as a Company stockholder with respect to such Deferred Stock until such time as the Award has vested and the Shares underlying the Award have been issued to the Holder, and any applicable Dividend Equivalents shall be subject to Section 9.2(a). </w:t>
      </w:r>
    </w:p>
    <w:p>
      <w:pPr>
        <w:pStyle w:val="TextBody"/>
        <w:bidi w:val="0"/>
        <w:spacing w:before="120" w:after="0"/>
        <w:jc w:val="both"/>
        <w:rPr>
          <w:rFonts w:ascii="arial" w:hAnsi="arial"/>
          <w:sz w:val="19"/>
        </w:rPr>
      </w:pPr>
      <w:r>
        <w:rPr>
          <w:rFonts w:ascii="arial" w:hAnsi="arial"/>
          <w:sz w:val="19"/>
        </w:rPr>
        <w:t>9.5 </w:t>
      </w:r>
      <w:r>
        <w:rPr>
          <w:rFonts w:ascii="arial" w:hAnsi="arial"/>
          <w:sz w:val="19"/>
          <w:u w:val="single"/>
        </w:rPr>
        <w:t>Restricted Stock Units</w:t>
      </w:r>
      <w:r>
        <w:rPr>
          <w:rFonts w:ascii="arial" w:hAnsi="arial"/>
          <w:sz w:val="19"/>
        </w:rPr>
        <w:t xml:space="preserve">. The Administrator is authorized to grant Restricted Stock Units to any Eligible Individual. The number and terms and conditions of Restricted Stock Units shall be determined by the Administrator. Subject to Section 11.8, the Administrator shall specify the date or dates on which the Restricted Stock Units shall become fully vested and nonforfeitable, and may specify such conditions to vesting as it deems appropriate, including conditions based on one or more Performance Criteria or other specific criteria, including service to the Company or any Affiliate, in each case on a specified date or dates or over any period or periods, as the Administrator determines. The Company Stock Administrator shall specify, or permit the Holder to elect, the conditions and dates upon which the Shares underlying the Restricted Stock Units which shall be issued. Restricted Stock Units may be paid in cash, Shares, or both, as determined by the Administrator. On the distribution dates, the Company shall issue to the Holder one unrestricted, fully transferable Share (or the Fair Market Value of one such Share in cash) for each vested and nonforfeitable Restricted Stock Unit. Unless otherwise provided by the Administrator, a Holder of Restricted Stock Units shall have no rights as a Company stockholder with respect to such Restricted Stock Units until such time as the Award has vested and the Shares (or cash) underlying the Award have been issued to the Holder, and any applicable Dividend Equivalents shall be subject to Section 9.2(a). </w:t>
      </w:r>
    </w:p>
    <w:p>
      <w:pPr>
        <w:pStyle w:val="TextBody"/>
        <w:bidi w:val="0"/>
        <w:spacing w:before="120" w:after="0"/>
        <w:jc w:val="both"/>
        <w:rPr>
          <w:rFonts w:ascii="arial" w:hAnsi="arial"/>
          <w:sz w:val="19"/>
        </w:rPr>
      </w:pPr>
      <w:r>
        <w:rPr>
          <w:rFonts w:ascii="arial" w:hAnsi="arial"/>
          <w:sz w:val="19"/>
        </w:rPr>
        <w:t>9.6 </w:t>
      </w:r>
      <w:r>
        <w:rPr>
          <w:rFonts w:ascii="arial" w:hAnsi="arial"/>
          <w:sz w:val="19"/>
          <w:u w:val="single"/>
        </w:rPr>
        <w:t>Term</w:t>
      </w:r>
      <w:r>
        <w:rPr>
          <w:rFonts w:ascii="arial" w:hAnsi="arial"/>
          <w:sz w:val="19"/>
        </w:rPr>
        <w:t xml:space="preserve">. The term of a Performance Award, Dividend Equivalent award, Deferred Stock award, Stock Payment award and/or Restricted Stock Unit award shall be set by the Administrator in its sole discretion. </w:t>
      </w:r>
    </w:p>
    <w:p>
      <w:pPr>
        <w:pStyle w:val="TextBody"/>
        <w:bidi w:val="0"/>
        <w:spacing w:before="120" w:after="0"/>
        <w:jc w:val="both"/>
        <w:rPr>
          <w:rFonts w:ascii="arial" w:hAnsi="arial"/>
          <w:sz w:val="19"/>
        </w:rPr>
      </w:pPr>
      <w:r>
        <w:rPr>
          <w:rFonts w:ascii="arial" w:hAnsi="arial"/>
          <w:sz w:val="19"/>
        </w:rPr>
        <w:t>9.7 </w:t>
      </w:r>
      <w:r>
        <w:rPr>
          <w:rFonts w:ascii="arial" w:hAnsi="arial"/>
          <w:sz w:val="19"/>
          <w:u w:val="single"/>
        </w:rPr>
        <w:t>Exercise or Purchase Price</w:t>
      </w:r>
      <w:r>
        <w:rPr>
          <w:rFonts w:ascii="arial" w:hAnsi="arial"/>
          <w:sz w:val="19"/>
        </w:rPr>
        <w:t xml:space="preserve">. Subject to the Administrator’s discretion, as provided for in this Section 9.7, the Administrator may establish the exercise or purchase price of a Performance Award, shares of Deferred Stock, shares distributed as a Stock Payment award or shares distributed pursuant to a Restricted Stock Unit award; </w:t>
      </w:r>
      <w:r>
        <w:rPr>
          <w:rFonts w:ascii="arial" w:hAnsi="arial"/>
          <w:sz w:val="19"/>
          <w:u w:val="single"/>
        </w:rPr>
        <w:t>provided</w:t>
      </w:r>
      <w:r>
        <w:rPr>
          <w:rFonts w:ascii="arial" w:hAnsi="arial"/>
          <w:sz w:val="19"/>
        </w:rPr>
        <w:t xml:space="preserve">, </w:t>
      </w:r>
      <w:r>
        <w:rPr>
          <w:rFonts w:ascii="arial" w:hAnsi="arial"/>
          <w:sz w:val="19"/>
          <w:u w:val="single"/>
        </w:rPr>
        <w:t>however</w:t>
      </w:r>
      <w:r>
        <w:rPr>
          <w:rFonts w:ascii="arial" w:hAnsi="arial"/>
          <w:sz w:val="19"/>
        </w:rPr>
        <w:t xml:space="preserve">, that value of the consideration shall not be less than the par value of a Share, unless otherwise permitted by applicable law. </w:t>
      </w:r>
    </w:p>
    <w:p>
      <w:pPr>
        <w:pStyle w:val="TextBody"/>
        <w:bidi w:val="0"/>
        <w:spacing w:before="240" w:after="0"/>
        <w:jc w:val="left"/>
        <w:rPr>
          <w:rFonts w:ascii="arial" w:hAnsi="arial"/>
          <w:b/>
          <w:sz w:val="24"/>
        </w:rPr>
      </w:pPr>
      <w:r>
        <w:rPr>
          <w:rFonts w:ascii="arial" w:hAnsi="arial"/>
          <w:b/>
          <w:sz w:val="24"/>
        </w:rPr>
        <w:t xml:space="preserve">ARTICLE 10. </w:t>
      </w:r>
    </w:p>
    <w:p>
      <w:pPr>
        <w:pStyle w:val="TextBody"/>
        <w:bidi w:val="0"/>
        <w:spacing w:before="120" w:after="0"/>
        <w:jc w:val="left"/>
        <w:rPr>
          <w:rFonts w:ascii="arial" w:hAnsi="arial"/>
          <w:b/>
          <w:sz w:val="22"/>
        </w:rPr>
      </w:pPr>
      <w:r>
        <w:rPr>
          <w:rFonts w:ascii="arial" w:hAnsi="arial"/>
          <w:b/>
          <w:sz w:val="22"/>
        </w:rPr>
        <w:t xml:space="preserve">AWARD OF STOCK APPRECIATION RIGHTS </w:t>
      </w:r>
    </w:p>
    <w:p>
      <w:pPr>
        <w:pStyle w:val="TextBody"/>
        <w:bidi w:val="0"/>
        <w:spacing w:before="120" w:after="0"/>
        <w:jc w:val="both"/>
        <w:rPr>
          <w:rFonts w:ascii="arial" w:hAnsi="arial"/>
          <w:sz w:val="19"/>
        </w:rPr>
      </w:pPr>
      <w:r>
        <w:rPr>
          <w:rFonts w:ascii="arial" w:hAnsi="arial"/>
          <w:sz w:val="19"/>
        </w:rPr>
        <w:t>10.1 </w:t>
      </w:r>
      <w:r>
        <w:rPr>
          <w:rFonts w:ascii="arial" w:hAnsi="arial"/>
          <w:sz w:val="19"/>
          <w:u w:val="single"/>
        </w:rPr>
        <w:t>Grant of Stock Appreciation Rights</w:t>
      </w:r>
      <w:r>
        <w:rPr>
          <w:rFonts w:ascii="arial" w:hAnsi="arial"/>
          <w:sz w:val="19"/>
        </w:rPr>
        <w:t xml:space="preserve">. </w:t>
      </w:r>
    </w:p>
    <w:p>
      <w:pPr>
        <w:pStyle w:val="TextBody"/>
        <w:bidi w:val="0"/>
        <w:spacing w:before="120" w:after="0"/>
        <w:jc w:val="both"/>
        <w:rPr>
          <w:rFonts w:ascii="arial" w:hAnsi="arial"/>
          <w:sz w:val="19"/>
        </w:rPr>
      </w:pPr>
      <w:r>
        <w:rPr>
          <w:rFonts w:ascii="arial" w:hAnsi="arial"/>
          <w:sz w:val="19"/>
        </w:rPr>
        <w:t xml:space="preserve">(a) The Administrator is authorized to grant Stock Appreciation Rights to Eligible Individuals from time to time, in its sole discretion, on such terms and conditions as it may determine consistent with the Plan. </w:t>
      </w:r>
    </w:p>
    <w:p>
      <w:pPr>
        <w:pStyle w:val="TextBody"/>
        <w:bidi w:val="0"/>
        <w:spacing w:before="120" w:after="0"/>
        <w:jc w:val="both"/>
        <w:rPr>
          <w:rFonts w:ascii="arial" w:hAnsi="arial"/>
          <w:sz w:val="19"/>
        </w:rPr>
      </w:pPr>
      <w:r>
        <w:rPr>
          <w:rFonts w:ascii="arial" w:hAnsi="arial"/>
          <w:sz w:val="19"/>
        </w:rPr>
        <w:t xml:space="preserve">(b) A Stock Appreciation Right shall entitle the Holder (or other person entitled to exercise the Stock Appreciation Right pursuant to the Plan) to exercise all or a specified portion of the Stock Appreciation Right (to the extent then exercisable pursuant to its terms) and to receive from the Company an amount determined by multiplying the difference obtained by subtracting the exercise price per share of the Stock Appreciation Right from the Fair Market Value on the date of exercise of the Stock Appreciation Right by the number of Shares with respect to which the Stock Appreciation Right shall have been exercised, subject to any limitations the Administrator may impose. Except as described in (c) below, the exercise price per Share subject to each Stock Appreciation Right shall be set by the Administrator, but shall not be less than 100% of the Fair Market Value on the date the Stock Appreciation Right is granted. </w:t>
      </w:r>
    </w:p>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469"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Image223" descr=""/>
                    <pic:cNvPicPr>
                      <a:picLocks noChangeAspect="1" noChangeArrowheads="1"/>
                    </pic:cNvPicPr>
                  </pic:nvPicPr>
                  <pic:blipFill>
                    <a:blip r:embed="rId236"/>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C-13</w:t>
      </w:r>
      <w:r>
        <w:rPr>
          <w:rFonts w:ascii="arial" w:hAnsi="arial"/>
          <w:b/>
          <w:sz w:val="22"/>
        </w:rPr>
        <w:t xml:space="preserve"> </w:t>
      </w:r>
      <w:r>
        <w:br w:type="page"/>
      </w:r>
    </w:p>
    <w:p>
      <w:pPr>
        <w:pStyle w:val="HorizontalLine"/>
        <w:bidi w:val="0"/>
        <w:jc w:val="left"/>
        <w:rPr/>
      </w:pPr>
      <w:r>
        <w:rPr/>
      </w:r>
    </w:p>
    <w:tbl>
      <w:tblPr>
        <w:tblW w:w="185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13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137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Appendix C</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both"/>
        <w:rPr>
          <w:rFonts w:ascii="arial" w:hAnsi="arial"/>
          <w:sz w:val="19"/>
        </w:rPr>
      </w:pPr>
      <w:r>
        <w:rPr>
          <w:rFonts w:ascii="arial" w:hAnsi="arial"/>
          <w:sz w:val="19"/>
        </w:rPr>
        <w:t xml:space="preserve">(c) Notwithstanding the foregoing provisions of Section 10.1(b) to the contrary, in the case of an Stock Appreciation Right that is a Substitute Award, the price per share of the shares subject to such Stock Appreciation Right may be less than 100% of the Fair Market Value per share on the date of grant; </w:t>
      </w:r>
      <w:r>
        <w:rPr>
          <w:rFonts w:ascii="arial" w:hAnsi="arial"/>
          <w:sz w:val="19"/>
          <w:u w:val="single"/>
        </w:rPr>
        <w:t>provided</w:t>
      </w:r>
      <w:r>
        <w:rPr>
          <w:rFonts w:ascii="arial" w:hAnsi="arial"/>
          <w:sz w:val="19"/>
        </w:rPr>
        <w:t xml:space="preserve">, that the excess of: (a) the aggregate Fair Market Value (as of the date such Substitute Award is granted) of the shares subject to the Substitute Award, over (b) the aggregate exercise price thereof does not exceed the excess of: (x) the aggregate fair market value (as of the time immediately preceding the transaction giving rise to the Substitute Award, such fair market value to be determined by the Administrator) of the shares of the predecessor entity that were subject to the grant assumed or substituted for by the Company, over (y) the aggregate exercise price of such shares. </w:t>
      </w:r>
    </w:p>
    <w:p>
      <w:pPr>
        <w:pStyle w:val="TextBody"/>
        <w:bidi w:val="0"/>
        <w:spacing w:before="120" w:after="0"/>
        <w:jc w:val="both"/>
        <w:rPr>
          <w:rFonts w:ascii="arial" w:hAnsi="arial"/>
          <w:sz w:val="19"/>
        </w:rPr>
      </w:pPr>
      <w:r>
        <w:rPr>
          <w:rFonts w:ascii="arial" w:hAnsi="arial"/>
          <w:sz w:val="19"/>
        </w:rPr>
        <w:t>10.2 </w:t>
      </w:r>
      <w:r>
        <w:rPr>
          <w:rFonts w:ascii="arial" w:hAnsi="arial"/>
          <w:sz w:val="19"/>
          <w:u w:val="single"/>
        </w:rPr>
        <w:t>Stock Appreciation Right Term</w:t>
      </w:r>
      <w:r>
        <w:rPr>
          <w:rFonts w:ascii="arial" w:hAnsi="arial"/>
          <w:sz w:val="19"/>
        </w:rPr>
        <w:t xml:space="preserve">. The term of each Stock Appreciation Right shall be set by the Administrator in its sole discretion; </w:t>
      </w:r>
      <w:r>
        <w:rPr>
          <w:rFonts w:ascii="arial" w:hAnsi="arial"/>
          <w:sz w:val="19"/>
          <w:u w:val="single"/>
        </w:rPr>
        <w:t>provided</w:t>
      </w:r>
      <w:r>
        <w:rPr>
          <w:rFonts w:ascii="arial" w:hAnsi="arial"/>
          <w:sz w:val="19"/>
        </w:rPr>
        <w:t xml:space="preserve">, </w:t>
      </w:r>
      <w:r>
        <w:rPr>
          <w:rFonts w:ascii="arial" w:hAnsi="arial"/>
          <w:sz w:val="19"/>
          <w:u w:val="single"/>
        </w:rPr>
        <w:t>however</w:t>
      </w:r>
      <w:r>
        <w:rPr>
          <w:rFonts w:ascii="arial" w:hAnsi="arial"/>
          <w:sz w:val="19"/>
        </w:rPr>
        <w:t xml:space="preserve">, that the term shall not be more than ten (10) years from the date the Stock Appreciation Right is granted. </w:t>
      </w:r>
    </w:p>
    <w:p>
      <w:pPr>
        <w:pStyle w:val="TextBody"/>
        <w:bidi w:val="0"/>
        <w:spacing w:before="120" w:after="0"/>
        <w:jc w:val="both"/>
        <w:rPr>
          <w:rFonts w:ascii="arial" w:hAnsi="arial"/>
          <w:sz w:val="19"/>
        </w:rPr>
      </w:pPr>
      <w:r>
        <w:rPr>
          <w:rFonts w:ascii="arial" w:hAnsi="arial"/>
          <w:sz w:val="19"/>
        </w:rPr>
        <w:t>10.3 </w:t>
      </w:r>
      <w:r>
        <w:rPr>
          <w:rFonts w:ascii="arial" w:hAnsi="arial"/>
          <w:sz w:val="19"/>
          <w:u w:val="single"/>
        </w:rPr>
        <w:t>Stock Appreciation Right Vesting</w:t>
      </w:r>
      <w:r>
        <w:rPr>
          <w:rFonts w:ascii="arial" w:hAnsi="arial"/>
          <w:sz w:val="19"/>
        </w:rPr>
        <w:t xml:space="preserve">. </w:t>
      </w:r>
    </w:p>
    <w:p>
      <w:pPr>
        <w:pStyle w:val="TextBody"/>
        <w:bidi w:val="0"/>
        <w:spacing w:before="120" w:after="0"/>
        <w:jc w:val="both"/>
        <w:rPr>
          <w:rFonts w:ascii="arial" w:hAnsi="arial"/>
          <w:sz w:val="19"/>
        </w:rPr>
      </w:pPr>
      <w:r>
        <w:rPr>
          <w:rFonts w:ascii="arial" w:hAnsi="arial"/>
          <w:sz w:val="19"/>
        </w:rPr>
        <w:t xml:space="preserve">(a) Subject to Section 11.8, the period during which the right to exercise, in whole or in part, a Stock Appreciation Right vests in the Holder shall be set by the Administrator and the Administrator may determine that a Stock Appreciation Right may not be exercised in whole or in part for a specified period after it is granted. Such vesting may be based on service with the Company or any Affiliate, or any other criteria selected by the Administrator. At any time after grant of a Stock Appreciation Right, the Administrator may, in its sole discretion and subject to whatever terms and conditions it selects, accelerate the period during which a Stock Appreciation Right vests. </w:t>
      </w:r>
    </w:p>
    <w:p>
      <w:pPr>
        <w:pStyle w:val="TextBody"/>
        <w:bidi w:val="0"/>
        <w:spacing w:before="120" w:after="0"/>
        <w:jc w:val="both"/>
        <w:rPr>
          <w:rFonts w:ascii="arial" w:hAnsi="arial"/>
          <w:sz w:val="19"/>
        </w:rPr>
      </w:pPr>
      <w:r>
        <w:rPr>
          <w:rFonts w:ascii="arial" w:hAnsi="arial"/>
          <w:sz w:val="19"/>
        </w:rPr>
        <w:t xml:space="preserve">(b) No portion of a Stock Appreciation Right which is unexercisable at Termination of Service shall thereafter become exercisable, except as may be otherwise provided by the Administrator either in the applicable Program or Award Agreement or by action of the Administrator following the grant of the Stock Appreciation Right. </w:t>
      </w:r>
    </w:p>
    <w:p>
      <w:pPr>
        <w:pStyle w:val="TextBody"/>
        <w:bidi w:val="0"/>
        <w:spacing w:before="120" w:after="0"/>
        <w:jc w:val="both"/>
        <w:rPr>
          <w:rFonts w:ascii="arial" w:hAnsi="arial"/>
          <w:sz w:val="19"/>
        </w:rPr>
      </w:pPr>
      <w:r>
        <w:rPr>
          <w:rFonts w:ascii="arial" w:hAnsi="arial"/>
          <w:sz w:val="19"/>
        </w:rPr>
        <w:t>10.4 </w:t>
      </w:r>
      <w:r>
        <w:rPr>
          <w:rFonts w:ascii="arial" w:hAnsi="arial"/>
          <w:sz w:val="19"/>
          <w:u w:val="single"/>
        </w:rPr>
        <w:t>Manner of Exercise</w:t>
      </w:r>
      <w:r>
        <w:rPr>
          <w:rFonts w:ascii="arial" w:hAnsi="arial"/>
          <w:sz w:val="19"/>
        </w:rPr>
        <w:t xml:space="preserve">. All or a portion of an exercisable Stock Appreciation Right shall be deemed exercised upon delivery of all of the following to the stock administrator of the Company, or such other person or entity designated by the Administrator, or his, her or their office, as applicable: </w:t>
      </w:r>
    </w:p>
    <w:p>
      <w:pPr>
        <w:pStyle w:val="TextBody"/>
        <w:bidi w:val="0"/>
        <w:spacing w:before="120" w:after="0"/>
        <w:jc w:val="both"/>
        <w:rPr>
          <w:rFonts w:ascii="arial" w:hAnsi="arial"/>
          <w:sz w:val="19"/>
        </w:rPr>
      </w:pPr>
      <w:r>
        <w:rPr>
          <w:rFonts w:ascii="arial" w:hAnsi="arial"/>
          <w:sz w:val="19"/>
        </w:rPr>
        <w:t xml:space="preserve">(a) A written or electronic notice complying with the applicable rules established by the Company Stock Administrator stating that the Stock Appreciation Right, or a portion thereof, is exercised. The notice shall be signed by the Holder or other person then entitled to exercise the Stock Appreciation Right or such portion of the Stock Appreciation Right; </w:t>
      </w:r>
    </w:p>
    <w:p>
      <w:pPr>
        <w:pStyle w:val="TextBody"/>
        <w:bidi w:val="0"/>
        <w:spacing w:before="120" w:after="0"/>
        <w:jc w:val="both"/>
        <w:rPr>
          <w:rFonts w:ascii="arial" w:hAnsi="arial"/>
          <w:sz w:val="19"/>
        </w:rPr>
      </w:pPr>
      <w:r>
        <w:rPr>
          <w:rFonts w:ascii="arial" w:hAnsi="arial"/>
          <w:sz w:val="19"/>
        </w:rPr>
        <w:t xml:space="preserve">(b) Such representations and documents as the Company Stock Administrator, in its sole discretion, deems necessary or advisable to effect compliance with all applicable provisions of the Securities Act and any other federal, state or foreign securities laws or regulations. The Company Stock Administrator may, in its sole discretion, also take whatever additional actions it deems appropriate to effect such compliance; and </w:t>
      </w:r>
    </w:p>
    <w:p>
      <w:pPr>
        <w:pStyle w:val="TextBody"/>
        <w:bidi w:val="0"/>
        <w:spacing w:before="120" w:after="0"/>
        <w:jc w:val="both"/>
        <w:rPr>
          <w:rFonts w:ascii="arial" w:hAnsi="arial"/>
          <w:sz w:val="19"/>
        </w:rPr>
      </w:pPr>
      <w:r>
        <w:rPr>
          <w:rFonts w:ascii="arial" w:hAnsi="arial"/>
          <w:sz w:val="19"/>
        </w:rPr>
        <w:t xml:space="preserve">(c) In the event that the Stock Appreciation Right shall be exercised pursuant to this Section 10.4 by any person or persons other than the Holder, appropriate proof of the right of such person or persons to exercise the Stock Appreciation Right. </w:t>
      </w:r>
    </w:p>
    <w:p>
      <w:pPr>
        <w:pStyle w:val="TextBody"/>
        <w:bidi w:val="0"/>
        <w:spacing w:before="120" w:after="0"/>
        <w:jc w:val="both"/>
        <w:rPr>
          <w:rFonts w:ascii="arial" w:hAnsi="arial"/>
          <w:sz w:val="19"/>
        </w:rPr>
      </w:pPr>
      <w:r>
        <w:rPr>
          <w:rFonts w:ascii="arial" w:hAnsi="arial"/>
          <w:sz w:val="19"/>
        </w:rPr>
        <w:t>10.5 </w:t>
      </w:r>
      <w:r>
        <w:rPr>
          <w:rFonts w:ascii="arial" w:hAnsi="arial"/>
          <w:sz w:val="19"/>
          <w:u w:val="single"/>
        </w:rPr>
        <w:t>Payment</w:t>
      </w:r>
      <w:r>
        <w:rPr>
          <w:rFonts w:ascii="arial" w:hAnsi="arial"/>
          <w:sz w:val="19"/>
        </w:rPr>
        <w:t xml:space="preserve">. Payment of the amounts payable with respect to Stock Appreciation Rights pursuant to this Article 10 shall be in cash, Shares (based on its Fair Market Value as of the date the Stock Appreciation Right is exercised), or a combination of both, as determined by the Administrator. </w:t>
      </w:r>
    </w:p>
    <w:p>
      <w:pPr>
        <w:pStyle w:val="TextBody"/>
        <w:bidi w:val="0"/>
        <w:spacing w:before="240" w:after="0"/>
        <w:jc w:val="left"/>
        <w:rPr>
          <w:rFonts w:ascii="arial" w:hAnsi="arial"/>
          <w:b/>
          <w:sz w:val="24"/>
        </w:rPr>
      </w:pPr>
      <w:r>
        <w:rPr>
          <w:rFonts w:ascii="arial" w:hAnsi="arial"/>
          <w:b/>
          <w:sz w:val="24"/>
        </w:rPr>
        <w:t xml:space="preserve">ARTICLE 11. </w:t>
      </w:r>
    </w:p>
    <w:p>
      <w:pPr>
        <w:pStyle w:val="TextBody"/>
        <w:bidi w:val="0"/>
        <w:spacing w:before="120" w:after="0"/>
        <w:jc w:val="left"/>
        <w:rPr>
          <w:rFonts w:ascii="arial" w:hAnsi="arial"/>
          <w:b/>
          <w:sz w:val="22"/>
        </w:rPr>
      </w:pPr>
      <w:r>
        <w:rPr>
          <w:rFonts w:ascii="arial" w:hAnsi="arial"/>
          <w:b/>
          <w:sz w:val="22"/>
        </w:rPr>
        <w:t xml:space="preserve">ADDITIONAL TERMS OF AWARDS </w:t>
      </w:r>
    </w:p>
    <w:p>
      <w:pPr>
        <w:pStyle w:val="TextBody"/>
        <w:bidi w:val="0"/>
        <w:spacing w:before="120" w:after="0"/>
        <w:jc w:val="both"/>
        <w:rPr>
          <w:rFonts w:ascii="arial" w:hAnsi="arial"/>
          <w:sz w:val="19"/>
        </w:rPr>
      </w:pPr>
      <w:r>
        <w:rPr>
          <w:rFonts w:ascii="arial" w:hAnsi="arial"/>
          <w:sz w:val="19"/>
        </w:rPr>
        <w:t>11.1 </w:t>
      </w:r>
      <w:r>
        <w:rPr>
          <w:rFonts w:ascii="arial" w:hAnsi="arial"/>
          <w:sz w:val="19"/>
          <w:u w:val="single"/>
        </w:rPr>
        <w:t>Payment</w:t>
      </w:r>
      <w:r>
        <w:rPr>
          <w:rFonts w:ascii="arial" w:hAnsi="arial"/>
          <w:sz w:val="19"/>
        </w:rPr>
        <w:t xml:space="preserve">. The Administrator shall determine the methods by which payments by any Holder with respect to any Awards granted under the Plan shall be made, including, without limitation: (a) cash or check, (b) Shares (including, in the case of payment of the exercise price of an Award, shares of Common Stock issuable pursuant to the exercise of the Award) or Shares held for such period of time as may be required by the Administrator , in each case, having a Fair Market Value on the date of delivery equal to the aggregate payments required, (c) delivery of a written or electronic notice that the Holder has placed a market sell order </w:t>
      </w:r>
    </w:p>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C-14  </w:t>
      </w:r>
      <w:r>
        <w:rPr>
          <w:rFonts w:ascii="arial" w:hAnsi="arial"/>
          <w:b/>
          <w:color w:val="474747"/>
          <w:sz w:val="22"/>
        </w:rPr>
        <w:drawing>
          <wp:inline distT="0" distB="0" distL="0" distR="0">
            <wp:extent cx="64770" cy="15240"/>
            <wp:effectExtent l="0" t="0" r="0" b="0"/>
            <wp:docPr id="470"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Image224" descr=""/>
                    <pic:cNvPicPr>
                      <a:picLocks noChangeAspect="1" noChangeArrowheads="1"/>
                    </pic:cNvPicPr>
                  </pic:nvPicPr>
                  <pic:blipFill>
                    <a:blip r:embed="rId237"/>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185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13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137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Appendix C</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both"/>
        <w:rPr>
          <w:rFonts w:ascii="arial" w:hAnsi="arial"/>
          <w:sz w:val="19"/>
        </w:rPr>
      </w:pPr>
      <w:r>
        <w:rPr>
          <w:rFonts w:ascii="arial" w:hAnsi="arial"/>
          <w:sz w:val="19"/>
        </w:rPr>
        <w:t xml:space="preserve">with a broker with respect to Shares then issuable upon exercise or vesting of an Award, and that the broker has been directed to pay a sufficient portion of the net proceeds of the sale to the Company in satisfaction of the aggregate payments required; </w:t>
      </w:r>
      <w:r>
        <w:rPr>
          <w:rFonts w:ascii="arial" w:hAnsi="arial"/>
          <w:sz w:val="19"/>
          <w:u w:val="single"/>
        </w:rPr>
        <w:t>provided</w:t>
      </w:r>
      <w:r>
        <w:rPr>
          <w:rFonts w:ascii="arial" w:hAnsi="arial"/>
          <w:sz w:val="19"/>
        </w:rPr>
        <w:t xml:space="preserve">, that payment of such proceeds is then made to the Company upon settlement of such sale, or (d) other form of legal consideration acceptable to the Administrator. The Administrator shall also determine the methods by which Shares shall be delivered or deemed to be delivered to Holders. Notwithstanding any other provision of the Plan to the contrary, no Holder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 </w:t>
      </w:r>
    </w:p>
    <w:p>
      <w:pPr>
        <w:pStyle w:val="TextBody"/>
        <w:bidi w:val="0"/>
        <w:spacing w:before="120" w:after="0"/>
        <w:jc w:val="both"/>
        <w:rPr>
          <w:rFonts w:ascii="arial" w:hAnsi="arial"/>
          <w:sz w:val="19"/>
        </w:rPr>
      </w:pPr>
      <w:r>
        <w:rPr>
          <w:rFonts w:ascii="arial" w:hAnsi="arial"/>
          <w:sz w:val="19"/>
        </w:rPr>
        <w:t>11.2 </w:t>
      </w:r>
      <w:r>
        <w:rPr>
          <w:rFonts w:ascii="arial" w:hAnsi="arial"/>
          <w:sz w:val="19"/>
          <w:u w:val="single"/>
        </w:rPr>
        <w:t>Tax Withholding</w:t>
      </w:r>
      <w:r>
        <w:rPr>
          <w:rFonts w:ascii="arial" w:hAnsi="arial"/>
          <w:sz w:val="19"/>
        </w:rPr>
        <w:t xml:space="preserve">. The Company or any Affiliate shall have the authority and the right to deduct or withhold, or require a Holder to remit to the Company or any Affiliate, income tax, social insurance, payroll tax, fringe benefits tax, payment on account or other tax-related items related to participation in the Plan and legally applicable to the Holder and required by law to be withheld (including the Holder’s FICA or employment tax obligation and further including any amount deemed by the Company or the Holder’s employer, in its discretion, to be an appropriate charge to the Holder even if legally applicable to the Company or the Holder’s employer). The Administrator may, in its sole discretion and in satisfaction of the foregoing requirement, allow a Holder to satisfy such tax withholding obligation by any means set forth in the applicable Award Agreement, including without limitation, (i) allowing a Holder to elect to have the Company withhold Shares otherwise issuable under an Award (or allowing the surrender of Shares) or (ii) subject to Section 11.7, if there is a public market for Shares at the time the tax obligations are satisfied (A) delivery (including electronically or telephonically to the extent permitted by the Company) of an irrevocable and unconditional undertaking by a broker acceptable to the Company to deliver promptly to the Company sufficient funds to satisfy the tax obligations, or (B) delivery by the Participant to the Company of a copy of irrevocable and unconditional instructions to a broker acceptable to the Company to deliver promptly to the Company cash or a check sufficient to satisfy the tax withholding; </w:t>
      </w:r>
      <w:r>
        <w:rPr>
          <w:rFonts w:ascii="arial" w:hAnsi="arial"/>
          <w:sz w:val="19"/>
          <w:u w:val="single"/>
        </w:rPr>
        <w:t>provided</w:t>
      </w:r>
      <w:r>
        <w:rPr>
          <w:rFonts w:ascii="arial" w:hAnsi="arial"/>
          <w:sz w:val="19"/>
        </w:rPr>
        <w:t xml:space="preserve">, that such amount is paid to the Company at such time as may be required by the Administrator. The Company Stock Administrator shall determine the fair market value of the Shares, consistent with applicable provisions of the Code, or applicable law, for tax withholding obligations due in connection with a broker-assisted cashless Option or Stock Appreciation Right exercise involving the sale of shares to pay the Option or Stock Appreciation Right exercise price or any tax withholding obligation. </w:t>
      </w:r>
    </w:p>
    <w:p>
      <w:pPr>
        <w:pStyle w:val="TextBody"/>
        <w:bidi w:val="0"/>
        <w:spacing w:before="120" w:after="0"/>
        <w:jc w:val="both"/>
        <w:rPr>
          <w:rFonts w:ascii="arial" w:hAnsi="arial"/>
          <w:sz w:val="19"/>
        </w:rPr>
      </w:pPr>
      <w:r>
        <w:rPr>
          <w:rFonts w:ascii="arial" w:hAnsi="arial"/>
          <w:sz w:val="19"/>
        </w:rPr>
        <w:t>11.3 </w:t>
      </w:r>
      <w:r>
        <w:rPr>
          <w:rFonts w:ascii="arial" w:hAnsi="arial"/>
          <w:sz w:val="19"/>
          <w:u w:val="single"/>
        </w:rPr>
        <w:t>Transferability of Awards</w:t>
      </w:r>
      <w:r>
        <w:rPr>
          <w:rFonts w:ascii="arial" w:hAnsi="arial"/>
          <w:sz w:val="19"/>
        </w:rPr>
        <w:t xml:space="preserve">. </w:t>
      </w:r>
    </w:p>
    <w:p>
      <w:pPr>
        <w:pStyle w:val="TextBody"/>
        <w:bidi w:val="0"/>
        <w:spacing w:before="120" w:after="0"/>
        <w:jc w:val="both"/>
        <w:rPr>
          <w:rFonts w:ascii="arial" w:hAnsi="arial"/>
          <w:sz w:val="19"/>
        </w:rPr>
      </w:pPr>
      <w:r>
        <w:rPr>
          <w:rFonts w:ascii="arial" w:hAnsi="arial"/>
          <w:sz w:val="19"/>
        </w:rPr>
        <w:t xml:space="preserve">(a) Except as otherwise provided in Section 11.3(b): </w:t>
      </w:r>
    </w:p>
    <w:p>
      <w:pPr>
        <w:pStyle w:val="TextBody"/>
        <w:bidi w:val="0"/>
        <w:spacing w:before="120" w:after="0"/>
        <w:jc w:val="both"/>
        <w:rPr/>
      </w:pPr>
      <w:r>
        <w:rPr/>
        <w:t>   </w:t>
      </w:r>
      <w:r>
        <w:rPr>
          <w:rFonts w:ascii="arial" w:hAnsi="arial"/>
          <w:sz w:val="19"/>
        </w:rPr>
        <w:t xml:space="preserve">(i) No Award under the Plan may be sold, pledged, assigned or transferred in any manner other than by will or the laws of descent and distribution or, subject to the consent of the Administrator, pursuant to a QDRO, unless and until such Award has been exercised, or the shares underlying such Award have been issued, and all restrictions applicable to such shares have lapsed; </w:t>
      </w:r>
    </w:p>
    <w:p>
      <w:pPr>
        <w:pStyle w:val="TextBody"/>
        <w:bidi w:val="0"/>
        <w:spacing w:before="120" w:after="0"/>
        <w:jc w:val="both"/>
        <w:rPr/>
      </w:pPr>
      <w:r>
        <w:rPr/>
        <w:t>   </w:t>
      </w:r>
      <w:r>
        <w:rPr>
          <w:rFonts w:ascii="arial" w:hAnsi="arial"/>
          <w:sz w:val="19"/>
        </w:rPr>
        <w:t xml:space="preserve">(ii) No Award or interest or right therein shall be liable for the debts, contracts or engagements of the Holder or his, her or their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and </w:t>
      </w:r>
    </w:p>
    <w:p>
      <w:pPr>
        <w:pStyle w:val="TextBody"/>
        <w:bidi w:val="0"/>
        <w:spacing w:before="120" w:after="0"/>
        <w:jc w:val="both"/>
        <w:rPr/>
      </w:pPr>
      <w:r>
        <w:rPr/>
        <w:t>  </w:t>
      </w:r>
      <w:r>
        <w:rPr>
          <w:rFonts w:ascii="arial" w:hAnsi="arial"/>
          <w:sz w:val="19"/>
        </w:rPr>
        <w:t xml:space="preserve">(iii) During the lifetime of the Holder, only the Holder may exercise an Award (or any portion thereof) granted to him, her or them under the Plan, unless it has been disposed of pursuant to a QDRO; after the death of the Holder, any exercisable portion of an Award may, prior to the time when such portion becomes unexercisable under the Plan or the applicable Program or Award Agreement, be exercised by his, her or their personal representative or by any person empowered to do so under the deceased Holder’s will or under the then applicable laws of descent and distribution. </w:t>
      </w:r>
    </w:p>
    <w:p>
      <w:pPr>
        <w:pStyle w:val="TextBody"/>
        <w:bidi w:val="0"/>
        <w:spacing w:before="120" w:after="0"/>
        <w:jc w:val="both"/>
        <w:rPr>
          <w:rFonts w:ascii="arial" w:hAnsi="arial"/>
          <w:sz w:val="19"/>
        </w:rPr>
      </w:pPr>
      <w:r>
        <w:rPr>
          <w:rFonts w:ascii="arial" w:hAnsi="arial"/>
          <w:sz w:val="19"/>
        </w:rPr>
        <w:t xml:space="preserve">(b) Notwithstanding Section 11.3(a), the Administrator, in its sole discretion, may determine to permit a Holder to transfer an Award other than an Incentive Stock Option to any one or more Permitted Transferees, subject to any state, federal, local or foreign tax and securities laws applicable to transferable Awards, and subject to the following terms and conditions: (i) an Award transferred to a Permitted Transferee shall not be </w:t>
      </w:r>
    </w:p>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471"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Image225" descr=""/>
                    <pic:cNvPicPr>
                      <a:picLocks noChangeAspect="1" noChangeArrowheads="1"/>
                    </pic:cNvPicPr>
                  </pic:nvPicPr>
                  <pic:blipFill>
                    <a:blip r:embed="rId238"/>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C-15</w:t>
      </w:r>
      <w:r>
        <w:rPr>
          <w:rFonts w:ascii="arial" w:hAnsi="arial"/>
          <w:b/>
          <w:sz w:val="22"/>
        </w:rPr>
        <w:t xml:space="preserve"> </w:t>
      </w:r>
      <w:r>
        <w:br w:type="page"/>
      </w:r>
    </w:p>
    <w:p>
      <w:pPr>
        <w:pStyle w:val="HorizontalLine"/>
        <w:bidi w:val="0"/>
        <w:jc w:val="left"/>
        <w:rPr/>
      </w:pPr>
      <w:r>
        <w:rPr/>
      </w:r>
    </w:p>
    <w:tbl>
      <w:tblPr>
        <w:tblW w:w="185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13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137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Appendix C</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both"/>
        <w:rPr>
          <w:rFonts w:ascii="arial" w:hAnsi="arial"/>
          <w:sz w:val="19"/>
        </w:rPr>
      </w:pPr>
      <w:r>
        <w:rPr>
          <w:rFonts w:ascii="arial" w:hAnsi="arial"/>
          <w:sz w:val="19"/>
        </w:rPr>
        <w:t xml:space="preserve">assignable or transferable by the Permitted Transferee other than by will or the laws of descent and distribution; (ii) an Award transferred to a Permitted Transferee shall continue to be subject to all the terms and conditions of the Award as applicable to the original Holder (other than the ability to further transfer the Award); and (iii) the Holder and the Permitted Transferee shall execute any and all documents requested by the Administrator, including, without limitation documents to (A) confirm the status of the transferee as a Permitted Transferee, (B) satisfy any requirements for an exemption for the transfer under applicable federal, state and foreign securities laws and (C) evidence the transfer. Any permitted transfer of an Award hereunder shall be without consideration, except as required by applicable law. </w:t>
      </w:r>
    </w:p>
    <w:p>
      <w:pPr>
        <w:pStyle w:val="TextBody"/>
        <w:bidi w:val="0"/>
        <w:spacing w:before="120" w:after="0"/>
        <w:jc w:val="both"/>
        <w:rPr>
          <w:rFonts w:ascii="arial" w:hAnsi="arial"/>
          <w:sz w:val="19"/>
        </w:rPr>
      </w:pPr>
      <w:r>
        <w:rPr>
          <w:rFonts w:ascii="arial" w:hAnsi="arial"/>
          <w:sz w:val="19"/>
        </w:rPr>
        <w:t xml:space="preserve">(c) Notwithstanding Section 11.3(a), a Holder may, in the manner determined by the Administrator, designate a beneficiary to exercise the rights of the Holder and to receive any distribution with respect to any Award upon the Holder’s death. A beneficiary, legal guardian, legal representative, or other person claiming any rights pursuant to the Plan is subject to all terms and conditions of the Plan and any Program or Award Agreement applicable to the Holder, except to the extent the Plan, the Program and the Award Agreement otherwise provide, and to any additional restrictions deemed necessary or appropriate by the Administrator. If the Holder is married and resides in a community property state, a designation of a person other than the Holder’s spouse as his, her or their beneficiary with respect to more than 50% of the Holder’s interest in the Award shall not be effective without the prior written or electronic consent of the Holder’s spouse. If no beneficiary has been designated or survives the Holder, payment shall be made to the person entitled thereto pursuant to the Holder’s will or the laws of descent and distribution. Subject to the foregoing, a beneficiary designation may be changed or revoked by a Holder at any time provided the change or revocation is filed with the Administrator prior to the Holder’s death. </w:t>
      </w:r>
    </w:p>
    <w:p>
      <w:pPr>
        <w:pStyle w:val="TextBody"/>
        <w:bidi w:val="0"/>
        <w:spacing w:before="120" w:after="0"/>
        <w:jc w:val="both"/>
        <w:rPr>
          <w:rFonts w:ascii="arial" w:hAnsi="arial"/>
          <w:sz w:val="19"/>
        </w:rPr>
      </w:pPr>
      <w:r>
        <w:rPr>
          <w:rFonts w:ascii="arial" w:hAnsi="arial"/>
          <w:sz w:val="19"/>
        </w:rPr>
        <w:t>11.4 </w:t>
      </w:r>
      <w:r>
        <w:rPr>
          <w:rFonts w:ascii="arial" w:hAnsi="arial"/>
          <w:sz w:val="19"/>
          <w:u w:val="single"/>
        </w:rPr>
        <w:t>Conditions to Issuance of Shares</w:t>
      </w:r>
      <w:r>
        <w:rPr>
          <w:rFonts w:ascii="arial" w:hAnsi="arial"/>
          <w:sz w:val="19"/>
        </w:rPr>
        <w:t xml:space="preserve">. </w:t>
      </w:r>
    </w:p>
    <w:p>
      <w:pPr>
        <w:pStyle w:val="TextBody"/>
        <w:bidi w:val="0"/>
        <w:spacing w:before="120" w:after="0"/>
        <w:jc w:val="both"/>
        <w:rPr>
          <w:rFonts w:ascii="arial" w:hAnsi="arial"/>
          <w:sz w:val="19"/>
        </w:rPr>
      </w:pPr>
      <w:r>
        <w:rPr>
          <w:rFonts w:ascii="arial" w:hAnsi="arial"/>
          <w:sz w:val="19"/>
        </w:rPr>
        <w:t xml:space="preserve">(a) Notwithstanding anything herein to the contrary, the Company shall not be required to issue or deliver any certificates or make any book entries evidencing Shares pursuant to the exercise of any Award, unless and until the Board or the Administrator has determined, with advice of counsel, that the issuance of such shares is in compliance with all applicable laws, regulations of governmental authorities and, if applicable, the requirements of any exchange on which the Shares are listed or traded, and the Shares are covered by an effective registration statement or applicable exemption from registration. In addition to the terms and conditions provided herein, the Board or the Committee may require that a Holder make such reasonable covenants, agreements, and representations as the Board or the Administrator, in its discretion, deems advisable in order to comply with any such laws, regulations, or requirements. </w:t>
      </w:r>
    </w:p>
    <w:p>
      <w:pPr>
        <w:pStyle w:val="TextBody"/>
        <w:bidi w:val="0"/>
        <w:spacing w:before="120" w:after="0"/>
        <w:jc w:val="both"/>
        <w:rPr>
          <w:rFonts w:ascii="arial" w:hAnsi="arial"/>
          <w:sz w:val="19"/>
        </w:rPr>
      </w:pPr>
      <w:r>
        <w:rPr>
          <w:rFonts w:ascii="arial" w:hAnsi="arial"/>
          <w:sz w:val="19"/>
        </w:rPr>
        <w:t xml:space="preserve">(b) All Shares certificates delivered pursuant to the Plan and all shares issued pursuant to book entry procedures are subject to any stop-transfer orders and other restrictions as the Administrator or the Company Stock Administrator deems necessary or advisable to comply with federal, state, or foreign securities or other laws, rules and regulations and the rules of any securities exchange or automated quotation system on which the Shares are listed, quoted, or traded. The Company Stock Administrator may place legends on any Share certificate or book entry to reference restrictions applicable to the Shares. </w:t>
      </w:r>
    </w:p>
    <w:p>
      <w:pPr>
        <w:pStyle w:val="TextBody"/>
        <w:bidi w:val="0"/>
        <w:spacing w:before="120" w:after="0"/>
        <w:jc w:val="both"/>
        <w:rPr>
          <w:rFonts w:ascii="arial" w:hAnsi="arial"/>
          <w:sz w:val="19"/>
        </w:rPr>
      </w:pPr>
      <w:r>
        <w:rPr>
          <w:rFonts w:ascii="arial" w:hAnsi="arial"/>
          <w:sz w:val="19"/>
        </w:rPr>
        <w:t xml:space="preserve">(c) The Company Stock Administrator shall have the right to require any Holder to comply with any timing or other restrictions with respect to the settlement, distribution or exercise of any Award, including a window-period limitation, as may be imposed in the sole discretion of the Company Stock Administrator, or other requirement arising from compliance with any applicable securities laws, as determined by the Company Stock Administrator, in its sole discretion. </w:t>
      </w:r>
    </w:p>
    <w:p>
      <w:pPr>
        <w:pStyle w:val="TextBody"/>
        <w:bidi w:val="0"/>
        <w:spacing w:before="120" w:after="0"/>
        <w:jc w:val="both"/>
        <w:rPr>
          <w:rFonts w:ascii="arial" w:hAnsi="arial"/>
          <w:sz w:val="19"/>
        </w:rPr>
      </w:pPr>
      <w:r>
        <w:rPr>
          <w:rFonts w:ascii="arial" w:hAnsi="arial"/>
          <w:sz w:val="19"/>
        </w:rPr>
        <w:t xml:space="preserve">(d) No fractional Shares shall be issued and the Company Stock Administrator shall determine, in its sole discretion, whether cash shall be given in lieu of fractional shares or whether such fractional shares shall be eliminated by rounding down. </w:t>
      </w:r>
    </w:p>
    <w:p>
      <w:pPr>
        <w:pStyle w:val="TextBody"/>
        <w:bidi w:val="0"/>
        <w:spacing w:before="120" w:after="0"/>
        <w:jc w:val="both"/>
        <w:rPr>
          <w:rFonts w:ascii="arial" w:hAnsi="arial"/>
          <w:sz w:val="19"/>
        </w:rPr>
      </w:pPr>
      <w:r>
        <w:rPr>
          <w:rFonts w:ascii="arial" w:hAnsi="arial"/>
          <w:sz w:val="19"/>
        </w:rPr>
        <w:t xml:space="preserve">(e) Notwithstanding any other provision of the Plan, unless otherwise determined by the Company Stock Administrator or required by any applicable law, rule or regulation, the Company shall not deliver to any Holder certificates evidencing Shares issued in connection with any Award and instead such Shares shall be recorded in the books of the Company (or, as applicable, its transfer agent or stock plan administrator). </w:t>
      </w:r>
    </w:p>
    <w:p>
      <w:pPr>
        <w:pStyle w:val="TextBody"/>
        <w:bidi w:val="0"/>
        <w:spacing w:before="120" w:after="0"/>
        <w:jc w:val="both"/>
        <w:rPr>
          <w:rFonts w:ascii="arial" w:hAnsi="arial"/>
          <w:sz w:val="19"/>
        </w:rPr>
      </w:pPr>
      <w:r>
        <w:rPr>
          <w:rFonts w:ascii="arial" w:hAnsi="arial"/>
          <w:sz w:val="19"/>
        </w:rPr>
        <w:t>11.5 </w:t>
      </w:r>
      <w:r>
        <w:rPr>
          <w:rFonts w:ascii="arial" w:hAnsi="arial"/>
          <w:sz w:val="19"/>
          <w:u w:val="single"/>
        </w:rPr>
        <w:t>Forfeiture Provisions</w:t>
      </w:r>
      <w:r>
        <w:rPr>
          <w:rFonts w:ascii="arial" w:hAnsi="arial"/>
          <w:sz w:val="19"/>
        </w:rPr>
        <w:t xml:space="preserve">. Pursuant to its general authority to determine the terms and conditions applicable to Awards under the Plan, the Administrator shall have the right to provide, in the terms of Programs or Awards </w:t>
      </w:r>
    </w:p>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C-16  </w:t>
      </w:r>
      <w:r>
        <w:rPr>
          <w:rFonts w:ascii="arial" w:hAnsi="arial"/>
          <w:b/>
          <w:color w:val="474747"/>
          <w:sz w:val="22"/>
        </w:rPr>
        <w:drawing>
          <wp:inline distT="0" distB="0" distL="0" distR="0">
            <wp:extent cx="64770" cy="15240"/>
            <wp:effectExtent l="0" t="0" r="0" b="0"/>
            <wp:docPr id="472"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Image226" descr=""/>
                    <pic:cNvPicPr>
                      <a:picLocks noChangeAspect="1" noChangeArrowheads="1"/>
                    </pic:cNvPicPr>
                  </pic:nvPicPr>
                  <pic:blipFill>
                    <a:blip r:embed="rId239"/>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185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13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137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Appendix C</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both"/>
        <w:rPr>
          <w:rFonts w:ascii="arial" w:hAnsi="arial"/>
          <w:sz w:val="19"/>
        </w:rPr>
      </w:pPr>
      <w:r>
        <w:rPr>
          <w:rFonts w:ascii="arial" w:hAnsi="arial"/>
          <w:sz w:val="19"/>
        </w:rPr>
        <w:t xml:space="preserve">made under the Plan or in any policy with respect to the recovery or recoupment of compensation or benefits in the event of financial restatements, the occurrence of other events that are inconsistent with the payment of compensation, or to comply with the requirements of applicable law (including, without limitation, under Rule 10D-1 of the Exchange Act or any successor rule), in each case as determined by the Administrator, or to require a Holder to agree by separate written or electronic instrument, that, to the extent permitted by applicable law: (a)(i) any proceeds, gains or other economic benefit actually or constructively received by the Holder upon any receipt or exercise of the Award, or upon the receipt or resale of any Shares underlying the Award, must be paid to the Company, and (ii) the Award shall terminate and any unexercised portion of the Award (whether or not vested) shall be forfeited, if (b)(i) a Termination of Service occurs prior to a specified date, or within a specified time period following receipt or exercise of the Award, (ii) the Holder at any time, or during a specified time period, engages in any activity in competition with the Company, or which is inimical, contrary or harmful to the interests of the Company, as further defined by the Administrator, (iii) the Holder incurs a Termination of Service for “cause” (as such term is defined in the sole discretion of the Administrator, or as set forth in a written agreement relating to such Award between the Company and the Holder), (iv) the Company’s financial results are materially restated and such proceeds, gains or other economic benefit actually or constructively received by the Holder would have been lower had they been calculated based on such restated results or (v) any other reason required under applicable law. </w:t>
      </w:r>
    </w:p>
    <w:p>
      <w:pPr>
        <w:pStyle w:val="TextBody"/>
        <w:bidi w:val="0"/>
        <w:spacing w:before="120" w:after="0"/>
        <w:jc w:val="both"/>
        <w:rPr>
          <w:rFonts w:ascii="arial" w:hAnsi="arial"/>
          <w:sz w:val="19"/>
        </w:rPr>
      </w:pPr>
      <w:r>
        <w:rPr>
          <w:rFonts w:ascii="arial" w:hAnsi="arial"/>
          <w:sz w:val="19"/>
        </w:rPr>
        <w:t>11.6 </w:t>
      </w:r>
      <w:r>
        <w:rPr>
          <w:rFonts w:ascii="arial" w:hAnsi="arial"/>
          <w:sz w:val="19"/>
          <w:u w:val="single"/>
        </w:rPr>
        <w:t>Prohibition on Repricing</w:t>
      </w:r>
      <w:r>
        <w:rPr>
          <w:rFonts w:ascii="arial" w:hAnsi="arial"/>
          <w:sz w:val="19"/>
        </w:rPr>
        <w:t xml:space="preserve">. Subject to Section 13.2, the Administrator shall not, without the approval of the stockholders of the Company, (i) authorize the amendment of any outstanding Option or Stock Appreciation Right to reduce its price per share, except with respect to any Substitute Award, (ii) cancel any Option or Stock Appreciation Right in conjunction with the grant of any new Option or Stock Appreciation Right Award with a lower exercise price, or (iii) cancel any Option or Stock Appreciation Right in exchange for cash or another Award when the Option or Stock Appreciation Right price per share exceeds the Fair Market Value of the underlying Shares, except with respect to any Substitute Award. Subject to Section 13.2, the Administrator shall have the authority, without the approval of the stockholders of the Company, to amend any outstanding award to increase the price per share or to cancel and replace an Award with the grant of an Award having a price per share that is greater than or equal to the price per share of the original Award. </w:t>
      </w:r>
    </w:p>
    <w:p>
      <w:pPr>
        <w:pStyle w:val="TextBody"/>
        <w:bidi w:val="0"/>
        <w:spacing w:before="120" w:after="0"/>
        <w:jc w:val="both"/>
        <w:rPr>
          <w:rFonts w:ascii="arial" w:hAnsi="arial"/>
          <w:sz w:val="19"/>
        </w:rPr>
      </w:pPr>
      <w:r>
        <w:rPr>
          <w:rFonts w:ascii="arial" w:hAnsi="arial"/>
          <w:sz w:val="19"/>
        </w:rPr>
        <w:t>11.7 </w:t>
      </w:r>
      <w:r>
        <w:rPr>
          <w:rFonts w:ascii="arial" w:hAnsi="arial"/>
          <w:sz w:val="19"/>
          <w:u w:val="single"/>
        </w:rPr>
        <w:t>Broker-Assisted Sales</w:t>
      </w:r>
      <w:r>
        <w:rPr>
          <w:rFonts w:ascii="arial" w:hAnsi="arial"/>
          <w:sz w:val="19"/>
        </w:rPr>
        <w:t xml:space="preserve">. In the event of a broker-assisted sale of Shares in connection with the payment of amounts owed by a Participant under or with respect to the Plan or Awards: (a) any Shares to be sold through the broker-assisted sale will be sold on the day the payment first becomes due, or as soon thereafter as practicable; (b) 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 </w:t>
      </w:r>
    </w:p>
    <w:p>
      <w:pPr>
        <w:pStyle w:val="TextBody"/>
        <w:bidi w:val="0"/>
        <w:spacing w:before="120" w:after="0"/>
        <w:jc w:val="both"/>
        <w:rPr>
          <w:rFonts w:ascii="arial" w:hAnsi="arial"/>
          <w:sz w:val="19"/>
        </w:rPr>
      </w:pPr>
      <w:r>
        <w:rPr>
          <w:rFonts w:ascii="arial" w:hAnsi="arial"/>
          <w:sz w:val="19"/>
        </w:rPr>
        <w:t>11.8 </w:t>
      </w:r>
      <w:r>
        <w:rPr>
          <w:rFonts w:ascii="arial" w:hAnsi="arial"/>
          <w:sz w:val="19"/>
          <w:u w:val="single"/>
        </w:rPr>
        <w:t>Limitation of Vesting of Certain Awards</w:t>
      </w:r>
      <w:r>
        <w:rPr>
          <w:rFonts w:ascii="arial" w:hAnsi="arial"/>
          <w:sz w:val="19"/>
        </w:rPr>
        <w:t xml:space="preserve">. Notwithstanding anything in this Plan to the contrary, equity-based Awards granted on or after March 2, 2016 shall be subject to a minimum vesting schedule of not less than one (1) year from the date of grant; </w:t>
      </w:r>
      <w:r>
        <w:rPr>
          <w:rFonts w:ascii="arial" w:hAnsi="arial"/>
          <w:sz w:val="19"/>
          <w:u w:val="single"/>
        </w:rPr>
        <w:t>provided</w:t>
      </w:r>
      <w:r>
        <w:rPr>
          <w:rFonts w:ascii="arial" w:hAnsi="arial"/>
          <w:sz w:val="19"/>
        </w:rPr>
        <w:t xml:space="preserve">, </w:t>
      </w:r>
      <w:r>
        <w:rPr>
          <w:rFonts w:ascii="arial" w:hAnsi="arial"/>
          <w:sz w:val="19"/>
          <w:u w:val="single"/>
        </w:rPr>
        <w:t>however</w:t>
      </w:r>
      <w:r>
        <w:rPr>
          <w:rFonts w:ascii="arial" w:hAnsi="arial"/>
          <w:sz w:val="19"/>
        </w:rPr>
        <w:t xml:space="preserve">, that the foregoing shall not apply to: (i) Substitute Awards; (ii) Awards delivered in lieu of fully vested cash Awards or payments; (iii) Awards delivered in lieu of cash compensation otherwise payable to a Non-Employee Director, where such Non-Employee Director has elected to receive an Award in lieu of such cash compensation; (iv) Awards to Non-Employee Directors that vest on the earlier of the one-year anniversary of the date of grant and the next annual meeting of stockholders which is at least 50 weeks after the immediately preceding year’s annual meeting; and (v) or any other Award that results in the issuance of an aggregate of up to five percent (5%) of the Shares authorized under the Plan; </w:t>
      </w:r>
      <w:r>
        <w:rPr>
          <w:rFonts w:ascii="arial" w:hAnsi="arial"/>
          <w:sz w:val="19"/>
          <w:u w:val="single"/>
        </w:rPr>
        <w:t>provided</w:t>
      </w:r>
      <w:r>
        <w:rPr>
          <w:rFonts w:ascii="arial" w:hAnsi="arial"/>
          <w:sz w:val="19"/>
        </w:rPr>
        <w:t xml:space="preserve"> </w:t>
      </w:r>
      <w:r>
        <w:rPr>
          <w:rFonts w:ascii="arial" w:hAnsi="arial"/>
          <w:sz w:val="19"/>
          <w:u w:val="single"/>
        </w:rPr>
        <w:t>further</w:t>
      </w:r>
      <w:r>
        <w:rPr>
          <w:rFonts w:ascii="arial" w:hAnsi="arial"/>
          <w:sz w:val="19"/>
        </w:rPr>
        <w:t xml:space="preserve"> that the Administrator in its sole discretion may waive such vesting restrictions in connection with or subsequent to a Termination of Service in certain events, including the Holder’s death, retirement or disability, or as otherwise provided in Section 13.2, in the terms of the Award Agreement or otherwise. </w:t>
      </w:r>
    </w:p>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473"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 name="Image227" descr=""/>
                    <pic:cNvPicPr>
                      <a:picLocks noChangeAspect="1" noChangeArrowheads="1"/>
                    </pic:cNvPicPr>
                  </pic:nvPicPr>
                  <pic:blipFill>
                    <a:blip r:embed="rId240"/>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C-17</w:t>
      </w:r>
      <w:r>
        <w:rPr>
          <w:rFonts w:ascii="arial" w:hAnsi="arial"/>
          <w:b/>
          <w:sz w:val="22"/>
        </w:rPr>
        <w:t xml:space="preserve"> </w:t>
      </w:r>
      <w:r>
        <w:br w:type="page"/>
      </w:r>
    </w:p>
    <w:p>
      <w:pPr>
        <w:pStyle w:val="HorizontalLine"/>
        <w:bidi w:val="0"/>
        <w:jc w:val="left"/>
        <w:rPr/>
      </w:pPr>
      <w:r>
        <w:rPr/>
      </w:r>
    </w:p>
    <w:tbl>
      <w:tblPr>
        <w:tblW w:w="185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13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137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Appendix C</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sz w:val="24"/>
        </w:rPr>
      </w:pPr>
      <w:r>
        <w:rPr>
          <w:rFonts w:ascii="arial" w:hAnsi="arial"/>
          <w:b/>
          <w:sz w:val="24"/>
        </w:rPr>
        <w:t xml:space="preserve">ARTICLE 12. </w:t>
      </w:r>
    </w:p>
    <w:p>
      <w:pPr>
        <w:pStyle w:val="TextBody"/>
        <w:bidi w:val="0"/>
        <w:spacing w:before="120" w:after="0"/>
        <w:jc w:val="left"/>
        <w:rPr>
          <w:rFonts w:ascii="arial" w:hAnsi="arial"/>
          <w:b/>
          <w:sz w:val="22"/>
        </w:rPr>
      </w:pPr>
      <w:r>
        <w:rPr>
          <w:rFonts w:ascii="arial" w:hAnsi="arial"/>
          <w:b/>
          <w:sz w:val="22"/>
        </w:rPr>
        <w:t xml:space="preserve">ADMINISTRATION </w:t>
      </w:r>
    </w:p>
    <w:p>
      <w:pPr>
        <w:pStyle w:val="TextBody"/>
        <w:bidi w:val="0"/>
        <w:spacing w:before="120" w:after="0"/>
        <w:jc w:val="both"/>
        <w:rPr>
          <w:rFonts w:ascii="arial" w:hAnsi="arial"/>
          <w:sz w:val="19"/>
        </w:rPr>
      </w:pPr>
      <w:r>
        <w:rPr>
          <w:rFonts w:ascii="arial" w:hAnsi="arial"/>
          <w:sz w:val="19"/>
        </w:rPr>
        <w:t>12.1 </w:t>
      </w:r>
      <w:r>
        <w:rPr>
          <w:rFonts w:ascii="arial" w:hAnsi="arial"/>
          <w:sz w:val="19"/>
          <w:u w:val="single"/>
        </w:rPr>
        <w:t>Administrator</w:t>
      </w:r>
      <w:r>
        <w:rPr>
          <w:rFonts w:ascii="arial" w:hAnsi="arial"/>
          <w:sz w:val="19"/>
        </w:rPr>
        <w:t xml:space="preserve">. The Compensation Committee (or another committee or a subcommittee of the Board assuming the functions of the Committee under the Plan) shall administer the Plan (except as otherwise permitted herein) and shall consist solely of two or more Non-Employee Directors appointed by and holding office at the pleasure of the Board, each of whom is intended to qualify as both a “non-employee director” as defined by Rule 16b-3 of the Exchange Act or any successor rule and an “independent director” under the rules of any Securities Exchange; </w:t>
      </w:r>
      <w:r>
        <w:rPr>
          <w:rFonts w:ascii="arial" w:hAnsi="arial"/>
          <w:sz w:val="19"/>
          <w:u w:val="single"/>
        </w:rPr>
        <w:t>provided</w:t>
      </w:r>
      <w:r>
        <w:rPr>
          <w:rFonts w:ascii="arial" w:hAnsi="arial"/>
          <w:sz w:val="19"/>
        </w:rPr>
        <w:t xml:space="preserve">, that any action taken by the Committee shall be valid and effective, whether or not members of the Committee at the time of such action are later determined not to have satisfied the requirements for membership set forth in this Section 12.l or otherwise provided in any charter of the Committee. Except as may otherwise be provided in any charter of the Committee, appointment of Committee members shall be effective upon acceptance of appointment. Committee members may resign at any time by delivering written or electronic notice to the Board. Vacancies in the Committee may only be filled by the Board. Notwithstanding the foregoing, (a) the full Board, acting by a majority of its members in office, shall conduct the general administration of the Plan with respect to Awards granted to Non-Employee Directors and (b) the Board or Committee may delegate its authority hereunder to the extent permitted by Section 12.6. </w:t>
      </w:r>
    </w:p>
    <w:p>
      <w:pPr>
        <w:pStyle w:val="TextBody"/>
        <w:bidi w:val="0"/>
        <w:spacing w:before="120" w:after="0"/>
        <w:jc w:val="both"/>
        <w:rPr>
          <w:rFonts w:ascii="arial" w:hAnsi="arial"/>
          <w:sz w:val="19"/>
        </w:rPr>
      </w:pPr>
      <w:r>
        <w:rPr>
          <w:rFonts w:ascii="arial" w:hAnsi="arial"/>
          <w:sz w:val="19"/>
        </w:rPr>
        <w:t>12.2 </w:t>
      </w:r>
      <w:r>
        <w:rPr>
          <w:rFonts w:ascii="arial" w:hAnsi="arial"/>
          <w:sz w:val="19"/>
          <w:u w:val="single"/>
        </w:rPr>
        <w:t>Duties and Powers of Committee</w:t>
      </w:r>
      <w:r>
        <w:rPr>
          <w:rFonts w:ascii="arial" w:hAnsi="arial"/>
          <w:sz w:val="19"/>
        </w:rPr>
        <w:t xml:space="preserve">. It shall be the duty of the Committee to conduct the general administration of the Plan in accordance with its provisions, subject to the Committee’s power to delegate duties under Section 12.6. The Committee shall have the power to interpret the Plan, the Program and any Award Agreement, and to adopt such rules for the administration, interpretation and application of the Plan as are not inconsistent therewith, to interpret, amend or revoke any such rules and to amend any Program or Award Agreement </w:t>
      </w:r>
      <w:r>
        <w:rPr>
          <w:rFonts w:ascii="arial" w:hAnsi="arial"/>
          <w:sz w:val="19"/>
          <w:u w:val="single"/>
        </w:rPr>
        <w:t>provided</w:t>
      </w:r>
      <w:r>
        <w:rPr>
          <w:rFonts w:ascii="arial" w:hAnsi="arial"/>
          <w:sz w:val="19"/>
        </w:rPr>
        <w:t xml:space="preserve">, that the rights or obligations of the Holder of the Award that is the subject of any such Program or Award Agreement are not affected adversely by such amendment, unless the consent of the Holder is obtained or such amendment is otherwise permitted under Section 13.10. Any such Award under the Plan need not be the same with respect to each Holder. Any such interpretations and rules with respect to Incentive Stock Options shall be consistent with the provisions of Section 422 of the Code. In its sole discretion, the Board may at any time and from time to time exercise any and all rights and duties of the Committee under the Plan except with respect to matters which under Rule 16b-3 under the Exchange Act or any successor rule, or the rules of any Securities Exchange are required to be determined in the sole discretion of the Committee. </w:t>
      </w:r>
    </w:p>
    <w:p>
      <w:pPr>
        <w:pStyle w:val="TextBody"/>
        <w:bidi w:val="0"/>
        <w:spacing w:before="120" w:after="0"/>
        <w:jc w:val="both"/>
        <w:rPr>
          <w:rFonts w:ascii="arial" w:hAnsi="arial"/>
          <w:sz w:val="19"/>
        </w:rPr>
      </w:pPr>
      <w:r>
        <w:rPr>
          <w:rFonts w:ascii="arial" w:hAnsi="arial"/>
          <w:sz w:val="19"/>
        </w:rPr>
        <w:t>12.3 </w:t>
      </w:r>
      <w:r>
        <w:rPr>
          <w:rFonts w:ascii="arial" w:hAnsi="arial"/>
          <w:sz w:val="19"/>
          <w:u w:val="single"/>
        </w:rPr>
        <w:t>Action by the Committee</w:t>
      </w:r>
      <w:r>
        <w:rPr>
          <w:rFonts w:ascii="arial" w:hAnsi="arial"/>
          <w:sz w:val="19"/>
        </w:rPr>
        <w:t xml:space="preserve">. Unless otherwise established by the Board or in any charter of the Committee, a majority of the Committee shall constitute a quorum and the acts of a majority of the members present at any meeting at which a quorum is present, and acts approved in writing by all members of the Committee in lieu of a meeting, shall be deemed the acts of the Committee. Each member of the Committee is entitled to, in good faith, rely or act upon any report or other information furnished to that member by any officer or other employee of the Company or any Affiliate, the Company’s independent certified public accountants, legal counsel, or any executive compensation consultant or other professional retained by the Company to assist in the administration of the Plan. </w:t>
      </w:r>
    </w:p>
    <w:p>
      <w:pPr>
        <w:pStyle w:val="TextBody"/>
        <w:bidi w:val="0"/>
        <w:spacing w:before="120" w:after="0"/>
        <w:jc w:val="both"/>
        <w:rPr>
          <w:rFonts w:ascii="arial" w:hAnsi="arial"/>
          <w:sz w:val="19"/>
        </w:rPr>
      </w:pPr>
      <w:r>
        <w:rPr>
          <w:rFonts w:ascii="arial" w:hAnsi="arial"/>
          <w:sz w:val="19"/>
        </w:rPr>
        <w:t>12.4 </w:t>
      </w:r>
      <w:r>
        <w:rPr>
          <w:rFonts w:ascii="arial" w:hAnsi="arial"/>
          <w:sz w:val="19"/>
          <w:u w:val="single"/>
        </w:rPr>
        <w:t>Authority of Administrator</w:t>
      </w:r>
      <w:r>
        <w:rPr>
          <w:rFonts w:ascii="arial" w:hAnsi="arial"/>
          <w:sz w:val="19"/>
        </w:rPr>
        <w:t xml:space="preserve">. Subject to any specific designation in the Plan or any applicable Program, the Administrator has the exclusive power, authority and sole discretion to: </w:t>
      </w:r>
    </w:p>
    <w:p>
      <w:pPr>
        <w:pStyle w:val="TextBody"/>
        <w:bidi w:val="0"/>
        <w:spacing w:before="120" w:after="0"/>
        <w:jc w:val="both"/>
        <w:rPr>
          <w:rFonts w:ascii="arial" w:hAnsi="arial"/>
          <w:sz w:val="19"/>
        </w:rPr>
      </w:pPr>
      <w:r>
        <w:rPr>
          <w:rFonts w:ascii="arial" w:hAnsi="arial"/>
          <w:sz w:val="19"/>
        </w:rPr>
        <w:t xml:space="preserve">(a) Designate Eligible Individuals to receive Awards; </w:t>
      </w:r>
    </w:p>
    <w:p>
      <w:pPr>
        <w:pStyle w:val="TextBody"/>
        <w:bidi w:val="0"/>
        <w:spacing w:before="120" w:after="0"/>
        <w:jc w:val="both"/>
        <w:rPr>
          <w:rFonts w:ascii="arial" w:hAnsi="arial"/>
          <w:sz w:val="19"/>
        </w:rPr>
      </w:pPr>
      <w:r>
        <w:rPr>
          <w:rFonts w:ascii="arial" w:hAnsi="arial"/>
          <w:sz w:val="19"/>
        </w:rPr>
        <w:t xml:space="preserve">(b) Determine the type or types of Awards to be granted to each Eligible Individual; </w:t>
      </w:r>
    </w:p>
    <w:p>
      <w:pPr>
        <w:pStyle w:val="TextBody"/>
        <w:bidi w:val="0"/>
        <w:spacing w:before="120" w:after="0"/>
        <w:jc w:val="both"/>
        <w:rPr>
          <w:rFonts w:ascii="arial" w:hAnsi="arial"/>
          <w:sz w:val="19"/>
        </w:rPr>
      </w:pPr>
      <w:r>
        <w:rPr>
          <w:rFonts w:ascii="arial" w:hAnsi="arial"/>
          <w:sz w:val="19"/>
        </w:rPr>
        <w:t xml:space="preserve">(c) Determine the number of Awards to be granted and the number of Shares to which an Award will relate; </w:t>
      </w:r>
    </w:p>
    <w:p>
      <w:pPr>
        <w:pStyle w:val="TextBody"/>
        <w:bidi w:val="0"/>
        <w:spacing w:before="120" w:after="0"/>
        <w:jc w:val="both"/>
        <w:rPr>
          <w:rFonts w:ascii="arial" w:hAnsi="arial"/>
          <w:sz w:val="19"/>
        </w:rPr>
      </w:pPr>
      <w:r>
        <w:rPr>
          <w:rFonts w:ascii="arial" w:hAnsi="arial"/>
          <w:sz w:val="19"/>
        </w:rPr>
        <w:t xml:space="preserve">(d) Determine the terms and conditions of any Award granted pursuant to the Plan, including, but not limited to, the exercise price, grant price, or purchase price, any performance criteria, any restrictions or limitations on the Award, any schedule for vesting, lapse of forfeiture restrictions or restrictions on the exercisability of an Award, and accelerations or waivers thereof, and any provisions related to non-competition and recapture of gain on an Award, based in each case on such considerations as the Administrator in its sole discretion determines; </w:t>
      </w:r>
    </w:p>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C-18  </w:t>
      </w:r>
      <w:r>
        <w:rPr>
          <w:rFonts w:ascii="arial" w:hAnsi="arial"/>
          <w:b/>
          <w:color w:val="474747"/>
          <w:sz w:val="22"/>
        </w:rPr>
        <w:drawing>
          <wp:inline distT="0" distB="0" distL="0" distR="0">
            <wp:extent cx="64770" cy="15240"/>
            <wp:effectExtent l="0" t="0" r="0" b="0"/>
            <wp:docPr id="474"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Image228" descr=""/>
                    <pic:cNvPicPr>
                      <a:picLocks noChangeAspect="1" noChangeArrowheads="1"/>
                    </pic:cNvPicPr>
                  </pic:nvPicPr>
                  <pic:blipFill>
                    <a:blip r:embed="rId241"/>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185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13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137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Appendix C</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both"/>
        <w:rPr>
          <w:rFonts w:ascii="arial" w:hAnsi="arial"/>
          <w:sz w:val="19"/>
        </w:rPr>
      </w:pPr>
      <w:r>
        <w:rPr>
          <w:rFonts w:ascii="arial" w:hAnsi="arial"/>
          <w:sz w:val="19"/>
        </w:rPr>
        <w:t xml:space="preserve">(e) Determine whether, to what extent, and pursuant to what circumstances an Award may be settled in, or the exercise price of an Award may be paid in cash, Shares, other Awards, or other property, or an Award may be canceled, forfeited, or surrendered; </w:t>
      </w:r>
    </w:p>
    <w:p>
      <w:pPr>
        <w:pStyle w:val="TextBody"/>
        <w:bidi w:val="0"/>
        <w:spacing w:before="120" w:after="0"/>
        <w:jc w:val="both"/>
        <w:rPr>
          <w:rFonts w:ascii="arial" w:hAnsi="arial"/>
          <w:sz w:val="19"/>
        </w:rPr>
      </w:pPr>
      <w:r>
        <w:rPr>
          <w:rFonts w:ascii="arial" w:hAnsi="arial"/>
          <w:sz w:val="19"/>
        </w:rPr>
        <w:t xml:space="preserve">(f) Prescribe the form of each Award Agreement, which need not be identical for each Holder; </w:t>
      </w:r>
    </w:p>
    <w:p>
      <w:pPr>
        <w:pStyle w:val="TextBody"/>
        <w:bidi w:val="0"/>
        <w:spacing w:before="120" w:after="0"/>
        <w:jc w:val="both"/>
        <w:rPr>
          <w:rFonts w:ascii="arial" w:hAnsi="arial"/>
          <w:sz w:val="19"/>
        </w:rPr>
      </w:pPr>
      <w:r>
        <w:rPr>
          <w:rFonts w:ascii="arial" w:hAnsi="arial"/>
          <w:sz w:val="19"/>
        </w:rPr>
        <w:t xml:space="preserve">(g) Decide all other matters that must be determined in connection with an Award; </w:t>
      </w:r>
    </w:p>
    <w:p>
      <w:pPr>
        <w:pStyle w:val="TextBody"/>
        <w:bidi w:val="0"/>
        <w:spacing w:before="120" w:after="0"/>
        <w:jc w:val="both"/>
        <w:rPr>
          <w:rFonts w:ascii="arial" w:hAnsi="arial"/>
          <w:sz w:val="19"/>
        </w:rPr>
      </w:pPr>
      <w:r>
        <w:rPr>
          <w:rFonts w:ascii="arial" w:hAnsi="arial"/>
          <w:sz w:val="19"/>
        </w:rPr>
        <w:t xml:space="preserve">(h) Establish, adopt, or revise any rules and/or regulations as it may deem necessary or advisable to administer the Plan; </w:t>
      </w:r>
    </w:p>
    <w:p>
      <w:pPr>
        <w:pStyle w:val="TextBody"/>
        <w:bidi w:val="0"/>
        <w:spacing w:before="120" w:after="0"/>
        <w:jc w:val="both"/>
        <w:rPr>
          <w:rFonts w:ascii="arial" w:hAnsi="arial"/>
          <w:sz w:val="19"/>
        </w:rPr>
      </w:pPr>
      <w:r>
        <w:rPr>
          <w:rFonts w:ascii="arial" w:hAnsi="arial"/>
          <w:sz w:val="19"/>
        </w:rPr>
        <w:t xml:space="preserve">(i) Interpret the terms of, and any matter arising pursuant to, the Plan, any Program or any Award Agreement; and </w:t>
      </w:r>
    </w:p>
    <w:p>
      <w:pPr>
        <w:pStyle w:val="TextBody"/>
        <w:bidi w:val="0"/>
        <w:spacing w:before="120" w:after="0"/>
        <w:jc w:val="both"/>
        <w:rPr>
          <w:rFonts w:ascii="arial" w:hAnsi="arial"/>
          <w:sz w:val="19"/>
        </w:rPr>
      </w:pPr>
      <w:r>
        <w:rPr>
          <w:rFonts w:ascii="arial" w:hAnsi="arial"/>
          <w:sz w:val="19"/>
        </w:rPr>
        <w:t xml:space="preserve">(j) Make all other decisions and determinations that may be required pursuant to the Plan or as the Administrator deems necessary or advisable to administer the Plan. </w:t>
      </w:r>
    </w:p>
    <w:p>
      <w:pPr>
        <w:pStyle w:val="TextBody"/>
        <w:bidi w:val="0"/>
        <w:spacing w:before="120" w:after="0"/>
        <w:jc w:val="both"/>
        <w:rPr>
          <w:rFonts w:ascii="arial" w:hAnsi="arial"/>
          <w:sz w:val="19"/>
        </w:rPr>
      </w:pPr>
      <w:r>
        <w:rPr>
          <w:rFonts w:ascii="arial" w:hAnsi="arial"/>
          <w:sz w:val="19"/>
        </w:rPr>
        <w:t>12.5 </w:t>
      </w:r>
      <w:r>
        <w:rPr>
          <w:rFonts w:ascii="arial" w:hAnsi="arial"/>
          <w:sz w:val="19"/>
          <w:u w:val="single"/>
        </w:rPr>
        <w:t>Decisions Binding</w:t>
      </w:r>
      <w:r>
        <w:rPr>
          <w:rFonts w:ascii="arial" w:hAnsi="arial"/>
          <w:sz w:val="19"/>
        </w:rPr>
        <w:t xml:space="preserve">. The Administrator’s interpretation of the Plan, any Awards granted pursuant to the Plan, any Program, any Award Agreement and all decisions and determinations by the Administrator with respect to the Plan are final, binding, and conclusive on all parties. </w:t>
      </w:r>
    </w:p>
    <w:p>
      <w:pPr>
        <w:pStyle w:val="TextBody"/>
        <w:bidi w:val="0"/>
        <w:spacing w:before="120" w:after="0"/>
        <w:jc w:val="both"/>
        <w:rPr>
          <w:rFonts w:ascii="arial" w:hAnsi="arial"/>
          <w:sz w:val="19"/>
        </w:rPr>
      </w:pPr>
      <w:r>
        <w:rPr>
          <w:rFonts w:ascii="arial" w:hAnsi="arial"/>
          <w:sz w:val="19"/>
        </w:rPr>
        <w:t>12.6 </w:t>
      </w:r>
      <w:r>
        <w:rPr>
          <w:rFonts w:ascii="arial" w:hAnsi="arial"/>
          <w:sz w:val="19"/>
          <w:u w:val="single"/>
        </w:rPr>
        <w:t>Delegation of Authority</w:t>
      </w:r>
      <w:r>
        <w:rPr>
          <w:rFonts w:ascii="arial" w:hAnsi="arial"/>
          <w:sz w:val="19"/>
        </w:rPr>
        <w:t xml:space="preserve">. To the extent permitted by applicable law or the rules of any Securities Exchange, the Board or Committee may from time to time delegate to a committee of one or more members of the Board or one or more officers of the Company the authority to grant or amend Awards or to take other administrative actions pursuant to Article 12; </w:t>
      </w:r>
      <w:r>
        <w:rPr>
          <w:rFonts w:ascii="arial" w:hAnsi="arial"/>
          <w:sz w:val="19"/>
          <w:u w:val="single"/>
        </w:rPr>
        <w:t>provided</w:t>
      </w:r>
      <w:r>
        <w:rPr>
          <w:rFonts w:ascii="arial" w:hAnsi="arial"/>
          <w:sz w:val="19"/>
        </w:rPr>
        <w:t xml:space="preserve">, </w:t>
      </w:r>
      <w:r>
        <w:rPr>
          <w:rFonts w:ascii="arial" w:hAnsi="arial"/>
          <w:sz w:val="19"/>
          <w:u w:val="single"/>
        </w:rPr>
        <w:t>however</w:t>
      </w:r>
      <w:r>
        <w:rPr>
          <w:rFonts w:ascii="arial" w:hAnsi="arial"/>
          <w:sz w:val="19"/>
        </w:rPr>
        <w:t xml:space="preserve">, that in no event shall an officer of the Company be delegated the authority to grant awards to, or amend awards held by individuals who are subject to Section 16 of the Exchange Act or officers of the Company (or Directors) to whom authority to grant or amend Awards has been delegated hereunder; </w:t>
      </w:r>
      <w:r>
        <w:rPr>
          <w:rFonts w:ascii="arial" w:hAnsi="arial"/>
          <w:sz w:val="19"/>
          <w:u w:val="single"/>
        </w:rPr>
        <w:t>provided</w:t>
      </w:r>
      <w:r>
        <w:rPr>
          <w:rFonts w:ascii="arial" w:hAnsi="arial"/>
          <w:sz w:val="19"/>
        </w:rPr>
        <w:t xml:space="preserve"> </w:t>
      </w:r>
      <w:r>
        <w:rPr>
          <w:rFonts w:ascii="arial" w:hAnsi="arial"/>
          <w:sz w:val="19"/>
          <w:u w:val="single"/>
        </w:rPr>
        <w:t>further</w:t>
      </w:r>
      <w:r>
        <w:rPr>
          <w:rFonts w:ascii="arial" w:hAnsi="arial"/>
          <w:sz w:val="19"/>
        </w:rPr>
        <w:t xml:space="preserve">, that any delegation of administrative authority shall only be permitted to the extent it is permissible under applicable securities laws or the rules of any Securities Exchange. Any delegation hereunder shall be subject to the restrictions and limits that the Board or Committee specifies at the time of such delegation, and the Board may at any time rescind the authority so delegated or appoint a new delegate. At all times, the delegatee appointed under this Section 12.6 shall serve in such capacity at the pleasure of the Board and the Committee, as applicable. </w:t>
      </w:r>
    </w:p>
    <w:p>
      <w:pPr>
        <w:pStyle w:val="TextBody"/>
        <w:bidi w:val="0"/>
        <w:spacing w:before="240" w:after="0"/>
        <w:jc w:val="left"/>
        <w:rPr>
          <w:rFonts w:ascii="arial" w:hAnsi="arial"/>
          <w:b/>
          <w:sz w:val="24"/>
        </w:rPr>
      </w:pPr>
      <w:r>
        <w:rPr>
          <w:rFonts w:ascii="arial" w:hAnsi="arial"/>
          <w:b/>
          <w:sz w:val="24"/>
        </w:rPr>
        <w:t xml:space="preserve">ARTICLE 13. </w:t>
      </w:r>
    </w:p>
    <w:p>
      <w:pPr>
        <w:pStyle w:val="TextBody"/>
        <w:bidi w:val="0"/>
        <w:spacing w:before="120" w:after="0"/>
        <w:jc w:val="left"/>
        <w:rPr>
          <w:rFonts w:ascii="arial" w:hAnsi="arial"/>
          <w:b/>
          <w:sz w:val="22"/>
        </w:rPr>
      </w:pPr>
      <w:r>
        <w:rPr>
          <w:rFonts w:ascii="arial" w:hAnsi="arial"/>
          <w:b/>
          <w:sz w:val="22"/>
        </w:rPr>
        <w:t xml:space="preserve">MISCELLANEOUS PROVISIONS </w:t>
      </w:r>
    </w:p>
    <w:p>
      <w:pPr>
        <w:pStyle w:val="TextBody"/>
        <w:bidi w:val="0"/>
        <w:spacing w:before="120" w:after="0"/>
        <w:jc w:val="both"/>
        <w:rPr>
          <w:rFonts w:ascii="arial" w:hAnsi="arial"/>
          <w:sz w:val="19"/>
        </w:rPr>
      </w:pPr>
      <w:r>
        <w:rPr>
          <w:rFonts w:ascii="arial" w:hAnsi="arial"/>
          <w:sz w:val="19"/>
        </w:rPr>
        <w:t>13.1 </w:t>
      </w:r>
      <w:r>
        <w:rPr>
          <w:rFonts w:ascii="arial" w:hAnsi="arial"/>
          <w:sz w:val="19"/>
          <w:u w:val="single"/>
        </w:rPr>
        <w:t>Amendment, Suspension or Termination of the Plan</w:t>
      </w:r>
      <w:r>
        <w:rPr>
          <w:rFonts w:ascii="arial" w:hAnsi="arial"/>
          <w:sz w:val="19"/>
        </w:rPr>
        <w:t xml:space="preserve">. Except as otherwise provided in this Section 13.1, the Plan may be wholly or partially amended or otherwise modified, suspended or terminated at any time or from time to time by the Board or the Committee. However, without approval of the Company’s stockholders given within twelve (12) months before or after the action by the Administrator, no action of the Administrator may, except as provided in Section 13.2, (i) increase the limits imposed in Section 3.1 on the maximum number of shares which may be issued under the Plan, or (ii) take any action contemplated in Section 11.6. Except as provided in Section 13.10, no amendment, suspension or termination of the Plan shall, without the consent of the Holder, materially and adversely affect any rights or obligations under any Award theretofore granted or awarded, unless the Award itself otherwise expressly so provides. No Awards may be granted or awarded during any period of suspension or after termination of the Plan. </w:t>
      </w:r>
    </w:p>
    <w:p>
      <w:pPr>
        <w:pStyle w:val="TextBody"/>
        <w:bidi w:val="0"/>
        <w:spacing w:before="120" w:after="0"/>
        <w:jc w:val="both"/>
        <w:rPr>
          <w:rFonts w:ascii="arial" w:hAnsi="arial"/>
          <w:sz w:val="19"/>
        </w:rPr>
      </w:pPr>
      <w:r>
        <w:rPr>
          <w:rFonts w:ascii="arial" w:hAnsi="arial"/>
          <w:sz w:val="19"/>
        </w:rPr>
        <w:t>13.2 </w:t>
      </w:r>
      <w:r>
        <w:rPr>
          <w:rFonts w:ascii="arial" w:hAnsi="arial"/>
          <w:sz w:val="19"/>
          <w:u w:val="single"/>
        </w:rPr>
        <w:t>Changes in Common Stock or Assets of the Company, Acquisition or Liquidation of the Company and Other Corporate Events</w:t>
      </w:r>
      <w:r>
        <w:rPr>
          <w:rFonts w:ascii="arial" w:hAnsi="arial"/>
          <w:sz w:val="19"/>
        </w:rPr>
        <w:t xml:space="preserve">. </w:t>
      </w:r>
    </w:p>
    <w:p>
      <w:pPr>
        <w:pStyle w:val="TextBody"/>
        <w:bidi w:val="0"/>
        <w:spacing w:before="120" w:after="0"/>
        <w:jc w:val="both"/>
        <w:rPr>
          <w:rFonts w:ascii="arial" w:hAnsi="arial"/>
          <w:sz w:val="19"/>
        </w:rPr>
      </w:pPr>
      <w:r>
        <w:rPr>
          <w:rFonts w:ascii="arial" w:hAnsi="arial"/>
          <w:sz w:val="19"/>
        </w:rPr>
        <w:t xml:space="preserve">(a) In the event of any stock dividend, stock split, combination or exchange of shares, merger, consolidation or other distribution (other than normal cash dividends) of Company assets to stockholders, or any other change affecting the shares of the Company’s stock or the share price of the Company’s stock other than an Equity Restructuring, the Administrator shall make equitable adjustments, if any, to reflect such change with respect to (i) the aggregate number and kind of shares that may be issued under the Plan (including, but not limited to, adjustments of the limitations in Section 3.1 on the maximum number and kind of shares which may be issued under the Plan, adjustments of the Award Limit, and adjustments of the manner in which shares subject to </w:t>
      </w:r>
    </w:p>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475"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 name="Image229" descr=""/>
                    <pic:cNvPicPr>
                      <a:picLocks noChangeAspect="1" noChangeArrowheads="1"/>
                    </pic:cNvPicPr>
                  </pic:nvPicPr>
                  <pic:blipFill>
                    <a:blip r:embed="rId242"/>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C-19</w:t>
      </w:r>
      <w:r>
        <w:rPr>
          <w:rFonts w:ascii="arial" w:hAnsi="arial"/>
          <w:b/>
          <w:sz w:val="22"/>
        </w:rPr>
        <w:t xml:space="preserve"> </w:t>
      </w:r>
      <w:r>
        <w:br w:type="page"/>
      </w:r>
    </w:p>
    <w:p>
      <w:pPr>
        <w:pStyle w:val="HorizontalLine"/>
        <w:bidi w:val="0"/>
        <w:jc w:val="left"/>
        <w:rPr/>
      </w:pPr>
      <w:r>
        <w:rPr/>
      </w:r>
    </w:p>
    <w:tbl>
      <w:tblPr>
        <w:tblW w:w="185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13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137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Appendix C</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both"/>
        <w:rPr>
          <w:rFonts w:ascii="arial" w:hAnsi="arial"/>
          <w:sz w:val="19"/>
        </w:rPr>
      </w:pPr>
      <w:r>
        <w:rPr>
          <w:rFonts w:ascii="arial" w:hAnsi="arial"/>
          <w:sz w:val="19"/>
        </w:rPr>
        <w:t xml:space="preserve">Full Value Awards will be counted); (ii) the number and kind of shares of Common Stock (or other securities or property) subject to outstanding Awards; (iii) the terms and conditions of any outstanding Awards (including, without limitation, any applicable performance targets or criteria with respect thereto); and (iv) the grant or exercise price per share for any outstanding Awards under the Plan. </w:t>
      </w:r>
    </w:p>
    <w:p>
      <w:pPr>
        <w:pStyle w:val="TextBody"/>
        <w:bidi w:val="0"/>
        <w:spacing w:before="120" w:after="0"/>
        <w:jc w:val="both"/>
        <w:rPr>
          <w:rFonts w:ascii="arial" w:hAnsi="arial"/>
          <w:sz w:val="19"/>
        </w:rPr>
      </w:pPr>
      <w:r>
        <w:rPr>
          <w:rFonts w:ascii="arial" w:hAnsi="arial"/>
          <w:sz w:val="19"/>
        </w:rPr>
        <w:t xml:space="preserve">(b) In the event of any transaction or event described in Section 13.2(a) or any unusual or nonrecurring transactions or events affecting the Company, any Affiliate of the Company, or the financial statements of the Company or any Affiliate, or of changes in applicable laws, regulations or accounting principles, the Administrator, in its sole discretion, and on such terms and conditions as it deems appropriate, either by the terms of the Award or by action taken prior to the occurrence of such transaction or event and either automatically or upon the Holder’s request, is hereby authorized to take any one or more of the following actions whenever the Administrator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laws, regulations or principles: </w:t>
      </w:r>
    </w:p>
    <w:p>
      <w:pPr>
        <w:pStyle w:val="TextBody"/>
        <w:bidi w:val="0"/>
        <w:spacing w:before="120" w:after="0"/>
        <w:jc w:val="both"/>
        <w:rPr>
          <w:rFonts w:ascii="arial" w:hAnsi="arial"/>
          <w:sz w:val="19"/>
        </w:rPr>
      </w:pPr>
      <w:r>
        <w:rPr>
          <w:rFonts w:ascii="arial" w:hAnsi="arial"/>
          <w:sz w:val="19"/>
        </w:rPr>
        <w:t xml:space="preserve">(i) To provide for either (A) termination of any such Award in exchange for an amount of cash, if any, equal to the amount that would have been attained upon the exercise or settlement of such Award or realization of the Holder’s rights (and, for the avoidance of doubt, if as of the date of the occurrence of the transaction or event described in this Section 13.2 the Administrator determines in good faith that, upon the exercise or settlement of such Award or realization of the Holder’s rights, the amount that would have been attained is equal to or less than zero, then such Award may be terminated by the Company without payment); provided that any Awards held by members of the Board will be settled in Shares on or immediately prior to the date of the occurrence of the transaction or event described in this Section 13.2 if the Administrator takes action under this clause (A); or (B) the replacement of such Award with other rights or property selected by the Administrator in its sole discretion having an aggregate value not exceeding the amount that could have been attained upon the exercise of such Award or realization of the Holder’s rights had such Award been currently exercisable or payable or fully vested; </w:t>
      </w:r>
    </w:p>
    <w:p>
      <w:pPr>
        <w:pStyle w:val="TextBody"/>
        <w:bidi w:val="0"/>
        <w:spacing w:before="120" w:after="0"/>
        <w:jc w:val="both"/>
        <w:rPr>
          <w:rFonts w:ascii="arial" w:hAnsi="arial"/>
          <w:sz w:val="19"/>
        </w:rPr>
      </w:pPr>
      <w:r>
        <w:rPr>
          <w:rFonts w:ascii="arial" w:hAnsi="arial"/>
          <w:sz w:val="19"/>
        </w:rPr>
        <w:t xml:space="preserve">(ii) To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 </w:t>
      </w:r>
    </w:p>
    <w:p>
      <w:pPr>
        <w:pStyle w:val="TextBody"/>
        <w:bidi w:val="0"/>
        <w:spacing w:before="120" w:after="0"/>
        <w:jc w:val="both"/>
        <w:rPr>
          <w:rFonts w:ascii="arial" w:hAnsi="arial"/>
          <w:sz w:val="19"/>
        </w:rPr>
      </w:pPr>
      <w:r>
        <w:rPr>
          <w:rFonts w:ascii="arial" w:hAnsi="arial"/>
          <w:sz w:val="19"/>
        </w:rPr>
        <w:t xml:space="preserve">(iii) To make adjustments in the number and type of shares of the Company’s stock (or other securities or property) subject to outstanding Awards, and in the number and kind of outstanding Restricted Stock or Deferred Stock and/or in the terms and conditions of (including the grant or exercise price), and the criteria included in, outstanding Awards and Awards which may be granted in the future; </w:t>
      </w:r>
    </w:p>
    <w:p>
      <w:pPr>
        <w:pStyle w:val="TextBody"/>
        <w:bidi w:val="0"/>
        <w:spacing w:before="120" w:after="0"/>
        <w:jc w:val="both"/>
        <w:rPr>
          <w:rFonts w:ascii="arial" w:hAnsi="arial"/>
          <w:sz w:val="19"/>
        </w:rPr>
      </w:pPr>
      <w:r>
        <w:rPr>
          <w:rFonts w:ascii="arial" w:hAnsi="arial"/>
          <w:sz w:val="19"/>
        </w:rPr>
        <w:t xml:space="preserve">(iv) To provide that such Award shall be exercisable or payable or fully vested with respect to all shares covered thereby, notwithstanding anything to the contrary in the Plan or the applicable Program or Award Agreement; and/or </w:t>
      </w:r>
    </w:p>
    <w:p>
      <w:pPr>
        <w:pStyle w:val="TextBody"/>
        <w:bidi w:val="0"/>
        <w:spacing w:before="120" w:after="0"/>
        <w:jc w:val="both"/>
        <w:rPr>
          <w:rFonts w:ascii="arial" w:hAnsi="arial"/>
          <w:sz w:val="19"/>
        </w:rPr>
      </w:pPr>
      <w:r>
        <w:rPr>
          <w:rFonts w:ascii="arial" w:hAnsi="arial"/>
          <w:sz w:val="19"/>
        </w:rPr>
        <w:t xml:space="preserve">(v) To provide that the Award cannot vest, be exercised or become payable after such event. </w:t>
      </w:r>
    </w:p>
    <w:p>
      <w:pPr>
        <w:pStyle w:val="TextBody"/>
        <w:bidi w:val="0"/>
        <w:spacing w:before="120" w:after="0"/>
        <w:jc w:val="both"/>
        <w:rPr>
          <w:rFonts w:ascii="arial" w:hAnsi="arial"/>
          <w:sz w:val="19"/>
        </w:rPr>
      </w:pPr>
      <w:r>
        <w:rPr>
          <w:rFonts w:ascii="arial" w:hAnsi="arial"/>
          <w:sz w:val="19"/>
        </w:rPr>
        <w:t xml:space="preserve">(c) In connection with the occurrence of any Equity Restructuring, and notwithstanding anything to the contrary in Sections 13.2(a) and 13.2(b): </w:t>
      </w:r>
    </w:p>
    <w:p>
      <w:pPr>
        <w:pStyle w:val="TextBody"/>
        <w:bidi w:val="0"/>
        <w:spacing w:before="120" w:after="0"/>
        <w:jc w:val="both"/>
        <w:rPr>
          <w:rFonts w:ascii="arial" w:hAnsi="arial"/>
          <w:sz w:val="19"/>
        </w:rPr>
      </w:pPr>
      <w:r>
        <w:rPr>
          <w:rFonts w:ascii="arial" w:hAnsi="arial"/>
          <w:sz w:val="19"/>
        </w:rPr>
        <w:t xml:space="preserve">(i) The number and type of securities subject to each outstanding Award and the exercise price or grant price thereof and performance goals, if applicable, shall be equitably adjusted; and/or </w:t>
      </w:r>
    </w:p>
    <w:p>
      <w:pPr>
        <w:pStyle w:val="TextBody"/>
        <w:bidi w:val="0"/>
        <w:spacing w:before="120" w:after="0"/>
        <w:jc w:val="both"/>
        <w:rPr>
          <w:rFonts w:ascii="arial" w:hAnsi="arial"/>
          <w:sz w:val="19"/>
        </w:rPr>
      </w:pPr>
      <w:r>
        <w:rPr>
          <w:rFonts w:ascii="arial" w:hAnsi="arial"/>
          <w:sz w:val="19"/>
        </w:rPr>
        <w:t xml:space="preserve">(ii) The Administrator shall make such equitable adjustments, if any, as the Administrator in its discretion may deem appropriate to reflect such Equity Restructuring with respect to the aggregate number and kind of shares that may be issued under the Plan (including, but not limited to, adjustments of the limitations in Section 3.1 on the maximum number and kind of shares which may be issued under the Plan, and adjustments of the Award Limit, and adjustments of the manner in which shares subject to Full Value Awards will be counted). The adjustments provided under this Section 13.2(c) shall be nondiscretionary and shall be final and binding on the affected Holder and the Company. </w:t>
      </w:r>
    </w:p>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C-20  </w:t>
      </w:r>
      <w:r>
        <w:rPr>
          <w:rFonts w:ascii="arial" w:hAnsi="arial"/>
          <w:b/>
          <w:color w:val="474747"/>
          <w:sz w:val="22"/>
        </w:rPr>
        <w:drawing>
          <wp:inline distT="0" distB="0" distL="0" distR="0">
            <wp:extent cx="64770" cy="15240"/>
            <wp:effectExtent l="0" t="0" r="0" b="0"/>
            <wp:docPr id="476"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 name="Image230" descr=""/>
                    <pic:cNvPicPr>
                      <a:picLocks noChangeAspect="1" noChangeArrowheads="1"/>
                    </pic:cNvPicPr>
                  </pic:nvPicPr>
                  <pic:blipFill>
                    <a:blip r:embed="rId243"/>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185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13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137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Appendix C</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both"/>
        <w:rPr>
          <w:rFonts w:ascii="arial" w:hAnsi="arial"/>
          <w:sz w:val="19"/>
        </w:rPr>
      </w:pPr>
      <w:r>
        <w:rPr>
          <w:rFonts w:ascii="arial" w:hAnsi="arial"/>
          <w:sz w:val="19"/>
        </w:rPr>
        <w:t xml:space="preserve">(d) Except as may otherwise be provided by the Administrator with respect to an Award, including in any applicable Award Agreement or other written agreement entered into between the Company (or an Affiliate) and a Holder, if a Change of Control occurs and a Holder’s outstanding Awards are not continued, converted, assumed, or replaced by the surviving or successor entity in such Change of Control, then, immediately prior to the Change of Control, such outstanding Awards, to the extent not continued, converted, assumed, or replaced, shall become fully vested and, as applicable, exercisable, and all forfeiture, repurchase and other restrictions on such Awards shall lapse. </w:t>
      </w:r>
    </w:p>
    <w:p>
      <w:pPr>
        <w:pStyle w:val="TextBody"/>
        <w:bidi w:val="0"/>
        <w:spacing w:before="120" w:after="0"/>
        <w:jc w:val="both"/>
        <w:rPr>
          <w:rFonts w:ascii="arial" w:hAnsi="arial"/>
          <w:sz w:val="19"/>
        </w:rPr>
      </w:pPr>
      <w:r>
        <w:rPr>
          <w:rFonts w:ascii="arial" w:hAnsi="arial"/>
          <w:sz w:val="19"/>
        </w:rPr>
        <w:t xml:space="preserve">(e) The Administrator may, in its sole discretion, include such further provisions and limitations in any Award, Program, agreement or certificate, as it may deem equitable and in the best interests of the Company that are not inconsistent with the provisions of the Plan or any other applicable Program. </w:t>
      </w:r>
    </w:p>
    <w:p>
      <w:pPr>
        <w:pStyle w:val="TextBody"/>
        <w:bidi w:val="0"/>
        <w:spacing w:before="120" w:after="0"/>
        <w:jc w:val="both"/>
        <w:rPr>
          <w:rFonts w:ascii="arial" w:hAnsi="arial"/>
          <w:sz w:val="19"/>
        </w:rPr>
      </w:pPr>
      <w:r>
        <w:rPr>
          <w:rFonts w:ascii="arial" w:hAnsi="arial"/>
          <w:sz w:val="19"/>
        </w:rPr>
        <w:t xml:space="preserve">(f) Unless otherwise determined by the Administrator, no adjustment or action described in this Section 13.2 or in any other provision of the Plan shall be authorized to the extent that such adjustment or action would cause the Plan to violate Section 422(b)(1) of the Code. Furthermore, no such adjustment or action shall be authorized to the extent such adjustment or action would result in short-swing profits liability under Section 16 or violate the exemptive conditions of Rule 16b-3 unless the Administrator determines that the Award is not to comply with such exemptive conditions. </w:t>
      </w:r>
    </w:p>
    <w:p>
      <w:pPr>
        <w:pStyle w:val="TextBody"/>
        <w:bidi w:val="0"/>
        <w:spacing w:before="120" w:after="0"/>
        <w:jc w:val="both"/>
        <w:rPr>
          <w:rFonts w:ascii="arial" w:hAnsi="arial"/>
          <w:sz w:val="19"/>
        </w:rPr>
      </w:pPr>
      <w:r>
        <w:rPr>
          <w:rFonts w:ascii="arial" w:hAnsi="arial"/>
          <w:sz w:val="19"/>
        </w:rPr>
        <w:t xml:space="preserve">(g) The existence of the Plan, any Program, any Award Agreement and any Awards granted hereunder shall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 </w:t>
      </w:r>
    </w:p>
    <w:p>
      <w:pPr>
        <w:pStyle w:val="TextBody"/>
        <w:bidi w:val="0"/>
        <w:spacing w:before="120" w:after="0"/>
        <w:jc w:val="both"/>
        <w:rPr>
          <w:rFonts w:ascii="arial" w:hAnsi="arial"/>
          <w:sz w:val="19"/>
        </w:rPr>
      </w:pPr>
      <w:r>
        <w:rPr>
          <w:rFonts w:ascii="arial" w:hAnsi="arial"/>
          <w:sz w:val="19"/>
        </w:rPr>
        <w:t xml:space="preserve">(h) No action shall be taken under this Section 13.2 which shall cause an Award to fail to comply with Section 409A of the Code or the Treasury Regulations or other official guidance thereunder (“Section 409A”), to the extent applicable to such Award. </w:t>
      </w:r>
    </w:p>
    <w:p>
      <w:pPr>
        <w:pStyle w:val="TextBody"/>
        <w:bidi w:val="0"/>
        <w:spacing w:before="120" w:after="0"/>
        <w:jc w:val="both"/>
        <w:rPr>
          <w:rFonts w:ascii="arial" w:hAnsi="arial"/>
          <w:sz w:val="19"/>
        </w:rPr>
      </w:pPr>
      <w:r>
        <w:rPr>
          <w:rFonts w:ascii="arial" w:hAnsi="arial"/>
          <w:sz w:val="19"/>
        </w:rPr>
        <w:t xml:space="preserve">(i) In the event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Equity Restructuring, for reasons of administrative convenience, the Company in its sole discretion may refuse to permit the exercise of any Award during a period of thirty (30) days prior to the consummation of any such transaction. </w:t>
      </w:r>
    </w:p>
    <w:p>
      <w:pPr>
        <w:pStyle w:val="TextBody"/>
        <w:bidi w:val="0"/>
        <w:spacing w:before="120" w:after="0"/>
        <w:jc w:val="both"/>
        <w:rPr>
          <w:rFonts w:ascii="arial" w:hAnsi="arial"/>
          <w:sz w:val="19"/>
        </w:rPr>
      </w:pPr>
      <w:r>
        <w:rPr>
          <w:rFonts w:ascii="arial" w:hAnsi="arial"/>
          <w:sz w:val="19"/>
        </w:rPr>
        <w:t>13.3 </w:t>
      </w:r>
      <w:r>
        <w:rPr>
          <w:rFonts w:ascii="arial" w:hAnsi="arial"/>
          <w:sz w:val="19"/>
          <w:u w:val="single"/>
        </w:rPr>
        <w:t>Approval of Plan by Stockholders</w:t>
      </w:r>
      <w:r>
        <w:rPr>
          <w:rFonts w:ascii="arial" w:hAnsi="arial"/>
          <w:sz w:val="19"/>
        </w:rPr>
        <w:t xml:space="preserve">. This Plan, which serves as the second amendment and restatement of and successor to the 2009 Plan (as last approved by the stockholders of the Company on May 22, 2013), will be submitted for the approval of the Company’s stockholders within twelve (12) months after the date that this Plan is approved by the Board. </w:t>
      </w:r>
      <w:r>
        <w:rPr>
          <w:rFonts w:ascii="arial" w:hAnsi="arial"/>
          <w:b/>
          <w:sz w:val="19"/>
        </w:rPr>
        <w:t>Until such time as the Company’s stockholders approve this Plan, the terms of the 2009 Plan (without regard to the second amendment and restatement) shall continue to govern and the Company shall continue to grant Awards under the terms of the 2009 Plan, including without limitation the share limits set forth in Section</w:t>
      </w:r>
      <w:r>
        <w:rPr>
          <w:rFonts w:ascii="arial" w:hAnsi="arial"/>
          <w:sz w:val="19"/>
        </w:rPr>
        <w:t> </w:t>
      </w:r>
      <w:r>
        <w:rPr>
          <w:rFonts w:ascii="arial" w:hAnsi="arial"/>
          <w:b/>
          <w:sz w:val="19"/>
        </w:rPr>
        <w:t>3.1 of the Plan (without regard to the second amendment and restatement).</w:t>
      </w:r>
      <w:r>
        <w:rPr>
          <w:rFonts w:ascii="arial" w:hAnsi="arial"/>
          <w:sz w:val="19"/>
        </w:rPr>
        <w:t xml:space="preserve"> If this Plan is not approved by the Company’s stockholders, the 2009 Plan (without regard to the second amendment and restatement) will continue in full force and effect in accordance with its terms. If the Plan is approved by the Company’s stockholders, the Company shall grant awards under the Plan (as the second amendment and restatement of and successor to the 2009 Plan), including without limitation the increase in the share limit under Section 3.1 of the Plan, as of the Effective Date. </w:t>
      </w:r>
    </w:p>
    <w:p>
      <w:pPr>
        <w:pStyle w:val="TextBody"/>
        <w:bidi w:val="0"/>
        <w:spacing w:before="120" w:after="0"/>
        <w:jc w:val="both"/>
        <w:rPr>
          <w:rFonts w:ascii="arial" w:hAnsi="arial"/>
          <w:sz w:val="19"/>
        </w:rPr>
      </w:pPr>
      <w:r>
        <w:rPr>
          <w:rFonts w:ascii="arial" w:hAnsi="arial"/>
          <w:sz w:val="19"/>
        </w:rPr>
        <w:t>13.4 </w:t>
      </w:r>
      <w:r>
        <w:rPr>
          <w:rFonts w:ascii="arial" w:hAnsi="arial"/>
          <w:sz w:val="19"/>
          <w:u w:val="single"/>
        </w:rPr>
        <w:t>No Stockholders Rights</w:t>
      </w:r>
      <w:r>
        <w:rPr>
          <w:rFonts w:ascii="arial" w:hAnsi="arial"/>
          <w:sz w:val="19"/>
        </w:rPr>
        <w:t xml:space="preserve">. Except as otherwise provided herein or in an applicable Program or Award Agreement, if any, a Holder shall have none of the rights of a stockholder with respect to shares of Common Stock covered by any Award until the Holder becomes the record owner of such shares of Common Stock. </w:t>
      </w:r>
    </w:p>
    <w:p>
      <w:pPr>
        <w:pStyle w:val="TextBody"/>
        <w:bidi w:val="0"/>
        <w:spacing w:before="120" w:after="0"/>
        <w:jc w:val="both"/>
        <w:rPr>
          <w:rFonts w:ascii="arial" w:hAnsi="arial"/>
          <w:sz w:val="19"/>
        </w:rPr>
      </w:pPr>
      <w:r>
        <w:rPr>
          <w:rFonts w:ascii="arial" w:hAnsi="arial"/>
          <w:sz w:val="19"/>
        </w:rPr>
        <w:t>13.5 </w:t>
      </w:r>
      <w:r>
        <w:rPr>
          <w:rFonts w:ascii="arial" w:hAnsi="arial"/>
          <w:sz w:val="19"/>
          <w:u w:val="single"/>
        </w:rPr>
        <w:t>Paperless Administration</w:t>
      </w:r>
      <w:r>
        <w:rPr>
          <w:rFonts w:ascii="arial" w:hAnsi="arial"/>
          <w:sz w:val="19"/>
        </w:rPr>
        <w:t xml:space="preserve">. In the event that the Company Stock Administrator establishes, for the Company or using the services of a third party, an automated or electronic system for the documentation, granting or exercise of Awards, such as a system using an internet website, interactive voice response, email or </w:t>
      </w:r>
    </w:p>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477"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 name="Image231" descr=""/>
                    <pic:cNvPicPr>
                      <a:picLocks noChangeAspect="1" noChangeArrowheads="1"/>
                    </pic:cNvPicPr>
                  </pic:nvPicPr>
                  <pic:blipFill>
                    <a:blip r:embed="rId244"/>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C-21</w:t>
      </w:r>
      <w:r>
        <w:rPr>
          <w:rFonts w:ascii="arial" w:hAnsi="arial"/>
          <w:b/>
          <w:sz w:val="22"/>
        </w:rPr>
        <w:t xml:space="preserve"> </w:t>
      </w:r>
      <w:r>
        <w:br w:type="page"/>
      </w:r>
    </w:p>
    <w:p>
      <w:pPr>
        <w:pStyle w:val="HorizontalLine"/>
        <w:bidi w:val="0"/>
        <w:jc w:val="left"/>
        <w:rPr/>
      </w:pPr>
      <w:r>
        <w:rPr/>
      </w:r>
    </w:p>
    <w:tbl>
      <w:tblPr>
        <w:tblW w:w="185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13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137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Appendix C</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both"/>
        <w:rPr>
          <w:rFonts w:ascii="arial" w:hAnsi="arial"/>
          <w:sz w:val="19"/>
        </w:rPr>
      </w:pPr>
      <w:r>
        <w:rPr>
          <w:rFonts w:ascii="arial" w:hAnsi="arial"/>
          <w:sz w:val="19"/>
        </w:rPr>
        <w:t xml:space="preserve">other electronic means, then the paperless documentation, granting or exercise of Awards by a Holder may be permitted through the use of such an automated or electronic system. </w:t>
      </w:r>
    </w:p>
    <w:p>
      <w:pPr>
        <w:pStyle w:val="TextBody"/>
        <w:bidi w:val="0"/>
        <w:spacing w:before="120" w:after="0"/>
        <w:jc w:val="both"/>
        <w:rPr>
          <w:rFonts w:ascii="arial" w:hAnsi="arial"/>
          <w:sz w:val="19"/>
        </w:rPr>
      </w:pPr>
      <w:r>
        <w:rPr>
          <w:rFonts w:ascii="arial" w:hAnsi="arial"/>
          <w:sz w:val="19"/>
        </w:rPr>
        <w:t>13.6 </w:t>
      </w:r>
      <w:r>
        <w:rPr>
          <w:rFonts w:ascii="arial" w:hAnsi="arial"/>
          <w:sz w:val="19"/>
          <w:u w:val="single"/>
        </w:rPr>
        <w:t>Effect of Plan upon Other Compensation Plans</w:t>
      </w:r>
      <w:r>
        <w:rPr>
          <w:rFonts w:ascii="arial" w:hAnsi="arial"/>
          <w:sz w:val="19"/>
        </w:rPr>
        <w:t xml:space="preserve">. The adoption of the Plan shall not affect any other compensation or incentive plans in effect for the Company or any Affiliate. Nothing in the Plan shall be construed to limit the right of the Company or any Affiliate: (a) to establish any other forms of incentives or compensation for Employees or Directors of the Company or any Affiliate or (b) to grant or assume options or other rights or awards otherwise than under the Plan in connection with any proper corporate purpose including without limitation, the grant or assumption of options in connection with the acquisition by purchase, lease, merger, consolidation or otherwise, of the business, stock or assets of any corporation, partnership, limited liability company, firm or association. </w:t>
      </w:r>
    </w:p>
    <w:p>
      <w:pPr>
        <w:pStyle w:val="TextBody"/>
        <w:bidi w:val="0"/>
        <w:spacing w:before="120" w:after="0"/>
        <w:jc w:val="both"/>
        <w:rPr>
          <w:rFonts w:ascii="arial" w:hAnsi="arial"/>
          <w:sz w:val="19"/>
        </w:rPr>
      </w:pPr>
      <w:r>
        <w:rPr>
          <w:rFonts w:ascii="arial" w:hAnsi="arial"/>
          <w:sz w:val="19"/>
        </w:rPr>
        <w:t>13.7 </w:t>
      </w:r>
      <w:r>
        <w:rPr>
          <w:rFonts w:ascii="arial" w:hAnsi="arial"/>
          <w:sz w:val="19"/>
          <w:u w:val="single"/>
        </w:rPr>
        <w:t>Compliance with Laws</w:t>
      </w:r>
      <w:r>
        <w:rPr>
          <w:rFonts w:ascii="arial" w:hAnsi="arial"/>
          <w:sz w:val="19"/>
        </w:rPr>
        <w:t xml:space="preserve">. The Plan, the granting and vesting of Awards under the Plan and the issuance and delivery of Shares and the payment of money under the Plan or under Awards granted or awarded hereunder are subject to compliance with all applicable federal, state, local and foreign laws, rules and regulations (including but not limited to state, federal and foreign securities law and margin requirements), the rules of any Securities Exchange,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legal requirements. To the extent permitted by applicable law, the Plan, any Program and any Awards granted or awarded hereunder shall be deemed amended to the extent necessary to conform to such laws, rules and regulations. </w:t>
      </w:r>
    </w:p>
    <w:p>
      <w:pPr>
        <w:pStyle w:val="TextBody"/>
        <w:bidi w:val="0"/>
        <w:spacing w:before="120" w:after="0"/>
        <w:jc w:val="both"/>
        <w:rPr>
          <w:rFonts w:ascii="arial" w:hAnsi="arial"/>
          <w:sz w:val="19"/>
        </w:rPr>
      </w:pPr>
      <w:r>
        <w:rPr>
          <w:rFonts w:ascii="arial" w:hAnsi="arial"/>
          <w:sz w:val="19"/>
        </w:rPr>
        <w:t>13.8 </w:t>
      </w:r>
      <w:r>
        <w:rPr>
          <w:rFonts w:ascii="arial" w:hAnsi="arial"/>
          <w:sz w:val="19"/>
          <w:u w:val="single"/>
        </w:rPr>
        <w:t>Titles and Headings, References to Sections of the Code, the Securities Act or Exchange Act</w:t>
      </w:r>
      <w:r>
        <w:rPr>
          <w:rFonts w:ascii="arial" w:hAnsi="arial"/>
          <w:sz w:val="19"/>
        </w:rPr>
        <w:t xml:space="preserve">. The titles and headings of the Sections in the Plan are for convenience of reference only and, in the event of any conflict, the text of the Plan, rather than such titles or headings, shall control. References to sections of the Code, the Securities Act or the Exchange Act shall include any amendment or successor thereto. </w:t>
      </w:r>
    </w:p>
    <w:p>
      <w:pPr>
        <w:pStyle w:val="TextBody"/>
        <w:bidi w:val="0"/>
        <w:spacing w:before="120" w:after="0"/>
        <w:jc w:val="both"/>
        <w:rPr>
          <w:rFonts w:ascii="arial" w:hAnsi="arial"/>
          <w:sz w:val="19"/>
        </w:rPr>
      </w:pPr>
      <w:r>
        <w:rPr>
          <w:rFonts w:ascii="arial" w:hAnsi="arial"/>
          <w:sz w:val="19"/>
        </w:rPr>
        <w:t>13.9 </w:t>
      </w:r>
      <w:r>
        <w:rPr>
          <w:rFonts w:ascii="arial" w:hAnsi="arial"/>
          <w:sz w:val="19"/>
          <w:u w:val="single"/>
        </w:rPr>
        <w:t>Governing Law</w:t>
      </w:r>
      <w:r>
        <w:rPr>
          <w:rFonts w:ascii="arial" w:hAnsi="arial"/>
          <w:sz w:val="19"/>
        </w:rPr>
        <w:t xml:space="preserve">. The Plan, any Program and any agreements hereunder shall be administered, interpreted and enforced under the internal laws of the State of Delaware without regard to conflicts of laws thereof. </w:t>
      </w:r>
    </w:p>
    <w:p>
      <w:pPr>
        <w:pStyle w:val="TextBody"/>
        <w:bidi w:val="0"/>
        <w:spacing w:before="120" w:after="0"/>
        <w:jc w:val="both"/>
        <w:rPr>
          <w:rFonts w:ascii="arial" w:hAnsi="arial"/>
          <w:sz w:val="19"/>
        </w:rPr>
      </w:pPr>
      <w:r>
        <w:rPr>
          <w:rFonts w:ascii="arial" w:hAnsi="arial"/>
          <w:sz w:val="19"/>
        </w:rPr>
        <w:t>13.10 </w:t>
      </w:r>
      <w:r>
        <w:rPr>
          <w:rFonts w:ascii="arial" w:hAnsi="arial"/>
          <w:sz w:val="19"/>
          <w:u w:val="single"/>
        </w:rPr>
        <w:t>Section 409A</w:t>
      </w:r>
      <w:r>
        <w:rPr>
          <w:rFonts w:ascii="arial" w:hAnsi="arial"/>
          <w:sz w:val="19"/>
        </w:rPr>
        <w:t xml:space="preserve">. To the extent that the Administrator determines that any Award granted under the Plan is subject to Section 409A, the Plan and the Program pursuant to which such Award is granted and the Award Agreement evidencing such Award shall incorporate the terms and conditions required by Section 409A. In that regard, to the extent any Award under the Plan or any other compensatory plan or arrangement of the Company or any of its Subsidiaries is subject to Section 409A, and such Award or other amount is payable on account of a Holder’s Termination of Service (or any similarly defined term), then (a) such Award or amount shall only be paid to the extent such Termination of Service qualifies as a “separation from service” as defined in Section 409A, and (b) if such Award or amount is payable to a “specified employee” as defined in Section 409A, then to the extent required in order to avoid a prohibited distribution under Section 409A, such Award or other compensatory payment shall not be payable prior to the earlier of (i) the expiration of the six-month period measured from the date of the Holder’s Termination of Service, or (ii) the date of the Holder’s death. To the extent applicable, the Plan, the Program and any Award Agreements shall be interpreted in accordance with Section 409A. Notwithstanding any provision of the Plan to the contrary, in the event that, following the Effective Date, the Administrator determines that any Award may be subject to Section 409A, the Administrator may (but is not obligated to), without a Holder’s consent, adopt such amendments to the Plan and the applicable Program and Award Agreement or adopt other policies and procedures (including amendments, policies and procedures with retroactive effect), or take any other actions, that the Administrator determines are necessary or appropriate to (A) exempt the Award from Section 409A and/or preserve the intended tax treatment of the benefits provided with respect to the Award, or (B) comply with the requirements of Section 409A and thereby avoid the application of any penalty taxes under Section 409A. The Company makes no representations or warranties as to the tax treatment of any Award under Section 409A or otherwise. The Company shall have no obligation under this Section 13.10 or otherwise to take any action (whether or not described herein) to avoid the imposition of taxes, penalties or interest under Section 409A with respect to any Award and shall have no liability to any Holder or any other person if any Award, compensation or other benefits under the Plan are determined to constitute non-compliant, “nonqualified deferred compensation” subject to the imposition of taxes, penalties </w:t>
      </w:r>
    </w:p>
    <w:p>
      <w:pPr>
        <w:pStyle w:val="TextBody"/>
        <w:bidi w:val="0"/>
        <w:spacing w:before="0" w:after="0"/>
        <w:jc w:val="left"/>
        <w:rPr/>
      </w:pPr>
      <w:r>
        <w:rPr/>
        <w:t> </w:t>
      </w:r>
    </w:p>
    <w:p>
      <w:pPr>
        <w:pStyle w:val="TextBody"/>
        <w:bidi w:val="0"/>
        <w:spacing w:before="0" w:after="0"/>
        <w:jc w:val="left"/>
        <w:rPr>
          <w:rFonts w:ascii="arial" w:hAnsi="arial"/>
          <w:color w:val="474747"/>
          <w:sz w:val="22"/>
        </w:rPr>
      </w:pPr>
      <w:r>
        <w:rPr>
          <w:rFonts w:ascii="arial" w:hAnsi="arial"/>
          <w:b/>
          <w:color w:val="474747"/>
          <w:sz w:val="22"/>
        </w:rPr>
        <w:t xml:space="preserve">C-22  </w:t>
      </w:r>
      <w:r>
        <w:rPr>
          <w:rFonts w:ascii="arial" w:hAnsi="arial"/>
          <w:b/>
          <w:color w:val="474747"/>
          <w:sz w:val="22"/>
        </w:rPr>
        <w:drawing>
          <wp:inline distT="0" distB="0" distL="0" distR="0">
            <wp:extent cx="64770" cy="15240"/>
            <wp:effectExtent l="0" t="0" r="0" b="0"/>
            <wp:docPr id="478"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 name="Image232" descr=""/>
                    <pic:cNvPicPr>
                      <a:picLocks noChangeAspect="1" noChangeArrowheads="1"/>
                    </pic:cNvPicPr>
                  </pic:nvPicPr>
                  <pic:blipFill>
                    <a:blip r:embed="rId245"/>
                    <a:stretch>
                      <a:fillRect/>
                    </a:stretch>
                  </pic:blipFill>
                  <pic:spPr bwMode="auto">
                    <a:xfrm>
                      <a:off x="0" y="0"/>
                      <a:ext cx="64770" cy="15240"/>
                    </a:xfrm>
                    <a:prstGeom prst="rect">
                      <a:avLst/>
                    </a:prstGeom>
                  </pic:spPr>
                </pic:pic>
              </a:graphicData>
            </a:graphic>
          </wp:inline>
        </w:drawing>
      </w:r>
      <w:r>
        <w:rPr>
          <w:rFonts w:ascii="arial" w:hAnsi="arial"/>
          <w:b/>
          <w:color w:val="474747"/>
          <w:sz w:val="22"/>
        </w:rPr>
        <w:t xml:space="preserve"> </w:t>
      </w:r>
      <w:r>
        <w:rPr>
          <w:rFonts w:ascii="arial" w:hAnsi="arial"/>
          <w:color w:val="474747"/>
          <w:sz w:val="22"/>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color w:val="474747"/>
          <w:sz w:val="22"/>
        </w:rPr>
        <w:t xml:space="preserve"> </w:t>
      </w:r>
      <w:r>
        <w:br w:type="page"/>
      </w:r>
    </w:p>
    <w:p>
      <w:pPr>
        <w:pStyle w:val="HorizontalLine"/>
        <w:bidi w:val="0"/>
        <w:jc w:val="left"/>
        <w:rPr/>
      </w:pPr>
      <w:r>
        <w:rPr/>
      </w:r>
    </w:p>
    <w:tbl>
      <w:tblPr>
        <w:tblW w:w="1852"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137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0171B9" w:val="clear"/>
            <w:vAlign w:val="center"/>
          </w:tcPr>
          <w:p>
            <w:pPr>
              <w:pStyle w:val="TableContents"/>
              <w:bidi w:val="0"/>
              <w:spacing w:before="0" w:after="283"/>
              <w:jc w:val="left"/>
              <w:rPr/>
            </w:pPr>
            <w:r>
              <w:rPr/>
              <w:t> </w:t>
            </w:r>
          </w:p>
        </w:tc>
        <w:tc>
          <w:tcPr>
            <w:tcW w:w="60"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c>
          <w:tcPr>
            <w:tcW w:w="1370" w:type="dxa"/>
            <w:tcBorders/>
            <w:shd w:fill="0171B9" w:val="clear"/>
            <w:vAlign w:val="center"/>
          </w:tcPr>
          <w:p>
            <w:pPr>
              <w:pStyle w:val="TableContents"/>
              <w:bidi w:val="0"/>
              <w:spacing w:before="0" w:after="0"/>
              <w:jc w:val="left"/>
              <w:rPr/>
            </w:pPr>
            <w:r>
              <w:rPr/>
              <w:t> </w:t>
            </w:r>
          </w:p>
          <w:p>
            <w:pPr>
              <w:pStyle w:val="TableContents"/>
              <w:bidi w:val="0"/>
              <w:spacing w:before="0" w:after="0"/>
              <w:jc w:val="right"/>
              <w:rPr>
                <w:rFonts w:ascii="arial" w:hAnsi="arial"/>
                <w:b/>
                <w:color w:val="FFFFFF"/>
                <w:sz w:val="24"/>
              </w:rPr>
            </w:pPr>
            <w:r>
              <w:rPr>
                <w:rFonts w:ascii="arial" w:hAnsi="arial"/>
                <w:b/>
                <w:color w:val="FFFFFF"/>
                <w:sz w:val="24"/>
              </w:rPr>
              <w:t>Appendix C</w:t>
            </w:r>
          </w:p>
          <w:p>
            <w:pPr>
              <w:pStyle w:val="TableContents"/>
              <w:bidi w:val="0"/>
              <w:spacing w:before="0" w:after="20"/>
              <w:jc w:val="left"/>
              <w:rPr/>
            </w:pPr>
            <w:r>
              <w:rPr/>
              <w:t> </w:t>
            </w:r>
          </w:p>
        </w:tc>
        <w:tc>
          <w:tcPr>
            <w:tcW w:w="75" w:type="dxa"/>
            <w:tcBorders/>
            <w:shd w:fill="0171B9" w:val="clear"/>
            <w:vAlign w:val="center"/>
          </w:tcPr>
          <w:p>
            <w:pPr>
              <w:pStyle w:val="TableContents"/>
              <w:bidi w:val="0"/>
              <w:spacing w:before="0" w:after="0"/>
              <w:jc w:val="left"/>
              <w:rPr/>
            </w:pPr>
            <w:r>
              <w:rPr/>
              <w:t> </w:t>
            </w:r>
          </w:p>
          <w:p>
            <w:pPr>
              <w:pStyle w:val="TableContents"/>
              <w:bidi w:val="0"/>
              <w:spacing w:before="0" w:after="0"/>
              <w:jc w:val="left"/>
              <w:rPr>
                <w:color w:val="FFFFFF"/>
              </w:rPr>
            </w:pPr>
            <w:r>
              <w:rPr>
                <w:color w:val="FFFFFF"/>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both"/>
        <w:rPr>
          <w:rFonts w:ascii="arial" w:hAnsi="arial"/>
          <w:sz w:val="19"/>
        </w:rPr>
      </w:pPr>
      <w:r>
        <w:rPr>
          <w:rFonts w:ascii="arial" w:hAnsi="arial"/>
          <w:sz w:val="19"/>
        </w:rPr>
        <w:t xml:space="preserve">and/or interest under Section 409A. For purposes of Section 409A, a Holder’s right to receive any installment payments under the Plan or pursuant to an Award shall be treated as a right to receive a series of separate and distinct payments. Whenever a payment under the Plan or pursuant to an Award specifies a payment period with reference to a number of days (e.g. “payment shall be made within thirty (30) days following the date of termination”), the actual date of payment within the specified period shall be within the sole discretion of the Company. </w:t>
      </w:r>
    </w:p>
    <w:p>
      <w:pPr>
        <w:pStyle w:val="TextBody"/>
        <w:bidi w:val="0"/>
        <w:spacing w:before="120" w:after="0"/>
        <w:jc w:val="both"/>
        <w:rPr>
          <w:rFonts w:ascii="arial" w:hAnsi="arial"/>
          <w:sz w:val="19"/>
        </w:rPr>
      </w:pPr>
      <w:r>
        <w:rPr>
          <w:rFonts w:ascii="arial" w:hAnsi="arial"/>
          <w:sz w:val="19"/>
        </w:rPr>
        <w:t>13.11 </w:t>
      </w:r>
      <w:r>
        <w:rPr>
          <w:rFonts w:ascii="arial" w:hAnsi="arial"/>
          <w:sz w:val="19"/>
          <w:u w:val="single"/>
        </w:rPr>
        <w:t>No Rights to Awards</w:t>
      </w:r>
      <w:r>
        <w:rPr>
          <w:rFonts w:ascii="arial" w:hAnsi="arial"/>
          <w:sz w:val="19"/>
        </w:rPr>
        <w:t xml:space="preserve">. No Eligible Individual or other person shall have any claim to be granted any Award pursuant to the Plan, and neither the Company nor the Administrator is obligated to treat Eligible Individuals, Holders or any other persons uniformly. </w:t>
      </w:r>
    </w:p>
    <w:p>
      <w:pPr>
        <w:pStyle w:val="TextBody"/>
        <w:bidi w:val="0"/>
        <w:spacing w:before="120" w:after="0"/>
        <w:jc w:val="both"/>
        <w:rPr>
          <w:rFonts w:ascii="arial" w:hAnsi="arial"/>
          <w:sz w:val="19"/>
        </w:rPr>
      </w:pPr>
      <w:r>
        <w:rPr>
          <w:rFonts w:ascii="arial" w:hAnsi="arial"/>
          <w:sz w:val="19"/>
        </w:rPr>
        <w:t>13.12 </w:t>
      </w:r>
      <w:r>
        <w:rPr>
          <w:rFonts w:ascii="arial" w:hAnsi="arial"/>
          <w:sz w:val="19"/>
          <w:u w:val="single"/>
        </w:rPr>
        <w:t>Unfunded Status of Awards</w:t>
      </w:r>
      <w:r>
        <w:rPr>
          <w:rFonts w:ascii="arial" w:hAnsi="arial"/>
          <w:sz w:val="19"/>
        </w:rPr>
        <w:t xml:space="preserve">. The Plan is intended to be an “unfunded” plan for incentive compensation. With respect to any payments not yet made to a Holder pursuant to an Award, nothing contained in the Plan or any Program or Award Agreement shall give the Holder any rights that are greater than those of a general creditor of the Company or any Affiliate. </w:t>
      </w:r>
    </w:p>
    <w:p>
      <w:pPr>
        <w:pStyle w:val="TextBody"/>
        <w:bidi w:val="0"/>
        <w:spacing w:before="120" w:after="0"/>
        <w:jc w:val="both"/>
        <w:rPr>
          <w:rFonts w:ascii="arial" w:hAnsi="arial"/>
          <w:sz w:val="19"/>
        </w:rPr>
      </w:pPr>
      <w:r>
        <w:rPr>
          <w:rFonts w:ascii="arial" w:hAnsi="arial"/>
          <w:sz w:val="19"/>
        </w:rPr>
        <w:t>13.13 </w:t>
      </w:r>
      <w:r>
        <w:rPr>
          <w:rFonts w:ascii="arial" w:hAnsi="arial"/>
          <w:sz w:val="19"/>
          <w:u w:val="single"/>
        </w:rPr>
        <w:t>Indemnification</w:t>
      </w:r>
      <w:r>
        <w:rPr>
          <w:rFonts w:ascii="arial" w:hAnsi="arial"/>
          <w:sz w:val="19"/>
        </w:rPr>
        <w:t xml:space="preserve">. To the extent allowable pursuant to applicable law, each member of the Committee or of the Board shall be indemnified and held harmless by the Company from any loss, cost, liability, or expense that may be imposed upon or reasonably incurred by such member in connection with or resulting from any claim, action, suit, or proceeding to which he, she or they may be a party or in which he, she or they may be involved by reason of any action or failure to act pursuant to the Plan and against and from any and all amounts paid by him, her or them in satisfaction of judgment in such action, suit, or proceeding against him, her or them. The foregoing right of indemnification shall not be exclusive of any other rights of indemnification to which such persons may be entitled pursuant to the Company’s Certificate of Incorporation or Bylaws, as a matter of law, or otherwise, or any power that the Company may have to indemnify them or hold them harmless. </w:t>
      </w:r>
    </w:p>
    <w:p>
      <w:pPr>
        <w:pStyle w:val="TextBody"/>
        <w:bidi w:val="0"/>
        <w:spacing w:before="120" w:after="0"/>
        <w:jc w:val="both"/>
        <w:rPr>
          <w:rFonts w:ascii="arial" w:hAnsi="arial"/>
          <w:sz w:val="19"/>
        </w:rPr>
      </w:pPr>
      <w:r>
        <w:rPr>
          <w:rFonts w:ascii="arial" w:hAnsi="arial"/>
          <w:sz w:val="19"/>
        </w:rPr>
        <w:t>13.14 </w:t>
      </w:r>
      <w:r>
        <w:rPr>
          <w:rFonts w:ascii="arial" w:hAnsi="arial"/>
          <w:sz w:val="19"/>
          <w:u w:val="single"/>
        </w:rPr>
        <w:t>Relationship to other Benefits</w:t>
      </w:r>
      <w:r>
        <w:rPr>
          <w:rFonts w:ascii="arial" w:hAnsi="arial"/>
          <w:sz w:val="19"/>
        </w:rPr>
        <w:t xml:space="preserve">. No payment pursuant to the Plan shall be taken into account in determining any benefits under any pension, retirement, savings, profit sharing, group insurance, welfare or other benefit plan of the Company or any Affiliate except to the extent otherwise expressly provided in writing in such other plan or an agreement thereunder. </w:t>
      </w:r>
    </w:p>
    <w:p>
      <w:pPr>
        <w:pStyle w:val="TextBody"/>
        <w:bidi w:val="0"/>
        <w:spacing w:before="120" w:after="0"/>
        <w:jc w:val="both"/>
        <w:rPr>
          <w:rFonts w:ascii="arial" w:hAnsi="arial"/>
          <w:sz w:val="19"/>
        </w:rPr>
      </w:pPr>
      <w:r>
        <w:rPr>
          <w:rFonts w:ascii="arial" w:hAnsi="arial"/>
          <w:sz w:val="19"/>
        </w:rPr>
        <w:t>13.15 </w:t>
      </w:r>
      <w:r>
        <w:rPr>
          <w:rFonts w:ascii="arial" w:hAnsi="arial"/>
          <w:sz w:val="19"/>
          <w:u w:val="single"/>
        </w:rPr>
        <w:t>Expenses</w:t>
      </w:r>
      <w:r>
        <w:rPr>
          <w:rFonts w:ascii="arial" w:hAnsi="arial"/>
          <w:sz w:val="19"/>
        </w:rPr>
        <w:t xml:space="preserve">. The expenses of administering the Plan shall be borne by the Company and its Affiliates. </w:t>
      </w:r>
    </w:p>
    <w:p>
      <w:pPr>
        <w:pStyle w:val="TextBody"/>
        <w:bidi w:val="0"/>
        <w:spacing w:before="120" w:after="0"/>
        <w:jc w:val="center"/>
        <w:rPr>
          <w:rFonts w:ascii="arial" w:hAnsi="arial"/>
          <w:sz w:val="22"/>
        </w:rPr>
      </w:pPr>
      <w:r>
        <w:rPr>
          <w:rFonts w:ascii="arial" w:hAnsi="arial"/>
          <w:sz w:val="22"/>
        </w:rPr>
        <w:t xml:space="preserve">* * * * * </w:t>
      </w:r>
    </w:p>
    <w:p>
      <w:pPr>
        <w:pStyle w:val="TextBody"/>
        <w:bidi w:val="0"/>
        <w:spacing w:before="120" w:after="0"/>
        <w:jc w:val="both"/>
        <w:rPr>
          <w:rFonts w:ascii="arial" w:hAnsi="arial"/>
          <w:sz w:val="19"/>
        </w:rPr>
      </w:pPr>
      <w:r>
        <w:rPr>
          <w:rFonts w:ascii="arial" w:hAnsi="arial"/>
          <w:sz w:val="19"/>
        </w:rPr>
        <w:t xml:space="preserve">I hereby certify that the foregoing Amgen Inc. Second Amended and Restated 2009 Equity Incentive Plan was duly adopted by the Board of Directors of Amgen Inc. on March 6, 2024. </w:t>
      </w:r>
    </w:p>
    <w:p>
      <w:pPr>
        <w:pStyle w:val="TextBody"/>
        <w:bidi w:val="0"/>
        <w:spacing w:before="120" w:after="0"/>
        <w:jc w:val="center"/>
        <w:rPr>
          <w:rFonts w:ascii="arial" w:hAnsi="arial"/>
          <w:sz w:val="22"/>
        </w:rPr>
      </w:pPr>
      <w:r>
        <w:rPr>
          <w:rFonts w:ascii="arial" w:hAnsi="arial"/>
          <w:sz w:val="22"/>
        </w:rPr>
        <w:t xml:space="preserve">* * * * * </w:t>
      </w:r>
    </w:p>
    <w:p>
      <w:pPr>
        <w:pStyle w:val="TextBody"/>
        <w:bidi w:val="0"/>
        <w:spacing w:before="120" w:after="0"/>
        <w:jc w:val="both"/>
        <w:rPr>
          <w:rFonts w:ascii="arial" w:hAnsi="arial"/>
          <w:sz w:val="19"/>
        </w:rPr>
      </w:pPr>
      <w:r>
        <w:rPr>
          <w:rFonts w:ascii="arial" w:hAnsi="arial"/>
          <w:sz w:val="19"/>
        </w:rPr>
        <w:t xml:space="preserve">I hereby certify that the foregoing Amgen Inc. Second Amended and Restated 2009 Equity Incentive Plan was approved by the stockholders of Amgen Inc. on May 31, 2024. </w:t>
      </w:r>
    </w:p>
    <w:p>
      <w:pPr>
        <w:pStyle w:val="TextBody"/>
        <w:bidi w:val="0"/>
        <w:spacing w:before="120" w:after="0"/>
        <w:jc w:val="both"/>
        <w:rPr>
          <w:rFonts w:ascii="arial" w:hAnsi="arial"/>
          <w:sz w:val="19"/>
        </w:rPr>
      </w:pPr>
      <w:r>
        <w:rPr>
          <w:rFonts w:ascii="arial" w:hAnsi="arial"/>
          <w:sz w:val="19"/>
        </w:rPr>
        <w:t xml:space="preserve">Executed this </w:t>
      </w:r>
      <w:r>
        <w:rPr>
          <w:rFonts w:ascii="arial" w:hAnsi="arial"/>
          <w:sz w:val="19"/>
          <w:u w:val="single"/>
        </w:rPr>
        <w:t>   </w:t>
      </w:r>
      <w:r>
        <w:rPr>
          <w:rFonts w:ascii="arial" w:hAnsi="arial"/>
          <w:sz w:val="19"/>
        </w:rPr>
        <w:t xml:space="preserve"> day of </w:t>
      </w:r>
      <w:r>
        <w:rPr>
          <w:rFonts w:ascii="arial" w:hAnsi="arial"/>
          <w:sz w:val="19"/>
          <w:u w:val="single"/>
        </w:rPr>
        <w:t>    </w:t>
      </w:r>
      <w:r>
        <w:rPr>
          <w:rFonts w:ascii="arial" w:hAnsi="arial"/>
          <w:sz w:val="19"/>
        </w:rPr>
        <w:t xml:space="preserve">, 2024. </w:t>
      </w:r>
    </w:p>
    <w:p>
      <w:pPr>
        <w:pStyle w:val="TextBody"/>
        <w:bidi w:val="0"/>
        <w:spacing w:before="0" w:after="0"/>
        <w:jc w:val="left"/>
        <w:rPr/>
      </w:pPr>
      <w:r>
        <w:rPr/>
        <w:t> </w:t>
      </w:r>
    </w:p>
    <w:tbl>
      <w:tblPr>
        <w:tblW w:w="2765" w:type="dxa"/>
        <w:jc w:val="left"/>
        <w:tblInd w:w="0" w:type="dxa"/>
        <w:tblLayout w:type="fixed"/>
        <w:tblCellMar>
          <w:top w:w="0" w:type="dxa"/>
          <w:left w:w="0" w:type="dxa"/>
          <w:bottom w:w="0" w:type="dxa"/>
          <w:right w:w="0" w:type="dxa"/>
        </w:tblCellMar>
      </w:tblPr>
      <w:tblGrid>
        <w:gridCol w:w="2765"/>
      </w:tblGrid>
      <w:tr>
        <w:trPr/>
        <w:tc>
          <w:tcPr>
            <w:tcW w:w="2765" w:type="dxa"/>
            <w:tcBorders/>
            <w:vAlign w:val="center"/>
          </w:tcPr>
          <w:p>
            <w:pPr>
              <w:pStyle w:val="TableContents"/>
              <w:bidi w:val="0"/>
              <w:spacing w:before="0" w:after="283"/>
              <w:jc w:val="left"/>
              <w:rPr>
                <w:sz w:val="4"/>
                <w:szCs w:val="4"/>
              </w:rPr>
            </w:pPr>
            <w:r>
              <w:rPr>
                <w:sz w:val="4"/>
                <w:szCs w:val="4"/>
              </w:rPr>
            </w:r>
          </w:p>
        </w:tc>
      </w:tr>
      <w:tr>
        <w:trPr/>
        <w:tc>
          <w:tcPr>
            <w:tcW w:w="2765" w:type="dxa"/>
            <w:tcBorders/>
            <w:vAlign w:val="center"/>
          </w:tcPr>
          <w:p>
            <w:pPr>
              <w:pStyle w:val="TableContents"/>
              <w:pBdr>
                <w:bottom w:val="single" w:sz="2" w:space="1" w:color="000000"/>
              </w:pBdr>
              <w:bidi w:val="0"/>
              <w:spacing w:lineRule="atLeast" w:line="142" w:before="0" w:after="40"/>
              <w:jc w:val="left"/>
              <w:rPr/>
            </w:pPr>
            <w:r>
              <w:rPr/>
              <w:t> </w:t>
            </w:r>
          </w:p>
          <w:p>
            <w:pPr>
              <w:pStyle w:val="TableContents"/>
              <w:bidi w:val="0"/>
              <w:spacing w:before="0" w:after="20"/>
              <w:jc w:val="both"/>
              <w:rPr>
                <w:rFonts w:ascii="arial" w:hAnsi="arial"/>
                <w:sz w:val="19"/>
              </w:rPr>
            </w:pPr>
            <w:r>
              <w:rPr>
                <w:rFonts w:ascii="arial" w:hAnsi="arial"/>
                <w:sz w:val="19"/>
              </w:rPr>
              <w:t>Jonathan P. Graham</w:t>
            </w:r>
          </w:p>
        </w:tc>
      </w:tr>
      <w:tr>
        <w:trPr/>
        <w:tc>
          <w:tcPr>
            <w:tcW w:w="2765" w:type="dxa"/>
            <w:tcBorders/>
            <w:vAlign w:val="center"/>
          </w:tcPr>
          <w:p>
            <w:pPr>
              <w:pStyle w:val="TableContents"/>
              <w:bidi w:val="0"/>
              <w:spacing w:before="0" w:after="0"/>
              <w:jc w:val="both"/>
              <w:rPr>
                <w:rFonts w:ascii="arial" w:hAnsi="arial"/>
                <w:sz w:val="19"/>
              </w:rPr>
            </w:pPr>
            <w:r>
              <w:rPr>
                <w:rFonts w:ascii="arial" w:hAnsi="arial"/>
                <w:sz w:val="19"/>
              </w:rPr>
              <w:t>Executive Vice President and</w:t>
            </w:r>
          </w:p>
        </w:tc>
      </w:tr>
      <w:tr>
        <w:trPr/>
        <w:tc>
          <w:tcPr>
            <w:tcW w:w="2765" w:type="dxa"/>
            <w:tcBorders/>
            <w:vAlign w:val="center"/>
          </w:tcPr>
          <w:p>
            <w:pPr>
              <w:pStyle w:val="TableContents"/>
              <w:bidi w:val="0"/>
              <w:spacing w:before="0" w:after="0"/>
              <w:jc w:val="both"/>
              <w:rPr>
                <w:rFonts w:ascii="arial" w:hAnsi="arial"/>
                <w:sz w:val="19"/>
              </w:rPr>
            </w:pPr>
            <w:r>
              <w:rPr>
                <w:rFonts w:ascii="arial" w:hAnsi="arial"/>
                <w:sz w:val="19"/>
              </w:rPr>
              <w:t>General Counsel and Secretary</w:t>
            </w:r>
          </w:p>
        </w:tc>
      </w:tr>
      <w:tr>
        <w:trPr/>
        <w:tc>
          <w:tcPr>
            <w:tcW w:w="2765" w:type="dxa"/>
            <w:tcBorders/>
            <w:vAlign w:val="center"/>
          </w:tcPr>
          <w:p>
            <w:pPr>
              <w:pStyle w:val="TableContents"/>
              <w:bidi w:val="0"/>
              <w:spacing w:before="0" w:after="0"/>
              <w:jc w:val="both"/>
              <w:rPr>
                <w:rFonts w:ascii="arial" w:hAnsi="arial"/>
                <w:sz w:val="19"/>
              </w:rPr>
            </w:pPr>
            <w:r>
              <w:rPr>
                <w:rFonts w:ascii="arial" w:hAnsi="arial"/>
                <w:sz w:val="19"/>
              </w:rPr>
              <w:t>(Corporate Secretary)</w:t>
            </w:r>
          </w:p>
        </w:tc>
      </w:tr>
    </w:tbl>
    <w:p>
      <w:pPr>
        <w:pStyle w:val="TextBody"/>
        <w:bidi w:val="0"/>
        <w:spacing w:before="0" w:after="0"/>
        <w:jc w:val="left"/>
        <w:rPr/>
      </w:pPr>
      <w:r>
        <w:rPr/>
        <w:t> </w:t>
      </w:r>
    </w:p>
    <w:p>
      <w:pPr>
        <w:pStyle w:val="TextBody"/>
        <w:bidi w:val="0"/>
        <w:spacing w:before="0" w:after="0"/>
        <w:jc w:val="right"/>
        <w:rPr/>
      </w:pPr>
      <w:r>
        <w:rPr/>
        <w:drawing>
          <wp:inline distT="0" distB="0" distL="0" distR="0">
            <wp:extent cx="64770" cy="15240"/>
            <wp:effectExtent l="0" t="0" r="0" b="0"/>
            <wp:docPr id="479"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 name="Image233" descr=""/>
                    <pic:cNvPicPr>
                      <a:picLocks noChangeAspect="1" noChangeArrowheads="1"/>
                    </pic:cNvPicPr>
                  </pic:nvPicPr>
                  <pic:blipFill>
                    <a:blip r:embed="rId246"/>
                    <a:stretch>
                      <a:fillRect/>
                    </a:stretch>
                  </pic:blipFill>
                  <pic:spPr bwMode="auto">
                    <a:xfrm>
                      <a:off x="0" y="0"/>
                      <a:ext cx="64770" cy="15240"/>
                    </a:xfrm>
                    <a:prstGeom prst="rect">
                      <a:avLst/>
                    </a:prstGeom>
                  </pic:spPr>
                </pic:pic>
              </a:graphicData>
            </a:graphic>
          </wp:inline>
        </w:drawing>
      </w:r>
      <w:r>
        <w:rPr/>
        <w:t xml:space="preserve"> </w:t>
      </w:r>
      <w:r>
        <w:rPr>
          <w:color w:val="474747"/>
        </w:rPr>
        <w:t> </w:t>
      </w:r>
      <w:r>
        <w:rPr>
          <w:rFonts w:ascii="SYMBOL" w:hAnsi="SYMBOL"/>
          <w:color w:val="666666"/>
          <w:sz w:val="28"/>
        </w:rPr>
        <w:t>ï</w:t>
      </w:r>
      <w:r>
        <w:rPr>
          <w:rFonts w:ascii="arial" w:hAnsi="arial"/>
          <w:color w:val="474747"/>
          <w:sz w:val="22"/>
        </w:rPr>
        <w:t> </w:t>
      </w:r>
      <w:r>
        <w:rPr>
          <w:rFonts w:ascii="arial" w:hAnsi="arial"/>
          <w:i/>
          <w:color w:val="474747"/>
          <w:sz w:val="22"/>
        </w:rPr>
        <w:t>2024 Proxy Statement</w:t>
      </w:r>
      <w:r>
        <w:rPr>
          <w:rFonts w:ascii="arial" w:hAnsi="arial"/>
          <w:sz w:val="22"/>
        </w:rPr>
        <w:t> </w:t>
      </w:r>
      <w:r>
        <w:rPr>
          <w:rFonts w:ascii="arial" w:hAnsi="arial"/>
          <w:b/>
          <w:color w:val="474747"/>
          <w:sz w:val="22"/>
        </w:rPr>
        <w:t>C-23</w:t>
      </w:r>
      <w:r>
        <w:rPr>
          <w:rFonts w:ascii="arial" w:hAnsi="arial"/>
          <w:b/>
          <w:sz w:val="22"/>
        </w:rPr>
        <w:t xml:space="preserve"> </w:t>
      </w:r>
      <w:r>
        <w:br w:type="page"/>
      </w:r>
    </w:p>
    <w:p>
      <w:pPr>
        <w:pStyle w:val="HorizontalLine"/>
        <w:bidi w:val="0"/>
        <w:jc w:val="left"/>
        <w:rPr/>
      </w:pPr>
      <w:r>
        <w:rPr/>
      </w:r>
    </w:p>
    <w:p>
      <w:pPr>
        <w:pStyle w:val="TextBody"/>
        <w:bidi w:val="0"/>
        <w:spacing w:before="0" w:after="0"/>
        <w:jc w:val="center"/>
        <w:rPr/>
      </w:pPr>
      <w:r>
        <w:rPr/>
        <w:drawing>
          <wp:inline distT="0" distB="0" distL="0" distR="0">
            <wp:extent cx="7115175" cy="9144000"/>
            <wp:effectExtent l="0" t="0" r="0" b="0"/>
            <wp:docPr id="480"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Image234" descr=""/>
                    <pic:cNvPicPr>
                      <a:picLocks noChangeAspect="1" noChangeArrowheads="1"/>
                    </pic:cNvPicPr>
                  </pic:nvPicPr>
                  <pic:blipFill>
                    <a:blip r:embed="rId247"/>
                    <a:stretch>
                      <a:fillRect/>
                    </a:stretch>
                  </pic:blipFill>
                  <pic:spPr bwMode="auto">
                    <a:xfrm>
                      <a:off x="0" y="0"/>
                      <a:ext cx="7115175" cy="9144000"/>
                    </a:xfrm>
                    <a:prstGeom prst="rect">
                      <a:avLst/>
                    </a:prstGeom>
                  </pic:spPr>
                </pic:pic>
              </a:graphicData>
            </a:graphic>
          </wp:inline>
        </w:drawing>
      </w:r>
      <w:r>
        <w:rPr/>
        <w:t xml:space="preserve"> </w:t>
      </w:r>
      <w:r>
        <w:br w:type="page"/>
      </w:r>
    </w:p>
    <w:p>
      <w:pPr>
        <w:pStyle w:val="HorizontalLine"/>
        <w:bidi w:val="0"/>
        <w:jc w:val="left"/>
        <w:rPr/>
      </w:pPr>
      <w:r>
        <w:rPr/>
      </w:r>
    </w:p>
    <w:p>
      <w:pPr>
        <w:pStyle w:val="TextBody"/>
        <w:bidi w:val="0"/>
        <w:spacing w:before="0" w:after="0"/>
        <w:jc w:val="center"/>
        <w:rPr>
          <w:rFonts w:ascii="ARIAL" w:hAnsi="ARIAL"/>
          <w:b/>
          <w:sz w:val="36"/>
        </w:rPr>
      </w:pPr>
      <w:r>
        <w:rPr>
          <w:rFonts w:ascii="ARIAL" w:hAnsi="ARIAL"/>
          <w:b/>
          <w:sz w:val="36"/>
        </w:rPr>
        <w:t xml:space="preserve">SAMPLE </w:t>
      </w:r>
    </w:p>
    <w:p>
      <w:pPr>
        <w:pStyle w:val="TextBody"/>
        <w:bidi w:val="0"/>
        <w:spacing w:before="0" w:after="0"/>
        <w:jc w:val="left"/>
        <w:rPr/>
      </w:pPr>
      <w:r>
        <w:rPr/>
        <w:t> </w:t>
      </w:r>
    </w:p>
    <w:p>
      <w:pPr>
        <w:pStyle w:val="TextBody"/>
        <w:bidi w:val="0"/>
        <w:spacing w:before="0" w:after="0"/>
        <w:jc w:val="center"/>
        <w:rPr/>
      </w:pPr>
      <w:r>
        <w:rPr/>
        <w:drawing>
          <wp:inline distT="0" distB="0" distL="0" distR="0">
            <wp:extent cx="6477000" cy="8382000"/>
            <wp:effectExtent l="0" t="0" r="0" b="0"/>
            <wp:docPr id="481"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 name="Image235" descr=""/>
                    <pic:cNvPicPr>
                      <a:picLocks noChangeAspect="1" noChangeArrowheads="1"/>
                    </pic:cNvPicPr>
                  </pic:nvPicPr>
                  <pic:blipFill>
                    <a:blip r:embed="rId248"/>
                    <a:stretch>
                      <a:fillRect/>
                    </a:stretch>
                  </pic:blipFill>
                  <pic:spPr bwMode="auto">
                    <a:xfrm>
                      <a:off x="0" y="0"/>
                      <a:ext cx="6477000" cy="8382000"/>
                    </a:xfrm>
                    <a:prstGeom prst="rect">
                      <a:avLst/>
                    </a:prstGeom>
                  </pic:spPr>
                </pic:pic>
              </a:graphicData>
            </a:graphic>
          </wp:inline>
        </w:drawing>
      </w:r>
      <w:r>
        <w:rPr/>
        <w:t xml:space="preserve"> </w:t>
      </w:r>
    </w:p>
    <w:p>
      <w:pPr>
        <w:pStyle w:val="TextBody"/>
        <w:bidi w:val="0"/>
        <w:jc w:val="both"/>
        <w:rPr>
          <w:rFonts w:ascii="arial" w:hAnsi="arial"/>
          <w:color w:val="FFFFFF"/>
          <w:sz w:val="2"/>
        </w:rPr>
      </w:pPr>
      <w:r>
        <w:rPr>
          <w:rFonts w:ascii="arial" w:hAnsi="arial"/>
          <w:color w:val="FFFFFF"/>
          <w:sz w:val="2"/>
        </w:rPr>
        <w:t xml:space="preserve">AMGEN INC. ONE AMGEN CENTER DRIVE THOUSAND OAKS, CA 91320-1799 ATTN: CORPORATE SECRETARY SCAN TO VIEW MATERIALS &amp; VOTE VOTE BY INTERNET Before The Meeting - Go to www.proxyvote.com or scan the QR Barcode above Use the Internet to transmit your voting instructions and for electronic delivery of information. Vote by 11:59 p.m. Eastern Time on May 30, 2024 for shares held directly and by 11:59 p.m. Eastern Time on May 28, 2024 for shares held in plans sponsored by Amgen or its subsidiaries. Have your proxy card in hand when you access the web site and follow the instructions to obtain your records and to create an electronic voting instruction form. During The Meeting - Go to www.virtualshareholdermeeting.com/AMGN2024 You may attend the meeting via the Internet and vote during the meeting. Have the information that is printed in the box marked by the arrow available and follow the instructions. VOTE BY PHONE - 1-800-690-6903 Use any touch-tone telephone to transmit your voting instructions. Vote by 11:59 p.m. Eastern Time on May 30, 2024 for shares held directly and by 11:59 p.m. Eastern Time on May 28, 2024 for shares held in plans sponsored by Amgen or its subsidiaries.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V43507-P05304 KEEP THIS PORTION FOR YOUR RECORDS THIS PROXY CARD IS VALID ONLY WHEN SIGNED AND DATED. DETACH AND RETURN THIS PORTION ONLY AMGEN INC. The Board of Directors recommends you vote “FOR” each listed nominee in item #1. 1. To elect twelve directors to the Board of Directors of Amgen Inc. for a term of office expiring at the 2025 annual meeting of stockholders. The nominees for election to the Board of Directors are: For Against Abstain 1a. Dr. Wanda M. Austin 1b. Mr. Robert A. Bradway 1c. Dr. Michael V. Drake 1d. Dr. Brian J. Druker 1e. Mr. Robert A. Eckert 1f. Mr. Greg C. Garland 1g. Mr. Charles M. Holley, Jr. 1h. Dr. S. Omar Ishrak 1i. Dr. Tyler Jacks 1j. Dr. Mary E. Klotman 1k. Ms. Ellen J. Kullman 1l. Ms. Amy E. Miles The Board of Directors recommends you vote “FOR” each of items #2, #3 and #4. For Against Abstain 2. Advisory vote to approve our executive compensation. 3. To approve our Amgen Inc. Second Amended and Restated 2009 Equity Incentive Plan. 4. To ratify the selection of Ernst &amp; Young LLP as our independent registered public accountants for the fiscal year ending December 31, 2024. NOTE: Such other business as may properly come before the meeting or any continuation, postponement, or adjournment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 </w:t>
      </w:r>
      <w:r>
        <w:br w:type="page"/>
      </w:r>
    </w:p>
    <w:p>
      <w:pPr>
        <w:pStyle w:val="HorizontalLine"/>
        <w:bidi w:val="0"/>
        <w:jc w:val="left"/>
        <w:rPr/>
      </w:pPr>
      <w:r>
        <w:rPr/>
      </w:r>
    </w:p>
    <w:p>
      <w:pPr>
        <w:pStyle w:val="TextBody"/>
        <w:bidi w:val="0"/>
        <w:spacing w:before="0" w:after="0"/>
        <w:jc w:val="center"/>
        <w:rPr>
          <w:rFonts w:ascii="ARIAL" w:hAnsi="ARIAL"/>
          <w:b/>
          <w:sz w:val="36"/>
        </w:rPr>
      </w:pPr>
      <w:r>
        <w:rPr>
          <w:rFonts w:ascii="ARIAL" w:hAnsi="ARIAL"/>
          <w:b/>
          <w:sz w:val="36"/>
        </w:rPr>
        <w:t xml:space="preserve">SAMPLE </w:t>
      </w:r>
    </w:p>
    <w:p>
      <w:pPr>
        <w:pStyle w:val="TextBody"/>
        <w:bidi w:val="0"/>
        <w:spacing w:before="0" w:after="0"/>
        <w:jc w:val="left"/>
        <w:rPr/>
      </w:pPr>
      <w:r>
        <w:rPr/>
        <w:t> </w:t>
      </w:r>
    </w:p>
    <w:p>
      <w:pPr>
        <w:pStyle w:val="TextBody"/>
        <w:bidi w:val="0"/>
        <w:spacing w:before="0" w:after="0"/>
        <w:jc w:val="center"/>
        <w:rPr/>
      </w:pPr>
      <w:r>
        <w:rPr/>
        <w:drawing>
          <wp:inline distT="0" distB="0" distL="0" distR="0">
            <wp:extent cx="6477000" cy="8382000"/>
            <wp:effectExtent l="0" t="0" r="0" b="0"/>
            <wp:docPr id="482"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 name="Image236" descr=""/>
                    <pic:cNvPicPr>
                      <a:picLocks noChangeAspect="1" noChangeArrowheads="1"/>
                    </pic:cNvPicPr>
                  </pic:nvPicPr>
                  <pic:blipFill>
                    <a:blip r:embed="rId249"/>
                    <a:stretch>
                      <a:fillRect/>
                    </a:stretch>
                  </pic:blipFill>
                  <pic:spPr bwMode="auto">
                    <a:xfrm>
                      <a:off x="0" y="0"/>
                      <a:ext cx="6477000" cy="8382000"/>
                    </a:xfrm>
                    <a:prstGeom prst="rect">
                      <a:avLst/>
                    </a:prstGeom>
                  </pic:spPr>
                </pic:pic>
              </a:graphicData>
            </a:graphic>
          </wp:inline>
        </w:drawing>
      </w:r>
      <w:r>
        <w:rPr/>
        <w:t xml:space="preserve"> </w:t>
      </w:r>
    </w:p>
    <w:p>
      <w:pPr>
        <w:pStyle w:val="TextBody"/>
        <w:bidi w:val="0"/>
        <w:spacing w:before="0" w:after="283"/>
        <w:jc w:val="both"/>
        <w:rPr>
          <w:rFonts w:ascii="arial" w:hAnsi="arial"/>
          <w:color w:val="FFFFFF"/>
          <w:sz w:val="2"/>
        </w:rPr>
      </w:pPr>
      <w:r>
        <w:rPr>
          <w:rFonts w:ascii="arial" w:hAnsi="arial"/>
          <w:color w:val="FFFFFF"/>
          <w:sz w:val="2"/>
        </w:rPr>
        <w:t xml:space="preserve">ANNUAL MEETING OF STOCKHOLDERS OF AMGEN INC. May 31, 2024 GO GREEN e-Consent makes it easy to go paperless. With e-Consent, you can quickly access your proxy material, statements and other eligible documents online, while reducing costs, clutter and paper waste. Enroll today via www.proxyvote.com to enjoy online access. IMPORTANT NOTICE REGARDING THE AVAILABILITY OF PROXY MATERIALS FOR THE STOCKHOLDER MEETING TO BE HELD ON MAY 31, 2024: The Notice of 2024 Annual Meeting of Stockholders, Proxy Statement, Form Proxy Card and 2023 Annual Report are available at www.proxyvote.com. The Amgen Inc. 2024 Annual Meeting of Stockholders will be held solely by remote communication via the Internet at www.virtualshareholdermeeting.com/AMGN2024. Although the Annual Meeting will not be held in person, stockholders will, to the extent possible, be afforded the same rights and opportunities to participate at the virtual meeting similarly to how they would participate at an in-person meeting. This Proxy Card will be voted as specified or, if no choice is specified, will be voted FOR the election of each of the named director nominees, FOR the advisory vote to approve our executive compensation, FOR approval of our Amgen Inc. Second Amended and Restated 2009 Equity Incentive Plan, and FOR ratification of the selection of Ernst &amp; Young LLP as our independent registered public accountants. As of the date hereof, the undersigned hereby acknowledges receipt of the 2024 Proxy Statement and accompanying Notice of 2024 Annual Meeting of Stockholders to be held on May 31, 2024, Proxy Card, and the 2023 Annual Report. In their discretion, the Proxy Holders (as defined below) are authorized to vote upon such other matters as may properly come before the 2024 Annual Meeting of Stockholders and at any continuation, postponement, or adjournment thereof. The Board of Directors, at present, knows of no other business to be presented at the 2024 Annual Meeting of Stockholders. By signing this proxy you revoke all prior proxies. This proxy will be governed by the laws of the State of Delaware and federal securities laws. V43508-P05304 AMGEN INC. ONE AMGEN CENTER DRIVE, THOUSAND OAKS, CA 91320-1799 PROXY SOLICITED BY THE BOARD OF DIRECTORS FOR THE 2024 ANNUAL MEETING OF STOCKHOLDERS TO BE HELD ON MAY 31, 2024 Robert A. Bradway, Peter H. Griffith, and Jonathan P. Graham (the “Proxy Holders”), or any of them, each with the power of substitution, hereby are authorized to represent the undersigned, with all powers which the undersigned would possess if personally present, to vote the shares of Amgen Inc. Common Stock of the undersigned at the 2024 Annual Meeting of Stockholders of Amgen Inc., to be held on Friday, May 31, 2024, at 11:00 A.M., Pacific Time, by remote communication via the Internet at www.virtualshareholdermeeting.com/AMGN2024, and at any continuation, postponement, or adjournment of that meeting, upon and in respect of the following matters and in accordance with the following instructions, with discretionary authority as to any and all other business that may properly come before the meeting. You are encouraged to specify your choices by marking the appropriate boxes, SEE REVERSE SIDE, but you need not mark any boxes if you wish to vote in accordance with the Board of Directors’ recommendations. PLEASE MARK, SIGN, DATE, AND RETURN PROMPTLY USING THE ENCLOSED ENVELOPE. (Continued and to be signed on reverse side)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ARIAL">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5.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5.jpeg"/><Relationship Id="rId15" Type="http://schemas.openxmlformats.org/officeDocument/2006/relationships/image" Target="media/image12.jpeg"/><Relationship Id="rId16" Type="http://schemas.openxmlformats.org/officeDocument/2006/relationships/image" Target="media/image13.jpeg"/><Relationship Id="rId17" Type="http://schemas.openxmlformats.org/officeDocument/2006/relationships/image" Target="media/image14.jpeg"/><Relationship Id="rId18" Type="http://schemas.openxmlformats.org/officeDocument/2006/relationships/image" Target="media/image15.jpeg"/><Relationship Id="rId19" Type="http://schemas.openxmlformats.org/officeDocument/2006/relationships/image" Target="media/image5.jpeg"/><Relationship Id="rId20" Type="http://schemas.openxmlformats.org/officeDocument/2006/relationships/image" Target="media/image5.jpeg"/><Relationship Id="rId21" Type="http://schemas.openxmlformats.org/officeDocument/2006/relationships/image" Target="media/image16.jpeg"/><Relationship Id="rId22" Type="http://schemas.openxmlformats.org/officeDocument/2006/relationships/image" Target="media/image17.jpeg"/><Relationship Id="rId23" Type="http://schemas.openxmlformats.org/officeDocument/2006/relationships/image" Target="media/image5.jpeg"/><Relationship Id="rId24" Type="http://schemas.openxmlformats.org/officeDocument/2006/relationships/image" Target="media/image5.jpeg"/><Relationship Id="rId25" Type="http://schemas.openxmlformats.org/officeDocument/2006/relationships/image" Target="media/image5.jpeg"/><Relationship Id="rId26" Type="http://schemas.openxmlformats.org/officeDocument/2006/relationships/image" Target="media/image5.jpeg"/><Relationship Id="rId27" Type="http://schemas.openxmlformats.org/officeDocument/2006/relationships/image" Target="media/image18.jpeg"/><Relationship Id="rId28" Type="http://schemas.openxmlformats.org/officeDocument/2006/relationships/image" Target="media/image5.jpeg"/><Relationship Id="rId29" Type="http://schemas.openxmlformats.org/officeDocument/2006/relationships/image" Target="media/image19.jpeg"/><Relationship Id="rId30" Type="http://schemas.openxmlformats.org/officeDocument/2006/relationships/image" Target="media/image5.jpeg"/><Relationship Id="rId31" Type="http://schemas.openxmlformats.org/officeDocument/2006/relationships/image" Target="media/image20.jpeg"/><Relationship Id="rId32" Type="http://schemas.openxmlformats.org/officeDocument/2006/relationships/image" Target="media/image21.jpeg"/><Relationship Id="rId33" Type="http://schemas.openxmlformats.org/officeDocument/2006/relationships/image" Target="media/image5.jpeg"/><Relationship Id="rId34" Type="http://schemas.openxmlformats.org/officeDocument/2006/relationships/image" Target="media/image22.jpeg"/><Relationship Id="rId35" Type="http://schemas.openxmlformats.org/officeDocument/2006/relationships/image" Target="media/image5.jpeg"/><Relationship Id="rId36" Type="http://schemas.openxmlformats.org/officeDocument/2006/relationships/image" Target="media/image23.jpeg"/><Relationship Id="rId37" Type="http://schemas.openxmlformats.org/officeDocument/2006/relationships/image" Target="media/image5.jpeg"/><Relationship Id="rId38" Type="http://schemas.openxmlformats.org/officeDocument/2006/relationships/image" Target="media/image24.jpeg"/><Relationship Id="rId39" Type="http://schemas.openxmlformats.org/officeDocument/2006/relationships/image" Target="media/image5.jpeg"/><Relationship Id="rId40" Type="http://schemas.openxmlformats.org/officeDocument/2006/relationships/image" Target="media/image25.jpeg"/><Relationship Id="rId41" Type="http://schemas.openxmlformats.org/officeDocument/2006/relationships/image" Target="media/image5.jpeg"/><Relationship Id="rId42" Type="http://schemas.openxmlformats.org/officeDocument/2006/relationships/image" Target="media/image26.jpeg"/><Relationship Id="rId43" Type="http://schemas.openxmlformats.org/officeDocument/2006/relationships/image" Target="media/image5.jpeg"/><Relationship Id="rId44" Type="http://schemas.openxmlformats.org/officeDocument/2006/relationships/image" Target="media/image27.jpeg"/><Relationship Id="rId45" Type="http://schemas.openxmlformats.org/officeDocument/2006/relationships/image" Target="media/image5.jpeg"/><Relationship Id="rId46" Type="http://schemas.openxmlformats.org/officeDocument/2006/relationships/image" Target="media/image28.jpeg"/><Relationship Id="rId47" Type="http://schemas.openxmlformats.org/officeDocument/2006/relationships/image" Target="media/image5.jpeg"/><Relationship Id="rId48" Type="http://schemas.openxmlformats.org/officeDocument/2006/relationships/image" Target="media/image29.jpeg"/><Relationship Id="rId49" Type="http://schemas.openxmlformats.org/officeDocument/2006/relationships/image" Target="media/image5.jpeg"/><Relationship Id="rId50" Type="http://schemas.openxmlformats.org/officeDocument/2006/relationships/image" Target="media/image30.jpeg"/><Relationship Id="rId51" Type="http://schemas.openxmlformats.org/officeDocument/2006/relationships/image" Target="media/image5.jpeg"/><Relationship Id="rId52" Type="http://schemas.openxmlformats.org/officeDocument/2006/relationships/image" Target="media/image5.jpeg"/><Relationship Id="rId53" Type="http://schemas.openxmlformats.org/officeDocument/2006/relationships/image" Target="media/image5.jpeg"/><Relationship Id="rId54" Type="http://schemas.openxmlformats.org/officeDocument/2006/relationships/image" Target="media/image5.jpeg"/><Relationship Id="rId55" Type="http://schemas.openxmlformats.org/officeDocument/2006/relationships/image" Target="media/image5.jpeg"/><Relationship Id="rId56" Type="http://schemas.openxmlformats.org/officeDocument/2006/relationships/image" Target="media/image5.jpeg"/><Relationship Id="rId57" Type="http://schemas.openxmlformats.org/officeDocument/2006/relationships/image" Target="media/image5.jpeg"/><Relationship Id="rId58" Type="http://schemas.openxmlformats.org/officeDocument/2006/relationships/image" Target="media/image5.jpeg"/><Relationship Id="rId59" Type="http://schemas.openxmlformats.org/officeDocument/2006/relationships/image" Target="media/image5.jpeg"/><Relationship Id="rId60" Type="http://schemas.openxmlformats.org/officeDocument/2006/relationships/image" Target="media/image31.jpeg"/><Relationship Id="rId61" Type="http://schemas.openxmlformats.org/officeDocument/2006/relationships/image" Target="media/image32.jpeg"/><Relationship Id="rId62" Type="http://schemas.openxmlformats.org/officeDocument/2006/relationships/image" Target="media/image5.jpeg"/><Relationship Id="rId63" Type="http://schemas.openxmlformats.org/officeDocument/2006/relationships/image" Target="media/image5.jpeg"/><Relationship Id="rId64" Type="http://schemas.openxmlformats.org/officeDocument/2006/relationships/image" Target="media/image33.jpeg"/><Relationship Id="rId65" Type="http://schemas.openxmlformats.org/officeDocument/2006/relationships/image" Target="media/image5.jpeg"/><Relationship Id="rId66" Type="http://schemas.openxmlformats.org/officeDocument/2006/relationships/image" Target="media/image34.jpeg"/><Relationship Id="rId67" Type="http://schemas.openxmlformats.org/officeDocument/2006/relationships/image" Target="media/image5.jpeg"/><Relationship Id="rId68" Type="http://schemas.openxmlformats.org/officeDocument/2006/relationships/image" Target="media/image5.jpeg"/><Relationship Id="rId69" Type="http://schemas.openxmlformats.org/officeDocument/2006/relationships/image" Target="media/image5.jpeg"/><Relationship Id="rId70" Type="http://schemas.openxmlformats.org/officeDocument/2006/relationships/image" Target="media/image5.jpeg"/><Relationship Id="rId71" Type="http://schemas.openxmlformats.org/officeDocument/2006/relationships/image" Target="media/image35.jpeg"/><Relationship Id="rId72" Type="http://schemas.openxmlformats.org/officeDocument/2006/relationships/image" Target="media/image35.jpeg"/><Relationship Id="rId73" Type="http://schemas.openxmlformats.org/officeDocument/2006/relationships/image" Target="media/image5.jpeg"/><Relationship Id="rId74" Type="http://schemas.openxmlformats.org/officeDocument/2006/relationships/image" Target="media/image36.jpeg"/><Relationship Id="rId75" Type="http://schemas.openxmlformats.org/officeDocument/2006/relationships/image" Target="media/image36.jpeg"/><Relationship Id="rId76" Type="http://schemas.openxmlformats.org/officeDocument/2006/relationships/image" Target="media/image5.jpeg"/><Relationship Id="rId77" Type="http://schemas.openxmlformats.org/officeDocument/2006/relationships/image" Target="media/image37.jpeg"/><Relationship Id="rId78" Type="http://schemas.openxmlformats.org/officeDocument/2006/relationships/image" Target="media/image37.jpeg"/><Relationship Id="rId79" Type="http://schemas.openxmlformats.org/officeDocument/2006/relationships/image" Target="media/image5.jpeg"/><Relationship Id="rId80" Type="http://schemas.openxmlformats.org/officeDocument/2006/relationships/image" Target="media/image5.jpeg"/><Relationship Id="rId81" Type="http://schemas.openxmlformats.org/officeDocument/2006/relationships/image" Target="media/image5.jpeg"/><Relationship Id="rId82" Type="http://schemas.openxmlformats.org/officeDocument/2006/relationships/image" Target="media/image5.jpeg"/><Relationship Id="rId83" Type="http://schemas.openxmlformats.org/officeDocument/2006/relationships/image" Target="media/image5.jpeg"/><Relationship Id="rId84" Type="http://schemas.openxmlformats.org/officeDocument/2006/relationships/image" Target="media/image5.jpeg"/><Relationship Id="rId85" Type="http://schemas.openxmlformats.org/officeDocument/2006/relationships/image" Target="media/image5.jpeg"/><Relationship Id="rId86" Type="http://schemas.openxmlformats.org/officeDocument/2006/relationships/image" Target="media/image5.jpeg"/><Relationship Id="rId87" Type="http://schemas.openxmlformats.org/officeDocument/2006/relationships/image" Target="media/image5.jpeg"/><Relationship Id="rId88" Type="http://schemas.openxmlformats.org/officeDocument/2006/relationships/image" Target="media/image5.jpeg"/><Relationship Id="rId89" Type="http://schemas.openxmlformats.org/officeDocument/2006/relationships/image" Target="media/image5.jpeg"/><Relationship Id="rId90" Type="http://schemas.openxmlformats.org/officeDocument/2006/relationships/image" Target="media/image38.jpeg"/><Relationship Id="rId91" Type="http://schemas.openxmlformats.org/officeDocument/2006/relationships/image" Target="media/image5.jpeg"/><Relationship Id="rId92" Type="http://schemas.openxmlformats.org/officeDocument/2006/relationships/image" Target="media/image39.jpeg"/><Relationship Id="rId93" Type="http://schemas.openxmlformats.org/officeDocument/2006/relationships/image" Target="media/image5.jpeg"/><Relationship Id="rId94" Type="http://schemas.openxmlformats.org/officeDocument/2006/relationships/image" Target="media/image40.jpeg"/><Relationship Id="rId95" Type="http://schemas.openxmlformats.org/officeDocument/2006/relationships/image" Target="media/image41.jpeg"/><Relationship Id="rId96" Type="http://schemas.openxmlformats.org/officeDocument/2006/relationships/image" Target="media/image42.jpeg"/><Relationship Id="rId97" Type="http://schemas.openxmlformats.org/officeDocument/2006/relationships/image" Target="media/image43.jpeg"/><Relationship Id="rId98" Type="http://schemas.openxmlformats.org/officeDocument/2006/relationships/image" Target="media/image44.jpeg"/><Relationship Id="rId99" Type="http://schemas.openxmlformats.org/officeDocument/2006/relationships/image" Target="media/image5.jpeg"/><Relationship Id="rId100" Type="http://schemas.openxmlformats.org/officeDocument/2006/relationships/image" Target="media/image5.jpeg"/><Relationship Id="rId101" Type="http://schemas.openxmlformats.org/officeDocument/2006/relationships/image" Target="media/image5.jpeg"/><Relationship Id="rId102" Type="http://schemas.openxmlformats.org/officeDocument/2006/relationships/image" Target="media/image45.jpeg"/><Relationship Id="rId103" Type="http://schemas.openxmlformats.org/officeDocument/2006/relationships/image" Target="media/image46.jpeg"/><Relationship Id="rId104" Type="http://schemas.openxmlformats.org/officeDocument/2006/relationships/image" Target="media/image45.jpeg"/><Relationship Id="rId105" Type="http://schemas.openxmlformats.org/officeDocument/2006/relationships/image" Target="media/image46.jpeg"/><Relationship Id="rId106" Type="http://schemas.openxmlformats.org/officeDocument/2006/relationships/image" Target="media/image47.jpeg"/><Relationship Id="rId107" Type="http://schemas.openxmlformats.org/officeDocument/2006/relationships/image" Target="media/image47.jpeg"/><Relationship Id="rId108" Type="http://schemas.openxmlformats.org/officeDocument/2006/relationships/image" Target="media/image5.jpeg"/><Relationship Id="rId109" Type="http://schemas.openxmlformats.org/officeDocument/2006/relationships/image" Target="media/image5.jpeg"/><Relationship Id="rId110" Type="http://schemas.openxmlformats.org/officeDocument/2006/relationships/image" Target="media/image5.jpeg"/><Relationship Id="rId111" Type="http://schemas.openxmlformats.org/officeDocument/2006/relationships/image" Target="media/image5.jpeg"/><Relationship Id="rId112" Type="http://schemas.openxmlformats.org/officeDocument/2006/relationships/image" Target="media/image48.jpeg"/><Relationship Id="rId113" Type="http://schemas.openxmlformats.org/officeDocument/2006/relationships/image" Target="media/image49.jpeg"/><Relationship Id="rId114" Type="http://schemas.openxmlformats.org/officeDocument/2006/relationships/image" Target="media/image48.jpeg"/><Relationship Id="rId115" Type="http://schemas.openxmlformats.org/officeDocument/2006/relationships/image" Target="media/image49.jpeg"/><Relationship Id="rId116" Type="http://schemas.openxmlformats.org/officeDocument/2006/relationships/image" Target="media/image5.jpeg"/><Relationship Id="rId117" Type="http://schemas.openxmlformats.org/officeDocument/2006/relationships/image" Target="media/image50.jpeg"/><Relationship Id="rId118" Type="http://schemas.openxmlformats.org/officeDocument/2006/relationships/image" Target="media/image51.jpeg"/><Relationship Id="rId119" Type="http://schemas.openxmlformats.org/officeDocument/2006/relationships/image" Target="media/image52.jpeg"/><Relationship Id="rId120" Type="http://schemas.openxmlformats.org/officeDocument/2006/relationships/image" Target="media/image5.jpeg"/><Relationship Id="rId121" Type="http://schemas.openxmlformats.org/officeDocument/2006/relationships/image" Target="media/image53.jpeg"/><Relationship Id="rId122" Type="http://schemas.openxmlformats.org/officeDocument/2006/relationships/image" Target="media/image5.jpeg"/><Relationship Id="rId123" Type="http://schemas.openxmlformats.org/officeDocument/2006/relationships/image" Target="media/image5.jpeg"/><Relationship Id="rId124" Type="http://schemas.openxmlformats.org/officeDocument/2006/relationships/image" Target="media/image54.jpeg"/><Relationship Id="rId125" Type="http://schemas.openxmlformats.org/officeDocument/2006/relationships/image" Target="media/image5.jpeg"/><Relationship Id="rId126" Type="http://schemas.openxmlformats.org/officeDocument/2006/relationships/image" Target="media/image55.jpeg"/><Relationship Id="rId127" Type="http://schemas.openxmlformats.org/officeDocument/2006/relationships/image" Target="media/image5.jpeg"/><Relationship Id="rId128" Type="http://schemas.openxmlformats.org/officeDocument/2006/relationships/image" Target="media/image5.jpeg"/><Relationship Id="rId129" Type="http://schemas.openxmlformats.org/officeDocument/2006/relationships/image" Target="media/image5.jpeg"/><Relationship Id="rId130" Type="http://schemas.openxmlformats.org/officeDocument/2006/relationships/image" Target="media/image56.jpeg"/><Relationship Id="rId131" Type="http://schemas.openxmlformats.org/officeDocument/2006/relationships/image" Target="media/image56.jpeg"/><Relationship Id="rId132" Type="http://schemas.openxmlformats.org/officeDocument/2006/relationships/image" Target="media/image5.jpeg"/><Relationship Id="rId133" Type="http://schemas.openxmlformats.org/officeDocument/2006/relationships/image" Target="media/image57.jpeg"/><Relationship Id="rId134" Type="http://schemas.openxmlformats.org/officeDocument/2006/relationships/image" Target="media/image57.jpeg"/><Relationship Id="rId135" Type="http://schemas.openxmlformats.org/officeDocument/2006/relationships/image" Target="media/image5.jpeg"/><Relationship Id="rId136" Type="http://schemas.openxmlformats.org/officeDocument/2006/relationships/image" Target="media/image5.jpeg"/><Relationship Id="rId137" Type="http://schemas.openxmlformats.org/officeDocument/2006/relationships/image" Target="media/image58.jpeg"/><Relationship Id="rId138" Type="http://schemas.openxmlformats.org/officeDocument/2006/relationships/image" Target="media/image59.jpeg"/><Relationship Id="rId139" Type="http://schemas.openxmlformats.org/officeDocument/2006/relationships/image" Target="media/image60.jpeg"/><Relationship Id="rId140" Type="http://schemas.openxmlformats.org/officeDocument/2006/relationships/image" Target="media/image60.jpeg"/><Relationship Id="rId141" Type="http://schemas.openxmlformats.org/officeDocument/2006/relationships/image" Target="media/image5.jpeg"/><Relationship Id="rId142" Type="http://schemas.openxmlformats.org/officeDocument/2006/relationships/image" Target="media/image58.jpeg"/><Relationship Id="rId143" Type="http://schemas.openxmlformats.org/officeDocument/2006/relationships/image" Target="media/image61.jpeg"/><Relationship Id="rId144" Type="http://schemas.openxmlformats.org/officeDocument/2006/relationships/image" Target="media/image62.jpeg"/><Relationship Id="rId145" Type="http://schemas.openxmlformats.org/officeDocument/2006/relationships/image" Target="media/image62.jpeg"/><Relationship Id="rId146" Type="http://schemas.openxmlformats.org/officeDocument/2006/relationships/image" Target="media/image5.jpeg"/><Relationship Id="rId147" Type="http://schemas.openxmlformats.org/officeDocument/2006/relationships/image" Target="media/image5.jpeg"/><Relationship Id="rId148" Type="http://schemas.openxmlformats.org/officeDocument/2006/relationships/image" Target="media/image5.jpeg"/><Relationship Id="rId149" Type="http://schemas.openxmlformats.org/officeDocument/2006/relationships/image" Target="media/image5.jpeg"/><Relationship Id="rId150" Type="http://schemas.openxmlformats.org/officeDocument/2006/relationships/image" Target="media/image5.jpeg"/><Relationship Id="rId151" Type="http://schemas.openxmlformats.org/officeDocument/2006/relationships/image" Target="media/image5.jpeg"/><Relationship Id="rId152" Type="http://schemas.openxmlformats.org/officeDocument/2006/relationships/image" Target="media/image5.jpeg"/><Relationship Id="rId153" Type="http://schemas.openxmlformats.org/officeDocument/2006/relationships/image" Target="media/image5.jpeg"/><Relationship Id="rId154" Type="http://schemas.openxmlformats.org/officeDocument/2006/relationships/image" Target="media/image5.jpeg"/><Relationship Id="rId155" Type="http://schemas.openxmlformats.org/officeDocument/2006/relationships/image" Target="media/image5.jpeg"/><Relationship Id="rId156" Type="http://schemas.openxmlformats.org/officeDocument/2006/relationships/image" Target="media/image5.jpeg"/><Relationship Id="rId157" Type="http://schemas.openxmlformats.org/officeDocument/2006/relationships/image" Target="media/image5.jpeg"/><Relationship Id="rId158" Type="http://schemas.openxmlformats.org/officeDocument/2006/relationships/image" Target="media/image5.jpeg"/><Relationship Id="rId159" Type="http://schemas.openxmlformats.org/officeDocument/2006/relationships/image" Target="media/image5.jpeg"/><Relationship Id="rId160" Type="http://schemas.openxmlformats.org/officeDocument/2006/relationships/image" Target="media/image5.jpeg"/><Relationship Id="rId161" Type="http://schemas.openxmlformats.org/officeDocument/2006/relationships/image" Target="media/image5.jpeg"/><Relationship Id="rId162" Type="http://schemas.openxmlformats.org/officeDocument/2006/relationships/image" Target="media/image5.jpeg"/><Relationship Id="rId163" Type="http://schemas.openxmlformats.org/officeDocument/2006/relationships/image" Target="media/image5.jpeg"/><Relationship Id="rId164" Type="http://schemas.openxmlformats.org/officeDocument/2006/relationships/image" Target="media/image5.jpeg"/><Relationship Id="rId165" Type="http://schemas.openxmlformats.org/officeDocument/2006/relationships/image" Target="media/image5.jpeg"/><Relationship Id="rId166" Type="http://schemas.openxmlformats.org/officeDocument/2006/relationships/image" Target="media/image5.jpeg"/><Relationship Id="rId167" Type="http://schemas.openxmlformats.org/officeDocument/2006/relationships/image" Target="media/image5.jpeg"/><Relationship Id="rId168" Type="http://schemas.openxmlformats.org/officeDocument/2006/relationships/image" Target="media/image5.jpeg"/><Relationship Id="rId169" Type="http://schemas.openxmlformats.org/officeDocument/2006/relationships/image" Target="media/image5.jpeg"/><Relationship Id="rId170" Type="http://schemas.openxmlformats.org/officeDocument/2006/relationships/image" Target="media/image5.jpeg"/><Relationship Id="rId171" Type="http://schemas.openxmlformats.org/officeDocument/2006/relationships/image" Target="media/image5.jpeg"/><Relationship Id="rId172" Type="http://schemas.openxmlformats.org/officeDocument/2006/relationships/image" Target="media/image5.jpeg"/><Relationship Id="rId173" Type="http://schemas.openxmlformats.org/officeDocument/2006/relationships/image" Target="media/image5.jpeg"/><Relationship Id="rId174" Type="http://schemas.openxmlformats.org/officeDocument/2006/relationships/image" Target="media/image5.jpeg"/><Relationship Id="rId175" Type="http://schemas.openxmlformats.org/officeDocument/2006/relationships/image" Target="media/image5.jpeg"/><Relationship Id="rId176" Type="http://schemas.openxmlformats.org/officeDocument/2006/relationships/image" Target="media/image5.jpeg"/><Relationship Id="rId177" Type="http://schemas.openxmlformats.org/officeDocument/2006/relationships/image" Target="media/image63.jpeg"/><Relationship Id="rId178" Type="http://schemas.openxmlformats.org/officeDocument/2006/relationships/image" Target="media/image5.jpeg"/><Relationship Id="rId179" Type="http://schemas.openxmlformats.org/officeDocument/2006/relationships/image" Target="media/image64.jpeg"/><Relationship Id="rId180" Type="http://schemas.openxmlformats.org/officeDocument/2006/relationships/image" Target="media/image65.jpeg"/><Relationship Id="rId181" Type="http://schemas.openxmlformats.org/officeDocument/2006/relationships/image" Target="media/image66.jpeg"/><Relationship Id="rId182" Type="http://schemas.openxmlformats.org/officeDocument/2006/relationships/image" Target="media/image5.jpeg"/><Relationship Id="rId183" Type="http://schemas.openxmlformats.org/officeDocument/2006/relationships/image" Target="media/image5.jpeg"/><Relationship Id="rId184" Type="http://schemas.openxmlformats.org/officeDocument/2006/relationships/image" Target="media/image5.jpeg"/><Relationship Id="rId185" Type="http://schemas.openxmlformats.org/officeDocument/2006/relationships/image" Target="media/image5.jpeg"/><Relationship Id="rId186" Type="http://schemas.openxmlformats.org/officeDocument/2006/relationships/image" Target="media/image5.jpeg"/><Relationship Id="rId187" Type="http://schemas.openxmlformats.org/officeDocument/2006/relationships/image" Target="media/image5.jpeg"/><Relationship Id="rId188" Type="http://schemas.openxmlformats.org/officeDocument/2006/relationships/image" Target="media/image5.jpeg"/><Relationship Id="rId189" Type="http://schemas.openxmlformats.org/officeDocument/2006/relationships/image" Target="media/image5.jpeg"/><Relationship Id="rId190" Type="http://schemas.openxmlformats.org/officeDocument/2006/relationships/image" Target="media/image5.jpeg"/><Relationship Id="rId191" Type="http://schemas.openxmlformats.org/officeDocument/2006/relationships/image" Target="media/image5.jpeg"/><Relationship Id="rId192" Type="http://schemas.openxmlformats.org/officeDocument/2006/relationships/image" Target="media/image5.jpeg"/><Relationship Id="rId193" Type="http://schemas.openxmlformats.org/officeDocument/2006/relationships/image" Target="media/image5.jpeg"/><Relationship Id="rId194" Type="http://schemas.openxmlformats.org/officeDocument/2006/relationships/image" Target="media/image5.jpeg"/><Relationship Id="rId195" Type="http://schemas.openxmlformats.org/officeDocument/2006/relationships/image" Target="media/image5.jpeg"/><Relationship Id="rId196" Type="http://schemas.openxmlformats.org/officeDocument/2006/relationships/image" Target="media/image5.jpeg"/><Relationship Id="rId197" Type="http://schemas.openxmlformats.org/officeDocument/2006/relationships/image" Target="media/image5.jpeg"/><Relationship Id="rId198" Type="http://schemas.openxmlformats.org/officeDocument/2006/relationships/image" Target="media/image5.jpeg"/><Relationship Id="rId199" Type="http://schemas.openxmlformats.org/officeDocument/2006/relationships/image" Target="media/image5.jpeg"/><Relationship Id="rId200" Type="http://schemas.openxmlformats.org/officeDocument/2006/relationships/image" Target="media/image5.jpeg"/><Relationship Id="rId201" Type="http://schemas.openxmlformats.org/officeDocument/2006/relationships/image" Target="media/image5.jpeg"/><Relationship Id="rId202" Type="http://schemas.openxmlformats.org/officeDocument/2006/relationships/image" Target="media/image5.jpeg"/><Relationship Id="rId203" Type="http://schemas.openxmlformats.org/officeDocument/2006/relationships/image" Target="media/image5.jpeg"/><Relationship Id="rId204" Type="http://schemas.openxmlformats.org/officeDocument/2006/relationships/image" Target="media/image5.jpeg"/><Relationship Id="rId205" Type="http://schemas.openxmlformats.org/officeDocument/2006/relationships/image" Target="media/image5.jpeg"/><Relationship Id="rId206" Type="http://schemas.openxmlformats.org/officeDocument/2006/relationships/image" Target="media/image5.jpeg"/><Relationship Id="rId207" Type="http://schemas.openxmlformats.org/officeDocument/2006/relationships/image" Target="media/image5.jpeg"/><Relationship Id="rId208" Type="http://schemas.openxmlformats.org/officeDocument/2006/relationships/image" Target="media/image5.jpeg"/><Relationship Id="rId209" Type="http://schemas.openxmlformats.org/officeDocument/2006/relationships/image" Target="media/image5.jpeg"/><Relationship Id="rId210" Type="http://schemas.openxmlformats.org/officeDocument/2006/relationships/image" Target="media/image5.jpeg"/><Relationship Id="rId211" Type="http://schemas.openxmlformats.org/officeDocument/2006/relationships/image" Target="media/image5.jpeg"/><Relationship Id="rId212" Type="http://schemas.openxmlformats.org/officeDocument/2006/relationships/image" Target="media/image5.jpeg"/><Relationship Id="rId213" Type="http://schemas.openxmlformats.org/officeDocument/2006/relationships/image" Target="media/image5.jpeg"/><Relationship Id="rId214" Type="http://schemas.openxmlformats.org/officeDocument/2006/relationships/image" Target="media/image5.jpeg"/><Relationship Id="rId215" Type="http://schemas.openxmlformats.org/officeDocument/2006/relationships/image" Target="media/image5.jpeg"/><Relationship Id="rId216" Type="http://schemas.openxmlformats.org/officeDocument/2006/relationships/image" Target="media/image4.jpeg"/><Relationship Id="rId217" Type="http://schemas.openxmlformats.org/officeDocument/2006/relationships/image" Target="media/image5.jpeg"/><Relationship Id="rId218" Type="http://schemas.openxmlformats.org/officeDocument/2006/relationships/image" Target="media/image5.jpeg"/><Relationship Id="rId219" Type="http://schemas.openxmlformats.org/officeDocument/2006/relationships/image" Target="media/image5.jpeg"/><Relationship Id="rId220" Type="http://schemas.openxmlformats.org/officeDocument/2006/relationships/image" Target="media/image5.jpeg"/><Relationship Id="rId221" Type="http://schemas.openxmlformats.org/officeDocument/2006/relationships/image" Target="media/image5.jpeg"/><Relationship Id="rId222" Type="http://schemas.openxmlformats.org/officeDocument/2006/relationships/image" Target="media/image5.jpeg"/><Relationship Id="rId223" Type="http://schemas.openxmlformats.org/officeDocument/2006/relationships/image" Target="media/image5.jpeg"/><Relationship Id="rId224" Type="http://schemas.openxmlformats.org/officeDocument/2006/relationships/image" Target="media/image5.jpeg"/><Relationship Id="rId225" Type="http://schemas.openxmlformats.org/officeDocument/2006/relationships/image" Target="media/image5.jpeg"/><Relationship Id="rId226" Type="http://schemas.openxmlformats.org/officeDocument/2006/relationships/image" Target="media/image5.jpeg"/><Relationship Id="rId227" Type="http://schemas.openxmlformats.org/officeDocument/2006/relationships/image" Target="media/image5.jpeg"/><Relationship Id="rId228" Type="http://schemas.openxmlformats.org/officeDocument/2006/relationships/image" Target="media/image5.jpeg"/><Relationship Id="rId229" Type="http://schemas.openxmlformats.org/officeDocument/2006/relationships/image" Target="media/image5.jpeg"/><Relationship Id="rId230" Type="http://schemas.openxmlformats.org/officeDocument/2006/relationships/image" Target="media/image5.jpeg"/><Relationship Id="rId231" Type="http://schemas.openxmlformats.org/officeDocument/2006/relationships/image" Target="media/image5.jpeg"/><Relationship Id="rId232" Type="http://schemas.openxmlformats.org/officeDocument/2006/relationships/image" Target="media/image5.jpeg"/><Relationship Id="rId233" Type="http://schemas.openxmlformats.org/officeDocument/2006/relationships/image" Target="media/image5.jpeg"/><Relationship Id="rId234" Type="http://schemas.openxmlformats.org/officeDocument/2006/relationships/image" Target="media/image5.jpeg"/><Relationship Id="rId235" Type="http://schemas.openxmlformats.org/officeDocument/2006/relationships/image" Target="media/image5.jpeg"/><Relationship Id="rId236" Type="http://schemas.openxmlformats.org/officeDocument/2006/relationships/image" Target="media/image5.jpeg"/><Relationship Id="rId237" Type="http://schemas.openxmlformats.org/officeDocument/2006/relationships/image" Target="media/image5.jpeg"/><Relationship Id="rId238" Type="http://schemas.openxmlformats.org/officeDocument/2006/relationships/image" Target="media/image5.jpeg"/><Relationship Id="rId239" Type="http://schemas.openxmlformats.org/officeDocument/2006/relationships/image" Target="media/image5.jpeg"/><Relationship Id="rId240" Type="http://schemas.openxmlformats.org/officeDocument/2006/relationships/image" Target="media/image5.jpeg"/><Relationship Id="rId241" Type="http://schemas.openxmlformats.org/officeDocument/2006/relationships/image" Target="media/image5.jpeg"/><Relationship Id="rId242" Type="http://schemas.openxmlformats.org/officeDocument/2006/relationships/image" Target="media/image5.jpeg"/><Relationship Id="rId243" Type="http://schemas.openxmlformats.org/officeDocument/2006/relationships/image" Target="media/image5.jpeg"/><Relationship Id="rId244" Type="http://schemas.openxmlformats.org/officeDocument/2006/relationships/image" Target="media/image5.jpeg"/><Relationship Id="rId245" Type="http://schemas.openxmlformats.org/officeDocument/2006/relationships/image" Target="media/image5.jpeg"/><Relationship Id="rId246" Type="http://schemas.openxmlformats.org/officeDocument/2006/relationships/image" Target="media/image5.jpeg"/><Relationship Id="rId247" Type="http://schemas.openxmlformats.org/officeDocument/2006/relationships/image" Target="media/image67.jpeg"/><Relationship Id="rId248" Type="http://schemas.openxmlformats.org/officeDocument/2006/relationships/image" Target="media/image68.jpeg"/><Relationship Id="rId249" Type="http://schemas.openxmlformats.org/officeDocument/2006/relationships/image" Target="media/image69.jpeg"/><Relationship Id="rId250" Type="http://schemas.openxmlformats.org/officeDocument/2006/relationships/fontTable" Target="fontTable.xml"/><Relationship Id="rId2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171</Pages>
  <Words>95799</Words>
  <Characters>524245</Characters>
  <CharactersWithSpaces>632405</CharactersWithSpaces>
  <Paragraphs>19907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